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4100"/>
        <w:spacing w:after="0"/>
        <w:rPr>
          <w:sz w:val="20"/>
          <w:szCs w:val="20"/>
          <w:color w:val="auto"/>
        </w:rPr>
      </w:pPr>
      <w:r>
        <w:rPr>
          <w:rFonts w:ascii="Arial" w:cs="Arial" w:eastAsia="Arial" w:hAnsi="Arial"/>
          <w:sz w:val="18"/>
          <w:szCs w:val="18"/>
          <w:color w:val="auto"/>
        </w:rPr>
        <w:t>____________________________________</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ind w:left="4100"/>
        <w:spacing w:after="0"/>
        <w:rPr>
          <w:sz w:val="20"/>
          <w:szCs w:val="20"/>
          <w:color w:val="auto"/>
        </w:rPr>
      </w:pPr>
      <w:r>
        <w:rPr>
          <w:rFonts w:ascii="Arial" w:cs="Arial" w:eastAsia="Arial" w:hAnsi="Arial"/>
          <w:sz w:val="18"/>
          <w:szCs w:val="18"/>
          <w:color w:val="auto"/>
        </w:rPr>
        <w:t>____________________________________</w:t>
      </w:r>
    </w:p>
    <w:p>
      <w:pPr>
        <w:spacing w:after="0" w:line="224" w:lineRule="exact"/>
        <w:rPr>
          <w:sz w:val="24"/>
          <w:szCs w:val="24"/>
          <w:color w:val="auto"/>
        </w:rPr>
      </w:pPr>
    </w:p>
    <w:p>
      <w:pPr>
        <w:ind w:left="500" w:hanging="465"/>
        <w:spacing w:after="0"/>
        <w:tabs>
          <w:tab w:leader="none" w:pos="500" w:val="left"/>
        </w:tabs>
        <w:numPr>
          <w:ilvl w:val="0"/>
          <w:numId w:val="1"/>
        </w:numPr>
        <w:rPr>
          <w:rFonts w:ascii="MS PGothic" w:cs="MS PGothic" w:eastAsia="MS PGothic" w:hAnsi="MS PGothic"/>
          <w:sz w:val="22"/>
          <w:szCs w:val="22"/>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68" w:lineRule="exact"/>
        <w:rPr>
          <w:rFonts w:ascii="MS PGothic" w:cs="MS PGothic" w:eastAsia="MS PGothic" w:hAnsi="MS PGothic"/>
          <w:sz w:val="22"/>
          <w:szCs w:val="22"/>
          <w:color w:val="auto"/>
        </w:rPr>
      </w:pPr>
    </w:p>
    <w:p>
      <w:pPr>
        <w:ind w:left="440"/>
        <w:spacing w:after="0"/>
        <w:rPr>
          <w:rFonts w:ascii="MS PGothic" w:cs="MS PGothic" w:eastAsia="MS PGothic" w:hAnsi="MS PGothic"/>
          <w:sz w:val="22"/>
          <w:szCs w:val="22"/>
          <w:color w:val="auto"/>
        </w:rPr>
      </w:pPr>
      <w:r>
        <w:rPr>
          <w:rFonts w:ascii="Arial" w:cs="Arial" w:eastAsia="Arial" w:hAnsi="Arial"/>
          <w:sz w:val="18"/>
          <w:szCs w:val="18"/>
          <w:b w:val="1"/>
          <w:bCs w:val="1"/>
          <w:color w:val="auto"/>
        </w:rPr>
        <w:t>For the quarterly period ended June 30, 2019</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37" w:lineRule="exact"/>
        <w:rPr>
          <w:sz w:val="24"/>
          <w:szCs w:val="24"/>
          <w:color w:val="auto"/>
        </w:rPr>
      </w:pPr>
    </w:p>
    <w:p>
      <w:pPr>
        <w:ind w:left="500" w:hanging="465"/>
        <w:spacing w:after="0"/>
        <w:tabs>
          <w:tab w:leader="none" w:pos="500" w:val="left"/>
        </w:tabs>
        <w:numPr>
          <w:ilvl w:val="0"/>
          <w:numId w:val="2"/>
        </w:numPr>
        <w:rPr>
          <w:rFonts w:ascii="MS PGothic" w:cs="MS PGothic" w:eastAsia="MS PGothic" w:hAnsi="MS PGothic"/>
          <w:sz w:val="43"/>
          <w:szCs w:val="43"/>
          <w:color w:val="auto"/>
          <w:vertAlign w:val="subscript"/>
        </w:rPr>
      </w:pPr>
      <w:r>
        <w:rPr>
          <w:rFonts w:ascii="Arial" w:cs="Arial" w:eastAsia="Arial" w:hAnsi="Arial"/>
          <w:sz w:val="16"/>
          <w:szCs w:val="16"/>
          <w:b w:val="1"/>
          <w:bCs w:val="1"/>
          <w:color w:val="auto"/>
        </w:rPr>
        <w:t>TRANSITION REPORT PURSUANT TO SECTION 13 OR 15(d) OF THE SECURITIES EXCHANGE ACT OF 1934</w:t>
      </w:r>
    </w:p>
    <w:p>
      <w:pPr>
        <w:spacing w:after="0" w:line="123" w:lineRule="exact"/>
        <w:rPr>
          <w:sz w:val="24"/>
          <w:szCs w:val="24"/>
          <w:color w:val="auto"/>
        </w:rPr>
      </w:pPr>
    </w:p>
    <w:p>
      <w:pPr>
        <w:ind w:left="440"/>
        <w:spacing w:after="0"/>
        <w:tabs>
          <w:tab w:leader="none" w:pos="37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033-90866</w:t>
      </w:r>
    </w:p>
    <w:p>
      <w:pPr>
        <w:spacing w:after="0" w:line="67" w:lineRule="exact"/>
        <w:rPr>
          <w:sz w:val="24"/>
          <w:szCs w:val="24"/>
          <w:color w:val="auto"/>
        </w:rPr>
      </w:pPr>
    </w:p>
    <w:p>
      <w:pPr>
        <w:ind w:left="4100"/>
        <w:spacing w:after="0"/>
        <w:rPr>
          <w:sz w:val="20"/>
          <w:szCs w:val="20"/>
          <w:color w:val="auto"/>
        </w:rPr>
      </w:pPr>
      <w:r>
        <w:rPr>
          <w:rFonts w:ascii="Arial" w:cs="Arial" w:eastAsia="Arial" w:hAnsi="Arial"/>
          <w:sz w:val="18"/>
          <w:szCs w:val="18"/>
          <w:color w:val="auto"/>
        </w:rPr>
        <w:t>____________________________________</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38"/>
          <w:szCs w:val="38"/>
          <w:b w:val="1"/>
          <w:bCs w:val="1"/>
          <w:color w:val="auto"/>
        </w:rPr>
        <w:t>WESTINGHOUSE AIR BRAKE TECHNOLOGIES</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38"/>
          <w:szCs w:val="38"/>
          <w:b w:val="1"/>
          <w:bCs w:val="1"/>
          <w:color w:val="auto"/>
        </w:rPr>
        <w:t>CORPORATION</w:t>
      </w: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100"/>
        <w:spacing w:after="0"/>
        <w:rPr>
          <w:sz w:val="20"/>
          <w:szCs w:val="20"/>
          <w:color w:val="auto"/>
        </w:rPr>
      </w:pPr>
      <w:r>
        <w:rPr>
          <w:rFonts w:ascii="Arial" w:cs="Arial" w:eastAsia="Arial" w:hAnsi="Arial"/>
          <w:sz w:val="18"/>
          <w:szCs w:val="18"/>
          <w:color w:val="auto"/>
        </w:rPr>
        <w:t>____________________________________</w:t>
      </w:r>
    </w:p>
    <w:p>
      <w:pPr>
        <w:sectPr>
          <w:pgSz w:w="11900" w:h="16838" w:orient="portrait"/>
          <w:cols w:equalWidth="0" w:num="1">
            <w:col w:w="11400"/>
          </w:cols>
          <w:pgMar w:left="240" w:top="503" w:right="259" w:bottom="1440" w:gutter="0" w:footer="0" w:header="0"/>
        </w:sectPr>
      </w:pPr>
    </w:p>
    <w:p>
      <w:pPr>
        <w:spacing w:after="0" w:line="147" w:lineRule="exact"/>
        <w:rPr>
          <w:sz w:val="24"/>
          <w:szCs w:val="24"/>
          <w:color w:val="auto"/>
        </w:rPr>
      </w:pPr>
    </w:p>
    <w:p>
      <w:pPr>
        <w:ind w:left="2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25-1615902</w:t>
      </w:r>
    </w:p>
    <w:p>
      <w:pPr>
        <w:spacing w:after="0" w:line="95" w:lineRule="exact"/>
        <w:rPr>
          <w:sz w:val="24"/>
          <w:szCs w:val="24"/>
          <w:color w:val="auto"/>
        </w:rPr>
      </w:pPr>
    </w:p>
    <w:p>
      <w:pPr>
        <w:sectPr>
          <w:pgSz w:w="11900" w:h="16838" w:orient="portrait"/>
          <w:cols w:equalWidth="0" w:num="2">
            <w:col w:w="7440" w:space="720"/>
            <w:col w:w="3240"/>
          </w:cols>
          <w:pgMar w:left="240" w:top="503" w:right="259" w:bottom="1440" w:gutter="0" w:footer="0" w:header="0"/>
          <w:type w:val="continuous"/>
        </w:sectPr>
      </w:pPr>
    </w:p>
    <w:p>
      <w:pPr>
        <w:jc w:val="center"/>
        <w:ind w:right="1600"/>
        <w:spacing w:after="0"/>
        <w:rPr>
          <w:sz w:val="20"/>
          <w:szCs w:val="20"/>
          <w:color w:val="auto"/>
        </w:rPr>
      </w:pPr>
      <w:r>
        <w:rPr>
          <w:rFonts w:ascii="Arial" w:cs="Arial" w:eastAsia="Arial" w:hAnsi="Arial"/>
          <w:sz w:val="14"/>
          <w:szCs w:val="14"/>
          <w:b w:val="1"/>
          <w:bCs w:val="1"/>
          <w:color w:val="auto"/>
        </w:rPr>
        <w:t>(State or other jurisdiction</w:t>
      </w:r>
    </w:p>
    <w:p>
      <w:pPr>
        <w:spacing w:after="0" w:line="2" w:lineRule="exact"/>
        <w:rPr>
          <w:sz w:val="24"/>
          <w:szCs w:val="24"/>
          <w:color w:val="auto"/>
        </w:rPr>
      </w:pPr>
    </w:p>
    <w:p>
      <w:pPr>
        <w:jc w:val="center"/>
        <w:ind w:right="1600"/>
        <w:spacing w:after="0"/>
        <w:rPr>
          <w:sz w:val="20"/>
          <w:szCs w:val="20"/>
          <w:color w:val="auto"/>
        </w:rPr>
      </w:pPr>
      <w:r>
        <w:rPr>
          <w:rFonts w:ascii="Arial" w:cs="Arial" w:eastAsia="Arial" w:hAnsi="Arial"/>
          <w:sz w:val="12"/>
          <w:szCs w:val="12"/>
          <w:b w:val="1"/>
          <w:bCs w:val="1"/>
          <w:color w:val="auto"/>
        </w:rPr>
        <w:t>of 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25"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175" w:lineRule="exact"/>
        <w:rPr>
          <w:sz w:val="24"/>
          <w:szCs w:val="24"/>
          <w:color w:val="auto"/>
        </w:rPr>
      </w:pPr>
    </w:p>
    <w:p>
      <w:pPr>
        <w:sectPr>
          <w:pgSz w:w="11900" w:h="16838" w:orient="portrait"/>
          <w:cols w:equalWidth="0" w:num="2">
            <w:col w:w="7320" w:space="720"/>
            <w:col w:w="3360"/>
          </w:cols>
          <w:pgMar w:left="240" w:top="503" w:right="259" w:bottom="1440" w:gutter="0" w:footer="0" w:header="0"/>
          <w:type w:val="continuous"/>
        </w:sectPr>
      </w:pPr>
    </w:p>
    <w:p>
      <w:pPr>
        <w:ind w:left="760"/>
        <w:spacing w:after="0"/>
        <w:rPr>
          <w:sz w:val="20"/>
          <w:szCs w:val="20"/>
          <w:color w:val="auto"/>
        </w:rPr>
      </w:pPr>
      <w:r>
        <w:rPr>
          <w:rFonts w:ascii="Arial" w:cs="Arial" w:eastAsia="Arial" w:hAnsi="Arial"/>
          <w:sz w:val="15"/>
          <w:szCs w:val="15"/>
          <w:b w:val="1"/>
          <w:bCs w:val="1"/>
          <w:color w:val="auto"/>
        </w:rPr>
        <w:t>1001 Air Brake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Wilmerding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PA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15148</w:t>
      </w:r>
    </w:p>
    <w:p>
      <w:pPr>
        <w:spacing w:after="0" w:line="95" w:lineRule="exact"/>
        <w:rPr>
          <w:sz w:val="24"/>
          <w:szCs w:val="24"/>
          <w:color w:val="auto"/>
        </w:rPr>
      </w:pPr>
    </w:p>
    <w:p>
      <w:pPr>
        <w:sectPr>
          <w:pgSz w:w="11900" w:h="16838" w:orient="portrait"/>
          <w:cols w:equalWidth="0" w:num="4">
            <w:col w:w="2900" w:space="720"/>
            <w:col w:w="880" w:space="720"/>
            <w:col w:w="2420" w:space="720"/>
            <w:col w:w="3040"/>
          </w:cols>
          <w:pgMar w:left="240" w:top="503" w:right="259" w:bottom="1440" w:gutter="0" w:footer="0" w:header="0"/>
          <w:type w:val="continuous"/>
        </w:sectPr>
      </w:pPr>
    </w:p>
    <w:p>
      <w:pPr>
        <w:ind w:left="174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36" w:lineRule="exact"/>
        <w:rPr>
          <w:sz w:val="24"/>
          <w:szCs w:val="24"/>
          <w:color w:val="auto"/>
        </w:rPr>
      </w:pPr>
    </w:p>
    <w:p>
      <w:pPr>
        <w:sectPr>
          <w:pgSz w:w="11900" w:h="16838" w:orient="portrait"/>
          <w:cols w:equalWidth="0" w:num="2">
            <w:col w:w="7560" w:space="720"/>
            <w:col w:w="3120"/>
          </w:cols>
          <w:pgMar w:left="240" w:top="503" w:right="25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412-825-1000</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 w:lineRule="exact"/>
        <w:rPr>
          <w:sz w:val="24"/>
          <w:szCs w:val="24"/>
          <w:color w:val="auto"/>
        </w:rPr>
      </w:pPr>
    </w:p>
    <w:p>
      <w:pPr>
        <w:ind w:left="4100"/>
        <w:spacing w:after="0"/>
        <w:rPr>
          <w:sz w:val="20"/>
          <w:szCs w:val="20"/>
          <w:color w:val="auto"/>
        </w:rPr>
      </w:pPr>
      <w:r>
        <w:rPr>
          <w:rFonts w:ascii="Arial" w:cs="Arial" w:eastAsia="Arial" w:hAnsi="Arial"/>
          <w:sz w:val="18"/>
          <w:szCs w:val="18"/>
          <w:color w:val="auto"/>
        </w:rPr>
        <w:t>____________________________________</w:t>
      </w:r>
    </w:p>
    <w:p>
      <w:pPr>
        <w:spacing w:after="0" w:line="102" w:lineRule="exact"/>
        <w:rPr>
          <w:sz w:val="24"/>
          <w:szCs w:val="24"/>
          <w:color w:val="auto"/>
        </w:rPr>
      </w:pPr>
    </w:p>
    <w:p>
      <w:pPr>
        <w:ind w:left="500"/>
        <w:spacing w:after="0"/>
        <w:rPr>
          <w:sz w:val="20"/>
          <w:szCs w:val="20"/>
          <w:color w:val="auto"/>
        </w:rPr>
      </w:pPr>
      <w:r>
        <w:rPr>
          <w:rFonts w:ascii="Arial" w:cs="Arial" w:eastAsia="Arial" w:hAnsi="Arial"/>
          <w:sz w:val="15"/>
          <w:szCs w:val="15"/>
          <w:color w:val="auto"/>
        </w:rPr>
        <w:t>Securities registered pursuant to Section 12(b) of the Act:</w:t>
      </w:r>
    </w:p>
    <w:p>
      <w:pPr>
        <w:spacing w:after="0" w:line="156" w:lineRule="exact"/>
        <w:rPr>
          <w:sz w:val="24"/>
          <w:szCs w:val="24"/>
          <w:color w:val="auto"/>
        </w:rPr>
      </w:pPr>
    </w:p>
    <w:tbl>
      <w:tblPr>
        <w:tblLayout w:type="fixed"/>
        <w:tblInd w:w="40" w:type="dxa"/>
        <w:tblCellMar>
          <w:top w:w="0" w:type="dxa"/>
          <w:left w:w="0" w:type="dxa"/>
          <w:bottom w:w="0" w:type="dxa"/>
          <w:right w:w="0" w:type="dxa"/>
        </w:tblCellMar>
      </w:tblPr>
      <w:tr>
        <w:trPr>
          <w:trHeight w:val="206"/>
        </w:trPr>
        <w:tc>
          <w:tcPr>
            <w:tcW w:w="4400" w:type="dxa"/>
            <w:vAlign w:val="bottom"/>
            <w:tcBorders>
              <w:bottom w:val="single" w:sz="8" w:color="auto"/>
            </w:tcBorders>
          </w:tcPr>
          <w:p>
            <w:pPr>
              <w:jc w:val="center"/>
              <w:ind w:left="426"/>
              <w:spacing w:after="0"/>
              <w:rPr>
                <w:sz w:val="20"/>
                <w:szCs w:val="20"/>
                <w:color w:val="auto"/>
              </w:rPr>
            </w:pPr>
            <w:r>
              <w:rPr>
                <w:rFonts w:ascii="Arial" w:cs="Arial" w:eastAsia="Arial" w:hAnsi="Arial"/>
                <w:sz w:val="14"/>
                <w:szCs w:val="14"/>
                <w:b w:val="1"/>
                <w:bCs w:val="1"/>
                <w:color w:val="auto"/>
                <w:w w:val="90"/>
              </w:rPr>
              <w:t>Class</w:t>
            </w: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Trading Symbol(s)</w:t>
            </w:r>
          </w:p>
        </w:tc>
        <w:tc>
          <w:tcPr>
            <w:tcW w:w="4440" w:type="dxa"/>
            <w:vAlign w:val="bottom"/>
            <w:tcBorders>
              <w:bottom w:val="single" w:sz="8" w:color="auto"/>
            </w:tcBorders>
          </w:tcPr>
          <w:p>
            <w:pPr>
              <w:jc w:val="center"/>
              <w:ind w:right="366"/>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08"/>
        </w:trPr>
        <w:tc>
          <w:tcPr>
            <w:tcW w:w="4400" w:type="dxa"/>
            <w:vAlign w:val="bottom"/>
          </w:tcPr>
          <w:p>
            <w:pPr>
              <w:jc w:val="center"/>
              <w:ind w:left="426"/>
              <w:spacing w:after="0"/>
              <w:rPr>
                <w:sz w:val="20"/>
                <w:szCs w:val="20"/>
                <w:color w:val="auto"/>
              </w:rPr>
            </w:pPr>
            <w:r>
              <w:rPr>
                <w:rFonts w:ascii="Arial" w:cs="Arial" w:eastAsia="Arial" w:hAnsi="Arial"/>
                <w:sz w:val="15"/>
                <w:szCs w:val="15"/>
                <w:color w:val="auto"/>
                <w:w w:val="91"/>
              </w:rPr>
              <w:t>Common Stock, $.01 par value per share</w:t>
            </w:r>
          </w:p>
        </w:tc>
        <w:tc>
          <w:tcPr>
            <w:tcW w:w="2520" w:type="dxa"/>
            <w:vAlign w:val="bottom"/>
          </w:tcPr>
          <w:p>
            <w:pPr>
              <w:jc w:val="center"/>
              <w:spacing w:after="0"/>
              <w:rPr>
                <w:sz w:val="20"/>
                <w:szCs w:val="20"/>
                <w:color w:val="auto"/>
              </w:rPr>
            </w:pPr>
            <w:r>
              <w:rPr>
                <w:rFonts w:ascii="Arial" w:cs="Arial" w:eastAsia="Arial" w:hAnsi="Arial"/>
                <w:sz w:val="15"/>
                <w:szCs w:val="15"/>
                <w:color w:val="auto"/>
                <w:w w:val="99"/>
              </w:rPr>
              <w:t>WAB</w:t>
            </w:r>
          </w:p>
        </w:tc>
        <w:tc>
          <w:tcPr>
            <w:tcW w:w="4440" w:type="dxa"/>
            <w:vAlign w:val="bottom"/>
          </w:tcPr>
          <w:p>
            <w:pPr>
              <w:jc w:val="center"/>
              <w:ind w:right="386"/>
              <w:spacing w:after="0"/>
              <w:rPr>
                <w:sz w:val="20"/>
                <w:szCs w:val="20"/>
                <w:color w:val="auto"/>
              </w:rPr>
            </w:pPr>
            <w:r>
              <w:rPr>
                <w:rFonts w:ascii="Arial" w:cs="Arial" w:eastAsia="Arial" w:hAnsi="Arial"/>
                <w:sz w:val="15"/>
                <w:szCs w:val="15"/>
                <w:color w:val="auto"/>
                <w:w w:val="93"/>
              </w:rPr>
              <w:t>New York Stock Exchange</w:t>
            </w:r>
          </w:p>
        </w:tc>
      </w:tr>
    </w:tbl>
    <w:p>
      <w:pPr>
        <w:spacing w:after="0" w:line="3" w:lineRule="exact"/>
        <w:rPr>
          <w:sz w:val="24"/>
          <w:szCs w:val="24"/>
          <w:color w:val="auto"/>
        </w:rPr>
      </w:pPr>
    </w:p>
    <w:p>
      <w:pPr>
        <w:ind w:right="80" w:firstLine="500"/>
        <w:spacing w:after="0" w:line="175"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60" w:firstLine="500"/>
        <w:spacing w:after="0" w:line="169"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200" w:firstLine="500"/>
        <w:spacing w:after="0" w:line="25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00"/>
          </w:cols>
          <w:pgMar w:left="240" w:top="503" w:right="259" w:bottom="1440" w:gutter="0" w:footer="0" w:header="0"/>
          <w:type w:val="continuous"/>
        </w:sectPr>
      </w:pPr>
    </w:p>
    <w:p>
      <w:pPr>
        <w:spacing w:after="0" w:line="165" w:lineRule="exact"/>
        <w:rPr>
          <w:sz w:val="24"/>
          <w:szCs w:val="24"/>
          <w:color w:val="auto"/>
        </w:rPr>
      </w:pPr>
    </w:p>
    <w:p>
      <w:pPr>
        <w:ind w:left="1620"/>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30" w:lineRule="exact"/>
        <w:rPr>
          <w:sz w:val="24"/>
          <w:szCs w:val="24"/>
          <w:color w:val="auto"/>
        </w:rPr>
      </w:pPr>
    </w:p>
    <w:p>
      <w:pPr>
        <w:sectPr>
          <w:pgSz w:w="11900" w:h="16838" w:orient="portrait"/>
          <w:cols w:equalWidth="0" w:num="6">
            <w:col w:w="3460" w:space="720"/>
            <w:col w:w="140" w:space="280"/>
            <w:col w:w="1760" w:space="720"/>
            <w:col w:w="120" w:space="280"/>
            <w:col w:w="1300" w:space="660"/>
            <w:col w:w="1960"/>
          </w:cols>
          <w:pgMar w:left="240" w:top="503" w:right="259" w:bottom="1440" w:gutter="0" w:footer="0" w:header="0"/>
          <w:type w:val="continuous"/>
        </w:sectPr>
      </w:pPr>
    </w:p>
    <w:p>
      <w:pPr>
        <w:spacing w:after="0" w:line="43" w:lineRule="exact"/>
        <w:rPr>
          <w:sz w:val="24"/>
          <w:szCs w:val="24"/>
          <w:color w:val="auto"/>
        </w:rPr>
      </w:pPr>
    </w:p>
    <w:p>
      <w:pPr>
        <w:ind w:left="1620"/>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20" w:lineRule="exact"/>
        <w:rPr>
          <w:sz w:val="24"/>
          <w:szCs w:val="24"/>
          <w:color w:val="auto"/>
        </w:rPr>
      </w:pPr>
    </w:p>
    <w:p>
      <w:pPr>
        <w:sectPr>
          <w:pgSz w:w="11900" w:h="16838" w:orient="portrait"/>
          <w:cols w:equalWidth="0" w:num="4">
            <w:col w:w="3460" w:space="720"/>
            <w:col w:w="140" w:space="280"/>
            <w:col w:w="1760" w:space="720"/>
            <w:col w:w="4320"/>
          </w:cols>
          <w:pgMar w:left="240" w:top="503" w:right="259" w:bottom="1440" w:gutter="0" w:footer="0" w:header="0"/>
          <w:type w:val="continuous"/>
        </w:sectPr>
      </w:pPr>
    </w:p>
    <w:p>
      <w:pPr>
        <w:ind w:right="220" w:firstLine="500"/>
        <w:spacing w:after="0" w:line="17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3240"/>
        <w:spacing w:after="0" w:line="176"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the number of shares outstanding of each of the issuer’s classes of common stock, as of the latest practicable date.</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As of July 29, 2019, there were 188,155,130 shares of common stock, par value $.01 per share, of the registrant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03" w:right="25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WESTINGHOUSE AIR BRAKE</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TECHNOLOGIES CORPORATION</w:t>
      </w:r>
    </w:p>
    <w:p>
      <w:pPr>
        <w:spacing w:after="0" w:line="9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June 30, 2019</w:t>
      </w:r>
    </w:p>
    <w:p>
      <w:pPr>
        <w:spacing w:after="0" w:line="7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FORM 10-Q</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Page</w:t>
            </w:r>
          </w:p>
        </w:tc>
      </w:tr>
      <w:tr>
        <w:trPr>
          <w:trHeight w:val="243"/>
        </w:trPr>
        <w:tc>
          <w:tcPr>
            <w:tcW w:w="920" w:type="dxa"/>
            <w:vAlign w:val="bottom"/>
          </w:tcPr>
          <w:p>
            <w:pPr>
              <w:spacing w:after="0"/>
              <w:rPr>
                <w:sz w:val="21"/>
                <w:szCs w:val="21"/>
                <w:color w:val="auto"/>
              </w:rPr>
            </w:pPr>
          </w:p>
        </w:tc>
        <w:tc>
          <w:tcPr>
            <w:tcW w:w="9900" w:type="dxa"/>
            <w:vAlign w:val="bottom"/>
            <w:gridSpan w:val="16"/>
          </w:tcPr>
          <w:p>
            <w:pPr>
              <w:spacing w:after="0"/>
              <w:rPr>
                <w:sz w:val="20"/>
                <w:szCs w:val="20"/>
                <w:color w:val="auto"/>
              </w:rPr>
            </w:pPr>
            <w:r>
              <w:rPr>
                <w:rFonts w:ascii="Arial" w:cs="Arial" w:eastAsia="Arial" w:hAnsi="Arial"/>
                <w:sz w:val="18"/>
                <w:szCs w:val="18"/>
                <w:b w:val="1"/>
                <w:bCs w:val="1"/>
                <w:color w:val="auto"/>
              </w:rPr>
              <w:t>PART I—FINANCIAL INFORMATION</w:t>
            </w:r>
          </w:p>
        </w:tc>
        <w:tc>
          <w:tcPr>
            <w:tcW w:w="560" w:type="dxa"/>
            <w:vAlign w:val="bottom"/>
          </w:tcPr>
          <w:p>
            <w:pPr>
              <w:spacing w:after="0"/>
              <w:rPr>
                <w:sz w:val="21"/>
                <w:szCs w:val="21"/>
                <w:color w:val="auto"/>
              </w:rPr>
            </w:pPr>
          </w:p>
        </w:tc>
      </w:tr>
      <w:tr>
        <w:trPr>
          <w:trHeight w:val="351"/>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252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 (Unaudited)</w:t>
              </w:r>
            </w:hyperlink>
          </w:p>
        </w:tc>
        <w:tc>
          <w:tcPr>
            <w:tcW w:w="7380" w:type="dxa"/>
            <w:vAlign w:val="bottom"/>
            <w:gridSpan w:val="10"/>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372"/>
        </w:trPr>
        <w:tc>
          <w:tcPr>
            <w:tcW w:w="920" w:type="dxa"/>
            <w:vAlign w:val="bottom"/>
          </w:tcPr>
          <w:p>
            <w:pPr>
              <w:spacing w:after="0"/>
              <w:rPr>
                <w:sz w:val="24"/>
                <w:szCs w:val="24"/>
                <w:color w:val="auto"/>
              </w:rPr>
            </w:pPr>
          </w:p>
        </w:tc>
        <w:tc>
          <w:tcPr>
            <w:tcW w:w="614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June 30, 2019 and December 31, 2018</w:t>
              </w:r>
            </w:hyperlink>
          </w:p>
        </w:tc>
        <w:tc>
          <w:tcPr>
            <w:tcW w:w="3760" w:type="dxa"/>
            <w:vAlign w:val="bottom"/>
            <w:gridSpan w:val="6"/>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372"/>
        </w:trPr>
        <w:tc>
          <w:tcPr>
            <w:tcW w:w="920" w:type="dxa"/>
            <w:vAlign w:val="bottom"/>
          </w:tcPr>
          <w:p>
            <w:pPr>
              <w:spacing w:after="0"/>
              <w:rPr>
                <w:sz w:val="24"/>
                <w:szCs w:val="24"/>
                <w:color w:val="auto"/>
              </w:rPr>
            </w:pPr>
          </w:p>
        </w:tc>
        <w:tc>
          <w:tcPr>
            <w:tcW w:w="990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 of Income for the three and six months ended June 30, 2019 and 2018</w:t>
              </w:r>
            </w:hyperlink>
          </w:p>
        </w:tc>
        <w:tc>
          <w:tcPr>
            <w:tcW w:w="560" w:type="dxa"/>
            <w:vAlign w:val="bottom"/>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888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Comprehensive Income for the three and six months ended June 30, 2019 and 2018</w:t>
              </w:r>
            </w:hyperlink>
          </w:p>
        </w:tc>
        <w:tc>
          <w:tcPr>
            <w:tcW w:w="1020" w:type="dxa"/>
            <w:vAlign w:val="bottom"/>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372"/>
        </w:trPr>
        <w:tc>
          <w:tcPr>
            <w:tcW w:w="920" w:type="dxa"/>
            <w:vAlign w:val="bottom"/>
          </w:tcPr>
          <w:p>
            <w:pPr>
              <w:spacing w:after="0"/>
              <w:rPr>
                <w:sz w:val="24"/>
                <w:szCs w:val="24"/>
                <w:color w:val="auto"/>
              </w:rPr>
            </w:pPr>
          </w:p>
        </w:tc>
        <w:tc>
          <w:tcPr>
            <w:tcW w:w="730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Cash Flows for the six months ended June 30, 2019 and 2018</w:t>
              </w:r>
            </w:hyperlink>
          </w:p>
        </w:tc>
        <w:tc>
          <w:tcPr>
            <w:tcW w:w="2600" w:type="dxa"/>
            <w:vAlign w:val="bottom"/>
            <w:gridSpan w:val="4"/>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385"/>
        </w:trPr>
        <w:tc>
          <w:tcPr>
            <w:tcW w:w="920" w:type="dxa"/>
            <w:vAlign w:val="bottom"/>
          </w:tcPr>
          <w:p>
            <w:pPr>
              <w:spacing w:after="0"/>
              <w:rPr>
                <w:sz w:val="24"/>
                <w:szCs w:val="24"/>
                <w:color w:val="auto"/>
              </w:rPr>
            </w:pPr>
          </w:p>
        </w:tc>
        <w:tc>
          <w:tcPr>
            <w:tcW w:w="866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Condensed Consolidated Statements of Shareholders' Equity for the three and six months ended June 30, 2019 and 2018</w:t>
              </w:r>
            </w:hyperlink>
          </w:p>
        </w:tc>
        <w:tc>
          <w:tcPr>
            <w:tcW w:w="1240" w:type="dxa"/>
            <w:vAlign w:val="bottom"/>
            <w:gridSpan w:val="2"/>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385"/>
        </w:trPr>
        <w:tc>
          <w:tcPr>
            <w:tcW w:w="920" w:type="dxa"/>
            <w:vAlign w:val="bottom"/>
          </w:tcPr>
          <w:p>
            <w:pPr>
              <w:spacing w:after="0"/>
              <w:rPr>
                <w:sz w:val="24"/>
                <w:szCs w:val="24"/>
                <w:color w:val="auto"/>
              </w:rPr>
            </w:pPr>
          </w:p>
        </w:tc>
        <w:tc>
          <w:tcPr>
            <w:tcW w:w="9900" w:type="dxa"/>
            <w:vAlign w:val="bottom"/>
            <w:gridSpan w:val="16"/>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560" w:type="dxa"/>
            <w:vAlign w:val="bottom"/>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8</w:t>
              </w:r>
            </w:hyperlink>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38">
              <w:r>
                <w:rPr>
                  <w:rFonts w:ascii="Arial" w:cs="Arial" w:eastAsia="Arial" w:hAnsi="Arial"/>
                  <w:sz w:val="18"/>
                  <w:szCs w:val="18"/>
                  <w:color w:val="0000EE"/>
                  <w:w w:val="90"/>
                </w:rPr>
                <w:t>Management’s Discussion and Analysis of Financial Condition and Results of Operations</w:t>
              </w:r>
            </w:hyperlink>
          </w:p>
        </w:tc>
        <w:tc>
          <w:tcPr>
            <w:tcW w:w="3440" w:type="dxa"/>
            <w:vAlign w:val="bottom"/>
            <w:gridSpan w:val="5"/>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36</w:t>
              </w:r>
            </w:hyperlink>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9900" w:type="dxa"/>
            <w:vAlign w:val="bottom"/>
            <w:gridSpan w:val="16"/>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Quantitative and Qualitative Disclosures about Market Risk</w:t>
              </w:r>
            </w:hyperlink>
          </w:p>
        </w:tc>
        <w:tc>
          <w:tcPr>
            <w:tcW w:w="560" w:type="dxa"/>
            <w:vAlign w:val="bottom"/>
          </w:tcPr>
          <w:p>
            <w:pPr>
              <w:jc w:val="right"/>
              <w:spacing w:after="0"/>
              <w:rPr>
                <w:rFonts w:ascii="Arial" w:cs="Arial" w:eastAsia="Arial" w:hAnsi="Arial"/>
                <w:sz w:val="18"/>
                <w:szCs w:val="18"/>
                <w:color w:val="0000EE"/>
              </w:rPr>
            </w:pPr>
            <w:hyperlink w:anchor="page54">
              <w:r>
                <w:rPr>
                  <w:rFonts w:ascii="Arial" w:cs="Arial" w:eastAsia="Arial" w:hAnsi="Arial"/>
                  <w:sz w:val="18"/>
                  <w:szCs w:val="18"/>
                  <w:color w:val="0000EE"/>
                </w:rPr>
                <w:t>52</w:t>
              </w:r>
            </w:hyperlink>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4300" w:type="dxa"/>
            <w:vAlign w:val="bottom"/>
            <w:tcBorders>
              <w:top w:val="single" w:sz="8" w:color="0000EE"/>
            </w:tcBorders>
            <w:gridSpan w:val="8"/>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Controls and Procedures</w:t>
              </w:r>
            </w:hyperlink>
          </w:p>
        </w:tc>
        <w:tc>
          <w:tcPr>
            <w:tcW w:w="5600" w:type="dxa"/>
            <w:vAlign w:val="bottom"/>
            <w:gridSpan w:val="8"/>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0000EE"/>
              </w:rPr>
            </w:pPr>
            <w:hyperlink w:anchor="page54">
              <w:r>
                <w:rPr>
                  <w:rFonts w:ascii="Arial" w:cs="Arial" w:eastAsia="Arial" w:hAnsi="Arial"/>
                  <w:sz w:val="18"/>
                  <w:szCs w:val="18"/>
                  <w:color w:val="0000EE"/>
                </w:rPr>
                <w:t>52</w:t>
              </w:r>
            </w:hyperlink>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556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2"/>
        </w:trPr>
        <w:tc>
          <w:tcPr>
            <w:tcW w:w="920" w:type="dxa"/>
            <w:vAlign w:val="bottom"/>
          </w:tcPr>
          <w:p>
            <w:pPr>
              <w:spacing w:after="0"/>
              <w:rPr>
                <w:sz w:val="24"/>
                <w:szCs w:val="24"/>
                <w:color w:val="auto"/>
              </w:rPr>
            </w:pPr>
          </w:p>
        </w:tc>
        <w:tc>
          <w:tcPr>
            <w:tcW w:w="9900" w:type="dxa"/>
            <w:vAlign w:val="bottom"/>
            <w:gridSpan w:val="16"/>
          </w:tcPr>
          <w:p>
            <w:pPr>
              <w:spacing w:after="0"/>
              <w:rPr>
                <w:sz w:val="20"/>
                <w:szCs w:val="20"/>
                <w:color w:val="auto"/>
              </w:rPr>
            </w:pPr>
            <w:r>
              <w:rPr>
                <w:rFonts w:ascii="Arial" w:cs="Arial" w:eastAsia="Arial" w:hAnsi="Arial"/>
                <w:sz w:val="18"/>
                <w:szCs w:val="18"/>
                <w:b w:val="1"/>
                <w:bCs w:val="1"/>
                <w:color w:val="auto"/>
              </w:rPr>
              <w:t>PART II—OTHER INFORMATION</w:t>
            </w:r>
          </w:p>
        </w:tc>
        <w:tc>
          <w:tcPr>
            <w:tcW w:w="560" w:type="dxa"/>
            <w:vAlign w:val="bottom"/>
          </w:tcPr>
          <w:p>
            <w:pPr>
              <w:spacing w:after="0"/>
              <w:rPr>
                <w:sz w:val="24"/>
                <w:szCs w:val="24"/>
                <w:color w:val="auto"/>
              </w:rPr>
            </w:pPr>
          </w:p>
        </w:tc>
      </w:tr>
      <w:tr>
        <w:trPr>
          <w:trHeight w:val="351"/>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9900" w:type="dxa"/>
            <w:vAlign w:val="bottom"/>
            <w:gridSpan w:val="16"/>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Legal Proceedings</w:t>
              </w:r>
            </w:hyperlink>
          </w:p>
        </w:tc>
        <w:tc>
          <w:tcPr>
            <w:tcW w:w="560" w:type="dxa"/>
            <w:vAlign w:val="bottom"/>
          </w:tcPr>
          <w:p>
            <w:pPr>
              <w:jc w:val="right"/>
              <w:spacing w:after="0"/>
              <w:rPr>
                <w:rFonts w:ascii="Arial" w:cs="Arial" w:eastAsia="Arial" w:hAnsi="Arial"/>
                <w:sz w:val="18"/>
                <w:szCs w:val="18"/>
                <w:color w:val="0000EE"/>
              </w:rPr>
            </w:pPr>
            <w:hyperlink w:anchor="page55">
              <w:r>
                <w:rPr>
                  <w:rFonts w:ascii="Arial" w:cs="Arial" w:eastAsia="Arial" w:hAnsi="Arial"/>
                  <w:sz w:val="18"/>
                  <w:szCs w:val="18"/>
                  <w:color w:val="0000EE"/>
                </w:rPr>
                <w:t>53</w:t>
              </w:r>
            </w:hyperlink>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7"/>
              </w:rPr>
            </w:pPr>
            <w:hyperlink w:anchor="page55">
              <w:r>
                <w:rPr>
                  <w:rFonts w:ascii="Arial" w:cs="Arial" w:eastAsia="Arial" w:hAnsi="Arial"/>
                  <w:sz w:val="18"/>
                  <w:szCs w:val="18"/>
                  <w:color w:val="0000EE"/>
                  <w:w w:val="87"/>
                </w:rPr>
                <w:t>Risk Factors</w:t>
              </w:r>
            </w:hyperlink>
          </w:p>
        </w:tc>
        <w:tc>
          <w:tcPr>
            <w:tcW w:w="420" w:type="dxa"/>
            <w:vAlign w:val="bottom"/>
            <w:tcBorders>
              <w:top w:val="single" w:sz="8" w:color="0000EE"/>
            </w:tcBorders>
          </w:tcPr>
          <w:p>
            <w:pPr>
              <w:spacing w:after="0"/>
              <w:rPr>
                <w:sz w:val="24"/>
                <w:szCs w:val="24"/>
                <w:color w:val="auto"/>
              </w:rPr>
            </w:pPr>
          </w:p>
        </w:tc>
        <w:tc>
          <w:tcPr>
            <w:tcW w:w="8580" w:type="dxa"/>
            <w:vAlign w:val="bottom"/>
            <w:gridSpan w:val="12"/>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0000EE"/>
              </w:rPr>
            </w:pPr>
            <w:hyperlink w:anchor="page56">
              <w:r>
                <w:rPr>
                  <w:rFonts w:ascii="Arial" w:cs="Arial" w:eastAsia="Arial" w:hAnsi="Arial"/>
                  <w:sz w:val="18"/>
                  <w:szCs w:val="18"/>
                  <w:color w:val="0000EE"/>
                </w:rPr>
                <w:t>54</w:t>
              </w:r>
            </w:hyperlink>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9900" w:type="dxa"/>
            <w:vAlign w:val="bottom"/>
            <w:gridSpan w:val="16"/>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Unregistered Sales of Equity Securities and Use of Proceeds</w:t>
              </w:r>
            </w:hyperlink>
          </w:p>
        </w:tc>
        <w:tc>
          <w:tcPr>
            <w:tcW w:w="560" w:type="dxa"/>
            <w:vAlign w:val="bottom"/>
          </w:tcPr>
          <w:p>
            <w:pPr>
              <w:jc w:val="right"/>
              <w:spacing w:after="0"/>
              <w:rPr>
                <w:rFonts w:ascii="Arial" w:cs="Arial" w:eastAsia="Arial" w:hAnsi="Arial"/>
                <w:sz w:val="18"/>
                <w:szCs w:val="18"/>
                <w:color w:val="0000EE"/>
              </w:rPr>
            </w:pPr>
            <w:hyperlink w:anchor="page56">
              <w:r>
                <w:rPr>
                  <w:rFonts w:ascii="Arial" w:cs="Arial" w:eastAsia="Arial" w:hAnsi="Arial"/>
                  <w:sz w:val="18"/>
                  <w:szCs w:val="18"/>
                  <w:color w:val="0000EE"/>
                </w:rPr>
                <w:t>54</w:t>
              </w:r>
            </w:hyperlink>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4340" w:type="dxa"/>
            <w:vAlign w:val="bottom"/>
            <w:tcBorders>
              <w:top w:val="single" w:sz="8" w:color="0000EE"/>
            </w:tcBorders>
            <w:gridSpan w:val="9"/>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Mine Safety Disclosures</w:t>
              </w:r>
            </w:hyperlink>
          </w:p>
        </w:tc>
        <w:tc>
          <w:tcPr>
            <w:tcW w:w="5560" w:type="dxa"/>
            <w:vAlign w:val="bottom"/>
            <w:gridSpan w:val="7"/>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0000EE"/>
              </w:rPr>
            </w:pPr>
            <w:hyperlink w:anchor="page56">
              <w:r>
                <w:rPr>
                  <w:rFonts w:ascii="Arial" w:cs="Arial" w:eastAsia="Arial" w:hAnsi="Arial"/>
                  <w:sz w:val="18"/>
                  <w:szCs w:val="18"/>
                  <w:color w:val="0000EE"/>
                </w:rPr>
                <w:t>54</w:t>
              </w:r>
            </w:hyperlink>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57">
              <w:r>
                <w:rPr>
                  <w:rFonts w:ascii="Arial" w:cs="Arial" w:eastAsia="Arial" w:hAnsi="Arial"/>
                  <w:sz w:val="18"/>
                  <w:szCs w:val="18"/>
                  <w:color w:val="0000EE"/>
                  <w:w w:val="91"/>
                </w:rPr>
                <w:t>Exhibits</w:t>
              </w:r>
            </w:hyperlink>
          </w:p>
        </w:tc>
        <w:tc>
          <w:tcPr>
            <w:tcW w:w="1160" w:type="dxa"/>
            <w:vAlign w:val="bottom"/>
            <w:tcBorders>
              <w:top w:val="single" w:sz="8" w:color="0000EE"/>
            </w:tcBorders>
            <w:gridSpan w:val="4"/>
          </w:tcPr>
          <w:p>
            <w:pPr>
              <w:spacing w:after="0"/>
              <w:rPr>
                <w:sz w:val="24"/>
                <w:szCs w:val="24"/>
                <w:color w:val="auto"/>
              </w:rPr>
            </w:pPr>
          </w:p>
        </w:tc>
        <w:tc>
          <w:tcPr>
            <w:tcW w:w="8140" w:type="dxa"/>
            <w:vAlign w:val="bottom"/>
            <w:gridSpan w:val="11"/>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0000EE"/>
              </w:rPr>
            </w:pPr>
            <w:hyperlink w:anchor="page57">
              <w:r>
                <w:rPr>
                  <w:rFonts w:ascii="Arial" w:cs="Arial" w:eastAsia="Arial" w:hAnsi="Arial"/>
                  <w:sz w:val="18"/>
                  <w:szCs w:val="18"/>
                  <w:color w:val="0000EE"/>
                </w:rPr>
                <w:t>55</w:t>
              </w:r>
            </w:hyperlink>
          </w:p>
        </w:tc>
      </w:tr>
      <w:tr>
        <w:trPr>
          <w:trHeight w:val="372"/>
        </w:trPr>
        <w:tc>
          <w:tcPr>
            <w:tcW w:w="920" w:type="dxa"/>
            <w:vAlign w:val="bottom"/>
          </w:tcPr>
          <w:p>
            <w:pPr>
              <w:spacing w:after="0"/>
              <w:rPr>
                <w:sz w:val="24"/>
                <w:szCs w:val="24"/>
                <w:color w:val="auto"/>
              </w:rPr>
            </w:pPr>
          </w:p>
        </w:tc>
        <w:tc>
          <w:tcPr>
            <w:tcW w:w="76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58">
              <w:r>
                <w:rPr>
                  <w:rFonts w:ascii="Arial" w:cs="Arial" w:eastAsia="Arial" w:hAnsi="Arial"/>
                  <w:sz w:val="18"/>
                  <w:szCs w:val="18"/>
                  <w:color w:val="0000EE"/>
                  <w:w w:val="85"/>
                </w:rPr>
                <w:t>Signatures</w:t>
              </w:r>
            </w:hyperlink>
          </w:p>
        </w:tc>
        <w:tc>
          <w:tcPr>
            <w:tcW w:w="9140" w:type="dxa"/>
            <w:vAlign w:val="bottom"/>
            <w:gridSpan w:val="14"/>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0000EE"/>
              </w:rPr>
            </w:pPr>
            <w:hyperlink w:anchor="page58">
              <w:r>
                <w:rPr>
                  <w:rFonts w:ascii="Arial" w:cs="Arial" w:eastAsia="Arial" w:hAnsi="Arial"/>
                  <w:sz w:val="18"/>
                  <w:szCs w:val="18"/>
                  <w:color w:val="0000EE"/>
                </w:rPr>
                <w:t>56</w:t>
              </w:r>
            </w:hyperlink>
          </w:p>
        </w:tc>
      </w:tr>
      <w:tr>
        <w:trPr>
          <w:trHeight w:val="507"/>
        </w:trPr>
        <w:tc>
          <w:tcPr>
            <w:tcW w:w="920" w:type="dxa"/>
            <w:vAlign w:val="bottom"/>
          </w:tcPr>
          <w:p>
            <w:pPr>
              <w:spacing w:after="0"/>
              <w:rPr>
                <w:sz w:val="24"/>
                <w:szCs w:val="24"/>
                <w:color w:val="auto"/>
              </w:rPr>
            </w:pPr>
          </w:p>
        </w:tc>
        <w:tc>
          <w:tcPr>
            <w:tcW w:w="6140" w:type="dxa"/>
            <w:vAlign w:val="bottom"/>
            <w:gridSpan w:val="10"/>
          </w:tcPr>
          <w:p>
            <w:pPr>
              <w:ind w:left="470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1380"/>
          </w:cols>
          <w:pgMar w:left="280" w:top="580"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040" w:type="dxa"/>
            <w:vAlign w:val="bottom"/>
          </w:tcPr>
          <w:p>
            <w:pPr>
              <w:jc w:val="center"/>
              <w:ind w:left="230"/>
              <w:spacing w:after="0"/>
              <w:rPr>
                <w:sz w:val="20"/>
                <w:szCs w:val="20"/>
                <w:color w:val="auto"/>
              </w:rPr>
            </w:pPr>
            <w:r>
              <w:rPr>
                <w:rFonts w:ascii="Arial" w:cs="Arial" w:eastAsia="Arial" w:hAnsi="Arial"/>
                <w:sz w:val="18"/>
                <w:szCs w:val="18"/>
                <w:b w:val="1"/>
                <w:bCs w:val="1"/>
                <w:color w:val="auto"/>
              </w:rPr>
              <w:t>PART I—FINANCIAL INFORMATION</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62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FINANCIAL STATEMENTS</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040" w:type="dxa"/>
            <w:vAlign w:val="bottom"/>
          </w:tcPr>
          <w:p>
            <w:pPr>
              <w:jc w:val="center"/>
              <w:ind w:left="210"/>
              <w:spacing w:after="0"/>
              <w:rPr>
                <w:sz w:val="20"/>
                <w:szCs w:val="20"/>
                <w:color w:val="auto"/>
              </w:rPr>
            </w:pPr>
            <w:r>
              <w:rPr>
                <w:rFonts w:ascii="Arial" w:cs="Arial" w:eastAsia="Arial" w:hAnsi="Arial"/>
                <w:sz w:val="18"/>
                <w:szCs w:val="18"/>
                <w:b w:val="1"/>
                <w:bCs w:val="1"/>
                <w:color w:val="auto"/>
              </w:rPr>
              <w:t>WESTINGHOUSE AIR BRAKE TECHNOLOGIES CORPORATION</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040" w:type="dxa"/>
            <w:vAlign w:val="bottom"/>
          </w:tcPr>
          <w:p>
            <w:pPr>
              <w:jc w:val="center"/>
              <w:ind w:left="21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96"/>
              </w:rPr>
              <w:t>Unaudited</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3"/>
                <w:szCs w:val="13"/>
                <w:color w:val="auto"/>
              </w:rPr>
            </w:pPr>
          </w:p>
        </w:tc>
        <w:tc>
          <w:tcPr>
            <w:tcW w:w="1180" w:type="dxa"/>
            <w:vAlign w:val="bottom"/>
          </w:tcPr>
          <w:p>
            <w:pPr>
              <w:jc w:val="right"/>
              <w:ind w:right="179"/>
              <w:spacing w:after="0" w:line="153" w:lineRule="exact"/>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58"/>
        </w:trPr>
        <w:tc>
          <w:tcPr>
            <w:tcW w:w="8580" w:type="dxa"/>
            <w:vAlign w:val="bottom"/>
            <w:gridSpan w:val="4"/>
          </w:tcPr>
          <w:p>
            <w:pPr>
              <w:ind w:left="40"/>
              <w:spacing w:after="0" w:line="158" w:lineRule="exact"/>
              <w:rPr>
                <w:sz w:val="20"/>
                <w:szCs w:val="20"/>
                <w:color w:val="auto"/>
              </w:rPr>
            </w:pPr>
            <w:r>
              <w:rPr>
                <w:rFonts w:ascii="Arial" w:cs="Arial" w:eastAsia="Arial" w:hAnsi="Arial"/>
                <w:sz w:val="14"/>
                <w:szCs w:val="14"/>
                <w:b w:val="1"/>
                <w:bCs w:val="1"/>
                <w:i w:val="1"/>
                <w:iCs w:val="1"/>
                <w:color w:val="auto"/>
              </w:rPr>
              <w:t>In thousands, except shares and par value</w:t>
            </w:r>
          </w:p>
        </w:tc>
        <w:tc>
          <w:tcPr>
            <w:tcW w:w="240" w:type="dxa"/>
            <w:vAlign w:val="bottom"/>
          </w:tcPr>
          <w:p>
            <w:pPr>
              <w:spacing w:after="0"/>
              <w:rPr>
                <w:sz w:val="13"/>
                <w:szCs w:val="13"/>
                <w:color w:val="auto"/>
              </w:rPr>
            </w:pPr>
          </w:p>
        </w:tc>
        <w:tc>
          <w:tcPr>
            <w:tcW w:w="1140" w:type="dxa"/>
            <w:vAlign w:val="bottom"/>
          </w:tcPr>
          <w:p>
            <w:pPr>
              <w:jc w:val="center"/>
              <w:ind w:right="160"/>
              <w:spacing w:after="0" w:line="158" w:lineRule="exact"/>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ind w:right="439"/>
              <w:spacing w:after="0" w:line="158"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9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Assets</w:t>
            </w:r>
          </w:p>
        </w:tc>
        <w:tc>
          <w:tcPr>
            <w:tcW w:w="158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1"/>
        </w:trPr>
        <w:tc>
          <w:tcPr>
            <w:tcW w:w="960" w:type="dxa"/>
            <w:vAlign w:val="bottom"/>
            <w:gridSpan w:val="2"/>
            <w:vMerge w:val="continue"/>
          </w:tcPr>
          <w:p>
            <w:pPr>
              <w:spacing w:after="0"/>
              <w:rPr>
                <w:sz w:val="20"/>
                <w:szCs w:val="20"/>
                <w:color w:val="auto"/>
              </w:rPr>
            </w:pPr>
          </w:p>
        </w:tc>
        <w:tc>
          <w:tcPr>
            <w:tcW w:w="158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580" w:type="dxa"/>
            <w:vAlign w:val="bottom"/>
            <w:gridSpan w:val="4"/>
          </w:tcPr>
          <w:p>
            <w:pPr>
              <w:ind w:left="40"/>
              <w:spacing w:after="0"/>
              <w:rPr>
                <w:sz w:val="20"/>
                <w:szCs w:val="20"/>
                <w:color w:val="auto"/>
              </w:rPr>
            </w:pPr>
            <w:r>
              <w:rPr>
                <w:rFonts w:ascii="Arial" w:cs="Arial" w:eastAsia="Arial" w:hAnsi="Arial"/>
                <w:sz w:val="16"/>
                <w:szCs w:val="16"/>
                <w:b w:val="1"/>
                <w:bCs w:val="1"/>
                <w:color w:val="auto"/>
              </w:rPr>
              <w:t>Current Assets</w:t>
            </w: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80" w:type="dxa"/>
            <w:vAlign w:val="bottom"/>
            <w:gridSpan w:val="4"/>
          </w:tcPr>
          <w:p>
            <w:pPr>
              <w:ind w:left="4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461,371</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580,908</w:t>
            </w:r>
          </w:p>
        </w:tc>
        <w:tc>
          <w:tcPr>
            <w:tcW w:w="0" w:type="dxa"/>
            <w:vAlign w:val="bottom"/>
          </w:tcPr>
          <w:p>
            <w:pPr>
              <w:spacing w:after="0"/>
              <w:rPr>
                <w:sz w:val="1"/>
                <w:szCs w:val="1"/>
                <w:color w:val="auto"/>
              </w:rPr>
            </w:pPr>
          </w:p>
        </w:tc>
      </w:tr>
      <w:tr>
        <w:trPr>
          <w:trHeight w:val="270"/>
        </w:trPr>
        <w:tc>
          <w:tcPr>
            <w:tcW w:w="8580" w:type="dxa"/>
            <w:vAlign w:val="bottom"/>
            <w:gridSpan w:val="4"/>
          </w:tcPr>
          <w:p>
            <w:pPr>
              <w:ind w:left="40"/>
              <w:spacing w:after="0"/>
              <w:rPr>
                <w:sz w:val="20"/>
                <w:szCs w:val="20"/>
                <w:color w:val="auto"/>
              </w:rPr>
            </w:pPr>
            <w:r>
              <w:rPr>
                <w:rFonts w:ascii="Arial" w:cs="Arial" w:eastAsia="Arial" w:hAnsi="Arial"/>
                <w:sz w:val="16"/>
                <w:szCs w:val="16"/>
                <w:color w:val="auto"/>
              </w:rPr>
              <w:t>Restricted cash</w:t>
            </w:r>
          </w:p>
        </w:tc>
        <w:tc>
          <w:tcPr>
            <w:tcW w:w="2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1,761,446</w:t>
            </w:r>
          </w:p>
        </w:tc>
        <w:tc>
          <w:tcPr>
            <w:tcW w:w="0" w:type="dxa"/>
            <w:vAlign w:val="bottom"/>
          </w:tcPr>
          <w:p>
            <w:pPr>
              <w:spacing w:after="0"/>
              <w:rPr>
                <w:sz w:val="1"/>
                <w:szCs w:val="1"/>
                <w:color w:val="auto"/>
              </w:rPr>
            </w:pPr>
          </w:p>
        </w:tc>
      </w:tr>
      <w:tr>
        <w:trPr>
          <w:trHeight w:val="270"/>
        </w:trPr>
        <w:tc>
          <w:tcPr>
            <w:tcW w:w="8580" w:type="dxa"/>
            <w:vAlign w:val="bottom"/>
            <w:gridSpan w:val="4"/>
          </w:tcPr>
          <w:p>
            <w:pPr>
              <w:ind w:left="40"/>
              <w:spacing w:after="0"/>
              <w:rPr>
                <w:sz w:val="20"/>
                <w:szCs w:val="20"/>
                <w:color w:val="auto"/>
              </w:rPr>
            </w:pPr>
            <w:r>
              <w:rPr>
                <w:rFonts w:ascii="Arial" w:cs="Arial" w:eastAsia="Arial" w:hAnsi="Arial"/>
                <w:sz w:val="16"/>
                <w:szCs w:val="16"/>
                <w:color w:val="auto"/>
              </w:rPr>
              <w:t>Accounts receivable</w:t>
            </w:r>
          </w:p>
        </w:tc>
        <w:tc>
          <w:tcPr>
            <w:tcW w:w="24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1,247,450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801,193</w:t>
            </w:r>
          </w:p>
        </w:tc>
        <w:tc>
          <w:tcPr>
            <w:tcW w:w="0" w:type="dxa"/>
            <w:vAlign w:val="bottom"/>
          </w:tcPr>
          <w:p>
            <w:pPr>
              <w:spacing w:after="0"/>
              <w:rPr>
                <w:sz w:val="1"/>
                <w:szCs w:val="1"/>
                <w:color w:val="auto"/>
              </w:rPr>
            </w:pPr>
          </w:p>
        </w:tc>
      </w:tr>
      <w:tr>
        <w:trPr>
          <w:trHeight w:val="270"/>
        </w:trPr>
        <w:tc>
          <w:tcPr>
            <w:tcW w:w="8580" w:type="dxa"/>
            <w:vAlign w:val="bottom"/>
            <w:gridSpan w:val="4"/>
          </w:tcPr>
          <w:p>
            <w:pPr>
              <w:ind w:left="40"/>
              <w:spacing w:after="0"/>
              <w:rPr>
                <w:sz w:val="20"/>
                <w:szCs w:val="20"/>
                <w:color w:val="auto"/>
              </w:rPr>
            </w:pPr>
            <w:r>
              <w:rPr>
                <w:rFonts w:ascii="Arial" w:cs="Arial" w:eastAsia="Arial" w:hAnsi="Arial"/>
                <w:sz w:val="16"/>
                <w:szCs w:val="16"/>
                <w:color w:val="auto"/>
              </w:rPr>
              <w:t>Unbilled accounts receivable</w:t>
            </w:r>
          </w:p>
        </w:tc>
        <w:tc>
          <w:tcPr>
            <w:tcW w:w="24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459,959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345,585</w:t>
            </w:r>
          </w:p>
        </w:tc>
        <w:tc>
          <w:tcPr>
            <w:tcW w:w="0" w:type="dxa"/>
            <w:vAlign w:val="bottom"/>
          </w:tcPr>
          <w:p>
            <w:pPr>
              <w:spacing w:after="0"/>
              <w:rPr>
                <w:sz w:val="1"/>
                <w:szCs w:val="1"/>
                <w:color w:val="auto"/>
              </w:rPr>
            </w:pPr>
          </w:p>
        </w:tc>
      </w:tr>
      <w:tr>
        <w:trPr>
          <w:trHeight w:val="270"/>
        </w:trPr>
        <w:tc>
          <w:tcPr>
            <w:tcW w:w="960" w:type="dxa"/>
            <w:vAlign w:val="bottom"/>
            <w:gridSpan w:val="2"/>
          </w:tcPr>
          <w:p>
            <w:pPr>
              <w:ind w:left="40"/>
              <w:spacing w:after="0"/>
              <w:rPr>
                <w:sz w:val="20"/>
                <w:szCs w:val="20"/>
                <w:color w:val="auto"/>
              </w:rPr>
            </w:pPr>
            <w:r>
              <w:rPr>
                <w:rFonts w:ascii="Arial" w:cs="Arial" w:eastAsia="Arial" w:hAnsi="Arial"/>
                <w:sz w:val="16"/>
                <w:szCs w:val="16"/>
                <w:color w:val="auto"/>
              </w:rPr>
              <w:t>Inventories</w:t>
            </w:r>
          </w:p>
        </w:tc>
        <w:tc>
          <w:tcPr>
            <w:tcW w:w="1580" w:type="dxa"/>
            <w:vAlign w:val="bottom"/>
          </w:tcPr>
          <w:p>
            <w:pPr>
              <w:spacing w:after="0"/>
              <w:rPr>
                <w:sz w:val="23"/>
                <w:szCs w:val="23"/>
                <w:color w:val="auto"/>
              </w:rPr>
            </w:pPr>
          </w:p>
        </w:tc>
        <w:tc>
          <w:tcPr>
            <w:tcW w:w="6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1,881,791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844,886</w:t>
            </w:r>
          </w:p>
        </w:tc>
        <w:tc>
          <w:tcPr>
            <w:tcW w:w="0" w:type="dxa"/>
            <w:vAlign w:val="bottom"/>
          </w:tcPr>
          <w:p>
            <w:pPr>
              <w:spacing w:after="0"/>
              <w:rPr>
                <w:sz w:val="1"/>
                <w:szCs w:val="1"/>
                <w:color w:val="auto"/>
              </w:rPr>
            </w:pPr>
          </w:p>
        </w:tc>
      </w:tr>
      <w:tr>
        <w:trPr>
          <w:trHeight w:val="270"/>
        </w:trPr>
        <w:tc>
          <w:tcPr>
            <w:tcW w:w="8580" w:type="dxa"/>
            <w:vAlign w:val="bottom"/>
            <w:gridSpan w:val="4"/>
          </w:tcPr>
          <w:p>
            <w:pPr>
              <w:ind w:left="40"/>
              <w:spacing w:after="0"/>
              <w:rPr>
                <w:sz w:val="20"/>
                <w:szCs w:val="20"/>
                <w:color w:val="auto"/>
              </w:rPr>
            </w:pPr>
            <w:r>
              <w:rPr>
                <w:rFonts w:ascii="Arial" w:cs="Arial" w:eastAsia="Arial" w:hAnsi="Arial"/>
                <w:sz w:val="16"/>
                <w:szCs w:val="16"/>
                <w:color w:val="auto"/>
              </w:rPr>
              <w:t>Other current assets</w:t>
            </w:r>
          </w:p>
        </w:tc>
        <w:tc>
          <w:tcPr>
            <w:tcW w:w="24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178,569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115,649</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500" w:type="dxa"/>
            <w:vAlign w:val="bottom"/>
            <w:gridSpan w:val="2"/>
          </w:tcPr>
          <w:p>
            <w:pPr>
              <w:spacing w:after="0"/>
              <w:rPr>
                <w:sz w:val="2"/>
                <w:szCs w:val="2"/>
                <w:color w:val="auto"/>
              </w:rPr>
            </w:pPr>
          </w:p>
        </w:tc>
        <w:tc>
          <w:tcPr>
            <w:tcW w:w="6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580" w:type="dxa"/>
            <w:vAlign w:val="bottom"/>
            <w:gridSpan w:val="4"/>
          </w:tcPr>
          <w:p>
            <w:pPr>
              <w:ind w:left="40"/>
              <w:spacing w:after="0"/>
              <w:rPr>
                <w:sz w:val="20"/>
                <w:szCs w:val="20"/>
                <w:color w:val="auto"/>
              </w:rPr>
            </w:pPr>
            <w:r>
              <w:rPr>
                <w:rFonts w:ascii="Arial" w:cs="Arial" w:eastAsia="Arial" w:hAnsi="Arial"/>
                <w:sz w:val="16"/>
                <w:szCs w:val="16"/>
                <w:color w:val="auto"/>
              </w:rPr>
              <w:t>Total current assets</w:t>
            </w:r>
          </w:p>
        </w:tc>
        <w:tc>
          <w:tcPr>
            <w:tcW w:w="24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4,229,140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4,449,667</w:t>
            </w:r>
          </w:p>
        </w:tc>
        <w:tc>
          <w:tcPr>
            <w:tcW w:w="0" w:type="dxa"/>
            <w:vAlign w:val="bottom"/>
          </w:tcPr>
          <w:p>
            <w:pPr>
              <w:spacing w:after="0"/>
              <w:rPr>
                <w:sz w:val="1"/>
                <w:szCs w:val="1"/>
                <w:color w:val="auto"/>
              </w:rPr>
            </w:pPr>
          </w:p>
        </w:tc>
      </w:tr>
      <w:tr>
        <w:trPr>
          <w:trHeight w:val="270"/>
        </w:trPr>
        <w:tc>
          <w:tcPr>
            <w:tcW w:w="8580" w:type="dxa"/>
            <w:vAlign w:val="bottom"/>
            <w:gridSpan w:val="4"/>
          </w:tcPr>
          <w:p>
            <w:pPr>
              <w:ind w:left="40"/>
              <w:spacing w:after="0"/>
              <w:rPr>
                <w:sz w:val="20"/>
                <w:szCs w:val="20"/>
                <w:color w:val="auto"/>
              </w:rPr>
            </w:pPr>
            <w:r>
              <w:rPr>
                <w:rFonts w:ascii="Arial" w:cs="Arial" w:eastAsia="Arial" w:hAnsi="Arial"/>
                <w:sz w:val="16"/>
                <w:szCs w:val="16"/>
                <w:color w:val="auto"/>
              </w:rPr>
              <w:t>Property, plant and equipment</w:t>
            </w:r>
          </w:p>
        </w:tc>
        <w:tc>
          <w:tcPr>
            <w:tcW w:w="24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2,170,618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1,036,550</w:t>
            </w:r>
          </w:p>
        </w:tc>
        <w:tc>
          <w:tcPr>
            <w:tcW w:w="0" w:type="dxa"/>
            <w:vAlign w:val="bottom"/>
          </w:tcPr>
          <w:p>
            <w:pPr>
              <w:spacing w:after="0"/>
              <w:rPr>
                <w:sz w:val="1"/>
                <w:szCs w:val="1"/>
                <w:color w:val="auto"/>
              </w:rPr>
            </w:pPr>
          </w:p>
        </w:tc>
      </w:tr>
      <w:tr>
        <w:trPr>
          <w:trHeight w:val="270"/>
        </w:trPr>
        <w:tc>
          <w:tcPr>
            <w:tcW w:w="8580" w:type="dxa"/>
            <w:vAlign w:val="bottom"/>
            <w:gridSpan w:val="4"/>
          </w:tcPr>
          <w:p>
            <w:pPr>
              <w:ind w:left="40"/>
              <w:spacing w:after="0"/>
              <w:rPr>
                <w:sz w:val="20"/>
                <w:szCs w:val="20"/>
                <w:color w:val="auto"/>
              </w:rPr>
            </w:pPr>
            <w:r>
              <w:rPr>
                <w:rFonts w:ascii="Arial" w:cs="Arial" w:eastAsia="Arial" w:hAnsi="Arial"/>
                <w:sz w:val="16"/>
                <w:szCs w:val="16"/>
                <w:color w:val="auto"/>
              </w:rPr>
              <w:t>Accumulated depreciation</w:t>
            </w: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(524,521)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(472,813)</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500" w:type="dxa"/>
            <w:vAlign w:val="bottom"/>
            <w:gridSpan w:val="2"/>
          </w:tcPr>
          <w:p>
            <w:pPr>
              <w:spacing w:after="0"/>
              <w:rPr>
                <w:sz w:val="2"/>
                <w:szCs w:val="2"/>
                <w:color w:val="auto"/>
              </w:rPr>
            </w:pPr>
          </w:p>
        </w:tc>
        <w:tc>
          <w:tcPr>
            <w:tcW w:w="6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580" w:type="dxa"/>
            <w:vAlign w:val="bottom"/>
            <w:gridSpan w:val="4"/>
          </w:tcPr>
          <w:p>
            <w:pPr>
              <w:ind w:left="40"/>
              <w:spacing w:after="0"/>
              <w:rPr>
                <w:sz w:val="20"/>
                <w:szCs w:val="20"/>
                <w:color w:val="auto"/>
              </w:rPr>
            </w:pPr>
            <w:r>
              <w:rPr>
                <w:rFonts w:ascii="Arial" w:cs="Arial" w:eastAsia="Arial" w:hAnsi="Arial"/>
                <w:sz w:val="16"/>
                <w:szCs w:val="16"/>
                <w:color w:val="auto"/>
              </w:rPr>
              <w:t>Property, plant and equipment, net</w:t>
            </w:r>
          </w:p>
        </w:tc>
        <w:tc>
          <w:tcPr>
            <w:tcW w:w="24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1,646,097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563,737</w:t>
            </w:r>
          </w:p>
        </w:tc>
        <w:tc>
          <w:tcPr>
            <w:tcW w:w="0" w:type="dxa"/>
            <w:vAlign w:val="bottom"/>
          </w:tcPr>
          <w:p>
            <w:pPr>
              <w:spacing w:after="0"/>
              <w:rPr>
                <w:sz w:val="1"/>
                <w:szCs w:val="1"/>
                <w:color w:val="auto"/>
              </w:rPr>
            </w:pPr>
          </w:p>
        </w:tc>
      </w:tr>
      <w:tr>
        <w:trPr>
          <w:trHeight w:val="270"/>
        </w:trPr>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w w:val="90"/>
              </w:rPr>
              <w:t>Other Assets</w:t>
            </w:r>
          </w:p>
        </w:tc>
        <w:tc>
          <w:tcPr>
            <w:tcW w:w="1580" w:type="dxa"/>
            <w:vAlign w:val="bottom"/>
          </w:tcPr>
          <w:p>
            <w:pPr>
              <w:spacing w:after="0"/>
              <w:rPr>
                <w:sz w:val="23"/>
                <w:szCs w:val="23"/>
                <w:color w:val="auto"/>
              </w:rPr>
            </w:pPr>
          </w:p>
        </w:tc>
        <w:tc>
          <w:tcPr>
            <w:tcW w:w="6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60" w:type="dxa"/>
            <w:vAlign w:val="bottom"/>
            <w:gridSpan w:val="2"/>
          </w:tcPr>
          <w:p>
            <w:pPr>
              <w:ind w:left="40"/>
              <w:spacing w:after="0"/>
              <w:rPr>
                <w:sz w:val="20"/>
                <w:szCs w:val="20"/>
                <w:color w:val="auto"/>
              </w:rPr>
            </w:pPr>
            <w:r>
              <w:rPr>
                <w:rFonts w:ascii="Arial" w:cs="Arial" w:eastAsia="Arial" w:hAnsi="Arial"/>
                <w:sz w:val="16"/>
                <w:szCs w:val="16"/>
                <w:color w:val="auto"/>
              </w:rPr>
              <w:t>Goodwill</w:t>
            </w:r>
          </w:p>
        </w:tc>
        <w:tc>
          <w:tcPr>
            <w:tcW w:w="1580" w:type="dxa"/>
            <w:vAlign w:val="bottom"/>
          </w:tcPr>
          <w:p>
            <w:pPr>
              <w:spacing w:after="0"/>
              <w:rPr>
                <w:sz w:val="23"/>
                <w:szCs w:val="23"/>
                <w:color w:val="auto"/>
              </w:rPr>
            </w:pPr>
          </w:p>
        </w:tc>
        <w:tc>
          <w:tcPr>
            <w:tcW w:w="6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8,150,671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2,396,544</w:t>
            </w:r>
          </w:p>
        </w:tc>
        <w:tc>
          <w:tcPr>
            <w:tcW w:w="0" w:type="dxa"/>
            <w:vAlign w:val="bottom"/>
          </w:tcPr>
          <w:p>
            <w:pPr>
              <w:spacing w:after="0"/>
              <w:rPr>
                <w:sz w:val="1"/>
                <w:szCs w:val="1"/>
                <w:color w:val="auto"/>
              </w:rPr>
            </w:pPr>
          </w:p>
        </w:tc>
      </w:tr>
      <w:tr>
        <w:trPr>
          <w:trHeight w:val="270"/>
        </w:trPr>
        <w:tc>
          <w:tcPr>
            <w:tcW w:w="8580" w:type="dxa"/>
            <w:vAlign w:val="bottom"/>
            <w:gridSpan w:val="4"/>
          </w:tcPr>
          <w:p>
            <w:pPr>
              <w:ind w:left="40"/>
              <w:spacing w:after="0"/>
              <w:rPr>
                <w:sz w:val="20"/>
                <w:szCs w:val="20"/>
                <w:color w:val="auto"/>
              </w:rPr>
            </w:pPr>
            <w:r>
              <w:rPr>
                <w:rFonts w:ascii="Arial" w:cs="Arial" w:eastAsia="Arial" w:hAnsi="Arial"/>
                <w:sz w:val="16"/>
                <w:szCs w:val="16"/>
                <w:color w:val="auto"/>
              </w:rPr>
              <w:t>Other intangibles, net</w:t>
            </w:r>
          </w:p>
        </w:tc>
        <w:tc>
          <w:tcPr>
            <w:tcW w:w="24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4,364,356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1,129,880</w:t>
            </w:r>
          </w:p>
        </w:tc>
        <w:tc>
          <w:tcPr>
            <w:tcW w:w="0" w:type="dxa"/>
            <w:vAlign w:val="bottom"/>
          </w:tcPr>
          <w:p>
            <w:pPr>
              <w:spacing w:after="0"/>
              <w:rPr>
                <w:sz w:val="1"/>
                <w:szCs w:val="1"/>
                <w:color w:val="auto"/>
              </w:rPr>
            </w:pPr>
          </w:p>
        </w:tc>
      </w:tr>
      <w:tr>
        <w:trPr>
          <w:trHeight w:val="270"/>
        </w:trPr>
        <w:tc>
          <w:tcPr>
            <w:tcW w:w="8580" w:type="dxa"/>
            <w:vAlign w:val="bottom"/>
            <w:gridSpan w:val="4"/>
          </w:tcPr>
          <w:p>
            <w:pPr>
              <w:ind w:left="40"/>
              <w:spacing w:after="0"/>
              <w:rPr>
                <w:sz w:val="20"/>
                <w:szCs w:val="20"/>
                <w:color w:val="auto"/>
              </w:rPr>
            </w:pPr>
            <w:r>
              <w:rPr>
                <w:rFonts w:ascii="Arial" w:cs="Arial" w:eastAsia="Arial" w:hAnsi="Arial"/>
                <w:sz w:val="16"/>
                <w:szCs w:val="16"/>
                <w:color w:val="auto"/>
              </w:rPr>
              <w:t>Other noncurrent assets</w:t>
            </w:r>
          </w:p>
        </w:tc>
        <w:tc>
          <w:tcPr>
            <w:tcW w:w="24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552,329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109,406</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500" w:type="dxa"/>
            <w:vAlign w:val="bottom"/>
            <w:gridSpan w:val="2"/>
          </w:tcPr>
          <w:p>
            <w:pPr>
              <w:spacing w:after="0"/>
              <w:rPr>
                <w:sz w:val="2"/>
                <w:szCs w:val="2"/>
                <w:color w:val="auto"/>
              </w:rPr>
            </w:pPr>
          </w:p>
        </w:tc>
        <w:tc>
          <w:tcPr>
            <w:tcW w:w="6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8540" w:type="dxa"/>
            <w:vAlign w:val="bottom"/>
            <w:gridSpan w:val="3"/>
          </w:tcPr>
          <w:p>
            <w:pPr>
              <w:ind w:left="240"/>
              <w:spacing w:after="0"/>
              <w:rPr>
                <w:sz w:val="20"/>
                <w:szCs w:val="20"/>
                <w:color w:val="auto"/>
              </w:rPr>
            </w:pPr>
            <w:r>
              <w:rPr>
                <w:rFonts w:ascii="Arial" w:cs="Arial" w:eastAsia="Arial" w:hAnsi="Arial"/>
                <w:sz w:val="16"/>
                <w:szCs w:val="16"/>
                <w:color w:val="auto"/>
              </w:rPr>
              <w:t>Total other assets</w:t>
            </w:r>
          </w:p>
        </w:tc>
        <w:tc>
          <w:tcPr>
            <w:tcW w:w="24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13,067,356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3,635,830</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500" w:type="dxa"/>
            <w:vAlign w:val="bottom"/>
            <w:gridSpan w:val="2"/>
          </w:tcPr>
          <w:p>
            <w:pPr>
              <w:spacing w:after="0"/>
              <w:rPr>
                <w:sz w:val="2"/>
                <w:szCs w:val="2"/>
                <w:color w:val="auto"/>
              </w:rPr>
            </w:pPr>
          </w:p>
        </w:tc>
        <w:tc>
          <w:tcPr>
            <w:tcW w:w="6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8540" w:type="dxa"/>
            <w:vAlign w:val="bottom"/>
            <w:gridSpan w:val="3"/>
          </w:tcPr>
          <w:p>
            <w:pPr>
              <w:ind w:left="48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18,942,593</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8,649,234</w:t>
            </w:r>
          </w:p>
        </w:tc>
        <w:tc>
          <w:tcPr>
            <w:tcW w:w="0" w:type="dxa"/>
            <w:vAlign w:val="bottom"/>
          </w:tcPr>
          <w:p>
            <w:pPr>
              <w:spacing w:after="0"/>
              <w:rPr>
                <w:sz w:val="1"/>
                <w:szCs w:val="1"/>
                <w:color w:val="auto"/>
              </w:rPr>
            </w:pPr>
          </w:p>
        </w:tc>
      </w:tr>
      <w:tr>
        <w:trPr>
          <w:trHeight w:val="20"/>
        </w:trPr>
        <w:tc>
          <w:tcPr>
            <w:tcW w:w="8580" w:type="dxa"/>
            <w:vAlign w:val="bottom"/>
            <w:gridSpan w:val="4"/>
            <w:vMerge w:val="restart"/>
          </w:tcPr>
          <w:p>
            <w:pPr>
              <w:ind w:left="40"/>
              <w:spacing w:after="0"/>
              <w:rPr>
                <w:sz w:val="20"/>
                <w:szCs w:val="20"/>
                <w:color w:val="auto"/>
              </w:rPr>
            </w:pPr>
            <w:r>
              <w:rPr>
                <w:rFonts w:ascii="Arial" w:cs="Arial" w:eastAsia="Arial" w:hAnsi="Arial"/>
                <w:sz w:val="16"/>
                <w:szCs w:val="16"/>
                <w:b w:val="1"/>
                <w:bCs w:val="1"/>
                <w:color w:val="auto"/>
              </w:rPr>
              <w:t>Liabilities and Shareholders’ Equity</w:t>
            </w: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8580" w:type="dxa"/>
            <w:vAlign w:val="bottom"/>
            <w:gridSpan w:val="4"/>
            <w:vMerge w:val="continue"/>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580" w:type="dxa"/>
            <w:vAlign w:val="bottom"/>
            <w:gridSpan w:val="4"/>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80" w:type="dxa"/>
            <w:vAlign w:val="bottom"/>
            <w:gridSpan w:val="4"/>
          </w:tcPr>
          <w:p>
            <w:pPr>
              <w:ind w:left="40"/>
              <w:spacing w:after="0"/>
              <w:rPr>
                <w:sz w:val="20"/>
                <w:szCs w:val="20"/>
                <w:color w:val="auto"/>
              </w:rPr>
            </w:pPr>
            <w:r>
              <w:rPr>
                <w:rFonts w:ascii="Arial" w:cs="Arial" w:eastAsia="Arial" w:hAnsi="Arial"/>
                <w:sz w:val="16"/>
                <w:szCs w:val="16"/>
                <w:color w:val="auto"/>
              </w:rPr>
              <w:t>Accounts payable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1,232,597</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589,449</w:t>
            </w:r>
          </w:p>
        </w:tc>
        <w:tc>
          <w:tcPr>
            <w:tcW w:w="0" w:type="dxa"/>
            <w:vAlign w:val="bottom"/>
          </w:tcPr>
          <w:p>
            <w:pPr>
              <w:spacing w:after="0"/>
              <w:rPr>
                <w:sz w:val="1"/>
                <w:szCs w:val="1"/>
                <w:color w:val="auto"/>
              </w:rPr>
            </w:pPr>
          </w:p>
        </w:tc>
      </w:tr>
      <w:tr>
        <w:trPr>
          <w:trHeight w:val="270"/>
        </w:trPr>
        <w:tc>
          <w:tcPr>
            <w:tcW w:w="8580" w:type="dxa"/>
            <w:vAlign w:val="bottom"/>
            <w:gridSpan w:val="4"/>
          </w:tcPr>
          <w:p>
            <w:pPr>
              <w:ind w:left="40"/>
              <w:spacing w:after="0"/>
              <w:rPr>
                <w:sz w:val="20"/>
                <w:szCs w:val="20"/>
                <w:color w:val="auto"/>
              </w:rPr>
            </w:pPr>
            <w:r>
              <w:rPr>
                <w:rFonts w:ascii="Arial" w:cs="Arial" w:eastAsia="Arial" w:hAnsi="Arial"/>
                <w:sz w:val="16"/>
                <w:szCs w:val="16"/>
                <w:color w:val="auto"/>
              </w:rPr>
              <w:t>Customer deposits</w:t>
            </w:r>
          </w:p>
        </w:tc>
        <w:tc>
          <w:tcPr>
            <w:tcW w:w="24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648,503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373,538</w:t>
            </w:r>
          </w:p>
        </w:tc>
        <w:tc>
          <w:tcPr>
            <w:tcW w:w="0" w:type="dxa"/>
            <w:vAlign w:val="bottom"/>
          </w:tcPr>
          <w:p>
            <w:pPr>
              <w:spacing w:after="0"/>
              <w:rPr>
                <w:sz w:val="1"/>
                <w:szCs w:val="1"/>
                <w:color w:val="auto"/>
              </w:rPr>
            </w:pPr>
          </w:p>
        </w:tc>
      </w:tr>
      <w:tr>
        <w:trPr>
          <w:trHeight w:val="270"/>
        </w:trPr>
        <w:tc>
          <w:tcPr>
            <w:tcW w:w="8580" w:type="dxa"/>
            <w:vAlign w:val="bottom"/>
            <w:gridSpan w:val="4"/>
          </w:tcPr>
          <w:p>
            <w:pPr>
              <w:ind w:left="40"/>
              <w:spacing w:after="0"/>
              <w:rPr>
                <w:sz w:val="20"/>
                <w:szCs w:val="20"/>
                <w:color w:val="auto"/>
              </w:rPr>
            </w:pPr>
            <w:r>
              <w:rPr>
                <w:rFonts w:ascii="Arial" w:cs="Arial" w:eastAsia="Arial" w:hAnsi="Arial"/>
                <w:sz w:val="16"/>
                <w:szCs w:val="16"/>
                <w:color w:val="auto"/>
              </w:rPr>
              <w:t>Accrued compensation</w:t>
            </w:r>
          </w:p>
        </w:tc>
        <w:tc>
          <w:tcPr>
            <w:tcW w:w="24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287,873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173,183</w:t>
            </w:r>
          </w:p>
        </w:tc>
        <w:tc>
          <w:tcPr>
            <w:tcW w:w="0" w:type="dxa"/>
            <w:vAlign w:val="bottom"/>
          </w:tcPr>
          <w:p>
            <w:pPr>
              <w:spacing w:after="0"/>
              <w:rPr>
                <w:sz w:val="1"/>
                <w:szCs w:val="1"/>
                <w:color w:val="auto"/>
              </w:rPr>
            </w:pPr>
          </w:p>
        </w:tc>
      </w:tr>
      <w:tr>
        <w:trPr>
          <w:trHeight w:val="270"/>
        </w:trPr>
        <w:tc>
          <w:tcPr>
            <w:tcW w:w="8580" w:type="dxa"/>
            <w:vAlign w:val="bottom"/>
            <w:gridSpan w:val="4"/>
          </w:tcPr>
          <w:p>
            <w:pPr>
              <w:ind w:left="40"/>
              <w:spacing w:after="0"/>
              <w:rPr>
                <w:sz w:val="20"/>
                <w:szCs w:val="20"/>
                <w:color w:val="auto"/>
              </w:rPr>
            </w:pPr>
            <w:r>
              <w:rPr>
                <w:rFonts w:ascii="Arial" w:cs="Arial" w:eastAsia="Arial" w:hAnsi="Arial"/>
                <w:sz w:val="16"/>
                <w:szCs w:val="16"/>
                <w:color w:val="auto"/>
              </w:rPr>
              <w:t>Accrued warranty</w:t>
            </w:r>
          </w:p>
        </w:tc>
        <w:tc>
          <w:tcPr>
            <w:tcW w:w="24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223,764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135,636</w:t>
            </w:r>
          </w:p>
        </w:tc>
        <w:tc>
          <w:tcPr>
            <w:tcW w:w="0" w:type="dxa"/>
            <w:vAlign w:val="bottom"/>
          </w:tcPr>
          <w:p>
            <w:pPr>
              <w:spacing w:after="0"/>
              <w:rPr>
                <w:sz w:val="1"/>
                <w:szCs w:val="1"/>
                <w:color w:val="auto"/>
              </w:rPr>
            </w:pPr>
          </w:p>
        </w:tc>
      </w:tr>
      <w:tr>
        <w:trPr>
          <w:trHeight w:val="270"/>
        </w:trPr>
        <w:tc>
          <w:tcPr>
            <w:tcW w:w="8580" w:type="dxa"/>
            <w:vAlign w:val="bottom"/>
            <w:gridSpan w:val="4"/>
          </w:tcPr>
          <w:p>
            <w:pPr>
              <w:ind w:left="40"/>
              <w:spacing w:after="0"/>
              <w:rPr>
                <w:sz w:val="20"/>
                <w:szCs w:val="20"/>
                <w:color w:val="auto"/>
              </w:rPr>
            </w:pPr>
            <w:r>
              <w:rPr>
                <w:rFonts w:ascii="Arial" w:cs="Arial" w:eastAsia="Arial" w:hAnsi="Arial"/>
                <w:sz w:val="16"/>
                <w:szCs w:val="16"/>
                <w:color w:val="auto"/>
              </w:rPr>
              <w:t>Current portion of long-term debt</w:t>
            </w:r>
          </w:p>
        </w:tc>
        <w:tc>
          <w:tcPr>
            <w:tcW w:w="24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104,413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64,099</w:t>
            </w:r>
          </w:p>
        </w:tc>
        <w:tc>
          <w:tcPr>
            <w:tcW w:w="0" w:type="dxa"/>
            <w:vAlign w:val="bottom"/>
          </w:tcPr>
          <w:p>
            <w:pPr>
              <w:spacing w:after="0"/>
              <w:rPr>
                <w:sz w:val="1"/>
                <w:szCs w:val="1"/>
                <w:color w:val="auto"/>
              </w:rPr>
            </w:pPr>
          </w:p>
        </w:tc>
      </w:tr>
      <w:tr>
        <w:trPr>
          <w:trHeight w:val="270"/>
        </w:trPr>
        <w:tc>
          <w:tcPr>
            <w:tcW w:w="8580" w:type="dxa"/>
            <w:vAlign w:val="bottom"/>
            <w:gridSpan w:val="4"/>
          </w:tcPr>
          <w:p>
            <w:pPr>
              <w:ind w:left="40"/>
              <w:spacing w:after="0"/>
              <w:rPr>
                <w:sz w:val="20"/>
                <w:szCs w:val="20"/>
                <w:color w:val="auto"/>
              </w:rPr>
            </w:pPr>
            <w:r>
              <w:rPr>
                <w:rFonts w:ascii="Arial" w:cs="Arial" w:eastAsia="Arial" w:hAnsi="Arial"/>
                <w:sz w:val="16"/>
                <w:szCs w:val="16"/>
                <w:color w:val="auto"/>
              </w:rPr>
              <w:t>Other accrued liabilities</w:t>
            </w:r>
          </w:p>
        </w:tc>
        <w:tc>
          <w:tcPr>
            <w:tcW w:w="24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714,165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310,785</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500" w:type="dxa"/>
            <w:vAlign w:val="bottom"/>
            <w:gridSpan w:val="2"/>
          </w:tcPr>
          <w:p>
            <w:pPr>
              <w:spacing w:after="0"/>
              <w:rPr>
                <w:sz w:val="2"/>
                <w:szCs w:val="2"/>
                <w:color w:val="auto"/>
              </w:rPr>
            </w:pPr>
          </w:p>
        </w:tc>
        <w:tc>
          <w:tcPr>
            <w:tcW w:w="6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8540" w:type="dxa"/>
            <w:vAlign w:val="bottom"/>
            <w:gridSpan w:val="3"/>
          </w:tcPr>
          <w:p>
            <w:pPr>
              <w:ind w:left="240"/>
              <w:spacing w:after="0"/>
              <w:rPr>
                <w:sz w:val="20"/>
                <w:szCs w:val="20"/>
                <w:color w:val="auto"/>
              </w:rPr>
            </w:pPr>
            <w:r>
              <w:rPr>
                <w:rFonts w:ascii="Arial" w:cs="Arial" w:eastAsia="Arial" w:hAnsi="Arial"/>
                <w:sz w:val="16"/>
                <w:szCs w:val="16"/>
                <w:color w:val="auto"/>
              </w:rPr>
              <w:t>Total current liabilities</w:t>
            </w:r>
          </w:p>
        </w:tc>
        <w:tc>
          <w:tcPr>
            <w:tcW w:w="24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3,211,315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1,646,690</w:t>
            </w:r>
          </w:p>
        </w:tc>
        <w:tc>
          <w:tcPr>
            <w:tcW w:w="0" w:type="dxa"/>
            <w:vAlign w:val="bottom"/>
          </w:tcPr>
          <w:p>
            <w:pPr>
              <w:spacing w:after="0"/>
              <w:rPr>
                <w:sz w:val="1"/>
                <w:szCs w:val="1"/>
                <w:color w:val="auto"/>
              </w:rPr>
            </w:pPr>
          </w:p>
        </w:tc>
      </w:tr>
      <w:tr>
        <w:trPr>
          <w:trHeight w:val="270"/>
        </w:trPr>
        <w:tc>
          <w:tcPr>
            <w:tcW w:w="8580" w:type="dxa"/>
            <w:vAlign w:val="bottom"/>
            <w:gridSpan w:val="4"/>
          </w:tcPr>
          <w:p>
            <w:pPr>
              <w:ind w:left="40"/>
              <w:spacing w:after="0"/>
              <w:rPr>
                <w:sz w:val="20"/>
                <w:szCs w:val="20"/>
                <w:color w:val="auto"/>
              </w:rPr>
            </w:pPr>
            <w:r>
              <w:rPr>
                <w:rFonts w:ascii="Arial" w:cs="Arial" w:eastAsia="Arial" w:hAnsi="Arial"/>
                <w:sz w:val="16"/>
                <w:szCs w:val="16"/>
                <w:color w:val="auto"/>
              </w:rPr>
              <w:t>Long-term debt</w:t>
            </w:r>
          </w:p>
        </w:tc>
        <w:tc>
          <w:tcPr>
            <w:tcW w:w="24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4,528,768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3,792,774</w:t>
            </w:r>
          </w:p>
        </w:tc>
        <w:tc>
          <w:tcPr>
            <w:tcW w:w="0" w:type="dxa"/>
            <w:vAlign w:val="bottom"/>
          </w:tcPr>
          <w:p>
            <w:pPr>
              <w:spacing w:after="0"/>
              <w:rPr>
                <w:sz w:val="1"/>
                <w:szCs w:val="1"/>
                <w:color w:val="auto"/>
              </w:rPr>
            </w:pPr>
          </w:p>
        </w:tc>
      </w:tr>
      <w:tr>
        <w:trPr>
          <w:trHeight w:val="270"/>
        </w:trPr>
        <w:tc>
          <w:tcPr>
            <w:tcW w:w="8580" w:type="dxa"/>
            <w:vAlign w:val="bottom"/>
            <w:gridSpan w:val="4"/>
          </w:tcPr>
          <w:p>
            <w:pPr>
              <w:ind w:left="40"/>
              <w:spacing w:after="0"/>
              <w:rPr>
                <w:sz w:val="20"/>
                <w:szCs w:val="20"/>
                <w:color w:val="auto"/>
              </w:rPr>
            </w:pPr>
            <w:r>
              <w:rPr>
                <w:rFonts w:ascii="Arial" w:cs="Arial" w:eastAsia="Arial" w:hAnsi="Arial"/>
                <w:sz w:val="16"/>
                <w:szCs w:val="16"/>
                <w:color w:val="auto"/>
              </w:rPr>
              <w:t>Accrued postretirement and pension benefits</w:t>
            </w:r>
          </w:p>
        </w:tc>
        <w:tc>
          <w:tcPr>
            <w:tcW w:w="24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95,625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95,446</w:t>
            </w:r>
          </w:p>
        </w:tc>
        <w:tc>
          <w:tcPr>
            <w:tcW w:w="0" w:type="dxa"/>
            <w:vAlign w:val="bottom"/>
          </w:tcPr>
          <w:p>
            <w:pPr>
              <w:spacing w:after="0"/>
              <w:rPr>
                <w:sz w:val="1"/>
                <w:szCs w:val="1"/>
                <w:color w:val="auto"/>
              </w:rPr>
            </w:pPr>
          </w:p>
        </w:tc>
      </w:tr>
      <w:tr>
        <w:trPr>
          <w:trHeight w:val="270"/>
        </w:trPr>
        <w:tc>
          <w:tcPr>
            <w:tcW w:w="8580" w:type="dxa"/>
            <w:vAlign w:val="bottom"/>
            <w:gridSpan w:val="4"/>
          </w:tcPr>
          <w:p>
            <w:pPr>
              <w:ind w:left="40"/>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169,861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198,269</w:t>
            </w:r>
          </w:p>
        </w:tc>
        <w:tc>
          <w:tcPr>
            <w:tcW w:w="0" w:type="dxa"/>
            <w:vAlign w:val="bottom"/>
          </w:tcPr>
          <w:p>
            <w:pPr>
              <w:spacing w:after="0"/>
              <w:rPr>
                <w:sz w:val="1"/>
                <w:szCs w:val="1"/>
                <w:color w:val="auto"/>
              </w:rPr>
            </w:pPr>
          </w:p>
        </w:tc>
      </w:tr>
      <w:tr>
        <w:trPr>
          <w:trHeight w:val="270"/>
        </w:trPr>
        <w:tc>
          <w:tcPr>
            <w:tcW w:w="8580" w:type="dxa"/>
            <w:vAlign w:val="bottom"/>
            <w:gridSpan w:val="4"/>
          </w:tcPr>
          <w:p>
            <w:pPr>
              <w:ind w:left="40"/>
              <w:spacing w:after="0"/>
              <w:rPr>
                <w:sz w:val="20"/>
                <w:szCs w:val="20"/>
                <w:color w:val="auto"/>
              </w:rPr>
            </w:pPr>
            <w:r>
              <w:rPr>
                <w:rFonts w:ascii="Arial" w:cs="Arial" w:eastAsia="Arial" w:hAnsi="Arial"/>
                <w:sz w:val="16"/>
                <w:szCs w:val="16"/>
                <w:color w:val="auto"/>
              </w:rPr>
              <w:t>Accrued warranty</w:t>
            </w:r>
          </w:p>
        </w:tc>
        <w:tc>
          <w:tcPr>
            <w:tcW w:w="24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32,252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18,066</w:t>
            </w:r>
          </w:p>
        </w:tc>
        <w:tc>
          <w:tcPr>
            <w:tcW w:w="0" w:type="dxa"/>
            <w:vAlign w:val="bottom"/>
          </w:tcPr>
          <w:p>
            <w:pPr>
              <w:spacing w:after="0"/>
              <w:rPr>
                <w:sz w:val="1"/>
                <w:szCs w:val="1"/>
                <w:color w:val="auto"/>
              </w:rPr>
            </w:pPr>
          </w:p>
        </w:tc>
      </w:tr>
      <w:tr>
        <w:trPr>
          <w:trHeight w:val="270"/>
        </w:trPr>
        <w:tc>
          <w:tcPr>
            <w:tcW w:w="8580" w:type="dxa"/>
            <w:vAlign w:val="bottom"/>
            <w:gridSpan w:val="4"/>
          </w:tcPr>
          <w:p>
            <w:pPr>
              <w:ind w:left="40"/>
              <w:spacing w:after="0"/>
              <w:rPr>
                <w:sz w:val="20"/>
                <w:szCs w:val="20"/>
                <w:color w:val="auto"/>
              </w:rPr>
            </w:pPr>
            <w:r>
              <w:rPr>
                <w:rFonts w:ascii="Arial" w:cs="Arial" w:eastAsia="Arial" w:hAnsi="Arial"/>
                <w:sz w:val="16"/>
                <w:szCs w:val="16"/>
                <w:color w:val="auto"/>
              </w:rPr>
              <w:t>Other long-term liabilities</w:t>
            </w:r>
          </w:p>
        </w:tc>
        <w:tc>
          <w:tcPr>
            <w:tcW w:w="24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1,069,615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28,914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500" w:type="dxa"/>
            <w:vAlign w:val="bottom"/>
            <w:gridSpan w:val="2"/>
          </w:tcPr>
          <w:p>
            <w:pPr>
              <w:spacing w:after="0"/>
              <w:rPr>
                <w:sz w:val="2"/>
                <w:szCs w:val="2"/>
                <w:color w:val="auto"/>
              </w:rPr>
            </w:pPr>
          </w:p>
        </w:tc>
        <w:tc>
          <w:tcPr>
            <w:tcW w:w="6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8540" w:type="dxa"/>
            <w:vAlign w:val="bottom"/>
            <w:gridSpan w:val="3"/>
          </w:tcPr>
          <w:p>
            <w:pPr>
              <w:ind w:left="480"/>
              <w:spacing w:after="0"/>
              <w:rPr>
                <w:sz w:val="20"/>
                <w:szCs w:val="20"/>
                <w:color w:val="auto"/>
              </w:rPr>
            </w:pPr>
            <w:r>
              <w:rPr>
                <w:rFonts w:ascii="Arial" w:cs="Arial" w:eastAsia="Arial" w:hAnsi="Arial"/>
                <w:sz w:val="16"/>
                <w:szCs w:val="16"/>
                <w:color w:val="auto"/>
              </w:rPr>
              <w:t>Total Liabilities</w:t>
            </w:r>
          </w:p>
        </w:tc>
        <w:tc>
          <w:tcPr>
            <w:tcW w:w="24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9,107,436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5,780,159</w:t>
            </w:r>
          </w:p>
        </w:tc>
        <w:tc>
          <w:tcPr>
            <w:tcW w:w="0" w:type="dxa"/>
            <w:vAlign w:val="bottom"/>
          </w:tcPr>
          <w:p>
            <w:pPr>
              <w:spacing w:after="0"/>
              <w:rPr>
                <w:sz w:val="1"/>
                <w:szCs w:val="1"/>
                <w:color w:val="auto"/>
              </w:rPr>
            </w:pPr>
          </w:p>
        </w:tc>
      </w:tr>
      <w:tr>
        <w:trPr>
          <w:trHeight w:val="270"/>
        </w:trPr>
        <w:tc>
          <w:tcPr>
            <w:tcW w:w="8580" w:type="dxa"/>
            <w:vAlign w:val="bottom"/>
            <w:gridSpan w:val="4"/>
          </w:tcPr>
          <w:p>
            <w:pPr>
              <w:ind w:left="40"/>
              <w:spacing w:after="0"/>
              <w:rPr>
                <w:sz w:val="20"/>
                <w:szCs w:val="20"/>
                <w:color w:val="auto"/>
              </w:rPr>
            </w:pPr>
            <w:r>
              <w:rPr>
                <w:rFonts w:ascii="Arial" w:cs="Arial" w:eastAsia="Arial" w:hAnsi="Arial"/>
                <w:sz w:val="16"/>
                <w:szCs w:val="16"/>
                <w:color w:val="auto"/>
              </w:rPr>
              <w:t>Commitments and contingencies (Note 16)</w:t>
            </w: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Equity</w:t>
            </w:r>
          </w:p>
        </w:tc>
        <w:tc>
          <w:tcPr>
            <w:tcW w:w="1580" w:type="dxa"/>
            <w:vAlign w:val="bottom"/>
          </w:tcPr>
          <w:p>
            <w:pPr>
              <w:spacing w:after="0"/>
              <w:rPr>
                <w:sz w:val="23"/>
                <w:szCs w:val="23"/>
                <w:color w:val="auto"/>
              </w:rPr>
            </w:pPr>
          </w:p>
        </w:tc>
        <w:tc>
          <w:tcPr>
            <w:tcW w:w="6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8580" w:type="dxa"/>
            <w:vAlign w:val="bottom"/>
            <w:gridSpan w:val="4"/>
          </w:tcPr>
          <w:p>
            <w:pPr>
              <w:ind w:left="40"/>
              <w:spacing w:after="0"/>
              <w:rPr>
                <w:sz w:val="20"/>
                <w:szCs w:val="20"/>
                <w:color w:val="auto"/>
              </w:rPr>
            </w:pPr>
            <w:r>
              <w:rPr>
                <w:rFonts w:ascii="Arial" w:cs="Arial" w:eastAsia="Arial" w:hAnsi="Arial"/>
                <w:sz w:val="16"/>
                <w:szCs w:val="16"/>
                <w:color w:val="auto"/>
                <w:w w:val="91"/>
              </w:rPr>
              <w:t>Convertible preferred stock, $0.01 par value; 1,000,000 shares authorized, 1,220 and no shares issued and outstanding at June 30,</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8580" w:type="dxa"/>
            <w:vAlign w:val="bottom"/>
            <w:gridSpan w:val="4"/>
          </w:tcPr>
          <w:p>
            <w:pPr>
              <w:ind w:left="40"/>
              <w:spacing w:after="0"/>
              <w:rPr>
                <w:sz w:val="20"/>
                <w:szCs w:val="20"/>
                <w:color w:val="auto"/>
              </w:rPr>
            </w:pPr>
            <w:r>
              <w:rPr>
                <w:rFonts w:ascii="Arial" w:cs="Arial" w:eastAsia="Arial" w:hAnsi="Arial"/>
                <w:sz w:val="16"/>
                <w:szCs w:val="16"/>
                <w:color w:val="auto"/>
              </w:rPr>
              <w:t>2019 and December 31, 2018, respectively</w:t>
            </w:r>
          </w:p>
        </w:tc>
        <w:tc>
          <w:tcPr>
            <w:tcW w:w="24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580" w:type="dxa"/>
            <w:vAlign w:val="bottom"/>
            <w:gridSpan w:val="4"/>
          </w:tcPr>
          <w:p>
            <w:pPr>
              <w:ind w:left="40"/>
              <w:spacing w:after="0"/>
              <w:rPr>
                <w:sz w:val="20"/>
                <w:szCs w:val="20"/>
                <w:color w:val="auto"/>
              </w:rPr>
            </w:pPr>
            <w:r>
              <w:rPr>
                <w:rFonts w:ascii="Arial" w:cs="Arial" w:eastAsia="Arial" w:hAnsi="Arial"/>
                <w:sz w:val="16"/>
                <w:szCs w:val="16"/>
                <w:color w:val="auto"/>
              </w:rPr>
              <w:t>Common stock, $0.01 par value; 500,000,000 shares authorized:</w:t>
            </w: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540" w:type="dxa"/>
            <w:vAlign w:val="bottom"/>
            <w:gridSpan w:val="3"/>
          </w:tcPr>
          <w:p>
            <w:pPr>
              <w:ind w:left="120"/>
              <w:spacing w:after="0"/>
              <w:rPr>
                <w:sz w:val="20"/>
                <w:szCs w:val="20"/>
                <w:color w:val="auto"/>
              </w:rPr>
            </w:pPr>
            <w:r>
              <w:rPr>
                <w:rFonts w:ascii="Arial" w:cs="Arial" w:eastAsia="Arial" w:hAnsi="Arial"/>
                <w:sz w:val="16"/>
                <w:szCs w:val="16"/>
                <w:color w:val="auto"/>
              </w:rPr>
              <w:t>223,431,716 and 132,349,534 shares issued and 188,183,106 and 96,614,946 outstanding</w:t>
            </w: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540" w:type="dxa"/>
            <w:vAlign w:val="bottom"/>
            <w:gridSpan w:val="3"/>
          </w:tcPr>
          <w:p>
            <w:pPr>
              <w:ind w:left="120"/>
              <w:spacing w:after="0"/>
              <w:rPr>
                <w:sz w:val="20"/>
                <w:szCs w:val="20"/>
                <w:color w:val="auto"/>
              </w:rPr>
            </w:pPr>
            <w:r>
              <w:rPr>
                <w:rFonts w:ascii="Arial" w:cs="Arial" w:eastAsia="Arial" w:hAnsi="Arial"/>
                <w:sz w:val="16"/>
                <w:szCs w:val="16"/>
                <w:color w:val="auto"/>
              </w:rPr>
              <w:t>at June 30, 2019 and December 31, 2018, respectively</w:t>
            </w:r>
          </w:p>
        </w:tc>
        <w:tc>
          <w:tcPr>
            <w:tcW w:w="24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1,981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1,323</w:t>
            </w:r>
          </w:p>
        </w:tc>
        <w:tc>
          <w:tcPr>
            <w:tcW w:w="0" w:type="dxa"/>
            <w:vAlign w:val="bottom"/>
          </w:tcPr>
          <w:p>
            <w:pPr>
              <w:spacing w:after="0"/>
              <w:rPr>
                <w:sz w:val="1"/>
                <w:szCs w:val="1"/>
                <w:color w:val="auto"/>
              </w:rPr>
            </w:pPr>
          </w:p>
        </w:tc>
      </w:tr>
      <w:tr>
        <w:trPr>
          <w:trHeight w:val="270"/>
        </w:trPr>
        <w:tc>
          <w:tcPr>
            <w:tcW w:w="8580" w:type="dxa"/>
            <w:vAlign w:val="bottom"/>
            <w:gridSpan w:val="4"/>
          </w:tcPr>
          <w:p>
            <w:pPr>
              <w:ind w:left="40"/>
              <w:spacing w:after="0"/>
              <w:rPr>
                <w:sz w:val="20"/>
                <w:szCs w:val="20"/>
                <w:color w:val="auto"/>
              </w:rPr>
            </w:pPr>
            <w:r>
              <w:rPr>
                <w:rFonts w:ascii="Arial" w:cs="Arial" w:eastAsia="Arial" w:hAnsi="Arial"/>
                <w:sz w:val="16"/>
                <w:szCs w:val="16"/>
                <w:color w:val="auto"/>
              </w:rPr>
              <w:t>Additional paid-in capital</w:t>
            </w:r>
          </w:p>
        </w:tc>
        <w:tc>
          <w:tcPr>
            <w:tcW w:w="24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7,807,109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914,568</w:t>
            </w:r>
          </w:p>
        </w:tc>
        <w:tc>
          <w:tcPr>
            <w:tcW w:w="0" w:type="dxa"/>
            <w:vAlign w:val="bottom"/>
          </w:tcPr>
          <w:p>
            <w:pPr>
              <w:spacing w:after="0"/>
              <w:rPr>
                <w:sz w:val="1"/>
                <w:szCs w:val="1"/>
                <w:color w:val="auto"/>
              </w:rPr>
            </w:pPr>
          </w:p>
        </w:tc>
      </w:tr>
      <w:tr>
        <w:trPr>
          <w:trHeight w:val="270"/>
        </w:trPr>
        <w:tc>
          <w:tcPr>
            <w:tcW w:w="8580" w:type="dxa"/>
            <w:vAlign w:val="bottom"/>
            <w:gridSpan w:val="4"/>
          </w:tcPr>
          <w:p>
            <w:pPr>
              <w:ind w:left="40"/>
              <w:spacing w:after="0"/>
              <w:rPr>
                <w:sz w:val="20"/>
                <w:szCs w:val="20"/>
                <w:color w:val="auto"/>
              </w:rPr>
            </w:pPr>
            <w:r>
              <w:rPr>
                <w:rFonts w:ascii="Arial" w:cs="Arial" w:eastAsia="Arial" w:hAnsi="Arial"/>
                <w:sz w:val="16"/>
                <w:szCs w:val="16"/>
                <w:color w:val="auto"/>
              </w:rPr>
              <w:t>Treasury stock, at cost, 35,248,610 and 35,734,588 shares,</w:t>
            </w: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540" w:type="dxa"/>
            <w:vAlign w:val="bottom"/>
            <w:gridSpan w:val="3"/>
          </w:tcPr>
          <w:p>
            <w:pPr>
              <w:ind w:left="120"/>
              <w:spacing w:after="0"/>
              <w:rPr>
                <w:sz w:val="20"/>
                <w:szCs w:val="20"/>
                <w:color w:val="auto"/>
              </w:rPr>
            </w:pPr>
            <w:r>
              <w:rPr>
                <w:rFonts w:ascii="Arial" w:cs="Arial" w:eastAsia="Arial" w:hAnsi="Arial"/>
                <w:sz w:val="16"/>
                <w:szCs w:val="16"/>
                <w:color w:val="auto"/>
              </w:rPr>
              <w:t>at June 30, 2019 and December 31, 2018, respectively</w:t>
            </w: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(805,618)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(816,145)</w:t>
            </w:r>
          </w:p>
        </w:tc>
        <w:tc>
          <w:tcPr>
            <w:tcW w:w="0" w:type="dxa"/>
            <w:vAlign w:val="bottom"/>
          </w:tcPr>
          <w:p>
            <w:pPr>
              <w:spacing w:after="0"/>
              <w:rPr>
                <w:sz w:val="1"/>
                <w:szCs w:val="1"/>
                <w:color w:val="auto"/>
              </w:rPr>
            </w:pPr>
          </w:p>
        </w:tc>
      </w:tr>
      <w:tr>
        <w:trPr>
          <w:trHeight w:val="270"/>
        </w:trPr>
        <w:tc>
          <w:tcPr>
            <w:tcW w:w="8580" w:type="dxa"/>
            <w:vAlign w:val="bottom"/>
            <w:gridSpan w:val="4"/>
          </w:tcPr>
          <w:p>
            <w:pPr>
              <w:ind w:left="40"/>
              <w:spacing w:after="0"/>
              <w:rPr>
                <w:sz w:val="20"/>
                <w:szCs w:val="20"/>
                <w:color w:val="auto"/>
              </w:rPr>
            </w:pPr>
            <w:r>
              <w:rPr>
                <w:rFonts w:ascii="Arial" w:cs="Arial" w:eastAsia="Arial" w:hAnsi="Arial"/>
                <w:sz w:val="16"/>
                <w:szCs w:val="16"/>
                <w:color w:val="auto"/>
              </w:rPr>
              <w:t>Retained earnings</w:t>
            </w:r>
          </w:p>
        </w:tc>
        <w:tc>
          <w:tcPr>
            <w:tcW w:w="24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3,087,468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3,021,968</w:t>
            </w:r>
          </w:p>
        </w:tc>
        <w:tc>
          <w:tcPr>
            <w:tcW w:w="0" w:type="dxa"/>
            <w:vAlign w:val="bottom"/>
          </w:tcPr>
          <w:p>
            <w:pPr>
              <w:spacing w:after="0"/>
              <w:rPr>
                <w:sz w:val="1"/>
                <w:szCs w:val="1"/>
                <w:color w:val="auto"/>
              </w:rPr>
            </w:pPr>
          </w:p>
        </w:tc>
      </w:tr>
      <w:tr>
        <w:trPr>
          <w:trHeight w:val="270"/>
        </w:trPr>
        <w:tc>
          <w:tcPr>
            <w:tcW w:w="8580" w:type="dxa"/>
            <w:vAlign w:val="bottom"/>
            <w:gridSpan w:val="4"/>
          </w:tcPr>
          <w:p>
            <w:pPr>
              <w:ind w:left="4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(289,180)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(256,583)</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500" w:type="dxa"/>
            <w:vAlign w:val="bottom"/>
            <w:gridSpan w:val="2"/>
          </w:tcPr>
          <w:p>
            <w:pPr>
              <w:spacing w:after="0"/>
              <w:rPr>
                <w:sz w:val="2"/>
                <w:szCs w:val="2"/>
                <w:color w:val="auto"/>
              </w:rPr>
            </w:pPr>
          </w:p>
        </w:tc>
        <w:tc>
          <w:tcPr>
            <w:tcW w:w="6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8540" w:type="dxa"/>
            <w:vAlign w:val="bottom"/>
            <w:gridSpan w:val="3"/>
          </w:tcPr>
          <w:p>
            <w:pPr>
              <w:ind w:left="240"/>
              <w:spacing w:after="0"/>
              <w:rPr>
                <w:sz w:val="20"/>
                <w:szCs w:val="20"/>
                <w:color w:val="auto"/>
              </w:rPr>
            </w:pPr>
            <w:r>
              <w:rPr>
                <w:rFonts w:ascii="Arial" w:cs="Arial" w:eastAsia="Arial" w:hAnsi="Arial"/>
                <w:sz w:val="16"/>
                <w:szCs w:val="16"/>
                <w:color w:val="auto"/>
              </w:rPr>
              <w:t>Total Westinghouse Air Brake Technologies Corporation shareholders' equity</w:t>
            </w:r>
          </w:p>
        </w:tc>
        <w:tc>
          <w:tcPr>
            <w:tcW w:w="24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9,801,760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2,865,131</w:t>
            </w:r>
          </w:p>
        </w:tc>
        <w:tc>
          <w:tcPr>
            <w:tcW w:w="0" w:type="dxa"/>
            <w:vAlign w:val="bottom"/>
          </w:tcPr>
          <w:p>
            <w:pPr>
              <w:spacing w:after="0"/>
              <w:rPr>
                <w:sz w:val="1"/>
                <w:szCs w:val="1"/>
                <w:color w:val="auto"/>
              </w:rPr>
            </w:pPr>
          </w:p>
        </w:tc>
      </w:tr>
      <w:tr>
        <w:trPr>
          <w:trHeight w:val="270"/>
        </w:trPr>
        <w:tc>
          <w:tcPr>
            <w:tcW w:w="8580" w:type="dxa"/>
            <w:vAlign w:val="bottom"/>
            <w:gridSpan w:val="4"/>
          </w:tcPr>
          <w:p>
            <w:pPr>
              <w:ind w:left="40"/>
              <w:spacing w:after="0"/>
              <w:rPr>
                <w:sz w:val="20"/>
                <w:szCs w:val="20"/>
                <w:color w:val="auto"/>
              </w:rPr>
            </w:pPr>
            <w:r>
              <w:rPr>
                <w:rFonts w:ascii="Arial" w:cs="Arial" w:eastAsia="Arial" w:hAnsi="Arial"/>
                <w:sz w:val="16"/>
                <w:szCs w:val="16"/>
                <w:color w:val="auto"/>
              </w:rPr>
              <w:t>Noncontrolling interest</w:t>
            </w:r>
          </w:p>
        </w:tc>
        <w:tc>
          <w:tcPr>
            <w:tcW w:w="24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33,397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3,944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500" w:type="dxa"/>
            <w:vAlign w:val="bottom"/>
            <w:gridSpan w:val="2"/>
          </w:tcPr>
          <w:p>
            <w:pPr>
              <w:spacing w:after="0"/>
              <w:rPr>
                <w:sz w:val="2"/>
                <w:szCs w:val="2"/>
                <w:color w:val="auto"/>
              </w:rPr>
            </w:pPr>
          </w:p>
        </w:tc>
        <w:tc>
          <w:tcPr>
            <w:tcW w:w="6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8540" w:type="dxa"/>
            <w:vAlign w:val="bottom"/>
            <w:gridSpan w:val="3"/>
          </w:tcPr>
          <w:p>
            <w:pPr>
              <w:ind w:left="240"/>
              <w:spacing w:after="0"/>
              <w:rPr>
                <w:sz w:val="20"/>
                <w:szCs w:val="20"/>
                <w:color w:val="auto"/>
              </w:rPr>
            </w:pPr>
            <w:r>
              <w:rPr>
                <w:rFonts w:ascii="Arial" w:cs="Arial" w:eastAsia="Arial" w:hAnsi="Arial"/>
                <w:sz w:val="16"/>
                <w:szCs w:val="16"/>
                <w:color w:val="auto"/>
              </w:rPr>
              <w:t>Total Equity</w:t>
            </w:r>
          </w:p>
        </w:tc>
        <w:tc>
          <w:tcPr>
            <w:tcW w:w="24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9,835,157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2,869,075</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500" w:type="dxa"/>
            <w:vAlign w:val="bottom"/>
            <w:gridSpan w:val="2"/>
          </w:tcPr>
          <w:p>
            <w:pPr>
              <w:spacing w:after="0"/>
              <w:rPr>
                <w:sz w:val="2"/>
                <w:szCs w:val="2"/>
                <w:color w:val="auto"/>
              </w:rPr>
            </w:pPr>
          </w:p>
        </w:tc>
        <w:tc>
          <w:tcPr>
            <w:tcW w:w="6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8540" w:type="dxa"/>
            <w:vAlign w:val="bottom"/>
            <w:gridSpan w:val="3"/>
          </w:tcPr>
          <w:p>
            <w:pPr>
              <w:ind w:left="480"/>
              <w:spacing w:after="0"/>
              <w:rPr>
                <w:sz w:val="20"/>
                <w:szCs w:val="20"/>
                <w:color w:val="auto"/>
              </w:rPr>
            </w:pPr>
            <w:r>
              <w:rPr>
                <w:rFonts w:ascii="Arial" w:cs="Arial" w:eastAsia="Arial" w:hAnsi="Arial"/>
                <w:sz w:val="16"/>
                <w:szCs w:val="16"/>
                <w:color w:val="auto"/>
              </w:rPr>
              <w:t>Total Liabilities and Equity</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18,942,593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8,649,234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12700</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-130175</wp:posOffset>
            </wp:positionV>
            <wp:extent cx="1809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ectPr>
          <w:pgSz w:w="11900" w:h="16838" w:orient="portrait"/>
          <w:cols w:equalWidth="0" w:num="1">
            <w:col w:w="11420"/>
          </w:cols>
          <w:pgMar w:left="240" w:top="364" w:right="239" w:bottom="3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364" w:right="239" w:bottom="30" w:gutter="0" w:footer="0" w:header="0"/>
          <w:type w:val="continuous"/>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WESTINGHOUSE AIR BRAKE TECHNOLOGIES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10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3"/>
          </w:tcPr>
          <w:p>
            <w:pPr>
              <w:jc w:val="center"/>
              <w:ind w:left="613"/>
              <w:spacing w:after="0"/>
              <w:rPr>
                <w:sz w:val="20"/>
                <w:szCs w:val="20"/>
                <w:color w:val="auto"/>
              </w:rPr>
            </w:pPr>
            <w:r>
              <w:rPr>
                <w:rFonts w:ascii="Arial" w:cs="Arial" w:eastAsia="Arial" w:hAnsi="Arial"/>
                <w:sz w:val="14"/>
                <w:szCs w:val="14"/>
                <w:b w:val="1"/>
                <w:bCs w:val="1"/>
                <w:color w:val="auto"/>
                <w:w w:val="96"/>
              </w:rPr>
              <w:t>Unaudited</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3"/>
          </w:tcPr>
          <w:p>
            <w:pPr>
              <w:jc w:val="center"/>
              <w:ind w:left="633"/>
              <w:spacing w:after="0"/>
              <w:rPr>
                <w:sz w:val="20"/>
                <w:szCs w:val="20"/>
                <w:color w:val="auto"/>
              </w:rPr>
            </w:pPr>
            <w:r>
              <w:rPr>
                <w:rFonts w:ascii="Arial" w:cs="Arial" w:eastAsia="Arial" w:hAnsi="Arial"/>
                <w:sz w:val="14"/>
                <w:szCs w:val="14"/>
                <w:b w:val="1"/>
                <w:bCs w:val="1"/>
                <w:color w:val="auto"/>
                <w:w w:val="93"/>
              </w:rPr>
              <w:t>Unaudited</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10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4"/>
                <w:szCs w:val="14"/>
                <w:color w:val="auto"/>
              </w:rPr>
            </w:pPr>
          </w:p>
        </w:tc>
        <w:tc>
          <w:tcPr>
            <w:tcW w:w="2380" w:type="dxa"/>
            <w:vAlign w:val="bottom"/>
            <w:gridSpan w:val="4"/>
          </w:tcPr>
          <w:p>
            <w:pPr>
              <w:jc w:val="center"/>
              <w:ind w:right="111"/>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92"/>
        </w:trPr>
        <w:tc>
          <w:tcPr>
            <w:tcW w:w="210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613"/>
              <w:spacing w:after="0"/>
              <w:rPr>
                <w:sz w:val="20"/>
                <w:szCs w:val="20"/>
                <w:color w:val="auto"/>
              </w:rPr>
            </w:pPr>
            <w:r>
              <w:rPr>
                <w:rFonts w:ascii="Arial" w:cs="Arial" w:eastAsia="Arial" w:hAnsi="Arial"/>
                <w:sz w:val="14"/>
                <w:szCs w:val="14"/>
                <w:b w:val="1"/>
                <w:bCs w:val="1"/>
                <w:color w:val="auto"/>
                <w:w w:val="89"/>
              </w:rPr>
              <w:t>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left="633"/>
              <w:spacing w:after="0"/>
              <w:rPr>
                <w:sz w:val="20"/>
                <w:szCs w:val="20"/>
                <w:color w:val="auto"/>
              </w:rPr>
            </w:pPr>
            <w:r>
              <w:rPr>
                <w:rFonts w:ascii="Arial" w:cs="Arial" w:eastAsia="Arial" w:hAnsi="Arial"/>
                <w:sz w:val="14"/>
                <w:szCs w:val="14"/>
                <w:b w:val="1"/>
                <w:bCs w:val="1"/>
                <w:color w:val="auto"/>
                <w:w w:val="92"/>
              </w:rPr>
              <w:t>June 30,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0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240" w:type="dxa"/>
            <w:vAlign w:val="bottom"/>
          </w:tcPr>
          <w:p>
            <w:pPr>
              <w:spacing w:after="0"/>
              <w:rPr>
                <w:sz w:val="19"/>
                <w:szCs w:val="19"/>
                <w:color w:val="auto"/>
              </w:rPr>
            </w:pPr>
          </w:p>
        </w:tc>
        <w:tc>
          <w:tcPr>
            <w:tcW w:w="1020" w:type="dxa"/>
            <w:vAlign w:val="bottom"/>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ind w:right="41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
        </w:trPr>
        <w:tc>
          <w:tcPr>
            <w:tcW w:w="210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color w:val="auto"/>
              </w:rPr>
              <w:t>Net sales:</w:t>
            </w:r>
          </w:p>
        </w:tc>
        <w:tc>
          <w:tcPr>
            <w:tcW w:w="39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2100" w:type="dxa"/>
            <w:vAlign w:val="bottom"/>
            <w:vMerge w:val="continue"/>
          </w:tcPr>
          <w:p>
            <w:pPr>
              <w:spacing w:after="0"/>
              <w:rPr>
                <w:sz w:val="24"/>
                <w:szCs w:val="24"/>
                <w:color w:val="auto"/>
              </w:rPr>
            </w:pPr>
          </w:p>
        </w:tc>
        <w:tc>
          <w:tcPr>
            <w:tcW w:w="39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20" w:type="dxa"/>
            <w:vAlign w:val="bottom"/>
            <w:gridSpan w:val="2"/>
          </w:tcPr>
          <w:p>
            <w:pPr>
              <w:ind w:left="340"/>
              <w:spacing w:after="0"/>
              <w:rPr>
                <w:sz w:val="20"/>
                <w:szCs w:val="20"/>
                <w:color w:val="auto"/>
              </w:rPr>
            </w:pPr>
            <w:r>
              <w:rPr>
                <w:rFonts w:ascii="Arial" w:cs="Arial" w:eastAsia="Arial" w:hAnsi="Arial"/>
                <w:sz w:val="18"/>
                <w:szCs w:val="18"/>
                <w:color w:val="auto"/>
              </w:rPr>
              <w:t>Sales of goods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1,892,508</w:t>
            </w:r>
          </w:p>
        </w:tc>
        <w:tc>
          <w:tcPr>
            <w:tcW w:w="12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w w:val="97"/>
              </w:rPr>
              <w:t>1,065,893</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3,327,017</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2,076,570</w:t>
            </w:r>
          </w:p>
        </w:tc>
        <w:tc>
          <w:tcPr>
            <w:tcW w:w="0" w:type="dxa"/>
            <w:vAlign w:val="bottom"/>
          </w:tcPr>
          <w:p>
            <w:pPr>
              <w:spacing w:after="0"/>
              <w:rPr>
                <w:sz w:val="1"/>
                <w:szCs w:val="1"/>
                <w:color w:val="auto"/>
              </w:rPr>
            </w:pPr>
          </w:p>
        </w:tc>
      </w:tr>
      <w:tr>
        <w:trPr>
          <w:trHeight w:val="270"/>
        </w:trPr>
        <w:tc>
          <w:tcPr>
            <w:tcW w:w="6020" w:type="dxa"/>
            <w:vAlign w:val="bottom"/>
            <w:gridSpan w:val="2"/>
          </w:tcPr>
          <w:p>
            <w:pPr>
              <w:ind w:left="340"/>
              <w:spacing w:after="0"/>
              <w:rPr>
                <w:sz w:val="20"/>
                <w:szCs w:val="20"/>
                <w:color w:val="auto"/>
              </w:rPr>
            </w:pPr>
            <w:r>
              <w:rPr>
                <w:rFonts w:ascii="Arial" w:cs="Arial" w:eastAsia="Arial" w:hAnsi="Arial"/>
                <w:sz w:val="18"/>
                <w:szCs w:val="18"/>
                <w:color w:val="auto"/>
              </w:rPr>
              <w:t>Sales of services</w:t>
            </w:r>
          </w:p>
        </w:tc>
        <w:tc>
          <w:tcPr>
            <w:tcW w:w="240" w:type="dxa"/>
            <w:vAlign w:val="bottom"/>
          </w:tcPr>
          <w:p>
            <w:pPr>
              <w:spacing w:after="0"/>
              <w:rPr>
                <w:sz w:val="23"/>
                <w:szCs w:val="23"/>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343,776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45,787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502,884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91,287</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20" w:type="dxa"/>
            <w:vAlign w:val="bottom"/>
            <w:gridSpan w:val="2"/>
          </w:tcPr>
          <w:p>
            <w:pPr>
              <w:ind w:left="460"/>
              <w:spacing w:after="0"/>
              <w:rPr>
                <w:sz w:val="20"/>
                <w:szCs w:val="20"/>
                <w:color w:val="auto"/>
              </w:rPr>
            </w:pPr>
            <w:r>
              <w:rPr>
                <w:rFonts w:ascii="Arial" w:cs="Arial" w:eastAsia="Arial" w:hAnsi="Arial"/>
                <w:sz w:val="18"/>
                <w:szCs w:val="18"/>
                <w:color w:val="auto"/>
              </w:rPr>
              <w:t>Total net sales</w:t>
            </w:r>
          </w:p>
        </w:tc>
        <w:tc>
          <w:tcPr>
            <w:tcW w:w="24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2,236,284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w w:val="97"/>
              </w:rPr>
              <w:t>1,111,680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3,829,901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2,167,857</w:t>
            </w:r>
          </w:p>
        </w:tc>
        <w:tc>
          <w:tcPr>
            <w:tcW w:w="0" w:type="dxa"/>
            <w:vAlign w:val="bottom"/>
          </w:tcPr>
          <w:p>
            <w:pPr>
              <w:spacing w:after="0"/>
              <w:rPr>
                <w:sz w:val="1"/>
                <w:szCs w:val="1"/>
                <w:color w:val="auto"/>
              </w:rPr>
            </w:pPr>
          </w:p>
        </w:tc>
      </w:tr>
      <w:tr>
        <w:trPr>
          <w:trHeight w:val="270"/>
        </w:trPr>
        <w:tc>
          <w:tcPr>
            <w:tcW w:w="602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20" w:type="dxa"/>
            <w:vAlign w:val="bottom"/>
            <w:gridSpan w:val="2"/>
          </w:tcPr>
          <w:p>
            <w:pPr>
              <w:ind w:left="340"/>
              <w:spacing w:after="0"/>
              <w:rPr>
                <w:sz w:val="20"/>
                <w:szCs w:val="20"/>
                <w:color w:val="auto"/>
              </w:rPr>
            </w:pPr>
            <w:r>
              <w:rPr>
                <w:rFonts w:ascii="Arial" w:cs="Arial" w:eastAsia="Arial" w:hAnsi="Arial"/>
                <w:sz w:val="18"/>
                <w:szCs w:val="18"/>
                <w:color w:val="auto"/>
              </w:rPr>
              <w:t>Cost of goods</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(1,377,758)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(749,097)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(2,451,329)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(1,458,375)</w:t>
            </w:r>
          </w:p>
        </w:tc>
        <w:tc>
          <w:tcPr>
            <w:tcW w:w="0" w:type="dxa"/>
            <w:vAlign w:val="bottom"/>
          </w:tcPr>
          <w:p>
            <w:pPr>
              <w:spacing w:after="0"/>
              <w:rPr>
                <w:sz w:val="1"/>
                <w:szCs w:val="1"/>
                <w:color w:val="auto"/>
              </w:rPr>
            </w:pPr>
          </w:p>
        </w:tc>
      </w:tr>
      <w:tr>
        <w:trPr>
          <w:trHeight w:val="270"/>
        </w:trPr>
        <w:tc>
          <w:tcPr>
            <w:tcW w:w="6020" w:type="dxa"/>
            <w:vAlign w:val="bottom"/>
            <w:gridSpan w:val="2"/>
          </w:tcPr>
          <w:p>
            <w:pPr>
              <w:ind w:left="340"/>
              <w:spacing w:after="0"/>
              <w:rPr>
                <w:sz w:val="20"/>
                <w:szCs w:val="20"/>
                <w:color w:val="auto"/>
              </w:rPr>
            </w:pPr>
            <w:r>
              <w:rPr>
                <w:rFonts w:ascii="Arial" w:cs="Arial" w:eastAsia="Arial" w:hAnsi="Arial"/>
                <w:sz w:val="18"/>
                <w:szCs w:val="18"/>
                <w:color w:val="auto"/>
              </w:rPr>
              <w:t>Cost of services</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(243,850)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(38,616)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(374,879)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(74,634)</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20" w:type="dxa"/>
            <w:vAlign w:val="bottom"/>
            <w:gridSpan w:val="2"/>
          </w:tcPr>
          <w:p>
            <w:pPr>
              <w:ind w:left="460"/>
              <w:spacing w:after="0"/>
              <w:rPr>
                <w:sz w:val="20"/>
                <w:szCs w:val="20"/>
                <w:color w:val="auto"/>
              </w:rPr>
            </w:pPr>
            <w:r>
              <w:rPr>
                <w:rFonts w:ascii="Arial" w:cs="Arial" w:eastAsia="Arial" w:hAnsi="Arial"/>
                <w:sz w:val="18"/>
                <w:szCs w:val="18"/>
                <w:color w:val="auto"/>
              </w:rPr>
              <w:t>Total cost of sales</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(1,621,608)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(787,713)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(2,826,208)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(1,533,009)</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20" w:type="dxa"/>
            <w:vAlign w:val="bottom"/>
            <w:gridSpan w:val="2"/>
          </w:tcPr>
          <w:p>
            <w:pPr>
              <w:ind w:left="140"/>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614,676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323,967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1,003,693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634,848</w:t>
            </w:r>
          </w:p>
        </w:tc>
        <w:tc>
          <w:tcPr>
            <w:tcW w:w="0" w:type="dxa"/>
            <w:vAlign w:val="bottom"/>
          </w:tcPr>
          <w:p>
            <w:pPr>
              <w:spacing w:after="0"/>
              <w:rPr>
                <w:sz w:val="1"/>
                <w:szCs w:val="1"/>
                <w:color w:val="auto"/>
              </w:rPr>
            </w:pPr>
          </w:p>
        </w:tc>
      </w:tr>
      <w:tr>
        <w:trPr>
          <w:trHeight w:val="270"/>
        </w:trPr>
        <w:tc>
          <w:tcPr>
            <w:tcW w:w="60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20" w:type="dxa"/>
            <w:vAlign w:val="bottom"/>
            <w:gridSpan w:val="2"/>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(290,959)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(171,157)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(550,682)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(318,358)</w:t>
            </w:r>
          </w:p>
        </w:tc>
        <w:tc>
          <w:tcPr>
            <w:tcW w:w="0" w:type="dxa"/>
            <w:vAlign w:val="bottom"/>
          </w:tcPr>
          <w:p>
            <w:pPr>
              <w:spacing w:after="0"/>
              <w:rPr>
                <w:sz w:val="1"/>
                <w:szCs w:val="1"/>
                <w:color w:val="auto"/>
              </w:rPr>
            </w:pPr>
          </w:p>
        </w:tc>
      </w:tr>
      <w:tr>
        <w:trPr>
          <w:trHeight w:val="270"/>
        </w:trPr>
        <w:tc>
          <w:tcPr>
            <w:tcW w:w="6020" w:type="dxa"/>
            <w:vAlign w:val="bottom"/>
            <w:gridSpan w:val="2"/>
          </w:tcPr>
          <w:p>
            <w:pPr>
              <w:ind w:left="340"/>
              <w:spacing w:after="0"/>
              <w:rPr>
                <w:sz w:val="20"/>
                <w:szCs w:val="20"/>
                <w:color w:val="auto"/>
              </w:rPr>
            </w:pPr>
            <w:r>
              <w:rPr>
                <w:rFonts w:ascii="Arial" w:cs="Arial" w:eastAsia="Arial" w:hAnsi="Arial"/>
                <w:sz w:val="18"/>
                <w:szCs w:val="18"/>
                <w:color w:val="auto"/>
              </w:rPr>
              <w:t>Engineering expenses</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(57,120)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(19,388)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(91,665)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(41,437)</w:t>
            </w:r>
          </w:p>
        </w:tc>
        <w:tc>
          <w:tcPr>
            <w:tcW w:w="0" w:type="dxa"/>
            <w:vAlign w:val="bottom"/>
          </w:tcPr>
          <w:p>
            <w:pPr>
              <w:spacing w:after="0"/>
              <w:rPr>
                <w:sz w:val="1"/>
                <w:szCs w:val="1"/>
                <w:color w:val="auto"/>
              </w:rPr>
            </w:pPr>
          </w:p>
        </w:tc>
      </w:tr>
      <w:tr>
        <w:trPr>
          <w:trHeight w:val="270"/>
        </w:trPr>
        <w:tc>
          <w:tcPr>
            <w:tcW w:w="6020" w:type="dxa"/>
            <w:vAlign w:val="bottom"/>
            <w:gridSpan w:val="2"/>
          </w:tcPr>
          <w:p>
            <w:pPr>
              <w:ind w:left="340"/>
              <w:spacing w:after="0"/>
              <w:rPr>
                <w:sz w:val="20"/>
                <w:szCs w:val="20"/>
                <w:color w:val="auto"/>
              </w:rPr>
            </w:pPr>
            <w:r>
              <w:rPr>
                <w:rFonts w:ascii="Arial" w:cs="Arial" w:eastAsia="Arial" w:hAnsi="Arial"/>
                <w:sz w:val="18"/>
                <w:szCs w:val="18"/>
                <w:color w:val="auto"/>
              </w:rPr>
              <w:t>Amortization expense</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(65,960)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(9,899)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(93,402)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(20,251)</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20" w:type="dxa"/>
            <w:vAlign w:val="bottom"/>
            <w:gridSpan w:val="2"/>
          </w:tcPr>
          <w:p>
            <w:pPr>
              <w:ind w:left="460"/>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(414,039)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(200,444)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(735,749)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(380,046)</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20" w:type="dxa"/>
            <w:vAlign w:val="bottom"/>
            <w:gridSpan w:val="2"/>
          </w:tcPr>
          <w:p>
            <w:pPr>
              <w:ind w:left="140"/>
              <w:spacing w:after="0"/>
              <w:rPr>
                <w:sz w:val="20"/>
                <w:szCs w:val="20"/>
                <w:color w:val="auto"/>
              </w:rPr>
            </w:pPr>
            <w:r>
              <w:rPr>
                <w:rFonts w:ascii="Arial" w:cs="Arial" w:eastAsia="Arial" w:hAnsi="Arial"/>
                <w:sz w:val="18"/>
                <w:szCs w:val="18"/>
                <w:color w:val="auto"/>
              </w:rPr>
              <w:t>Income from operations</w:t>
            </w:r>
          </w:p>
        </w:tc>
        <w:tc>
          <w:tcPr>
            <w:tcW w:w="24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200,637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123,523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267,944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254,802</w:t>
            </w:r>
          </w:p>
        </w:tc>
        <w:tc>
          <w:tcPr>
            <w:tcW w:w="0" w:type="dxa"/>
            <w:vAlign w:val="bottom"/>
          </w:tcPr>
          <w:p>
            <w:pPr>
              <w:spacing w:after="0"/>
              <w:rPr>
                <w:sz w:val="1"/>
                <w:szCs w:val="1"/>
                <w:color w:val="auto"/>
              </w:rPr>
            </w:pPr>
          </w:p>
        </w:tc>
      </w:tr>
      <w:tr>
        <w:trPr>
          <w:trHeight w:val="270"/>
        </w:trPr>
        <w:tc>
          <w:tcPr>
            <w:tcW w:w="6020" w:type="dxa"/>
            <w:vAlign w:val="bottom"/>
            <w:gridSpan w:val="2"/>
          </w:tcPr>
          <w:p>
            <w:pPr>
              <w:spacing w:after="0"/>
              <w:rPr>
                <w:sz w:val="20"/>
                <w:szCs w:val="20"/>
                <w:color w:val="auto"/>
              </w:rPr>
            </w:pPr>
            <w:r>
              <w:rPr>
                <w:rFonts w:ascii="Arial" w:cs="Arial" w:eastAsia="Arial" w:hAnsi="Arial"/>
                <w:sz w:val="18"/>
                <w:szCs w:val="18"/>
                <w:color w:val="auto"/>
              </w:rPr>
              <w:t>Other income and expenses:</w:t>
            </w: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20" w:type="dxa"/>
            <w:vAlign w:val="bottom"/>
            <w:gridSpan w:val="2"/>
          </w:tcPr>
          <w:p>
            <w:pPr>
              <w:ind w:left="340"/>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(58,560)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(31,920)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(103,129)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(52,204)</w:t>
            </w:r>
          </w:p>
        </w:tc>
        <w:tc>
          <w:tcPr>
            <w:tcW w:w="0" w:type="dxa"/>
            <w:vAlign w:val="bottom"/>
          </w:tcPr>
          <w:p>
            <w:pPr>
              <w:spacing w:after="0"/>
              <w:rPr>
                <w:sz w:val="1"/>
                <w:szCs w:val="1"/>
                <w:color w:val="auto"/>
              </w:rPr>
            </w:pPr>
          </w:p>
        </w:tc>
      </w:tr>
      <w:tr>
        <w:trPr>
          <w:trHeight w:val="270"/>
        </w:trPr>
        <w:tc>
          <w:tcPr>
            <w:tcW w:w="6020" w:type="dxa"/>
            <w:vAlign w:val="bottom"/>
            <w:gridSpan w:val="2"/>
          </w:tcPr>
          <w:p>
            <w:pPr>
              <w:ind w:left="340"/>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23"/>
                <w:szCs w:val="23"/>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2,177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2,171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(6,051)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4,757</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20" w:type="dxa"/>
            <w:vAlign w:val="bottom"/>
            <w:gridSpan w:val="2"/>
          </w:tcPr>
          <w:p>
            <w:pPr>
              <w:ind w:left="140"/>
              <w:spacing w:after="0"/>
              <w:rPr>
                <w:sz w:val="20"/>
                <w:szCs w:val="20"/>
                <w:color w:val="auto"/>
              </w:rPr>
            </w:pPr>
            <w:r>
              <w:rPr>
                <w:rFonts w:ascii="Arial" w:cs="Arial" w:eastAsia="Arial" w:hAnsi="Arial"/>
                <w:sz w:val="18"/>
                <w:szCs w:val="18"/>
                <w:color w:val="auto"/>
              </w:rPr>
              <w:t>Income from operations before income taxes</w:t>
            </w:r>
          </w:p>
        </w:tc>
        <w:tc>
          <w:tcPr>
            <w:tcW w:w="24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144,254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93,774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158,764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207,355</w:t>
            </w:r>
          </w:p>
        </w:tc>
        <w:tc>
          <w:tcPr>
            <w:tcW w:w="0" w:type="dxa"/>
            <w:vAlign w:val="bottom"/>
          </w:tcPr>
          <w:p>
            <w:pPr>
              <w:spacing w:after="0"/>
              <w:rPr>
                <w:sz w:val="1"/>
                <w:szCs w:val="1"/>
                <w:color w:val="auto"/>
              </w:rPr>
            </w:pPr>
          </w:p>
        </w:tc>
      </w:tr>
      <w:tr>
        <w:trPr>
          <w:trHeight w:val="270"/>
        </w:trPr>
        <w:tc>
          <w:tcPr>
            <w:tcW w:w="6020" w:type="dxa"/>
            <w:vAlign w:val="bottom"/>
            <w:gridSpan w:val="2"/>
          </w:tcPr>
          <w:p>
            <w:pPr>
              <w:ind w:left="340"/>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(41,400)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(10,503)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(59,923)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(36,627)</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20" w:type="dxa"/>
            <w:vAlign w:val="bottom"/>
            <w:gridSpan w:val="2"/>
          </w:tcPr>
          <w:p>
            <w:pPr>
              <w:ind w:left="14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102,854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83,271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98,841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170,728</w:t>
            </w:r>
          </w:p>
        </w:tc>
        <w:tc>
          <w:tcPr>
            <w:tcW w:w="0" w:type="dxa"/>
            <w:vAlign w:val="bottom"/>
          </w:tcPr>
          <w:p>
            <w:pPr>
              <w:spacing w:after="0"/>
              <w:rPr>
                <w:sz w:val="1"/>
                <w:szCs w:val="1"/>
                <w:color w:val="auto"/>
              </w:rPr>
            </w:pPr>
          </w:p>
        </w:tc>
      </w:tr>
      <w:tr>
        <w:trPr>
          <w:trHeight w:val="270"/>
        </w:trPr>
        <w:tc>
          <w:tcPr>
            <w:tcW w:w="6020" w:type="dxa"/>
            <w:vAlign w:val="bottom"/>
            <w:gridSpan w:val="2"/>
          </w:tcPr>
          <w:p>
            <w:pPr>
              <w:ind w:left="340"/>
              <w:spacing w:after="0"/>
              <w:rPr>
                <w:sz w:val="20"/>
                <w:szCs w:val="20"/>
                <w:color w:val="auto"/>
              </w:rPr>
            </w:pPr>
            <w:r>
              <w:rPr>
                <w:rFonts w:ascii="Arial" w:cs="Arial" w:eastAsia="Arial" w:hAnsi="Arial"/>
                <w:sz w:val="18"/>
                <w:szCs w:val="18"/>
                <w:color w:val="auto"/>
              </w:rPr>
              <w:t>Less: Net loss attributable to noncontrolling interest</w:t>
            </w:r>
          </w:p>
        </w:tc>
        <w:tc>
          <w:tcPr>
            <w:tcW w:w="240" w:type="dxa"/>
            <w:vAlign w:val="bottom"/>
          </w:tcPr>
          <w:p>
            <w:pPr>
              <w:spacing w:after="0"/>
              <w:rPr>
                <w:sz w:val="23"/>
                <w:szCs w:val="23"/>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1,381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1,145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2,054</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20" w:type="dxa"/>
            <w:vAlign w:val="bottom"/>
            <w:gridSpan w:val="2"/>
          </w:tcPr>
          <w:p>
            <w:pPr>
              <w:ind w:left="140"/>
              <w:spacing w:after="0"/>
              <w:rPr>
                <w:sz w:val="20"/>
                <w:szCs w:val="20"/>
                <w:color w:val="auto"/>
              </w:rPr>
            </w:pPr>
            <w:r>
              <w:rPr>
                <w:rFonts w:ascii="Arial" w:cs="Arial" w:eastAsia="Arial" w:hAnsi="Arial"/>
                <w:sz w:val="18"/>
                <w:szCs w:val="18"/>
                <w:color w:val="auto"/>
              </w:rPr>
              <w:t>Net income attributable to Wabtec shareholders</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104,235</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84,416</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99,763</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172,782</w:t>
            </w:r>
          </w:p>
        </w:tc>
        <w:tc>
          <w:tcPr>
            <w:tcW w:w="0" w:type="dxa"/>
            <w:vAlign w:val="bottom"/>
          </w:tcPr>
          <w:p>
            <w:pPr>
              <w:spacing w:after="0"/>
              <w:rPr>
                <w:sz w:val="1"/>
                <w:szCs w:val="1"/>
                <w:color w:val="auto"/>
              </w:rPr>
            </w:pPr>
          </w:p>
        </w:tc>
      </w:tr>
      <w:tr>
        <w:trPr>
          <w:trHeight w:val="20"/>
        </w:trPr>
        <w:tc>
          <w:tcPr>
            <w:tcW w:w="6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Earnings Per Common Share</w:t>
            </w: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60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20" w:type="dxa"/>
            <w:vAlign w:val="bottom"/>
            <w:gridSpan w:val="2"/>
          </w:tcPr>
          <w:p>
            <w:pPr>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6020" w:type="dxa"/>
            <w:vAlign w:val="bottom"/>
            <w:gridSpan w:val="2"/>
          </w:tcPr>
          <w:p>
            <w:pPr>
              <w:ind w:left="140"/>
              <w:spacing w:after="0"/>
              <w:rPr>
                <w:sz w:val="20"/>
                <w:szCs w:val="20"/>
                <w:color w:val="auto"/>
              </w:rPr>
            </w:pPr>
            <w:r>
              <w:rPr>
                <w:rFonts w:ascii="Arial" w:cs="Arial" w:eastAsia="Arial" w:hAnsi="Arial"/>
                <w:sz w:val="18"/>
                <w:szCs w:val="18"/>
                <w:color w:val="auto"/>
              </w:rPr>
              <w:t>Net income attributable to Wabtec shareholders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0.58</w:t>
            </w:r>
          </w:p>
        </w:tc>
        <w:tc>
          <w:tcPr>
            <w:tcW w:w="120" w:type="dxa"/>
            <w:vAlign w:val="bottom"/>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0.88</w:t>
            </w: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0"/>
        </w:trPr>
        <w:tc>
          <w:tcPr>
            <w:tcW w:w="6020" w:type="dxa"/>
            <w:vAlign w:val="bottom"/>
            <w:gridSpan w:val="2"/>
            <w:vMerge w:val="restart"/>
          </w:tcPr>
          <w:p>
            <w:pPr>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2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6020" w:type="dxa"/>
            <w:vAlign w:val="bottom"/>
            <w:gridSpan w:val="2"/>
          </w:tcPr>
          <w:p>
            <w:pPr>
              <w:ind w:left="140"/>
              <w:spacing w:after="0"/>
              <w:rPr>
                <w:sz w:val="20"/>
                <w:szCs w:val="20"/>
                <w:color w:val="auto"/>
              </w:rPr>
            </w:pPr>
            <w:r>
              <w:rPr>
                <w:rFonts w:ascii="Arial" w:cs="Arial" w:eastAsia="Arial" w:hAnsi="Arial"/>
                <w:sz w:val="18"/>
                <w:szCs w:val="18"/>
                <w:color w:val="auto"/>
              </w:rPr>
              <w:t>Net income attributable to Wabtec shareholders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0.54</w:t>
            </w:r>
          </w:p>
        </w:tc>
        <w:tc>
          <w:tcPr>
            <w:tcW w:w="120" w:type="dxa"/>
            <w:vAlign w:val="bottom"/>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0.87</w:t>
            </w: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0.61</w:t>
            </w:r>
          </w:p>
        </w:tc>
        <w:tc>
          <w:tcPr>
            <w:tcW w:w="100" w:type="dxa"/>
            <w:vAlign w:val="bottom"/>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0"/>
        </w:trPr>
        <w:tc>
          <w:tcPr>
            <w:tcW w:w="602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60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20" w:type="dxa"/>
            <w:vAlign w:val="bottom"/>
            <w:gridSpan w:val="2"/>
          </w:tcPr>
          <w:p>
            <w:pPr>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23"/>
                <w:szCs w:val="23"/>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177,348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95,992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149,553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95,867</w:t>
            </w:r>
          </w:p>
        </w:tc>
        <w:tc>
          <w:tcPr>
            <w:tcW w:w="0" w:type="dxa"/>
            <w:vAlign w:val="bottom"/>
          </w:tcPr>
          <w:p>
            <w:pPr>
              <w:spacing w:after="0"/>
              <w:rPr>
                <w:sz w:val="1"/>
                <w:szCs w:val="1"/>
                <w:color w:val="auto"/>
              </w:rPr>
            </w:pPr>
          </w:p>
        </w:tc>
      </w:tr>
      <w:tr>
        <w:trPr>
          <w:trHeight w:val="270"/>
        </w:trPr>
        <w:tc>
          <w:tcPr>
            <w:tcW w:w="6020" w:type="dxa"/>
            <w:vAlign w:val="bottom"/>
            <w:gridSpan w:val="2"/>
          </w:tcPr>
          <w:p>
            <w:pPr>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3"/>
                <w:szCs w:val="23"/>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191,453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96,575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162,155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96,471</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80" w:top="364" w:right="2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WESTINGHOUSE AIR BRAKE TECHNOLOGIES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3"/>
          </w:tcPr>
          <w:p>
            <w:pPr>
              <w:jc w:val="center"/>
              <w:ind w:left="476"/>
              <w:spacing w:after="0"/>
              <w:rPr>
                <w:sz w:val="20"/>
                <w:szCs w:val="20"/>
                <w:color w:val="auto"/>
              </w:rPr>
            </w:pPr>
            <w:r>
              <w:rPr>
                <w:rFonts w:ascii="Arial" w:cs="Arial" w:eastAsia="Arial" w:hAnsi="Arial"/>
                <w:sz w:val="14"/>
                <w:szCs w:val="14"/>
                <w:b w:val="1"/>
                <w:bCs w:val="1"/>
                <w:color w:val="auto"/>
                <w:w w:val="93"/>
              </w:rPr>
              <w:t>Unaudited</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3"/>
          </w:tcPr>
          <w:p>
            <w:pPr>
              <w:jc w:val="center"/>
              <w:ind w:left="456"/>
              <w:spacing w:after="0"/>
              <w:rPr>
                <w:sz w:val="20"/>
                <w:szCs w:val="20"/>
                <w:color w:val="auto"/>
              </w:rPr>
            </w:pPr>
            <w:r>
              <w:rPr>
                <w:rFonts w:ascii="Arial" w:cs="Arial" w:eastAsia="Arial" w:hAnsi="Arial"/>
                <w:sz w:val="14"/>
                <w:szCs w:val="14"/>
                <w:b w:val="1"/>
                <w:bCs w:val="1"/>
                <w:color w:val="auto"/>
                <w:w w:val="93"/>
              </w:rPr>
              <w:t>Unaudited</w:t>
            </w:r>
          </w:p>
        </w:tc>
        <w:tc>
          <w:tcPr>
            <w:tcW w:w="800" w:type="dxa"/>
            <w:vAlign w:val="bottom"/>
          </w:tcPr>
          <w:p>
            <w:pPr>
              <w:spacing w:after="0"/>
              <w:rPr>
                <w:sz w:val="16"/>
                <w:szCs w:val="16"/>
                <w:color w:val="auto"/>
              </w:rPr>
            </w:pPr>
          </w:p>
        </w:tc>
      </w:tr>
      <w:tr>
        <w:trPr>
          <w:trHeight w:val="165"/>
        </w:trPr>
        <w:tc>
          <w:tcPr>
            <w:tcW w:w="78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5"/>
              </w:rPr>
              <w:t>Three Months Ended</w:t>
            </w:r>
          </w:p>
        </w:tc>
        <w:tc>
          <w:tcPr>
            <w:tcW w:w="280" w:type="dxa"/>
            <w:vAlign w:val="bottom"/>
          </w:tcPr>
          <w:p>
            <w:pPr>
              <w:spacing w:after="0"/>
              <w:rPr>
                <w:sz w:val="14"/>
                <w:szCs w:val="14"/>
                <w:color w:val="auto"/>
              </w:rPr>
            </w:pPr>
          </w:p>
        </w:tc>
        <w:tc>
          <w:tcPr>
            <w:tcW w:w="2100" w:type="dxa"/>
            <w:vAlign w:val="bottom"/>
            <w:gridSpan w:val="4"/>
          </w:tcPr>
          <w:p>
            <w:pPr>
              <w:jc w:val="center"/>
              <w:ind w:right="152"/>
              <w:spacing w:after="0"/>
              <w:rPr>
                <w:sz w:val="20"/>
                <w:szCs w:val="20"/>
                <w:color w:val="auto"/>
              </w:rPr>
            </w:pPr>
            <w:r>
              <w:rPr>
                <w:rFonts w:ascii="Arial" w:cs="Arial" w:eastAsia="Arial" w:hAnsi="Arial"/>
                <w:sz w:val="14"/>
                <w:szCs w:val="14"/>
                <w:b w:val="1"/>
                <w:bCs w:val="1"/>
                <w:color w:val="auto"/>
                <w:w w:val="93"/>
              </w:rPr>
              <w:t>Six Months Ended</w:t>
            </w:r>
          </w:p>
        </w:tc>
      </w:tr>
      <w:tr>
        <w:trPr>
          <w:trHeight w:val="192"/>
        </w:trPr>
        <w:tc>
          <w:tcPr>
            <w:tcW w:w="78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center"/>
              <w:ind w:left="476"/>
              <w:spacing w:after="0"/>
              <w:rPr>
                <w:sz w:val="20"/>
                <w:szCs w:val="20"/>
                <w:color w:val="auto"/>
              </w:rPr>
            </w:pPr>
            <w:r>
              <w:rPr>
                <w:rFonts w:ascii="Arial" w:cs="Arial" w:eastAsia="Arial" w:hAnsi="Arial"/>
                <w:sz w:val="14"/>
                <w:szCs w:val="14"/>
                <w:b w:val="1"/>
                <w:bCs w:val="1"/>
                <w:color w:val="auto"/>
                <w:w w:val="92"/>
              </w:rPr>
              <w:t>June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center"/>
              <w:ind w:left="456"/>
              <w:spacing w:after="0"/>
              <w:rPr>
                <w:sz w:val="20"/>
                <w:szCs w:val="20"/>
                <w:color w:val="auto"/>
              </w:rPr>
            </w:pPr>
            <w:r>
              <w:rPr>
                <w:rFonts w:ascii="Arial" w:cs="Arial" w:eastAsia="Arial" w:hAnsi="Arial"/>
                <w:sz w:val="14"/>
                <w:szCs w:val="14"/>
                <w:b w:val="1"/>
                <w:bCs w:val="1"/>
                <w:color w:val="auto"/>
                <w:w w:val="92"/>
              </w:rPr>
              <w:t>June 30,</w:t>
            </w:r>
          </w:p>
        </w:tc>
        <w:tc>
          <w:tcPr>
            <w:tcW w:w="800" w:type="dxa"/>
            <w:vAlign w:val="bottom"/>
            <w:tcBorders>
              <w:bottom w:val="single" w:sz="8" w:color="auto"/>
            </w:tcBorders>
          </w:tcPr>
          <w:p>
            <w:pPr>
              <w:spacing w:after="0"/>
              <w:rPr>
                <w:sz w:val="16"/>
                <w:szCs w:val="16"/>
                <w:color w:val="auto"/>
              </w:rPr>
            </w:pPr>
          </w:p>
        </w:tc>
      </w:tr>
      <w:tr>
        <w:trPr>
          <w:trHeight w:val="229"/>
        </w:trPr>
        <w:tc>
          <w:tcPr>
            <w:tcW w:w="64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80" w:type="dxa"/>
            <w:vAlign w:val="bottom"/>
          </w:tcPr>
          <w:p>
            <w:pPr>
              <w:spacing w:after="0"/>
              <w:rPr>
                <w:sz w:val="19"/>
                <w:szCs w:val="19"/>
                <w:color w:val="auto"/>
              </w:rPr>
            </w:pPr>
          </w:p>
        </w:tc>
        <w:tc>
          <w:tcPr>
            <w:tcW w:w="900" w:type="dxa"/>
            <w:vAlign w:val="bottom"/>
          </w:tcPr>
          <w:p>
            <w:pPr>
              <w:jc w:val="right"/>
              <w:ind w:right="376"/>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36"/>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ind w:right="332"/>
              <w:spacing w:after="0"/>
              <w:rPr>
                <w:sz w:val="20"/>
                <w:szCs w:val="20"/>
                <w:color w:val="auto"/>
              </w:rPr>
            </w:pPr>
            <w:r>
              <w:rPr>
                <w:rFonts w:ascii="Arial" w:cs="Arial" w:eastAsia="Arial" w:hAnsi="Arial"/>
                <w:sz w:val="14"/>
                <w:szCs w:val="14"/>
                <w:b w:val="1"/>
                <w:bCs w:val="1"/>
                <w:color w:val="auto"/>
              </w:rPr>
              <w:t>2018</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534"/>
        </w:trPr>
        <w:tc>
          <w:tcPr>
            <w:tcW w:w="6480" w:type="dxa"/>
            <w:vAlign w:val="bottom"/>
            <w:gridSpan w:val="2"/>
          </w:tcPr>
          <w:p>
            <w:pPr>
              <w:spacing w:after="0"/>
              <w:rPr>
                <w:sz w:val="20"/>
                <w:szCs w:val="20"/>
                <w:color w:val="auto"/>
              </w:rPr>
            </w:pPr>
            <w:r>
              <w:rPr>
                <w:rFonts w:ascii="Arial" w:cs="Arial" w:eastAsia="Arial" w:hAnsi="Arial"/>
                <w:sz w:val="18"/>
                <w:szCs w:val="18"/>
                <w:color w:val="auto"/>
              </w:rPr>
              <w:t>Net income attributable to Wabtec shareholders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104,235</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84,416</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99,763</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172,782</w:t>
            </w:r>
          </w:p>
        </w:tc>
      </w:tr>
      <w:tr>
        <w:trPr>
          <w:trHeight w:val="270"/>
        </w:trPr>
        <w:tc>
          <w:tcPr>
            <w:tcW w:w="6480" w:type="dxa"/>
            <w:vAlign w:val="bottom"/>
            <w:gridSpan w:val="2"/>
          </w:tcPr>
          <w:p>
            <w:pPr>
              <w:spacing w:after="0"/>
              <w:rPr>
                <w:sz w:val="20"/>
                <w:szCs w:val="20"/>
                <w:color w:val="auto"/>
              </w:rPr>
            </w:pPr>
            <w:r>
              <w:rPr>
                <w:rFonts w:ascii="Arial" w:cs="Arial" w:eastAsia="Arial" w:hAnsi="Arial"/>
                <w:sz w:val="18"/>
                <w:szCs w:val="18"/>
                <w:color w:val="auto"/>
              </w:rPr>
              <w:t>Foreign currency translation gain (loss)</w:t>
            </w:r>
          </w:p>
        </w:tc>
        <w:tc>
          <w:tcPr>
            <w:tcW w:w="280" w:type="dxa"/>
            <w:vAlign w:val="bottom"/>
          </w:tcPr>
          <w:p>
            <w:pPr>
              <w:spacing w:after="0"/>
              <w:rPr>
                <w:sz w:val="23"/>
                <w:szCs w:val="23"/>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18,832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5"/>
              </w:rPr>
              <w:t>(192,778)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(27,721)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5"/>
              </w:rPr>
              <w:t>(114,811)</w:t>
            </w:r>
          </w:p>
        </w:tc>
      </w:tr>
      <w:tr>
        <w:trPr>
          <w:trHeight w:val="270"/>
        </w:trPr>
        <w:tc>
          <w:tcPr>
            <w:tcW w:w="6480" w:type="dxa"/>
            <w:vAlign w:val="bottom"/>
            <w:gridSpan w:val="2"/>
          </w:tcPr>
          <w:p>
            <w:pPr>
              <w:spacing w:after="0"/>
              <w:rPr>
                <w:sz w:val="20"/>
                <w:szCs w:val="20"/>
                <w:color w:val="auto"/>
              </w:rPr>
            </w:pPr>
            <w:r>
              <w:rPr>
                <w:rFonts w:ascii="Arial" w:cs="Arial" w:eastAsia="Arial" w:hAnsi="Arial"/>
                <w:sz w:val="18"/>
                <w:szCs w:val="18"/>
                <w:color w:val="auto"/>
              </w:rPr>
              <w:t>Unrealized loss on derivative contracts</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(7,567)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(4,115)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(5,501)</w:t>
            </w:r>
          </w:p>
        </w:tc>
      </w:tr>
      <w:tr>
        <w:trPr>
          <w:trHeight w:val="270"/>
        </w:trPr>
        <w:tc>
          <w:tcPr>
            <w:tcW w:w="6480" w:type="dxa"/>
            <w:vAlign w:val="bottom"/>
            <w:gridSpan w:val="2"/>
          </w:tcPr>
          <w:p>
            <w:pPr>
              <w:spacing w:after="0"/>
              <w:rPr>
                <w:sz w:val="20"/>
                <w:szCs w:val="20"/>
                <w:color w:val="auto"/>
              </w:rPr>
            </w:pPr>
            <w:r>
              <w:rPr>
                <w:rFonts w:ascii="Arial" w:cs="Arial" w:eastAsia="Arial" w:hAnsi="Arial"/>
                <w:sz w:val="18"/>
                <w:szCs w:val="18"/>
                <w:color w:val="auto"/>
              </w:rPr>
              <w:t>Unrealized gain (loss) on pension benefit plans and post-retirement benefit plans</w:t>
            </w:r>
          </w:p>
        </w:tc>
        <w:tc>
          <w:tcPr>
            <w:tcW w:w="280" w:type="dxa"/>
            <w:vAlign w:val="bottom"/>
          </w:tcPr>
          <w:p>
            <w:pPr>
              <w:spacing w:after="0"/>
              <w:rPr>
                <w:sz w:val="23"/>
                <w:szCs w:val="23"/>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1,328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10,665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(2,294)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10,235</w:t>
            </w:r>
          </w:p>
        </w:tc>
      </w:tr>
      <w:tr>
        <w:trPr>
          <w:trHeight w:val="27"/>
        </w:trPr>
        <w:tc>
          <w:tcPr>
            <w:tcW w:w="7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6480" w:type="dxa"/>
            <w:vAlign w:val="bottom"/>
            <w:gridSpan w:val="2"/>
          </w:tcPr>
          <w:p>
            <w:pPr>
              <w:ind w:left="240"/>
              <w:spacing w:after="0"/>
              <w:rPr>
                <w:sz w:val="20"/>
                <w:szCs w:val="20"/>
                <w:color w:val="auto"/>
              </w:rPr>
            </w:pPr>
            <w:r>
              <w:rPr>
                <w:rFonts w:ascii="Arial" w:cs="Arial" w:eastAsia="Arial" w:hAnsi="Arial"/>
                <w:sz w:val="18"/>
                <w:szCs w:val="18"/>
                <w:color w:val="auto"/>
              </w:rPr>
              <w:t>Other comprehensive income (loss) before tax</w:t>
            </w:r>
          </w:p>
        </w:tc>
        <w:tc>
          <w:tcPr>
            <w:tcW w:w="280" w:type="dxa"/>
            <w:vAlign w:val="bottom"/>
          </w:tcPr>
          <w:p>
            <w:pPr>
              <w:spacing w:after="0"/>
              <w:rPr>
                <w:sz w:val="20"/>
                <w:szCs w:val="20"/>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20,138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5"/>
              </w:rPr>
              <w:t>(189,680)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(34,130)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5"/>
              </w:rPr>
              <w:t>(110,077)</w:t>
            </w:r>
          </w:p>
        </w:tc>
      </w:tr>
      <w:tr>
        <w:trPr>
          <w:trHeight w:val="270"/>
        </w:trPr>
        <w:tc>
          <w:tcPr>
            <w:tcW w:w="6480" w:type="dxa"/>
            <w:vAlign w:val="bottom"/>
            <w:gridSpan w:val="2"/>
          </w:tcPr>
          <w:p>
            <w:pPr>
              <w:spacing w:after="0"/>
              <w:rPr>
                <w:sz w:val="20"/>
                <w:szCs w:val="20"/>
                <w:color w:val="auto"/>
              </w:rPr>
            </w:pPr>
            <w:r>
              <w:rPr>
                <w:rFonts w:ascii="Arial" w:cs="Arial" w:eastAsia="Arial" w:hAnsi="Arial"/>
                <w:sz w:val="18"/>
                <w:szCs w:val="18"/>
                <w:color w:val="auto"/>
              </w:rPr>
              <w:t>Income tax (benefit) expense related to components of</w:t>
            </w: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0"/>
        </w:trPr>
        <w:tc>
          <w:tcPr>
            <w:tcW w:w="6480" w:type="dxa"/>
            <w:vAlign w:val="bottom"/>
            <w:gridSpan w:val="2"/>
          </w:tcPr>
          <w:p>
            <w:pPr>
              <w:ind w:left="120"/>
              <w:spacing w:after="0"/>
              <w:rPr>
                <w:sz w:val="20"/>
                <w:szCs w:val="20"/>
                <w:color w:val="auto"/>
              </w:rPr>
            </w:pPr>
            <w:r>
              <w:rPr>
                <w:rFonts w:ascii="Arial" w:cs="Arial" w:eastAsia="Arial" w:hAnsi="Arial"/>
                <w:sz w:val="18"/>
                <w:szCs w:val="18"/>
                <w:color w:val="auto"/>
              </w:rPr>
              <w:t>other comprehensive income</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1,533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(1,132)</w:t>
            </w:r>
          </w:p>
        </w:tc>
      </w:tr>
      <w:tr>
        <w:trPr>
          <w:trHeight w:val="27"/>
        </w:trPr>
        <w:tc>
          <w:tcPr>
            <w:tcW w:w="7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6480" w:type="dxa"/>
            <w:vAlign w:val="bottom"/>
            <w:gridSpan w:val="2"/>
          </w:tcPr>
          <w:p>
            <w:pPr>
              <w:ind w:left="240"/>
              <w:spacing w:after="0"/>
              <w:rPr>
                <w:sz w:val="20"/>
                <w:szCs w:val="20"/>
                <w:color w:val="auto"/>
              </w:rPr>
            </w:pPr>
            <w:r>
              <w:rPr>
                <w:rFonts w:ascii="Arial" w:cs="Arial" w:eastAsia="Arial" w:hAnsi="Arial"/>
                <w:sz w:val="18"/>
                <w:szCs w:val="18"/>
                <w:color w:val="auto"/>
              </w:rPr>
              <w:t>Other comprehensive income (loss), net of tax</w:t>
            </w:r>
          </w:p>
        </w:tc>
        <w:tc>
          <w:tcPr>
            <w:tcW w:w="280" w:type="dxa"/>
            <w:vAlign w:val="bottom"/>
          </w:tcPr>
          <w:p>
            <w:pPr>
              <w:spacing w:after="0"/>
              <w:rPr>
                <w:sz w:val="20"/>
                <w:szCs w:val="20"/>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19,820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5"/>
              </w:rPr>
              <w:t>(190,217)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(32,597)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5"/>
              </w:rPr>
              <w:t>(111,209)</w:t>
            </w:r>
          </w:p>
        </w:tc>
      </w:tr>
      <w:tr>
        <w:trPr>
          <w:trHeight w:val="27"/>
        </w:trPr>
        <w:tc>
          <w:tcPr>
            <w:tcW w:w="7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6480" w:type="dxa"/>
            <w:vAlign w:val="bottom"/>
            <w:gridSpan w:val="2"/>
          </w:tcPr>
          <w:p>
            <w:pPr>
              <w:ind w:left="240"/>
              <w:spacing w:after="0"/>
              <w:rPr>
                <w:sz w:val="20"/>
                <w:szCs w:val="20"/>
                <w:color w:val="auto"/>
              </w:rPr>
            </w:pPr>
            <w:r>
              <w:rPr>
                <w:rFonts w:ascii="Arial" w:cs="Arial" w:eastAsia="Arial" w:hAnsi="Arial"/>
                <w:sz w:val="18"/>
                <w:szCs w:val="18"/>
                <w:color w:val="auto"/>
              </w:rPr>
              <w:t>Comprehensive income (loss) attributable to Wabtec shareholders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124,055</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(105,801)</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67,166</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61,573</w:t>
            </w:r>
          </w:p>
        </w:tc>
      </w:tr>
      <w:tr>
        <w:trPr>
          <w:trHeight w:val="20"/>
        </w:trPr>
        <w:tc>
          <w:tcPr>
            <w:tcW w:w="78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80" w:top="364" w:right="239" w:bottom="1440" w:gutter="0" w:footer="0" w:header="0"/>
        </w:sectPr>
      </w:pPr>
    </w:p>
    <w:bookmarkStart w:id="5" w:name="page6"/>
    <w:bookmarkEnd w:id="5"/>
    <w:p>
      <w:pPr>
        <w:ind w:left="2940"/>
        <w:spacing w:after="0"/>
        <w:rPr>
          <w:sz w:val="20"/>
          <w:szCs w:val="20"/>
          <w:color w:val="auto"/>
        </w:rPr>
      </w:pPr>
      <w:r>
        <w:rPr>
          <w:rFonts w:ascii="Arial" w:cs="Arial" w:eastAsia="Arial" w:hAnsi="Arial"/>
          <w:sz w:val="18"/>
          <w:szCs w:val="18"/>
          <w:b w:val="1"/>
          <w:bCs w:val="1"/>
          <w:color w:val="auto"/>
        </w:rPr>
        <w:t>WESTINGHOUSE AIR BRAKE TECHNOLOGIES CORPORATION</w:t>
      </w:r>
    </w:p>
    <w:p>
      <w:pPr>
        <w:spacing w:after="0" w:line="27"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10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00" w:type="dxa"/>
            <w:vAlign w:val="bottom"/>
            <w:gridSpan w:val="3"/>
          </w:tcPr>
          <w:p>
            <w:pPr>
              <w:jc w:val="center"/>
              <w:ind w:left="472"/>
              <w:spacing w:after="0"/>
              <w:rPr>
                <w:sz w:val="20"/>
                <w:szCs w:val="20"/>
                <w:color w:val="auto"/>
              </w:rPr>
            </w:pPr>
            <w:r>
              <w:rPr>
                <w:rFonts w:ascii="Arial" w:cs="Arial" w:eastAsia="Arial" w:hAnsi="Arial"/>
                <w:sz w:val="14"/>
                <w:szCs w:val="14"/>
                <w:b w:val="1"/>
                <w:bCs w:val="1"/>
                <w:color w:val="auto"/>
                <w:w w:val="96"/>
              </w:rPr>
              <w:t>Unaudited</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10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gridSpan w:val="3"/>
          </w:tcPr>
          <w:p>
            <w:pPr>
              <w:jc w:val="center"/>
              <w:ind w:left="472"/>
              <w:spacing w:after="0"/>
              <w:rPr>
                <w:sz w:val="20"/>
                <w:szCs w:val="20"/>
                <w:color w:val="auto"/>
              </w:rPr>
            </w:pPr>
            <w:r>
              <w:rPr>
                <w:rFonts w:ascii="Arial" w:cs="Arial" w:eastAsia="Arial" w:hAnsi="Arial"/>
                <w:sz w:val="14"/>
                <w:szCs w:val="14"/>
                <w:b w:val="1"/>
                <w:bCs w:val="1"/>
                <w:color w:val="auto"/>
                <w:w w:val="93"/>
              </w:rPr>
              <w:t>Six Months Ended</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10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ind w:left="472"/>
              <w:spacing w:after="0"/>
              <w:rPr>
                <w:sz w:val="20"/>
                <w:szCs w:val="20"/>
                <w:color w:val="auto"/>
              </w:rPr>
            </w:pPr>
            <w:r>
              <w:rPr>
                <w:rFonts w:ascii="Arial" w:cs="Arial" w:eastAsia="Arial" w:hAnsi="Arial"/>
                <w:sz w:val="14"/>
                <w:szCs w:val="14"/>
                <w:b w:val="1"/>
                <w:bCs w:val="1"/>
                <w:color w:val="auto"/>
                <w:w w:val="89"/>
              </w:rPr>
              <w:t>June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5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300" w:type="dxa"/>
            <w:vAlign w:val="bottom"/>
          </w:tcPr>
          <w:p>
            <w:pPr>
              <w:spacing w:after="0"/>
              <w:rPr>
                <w:sz w:val="19"/>
                <w:szCs w:val="19"/>
                <w:color w:val="auto"/>
              </w:rPr>
            </w:pPr>
          </w:p>
        </w:tc>
        <w:tc>
          <w:tcPr>
            <w:tcW w:w="1060" w:type="dxa"/>
            <w:vAlign w:val="bottom"/>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ind w:right="451"/>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1"/>
        </w:trPr>
        <w:tc>
          <w:tcPr>
            <w:tcW w:w="210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b w:val="1"/>
                <w:bCs w:val="1"/>
                <w:color w:val="auto"/>
              </w:rPr>
              <w:t>Operating Activities</w:t>
            </w:r>
          </w:p>
        </w:tc>
        <w:tc>
          <w:tcPr>
            <w:tcW w:w="644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2100" w:type="dxa"/>
            <w:vAlign w:val="bottom"/>
            <w:vMerge w:val="continue"/>
          </w:tcPr>
          <w:p>
            <w:pPr>
              <w:spacing w:after="0"/>
              <w:rPr>
                <w:sz w:val="24"/>
                <w:szCs w:val="24"/>
                <w:color w:val="auto"/>
              </w:rPr>
            </w:pPr>
          </w:p>
        </w:tc>
        <w:tc>
          <w:tcPr>
            <w:tcW w:w="64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98,841</w:t>
            </w:r>
          </w:p>
        </w:tc>
        <w:tc>
          <w:tcPr>
            <w:tcW w:w="120" w:type="dxa"/>
            <w:vAlign w:val="bottom"/>
          </w:tcPr>
          <w:p>
            <w:pPr>
              <w:spacing w:after="0"/>
              <w:rPr>
                <w:sz w:val="23"/>
                <w:szCs w:val="23"/>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170,728</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Adjustments to reconcile net income to cash provided by operations:</w:t>
            </w: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165,064</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53,227</w:t>
            </w: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Stock-based compensation expense</w:t>
            </w:r>
          </w:p>
        </w:tc>
        <w:tc>
          <w:tcPr>
            <w:tcW w:w="3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23,932</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13,983</w:t>
            </w: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Below market intangible amortization</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(9,400)</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Loss on disposal of property, plant and equipment</w:t>
            </w:r>
          </w:p>
        </w:tc>
        <w:tc>
          <w:tcPr>
            <w:tcW w:w="3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461</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1,353</w:t>
            </w: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Changes in operating assets and liabilities, net of acquisitions</w:t>
            </w: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ind w:left="480"/>
              <w:spacing w:after="0"/>
              <w:rPr>
                <w:sz w:val="20"/>
                <w:szCs w:val="20"/>
                <w:color w:val="auto"/>
              </w:rPr>
            </w:pPr>
            <w:r>
              <w:rPr>
                <w:rFonts w:ascii="Arial" w:cs="Arial" w:eastAsia="Arial" w:hAnsi="Arial"/>
                <w:sz w:val="18"/>
                <w:szCs w:val="18"/>
                <w:color w:val="auto"/>
              </w:rPr>
              <w:t>Accounts receivable and unbilled accounts receivable</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(35,705)</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(59,979)</w:t>
            </w:r>
          </w:p>
        </w:tc>
        <w:tc>
          <w:tcPr>
            <w:tcW w:w="0" w:type="dxa"/>
            <w:vAlign w:val="bottom"/>
          </w:tcPr>
          <w:p>
            <w:pPr>
              <w:spacing w:after="0"/>
              <w:rPr>
                <w:sz w:val="1"/>
                <w:szCs w:val="1"/>
                <w:color w:val="auto"/>
              </w:rPr>
            </w:pPr>
          </w:p>
        </w:tc>
      </w:tr>
      <w:tr>
        <w:trPr>
          <w:trHeight w:val="270"/>
        </w:trPr>
        <w:tc>
          <w:tcPr>
            <w:tcW w:w="8540" w:type="dxa"/>
            <w:vAlign w:val="bottom"/>
            <w:gridSpan w:val="2"/>
          </w:tcPr>
          <w:p>
            <w:pPr>
              <w:ind w:left="48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147,424</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(116,131)</w:t>
            </w:r>
          </w:p>
        </w:tc>
        <w:tc>
          <w:tcPr>
            <w:tcW w:w="0" w:type="dxa"/>
            <w:vAlign w:val="bottom"/>
          </w:tcPr>
          <w:p>
            <w:pPr>
              <w:spacing w:after="0"/>
              <w:rPr>
                <w:sz w:val="1"/>
                <w:szCs w:val="1"/>
                <w:color w:val="auto"/>
              </w:rPr>
            </w:pPr>
          </w:p>
        </w:tc>
      </w:tr>
      <w:tr>
        <w:trPr>
          <w:trHeight w:val="270"/>
        </w:trPr>
        <w:tc>
          <w:tcPr>
            <w:tcW w:w="8540" w:type="dxa"/>
            <w:vAlign w:val="bottom"/>
            <w:gridSpan w:val="2"/>
          </w:tcPr>
          <w:p>
            <w:pPr>
              <w:ind w:left="48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(71,935)</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59,411</w:t>
            </w:r>
          </w:p>
        </w:tc>
        <w:tc>
          <w:tcPr>
            <w:tcW w:w="0" w:type="dxa"/>
            <w:vAlign w:val="bottom"/>
          </w:tcPr>
          <w:p>
            <w:pPr>
              <w:spacing w:after="0"/>
              <w:rPr>
                <w:sz w:val="1"/>
                <w:szCs w:val="1"/>
                <w:color w:val="auto"/>
              </w:rPr>
            </w:pPr>
          </w:p>
        </w:tc>
      </w:tr>
      <w:tr>
        <w:trPr>
          <w:trHeight w:val="270"/>
        </w:trPr>
        <w:tc>
          <w:tcPr>
            <w:tcW w:w="8540" w:type="dxa"/>
            <w:vAlign w:val="bottom"/>
            <w:gridSpan w:val="2"/>
          </w:tcPr>
          <w:p>
            <w:pPr>
              <w:ind w:left="480"/>
              <w:spacing w:after="0"/>
              <w:rPr>
                <w:sz w:val="20"/>
                <w:szCs w:val="20"/>
                <w:color w:val="auto"/>
              </w:rPr>
            </w:pPr>
            <w:r>
              <w:rPr>
                <w:rFonts w:ascii="Arial" w:cs="Arial" w:eastAsia="Arial" w:hAnsi="Arial"/>
                <w:sz w:val="18"/>
                <w:szCs w:val="18"/>
                <w:color w:val="auto"/>
              </w:rPr>
              <w:t>Accrued income taxes</w:t>
            </w:r>
          </w:p>
        </w:tc>
        <w:tc>
          <w:tcPr>
            <w:tcW w:w="3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21,399</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70"/>
        </w:trPr>
        <w:tc>
          <w:tcPr>
            <w:tcW w:w="8540" w:type="dxa"/>
            <w:vAlign w:val="bottom"/>
            <w:gridSpan w:val="2"/>
          </w:tcPr>
          <w:p>
            <w:pPr>
              <w:ind w:left="480"/>
              <w:spacing w:after="0"/>
              <w:rPr>
                <w:sz w:val="20"/>
                <w:szCs w:val="20"/>
                <w:color w:val="auto"/>
              </w:rPr>
            </w:pPr>
            <w:r>
              <w:rPr>
                <w:rFonts w:ascii="Arial" w:cs="Arial" w:eastAsia="Arial" w:hAnsi="Arial"/>
                <w:sz w:val="18"/>
                <w:szCs w:val="18"/>
                <w:color w:val="auto"/>
              </w:rPr>
              <w:t>Accrued liabilities and customer deposits</w:t>
            </w:r>
          </w:p>
        </w:tc>
        <w:tc>
          <w:tcPr>
            <w:tcW w:w="3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24,188</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27,545</w:t>
            </w:r>
          </w:p>
        </w:tc>
        <w:tc>
          <w:tcPr>
            <w:tcW w:w="0" w:type="dxa"/>
            <w:vAlign w:val="bottom"/>
          </w:tcPr>
          <w:p>
            <w:pPr>
              <w:spacing w:after="0"/>
              <w:rPr>
                <w:sz w:val="1"/>
                <w:szCs w:val="1"/>
                <w:color w:val="auto"/>
              </w:rPr>
            </w:pPr>
          </w:p>
        </w:tc>
      </w:tr>
      <w:tr>
        <w:trPr>
          <w:trHeight w:val="270"/>
        </w:trPr>
        <w:tc>
          <w:tcPr>
            <w:tcW w:w="8540" w:type="dxa"/>
            <w:vAlign w:val="bottom"/>
            <w:gridSpan w:val="2"/>
          </w:tcPr>
          <w:p>
            <w:pPr>
              <w:ind w:left="480"/>
              <w:spacing w:after="0"/>
              <w:rPr>
                <w:sz w:val="20"/>
                <w:szCs w:val="20"/>
                <w:color w:val="auto"/>
              </w:rPr>
            </w:pPr>
            <w:r>
              <w:rPr>
                <w:rFonts w:ascii="Arial" w:cs="Arial" w:eastAsia="Arial" w:hAnsi="Arial"/>
                <w:sz w:val="18"/>
                <w:szCs w:val="18"/>
                <w:color w:val="auto"/>
              </w:rPr>
              <w:t>Other assets and liabilities</w:t>
            </w:r>
          </w:p>
        </w:tc>
        <w:tc>
          <w:tcPr>
            <w:tcW w:w="3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79,655</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(82,031)</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40" w:type="dxa"/>
            <w:vAlign w:val="bottom"/>
            <w:gridSpan w:val="2"/>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443,924</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67,904</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Purchase of property, plant and equipment</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(61,867)</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(39,723)</w:t>
            </w: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Proceeds from disposal of property, plant and equipment</w:t>
            </w:r>
          </w:p>
        </w:tc>
        <w:tc>
          <w:tcPr>
            <w:tcW w:w="3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3,055</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8,900</w:t>
            </w: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Acquisitions of businesses, net of cash acquired</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(2,981,552)</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(38,277)</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40" w:type="dxa"/>
            <w:vAlign w:val="bottom"/>
            <w:gridSpan w:val="2"/>
          </w:tcPr>
          <w:p>
            <w:pPr>
              <w:ind w:left="720"/>
              <w:spacing w:after="0"/>
              <w:rPr>
                <w:sz w:val="20"/>
                <w:szCs w:val="20"/>
                <w:color w:val="auto"/>
              </w:rPr>
            </w:pPr>
            <w:r>
              <w:rPr>
                <w:rFonts w:ascii="Arial" w:cs="Arial" w:eastAsia="Arial" w:hAnsi="Arial"/>
                <w:sz w:val="18"/>
                <w:szCs w:val="18"/>
                <w:color w:val="auto"/>
              </w:rPr>
              <w:t>Net cash used for investing activities</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(3,040,364)</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(69,100)</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Proceeds from debt</w:t>
            </w:r>
          </w:p>
        </w:tc>
        <w:tc>
          <w:tcPr>
            <w:tcW w:w="3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2,325,934</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591,890</w:t>
            </w: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Payments of debt</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(1,552,121)</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(546,394)</w:t>
            </w: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Proceeds from exercise of stock options and other benefit plans</w:t>
            </w:r>
          </w:p>
        </w:tc>
        <w:tc>
          <w:tcPr>
            <w:tcW w:w="3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775</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6,867</w:t>
            </w: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Payment of income tax withholding on share-based compensation</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(4,117)</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(6,503)</w:t>
            </w: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Payment of contingent consideration on acquisitions</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(10,100)</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Cash dividends</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(34,263)</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(23,096)</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40" w:type="dxa"/>
            <w:vAlign w:val="bottom"/>
            <w:gridSpan w:val="2"/>
          </w:tcPr>
          <w:p>
            <w:pPr>
              <w:ind w:left="720"/>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726,108</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22,764</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Effect of changes in currency exchange rates</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(10,651)</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(9,395)</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(Decrease) increase in cash</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(1,880,983)</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12,173</w:t>
            </w:r>
          </w:p>
        </w:tc>
        <w:tc>
          <w:tcPr>
            <w:tcW w:w="0" w:type="dxa"/>
            <w:vAlign w:val="bottom"/>
          </w:tcPr>
          <w:p>
            <w:pPr>
              <w:spacing w:after="0"/>
              <w:rPr>
                <w:sz w:val="1"/>
                <w:szCs w:val="1"/>
                <w:color w:val="auto"/>
              </w:rPr>
            </w:pPr>
          </w:p>
        </w:tc>
      </w:tr>
      <w:tr>
        <w:trPr>
          <w:trHeight w:val="270"/>
        </w:trPr>
        <w:tc>
          <w:tcPr>
            <w:tcW w:w="8540" w:type="dxa"/>
            <w:vAlign w:val="bottom"/>
            <w:gridSpan w:val="2"/>
          </w:tcPr>
          <w:p>
            <w:pPr>
              <w:ind w:left="480"/>
              <w:spacing w:after="0"/>
              <w:rPr>
                <w:sz w:val="20"/>
                <w:szCs w:val="20"/>
                <w:color w:val="auto"/>
              </w:rPr>
            </w:pPr>
            <w:r>
              <w:rPr>
                <w:rFonts w:ascii="Arial" w:cs="Arial" w:eastAsia="Arial" w:hAnsi="Arial"/>
                <w:sz w:val="18"/>
                <w:szCs w:val="18"/>
                <w:color w:val="auto"/>
              </w:rPr>
              <w:t>Cash, cash equivalents and restricted cash beginning of period</w:t>
            </w:r>
          </w:p>
        </w:tc>
        <w:tc>
          <w:tcPr>
            <w:tcW w:w="3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2,342,354</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233,401</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40" w:type="dxa"/>
            <w:vAlign w:val="bottom"/>
            <w:gridSpan w:val="2"/>
          </w:tcPr>
          <w:p>
            <w:pPr>
              <w:ind w:left="480"/>
              <w:spacing w:after="0"/>
              <w:rPr>
                <w:sz w:val="20"/>
                <w:szCs w:val="20"/>
                <w:color w:val="auto"/>
              </w:rPr>
            </w:pPr>
            <w:r>
              <w:rPr>
                <w:rFonts w:ascii="Arial" w:cs="Arial" w:eastAsia="Arial" w:hAnsi="Arial"/>
                <w:sz w:val="18"/>
                <w:szCs w:val="18"/>
                <w:color w:val="auto"/>
              </w:rPr>
              <w:t>Cash and cash equivalents end of period</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461,371</w:t>
            </w:r>
          </w:p>
        </w:tc>
        <w:tc>
          <w:tcPr>
            <w:tcW w:w="120" w:type="dxa"/>
            <w:vAlign w:val="bottom"/>
          </w:tcPr>
          <w:p>
            <w:pPr>
              <w:spacing w:after="0"/>
              <w:rPr>
                <w:sz w:val="22"/>
                <w:szCs w:val="22"/>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245,574</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80" w:top="364" w:right="239" w:bottom="1440" w:gutter="0" w:footer="0" w:header="0"/>
        </w:sectPr>
      </w:pPr>
    </w:p>
    <w:bookmarkStart w:id="6" w:name="page7"/>
    <w:bookmarkEnd w:id="6"/>
    <w:p>
      <w:pPr>
        <w:ind w:left="2940"/>
        <w:spacing w:after="0"/>
        <w:rPr>
          <w:sz w:val="20"/>
          <w:szCs w:val="20"/>
          <w:color w:val="auto"/>
        </w:rPr>
      </w:pPr>
      <w:r>
        <w:rPr>
          <w:rFonts w:ascii="Arial" w:cs="Arial" w:eastAsia="Arial" w:hAnsi="Arial"/>
          <w:sz w:val="18"/>
          <w:szCs w:val="18"/>
          <w:b w:val="1"/>
          <w:bCs w:val="1"/>
          <w:color w:val="auto"/>
        </w:rPr>
        <w:t>WESTINGHOUSE AIR BRAKE TECHNOLOGIES CORPORATION</w:t>
      </w:r>
    </w:p>
    <w:p>
      <w:pPr>
        <w:spacing w:after="0" w:line="27"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(Unaudited)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Common</w:t>
            </w:r>
          </w:p>
        </w:tc>
        <w:tc>
          <w:tcPr>
            <w:tcW w:w="120" w:type="dxa"/>
            <w:vAlign w:val="bottom"/>
          </w:tcPr>
          <w:p>
            <w:pPr>
              <w:spacing w:after="0"/>
              <w:rPr>
                <w:sz w:val="13"/>
                <w:szCs w:val="13"/>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Common</w:t>
            </w:r>
          </w:p>
        </w:tc>
        <w:tc>
          <w:tcPr>
            <w:tcW w:w="140" w:type="dxa"/>
            <w:vAlign w:val="bottom"/>
          </w:tcPr>
          <w:p>
            <w:pPr>
              <w:spacing w:after="0"/>
              <w:rPr>
                <w:sz w:val="13"/>
                <w:szCs w:val="13"/>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1"/>
              </w:rPr>
              <w:t>Additional</w:t>
            </w:r>
          </w:p>
        </w:tc>
        <w:tc>
          <w:tcPr>
            <w:tcW w:w="10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7"/>
              </w:rPr>
              <w:t>Treasury</w:t>
            </w:r>
          </w:p>
        </w:tc>
        <w:tc>
          <w:tcPr>
            <w:tcW w:w="100" w:type="dxa"/>
            <w:vAlign w:val="bottom"/>
          </w:tcPr>
          <w:p>
            <w:pPr>
              <w:spacing w:after="0"/>
              <w:rPr>
                <w:sz w:val="13"/>
                <w:szCs w:val="13"/>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Treasury</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3"/>
                <w:szCs w:val="13"/>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4"/>
              </w:rPr>
              <w:t>Non-</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4"/>
              </w:rPr>
              <w:t>Stock</w:t>
            </w:r>
          </w:p>
        </w:tc>
        <w:tc>
          <w:tcPr>
            <w:tcW w:w="120" w:type="dxa"/>
            <w:vAlign w:val="bottom"/>
          </w:tcPr>
          <w:p>
            <w:pPr>
              <w:spacing w:after="0"/>
              <w:rPr>
                <w:sz w:val="14"/>
                <w:szCs w:val="14"/>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4"/>
              </w:rPr>
              <w:t>Stock</w:t>
            </w:r>
          </w:p>
        </w:tc>
        <w:tc>
          <w:tcPr>
            <w:tcW w:w="14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Paid-in</w:t>
            </w:r>
          </w:p>
        </w:tc>
        <w:tc>
          <w:tcPr>
            <w:tcW w:w="10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4"/>
              </w:rPr>
              <w:t>Stock</w:t>
            </w:r>
          </w:p>
        </w:tc>
        <w:tc>
          <w:tcPr>
            <w:tcW w:w="10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4"/>
              </w:rPr>
              <w:t>Stock</w:t>
            </w:r>
          </w:p>
        </w:tc>
        <w:tc>
          <w:tcPr>
            <w:tcW w:w="12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controlling</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340" w:type="dxa"/>
            <w:vAlign w:val="bottom"/>
            <w:gridSpan w:val="2"/>
          </w:tcPr>
          <w:p>
            <w:pPr>
              <w:spacing w:after="0"/>
              <w:rPr>
                <w:sz w:val="20"/>
                <w:szCs w:val="20"/>
                <w:color w:val="auto"/>
              </w:rPr>
            </w:pPr>
            <w:r>
              <w:rPr>
                <w:rFonts w:ascii="Arial" w:cs="Arial" w:eastAsia="Arial" w:hAnsi="Arial"/>
                <w:sz w:val="11"/>
                <w:szCs w:val="11"/>
                <w:b w:val="1"/>
                <w:bCs w:val="1"/>
                <w:i w:val="1"/>
                <w:iCs w:val="1"/>
                <w:color w:val="auto"/>
                <w:w w:val="95"/>
              </w:rPr>
              <w:t>In thousands, except share and per share data</w:t>
            </w:r>
          </w:p>
        </w:tc>
        <w:tc>
          <w:tcPr>
            <w:tcW w:w="1160" w:type="dxa"/>
            <w:vAlign w:val="bottom"/>
            <w:gridSpan w:val="2"/>
          </w:tcPr>
          <w:p>
            <w:pPr>
              <w:jc w:val="center"/>
              <w:ind w:right="120"/>
              <w:spacing w:after="0" w:line="131" w:lineRule="exact"/>
              <w:rPr>
                <w:sz w:val="20"/>
                <w:szCs w:val="20"/>
                <w:color w:val="auto"/>
              </w:rPr>
            </w:pPr>
            <w:r>
              <w:rPr>
                <w:rFonts w:ascii="Arial" w:cs="Arial" w:eastAsia="Arial" w:hAnsi="Arial"/>
                <w:sz w:val="13"/>
                <w:szCs w:val="13"/>
                <w:b w:val="1"/>
                <w:bCs w:val="1"/>
                <w:color w:val="auto"/>
                <w:w w:val="82"/>
              </w:rPr>
              <w:t>Shares</w:t>
            </w:r>
          </w:p>
        </w:tc>
        <w:tc>
          <w:tcPr>
            <w:tcW w:w="120" w:type="dxa"/>
            <w:vAlign w:val="bottom"/>
          </w:tcPr>
          <w:p>
            <w:pPr>
              <w:spacing w:after="0"/>
              <w:rPr>
                <w:sz w:val="13"/>
                <w:szCs w:val="13"/>
                <w:color w:val="auto"/>
              </w:rPr>
            </w:pPr>
          </w:p>
        </w:tc>
        <w:tc>
          <w:tcPr>
            <w:tcW w:w="800" w:type="dxa"/>
            <w:vAlign w:val="bottom"/>
            <w:gridSpan w:val="2"/>
          </w:tcPr>
          <w:p>
            <w:pPr>
              <w:jc w:val="center"/>
              <w:ind w:right="240"/>
              <w:spacing w:after="0" w:line="131" w:lineRule="exact"/>
              <w:rPr>
                <w:sz w:val="20"/>
                <w:szCs w:val="20"/>
                <w:color w:val="auto"/>
              </w:rPr>
            </w:pPr>
            <w:r>
              <w:rPr>
                <w:rFonts w:ascii="Arial" w:cs="Arial" w:eastAsia="Arial" w:hAnsi="Arial"/>
                <w:sz w:val="13"/>
                <w:szCs w:val="13"/>
                <w:b w:val="1"/>
                <w:bCs w:val="1"/>
                <w:color w:val="auto"/>
                <w:w w:val="89"/>
              </w:rPr>
              <w:t>Amount</w:t>
            </w:r>
          </w:p>
        </w:tc>
        <w:tc>
          <w:tcPr>
            <w:tcW w:w="140" w:type="dxa"/>
            <w:vAlign w:val="bottom"/>
          </w:tcPr>
          <w:p>
            <w:pPr>
              <w:spacing w:after="0"/>
              <w:rPr>
                <w:sz w:val="13"/>
                <w:szCs w:val="13"/>
                <w:color w:val="auto"/>
              </w:rPr>
            </w:pPr>
          </w:p>
        </w:tc>
        <w:tc>
          <w:tcPr>
            <w:tcW w:w="900" w:type="dxa"/>
            <w:vAlign w:val="bottom"/>
            <w:gridSpan w:val="2"/>
          </w:tcPr>
          <w:p>
            <w:pPr>
              <w:jc w:val="center"/>
              <w:ind w:right="260"/>
              <w:spacing w:after="0" w:line="131" w:lineRule="exact"/>
              <w:rPr>
                <w:sz w:val="20"/>
                <w:szCs w:val="20"/>
                <w:color w:val="auto"/>
              </w:rPr>
            </w:pPr>
            <w:r>
              <w:rPr>
                <w:rFonts w:ascii="Arial" w:cs="Arial" w:eastAsia="Arial" w:hAnsi="Arial"/>
                <w:sz w:val="13"/>
                <w:szCs w:val="13"/>
                <w:b w:val="1"/>
                <w:bCs w:val="1"/>
                <w:color w:val="auto"/>
                <w:w w:val="92"/>
              </w:rPr>
              <w:t>Capital</w:t>
            </w:r>
          </w:p>
        </w:tc>
        <w:tc>
          <w:tcPr>
            <w:tcW w:w="1040" w:type="dxa"/>
            <w:vAlign w:val="bottom"/>
            <w:gridSpan w:val="2"/>
          </w:tcPr>
          <w:p>
            <w:pPr>
              <w:jc w:val="center"/>
              <w:ind w:right="120"/>
              <w:spacing w:after="0" w:line="131" w:lineRule="exact"/>
              <w:rPr>
                <w:sz w:val="20"/>
                <w:szCs w:val="20"/>
                <w:color w:val="auto"/>
              </w:rPr>
            </w:pPr>
            <w:r>
              <w:rPr>
                <w:rFonts w:ascii="Arial" w:cs="Arial" w:eastAsia="Arial" w:hAnsi="Arial"/>
                <w:sz w:val="13"/>
                <w:szCs w:val="13"/>
                <w:b w:val="1"/>
                <w:bCs w:val="1"/>
                <w:color w:val="auto"/>
                <w:w w:val="82"/>
              </w:rPr>
              <w:t>Shares</w:t>
            </w:r>
          </w:p>
        </w:tc>
        <w:tc>
          <w:tcPr>
            <w:tcW w:w="100" w:type="dxa"/>
            <w:vAlign w:val="bottom"/>
          </w:tcPr>
          <w:p>
            <w:pPr>
              <w:spacing w:after="0"/>
              <w:rPr>
                <w:sz w:val="13"/>
                <w:szCs w:val="13"/>
                <w:color w:val="auto"/>
              </w:rPr>
            </w:pPr>
          </w:p>
        </w:tc>
        <w:tc>
          <w:tcPr>
            <w:tcW w:w="760" w:type="dxa"/>
            <w:vAlign w:val="bottom"/>
            <w:gridSpan w:val="2"/>
          </w:tcPr>
          <w:p>
            <w:pPr>
              <w:jc w:val="center"/>
              <w:ind w:right="200"/>
              <w:spacing w:after="0" w:line="131" w:lineRule="exact"/>
              <w:rPr>
                <w:sz w:val="20"/>
                <w:szCs w:val="20"/>
                <w:color w:val="auto"/>
              </w:rPr>
            </w:pPr>
            <w:r>
              <w:rPr>
                <w:rFonts w:ascii="Arial" w:cs="Arial" w:eastAsia="Arial" w:hAnsi="Arial"/>
                <w:sz w:val="13"/>
                <w:szCs w:val="13"/>
                <w:b w:val="1"/>
                <w:bCs w:val="1"/>
                <w:color w:val="auto"/>
                <w:w w:val="89"/>
              </w:rPr>
              <w:t>Amount</w:t>
            </w:r>
          </w:p>
        </w:tc>
        <w:tc>
          <w:tcPr>
            <w:tcW w:w="120" w:type="dxa"/>
            <w:vAlign w:val="bottom"/>
          </w:tcPr>
          <w:p>
            <w:pPr>
              <w:spacing w:after="0"/>
              <w:rPr>
                <w:sz w:val="13"/>
                <w:szCs w:val="13"/>
                <w:color w:val="auto"/>
              </w:rPr>
            </w:pPr>
          </w:p>
        </w:tc>
        <w:tc>
          <w:tcPr>
            <w:tcW w:w="760" w:type="dxa"/>
            <w:vAlign w:val="bottom"/>
            <w:gridSpan w:val="2"/>
          </w:tcPr>
          <w:p>
            <w:pPr>
              <w:ind w:left="20"/>
              <w:spacing w:after="0" w:line="131" w:lineRule="exact"/>
              <w:rPr>
                <w:sz w:val="20"/>
                <w:szCs w:val="20"/>
                <w:color w:val="auto"/>
              </w:rPr>
            </w:pPr>
            <w:r>
              <w:rPr>
                <w:rFonts w:ascii="Arial" w:cs="Arial" w:eastAsia="Arial" w:hAnsi="Arial"/>
                <w:sz w:val="13"/>
                <w:szCs w:val="13"/>
                <w:b w:val="1"/>
                <w:bCs w:val="1"/>
                <w:color w:val="auto"/>
              </w:rPr>
              <w:t>Earnings</w:t>
            </w:r>
          </w:p>
        </w:tc>
        <w:tc>
          <w:tcPr>
            <w:tcW w:w="120" w:type="dxa"/>
            <w:vAlign w:val="bottom"/>
          </w:tcPr>
          <w:p>
            <w:pPr>
              <w:spacing w:after="0"/>
              <w:rPr>
                <w:sz w:val="13"/>
                <w:szCs w:val="13"/>
                <w:color w:val="auto"/>
              </w:rPr>
            </w:pPr>
          </w:p>
        </w:tc>
        <w:tc>
          <w:tcPr>
            <w:tcW w:w="1100" w:type="dxa"/>
            <w:vAlign w:val="bottom"/>
            <w:gridSpan w:val="2"/>
          </w:tcPr>
          <w:p>
            <w:pPr>
              <w:jc w:val="center"/>
              <w:ind w:right="220"/>
              <w:spacing w:after="0" w:line="131" w:lineRule="exact"/>
              <w:rPr>
                <w:sz w:val="20"/>
                <w:szCs w:val="20"/>
                <w:color w:val="auto"/>
              </w:rPr>
            </w:pPr>
            <w:r>
              <w:rPr>
                <w:rFonts w:ascii="Arial" w:cs="Arial" w:eastAsia="Arial" w:hAnsi="Arial"/>
                <w:sz w:val="13"/>
                <w:szCs w:val="13"/>
                <w:b w:val="1"/>
                <w:bCs w:val="1"/>
                <w:color w:val="auto"/>
                <w:w w:val="86"/>
              </w:rPr>
              <w:t>Comprehensive</w:t>
            </w:r>
          </w:p>
        </w:tc>
        <w:tc>
          <w:tcPr>
            <w:tcW w:w="120" w:type="dxa"/>
            <w:vAlign w:val="bottom"/>
          </w:tcPr>
          <w:p>
            <w:pPr>
              <w:spacing w:after="0"/>
              <w:rPr>
                <w:sz w:val="13"/>
                <w:szCs w:val="13"/>
                <w:color w:val="auto"/>
              </w:rPr>
            </w:pPr>
          </w:p>
        </w:tc>
        <w:tc>
          <w:tcPr>
            <w:tcW w:w="860" w:type="dxa"/>
            <w:vAlign w:val="bottom"/>
            <w:gridSpan w:val="2"/>
          </w:tcPr>
          <w:p>
            <w:pPr>
              <w:jc w:val="center"/>
              <w:ind w:right="200"/>
              <w:spacing w:after="0" w:line="131" w:lineRule="exact"/>
              <w:rPr>
                <w:sz w:val="20"/>
                <w:szCs w:val="20"/>
                <w:color w:val="auto"/>
              </w:rPr>
            </w:pPr>
            <w:r>
              <w:rPr>
                <w:rFonts w:ascii="Arial" w:cs="Arial" w:eastAsia="Arial" w:hAnsi="Arial"/>
                <w:sz w:val="13"/>
                <w:szCs w:val="13"/>
                <w:b w:val="1"/>
                <w:bCs w:val="1"/>
                <w:color w:val="auto"/>
                <w:w w:val="89"/>
              </w:rPr>
              <w:t>Interest</w:t>
            </w:r>
          </w:p>
        </w:tc>
        <w:tc>
          <w:tcPr>
            <w:tcW w:w="160" w:type="dxa"/>
            <w:vAlign w:val="bottom"/>
          </w:tcPr>
          <w:p>
            <w:pPr>
              <w:spacing w:after="0"/>
              <w:rPr>
                <w:sz w:val="13"/>
                <w:szCs w:val="13"/>
                <w:color w:val="auto"/>
              </w:rPr>
            </w:pPr>
          </w:p>
        </w:tc>
        <w:tc>
          <w:tcPr>
            <w:tcW w:w="620" w:type="dxa"/>
            <w:vAlign w:val="bottom"/>
          </w:tcPr>
          <w:p>
            <w:pPr>
              <w:jc w:val="right"/>
              <w:ind w:right="186"/>
              <w:spacing w:after="0" w:line="131"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3"/>
        </w:trPr>
        <w:tc>
          <w:tcPr>
            <w:tcW w:w="2040" w:type="dxa"/>
            <w:vAlign w:val="bottom"/>
            <w:tcBorders>
              <w:top w:val="single" w:sz="8" w:color="auto"/>
            </w:tcBorders>
            <w:vMerge w:val="restart"/>
          </w:tcPr>
          <w:p>
            <w:pPr>
              <w:spacing w:after="0"/>
              <w:rPr>
                <w:sz w:val="20"/>
                <w:szCs w:val="20"/>
                <w:color w:val="auto"/>
              </w:rPr>
            </w:pPr>
            <w:r>
              <w:rPr>
                <w:rFonts w:ascii="Arial" w:cs="Arial" w:eastAsia="Arial" w:hAnsi="Arial"/>
                <w:sz w:val="13"/>
                <w:szCs w:val="13"/>
                <w:b w:val="1"/>
                <w:bCs w:val="1"/>
                <w:color w:val="auto"/>
              </w:rPr>
              <w:t>Balance, December 31, 2017</w:t>
            </w:r>
          </w:p>
        </w:tc>
        <w:tc>
          <w:tcPr>
            <w:tcW w:w="300" w:type="dxa"/>
            <w:vAlign w:val="bottom"/>
            <w:vMerge w:val="restart"/>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78"/>
              </w:rPr>
              <w:t>Loss</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2040" w:type="dxa"/>
            <w:vAlign w:val="bottom"/>
            <w:tcBorders>
              <w:top w:val="single" w:sz="8" w:color="auto"/>
            </w:tcBorders>
            <w:vMerge w:val="continue"/>
          </w:tcPr>
          <w:p>
            <w:pPr>
              <w:spacing w:after="0"/>
              <w:rPr>
                <w:sz w:val="20"/>
                <w:szCs w:val="20"/>
                <w:color w:val="auto"/>
              </w:rPr>
            </w:pPr>
          </w:p>
        </w:tc>
        <w:tc>
          <w:tcPr>
            <w:tcW w:w="300" w:type="dxa"/>
            <w:vAlign w:val="bottom"/>
            <w:vMerge w:val="continue"/>
          </w:tcPr>
          <w:p>
            <w:pPr>
              <w:spacing w:after="0"/>
              <w:rPr>
                <w:sz w:val="20"/>
                <w:szCs w:val="20"/>
                <w:color w:val="auto"/>
              </w:rPr>
            </w:pPr>
          </w:p>
        </w:tc>
        <w:tc>
          <w:tcPr>
            <w:tcW w:w="1040" w:type="dxa"/>
            <w:vAlign w:val="bottom"/>
            <w:tcBorders>
              <w:top w:val="single" w:sz="8" w:color="auto"/>
            </w:tcBorders>
          </w:tcPr>
          <w:p>
            <w:pPr>
              <w:jc w:val="right"/>
              <w:ind w:right="85"/>
              <w:spacing w:after="0"/>
              <w:rPr>
                <w:sz w:val="20"/>
                <w:szCs w:val="20"/>
                <w:color w:val="auto"/>
              </w:rPr>
            </w:pPr>
            <w:r>
              <w:rPr>
                <w:rFonts w:ascii="Arial" w:cs="Arial" w:eastAsia="Arial" w:hAnsi="Arial"/>
                <w:sz w:val="11"/>
                <w:szCs w:val="11"/>
                <w:color w:val="auto"/>
              </w:rPr>
              <w:t>132,349,534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65"/>
              <w:spacing w:after="0"/>
              <w:rPr>
                <w:sz w:val="20"/>
                <w:szCs w:val="20"/>
                <w:color w:val="auto"/>
              </w:rPr>
            </w:pPr>
            <w:r>
              <w:rPr>
                <w:rFonts w:ascii="Arial" w:cs="Arial" w:eastAsia="Arial" w:hAnsi="Arial"/>
                <w:sz w:val="11"/>
                <w:szCs w:val="11"/>
                <w:color w:val="auto"/>
              </w:rPr>
              <w:t>1,323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65"/>
              <w:spacing w:after="0"/>
              <w:rPr>
                <w:sz w:val="20"/>
                <w:szCs w:val="20"/>
                <w:color w:val="auto"/>
              </w:rPr>
            </w:pPr>
            <w:r>
              <w:rPr>
                <w:rFonts w:ascii="Arial" w:cs="Arial" w:eastAsia="Arial" w:hAnsi="Arial"/>
                <w:sz w:val="11"/>
                <w:szCs w:val="11"/>
                <w:color w:val="auto"/>
              </w:rPr>
              <w:t>906,616</w:t>
            </w:r>
          </w:p>
        </w:tc>
        <w:tc>
          <w:tcPr>
            <w:tcW w:w="120" w:type="dxa"/>
            <w:vAlign w:val="bottom"/>
          </w:tcPr>
          <w:p>
            <w:pPr>
              <w:spacing w:after="0"/>
              <w:rPr>
                <w:sz w:val="20"/>
                <w:szCs w:val="20"/>
                <w:color w:val="auto"/>
              </w:rPr>
            </w:pPr>
          </w:p>
        </w:tc>
        <w:tc>
          <w:tcPr>
            <w:tcW w:w="920" w:type="dxa"/>
            <w:vAlign w:val="bottom"/>
            <w:tcBorders>
              <w:top w:val="single" w:sz="8" w:color="auto"/>
            </w:tcBorders>
          </w:tcPr>
          <w:p>
            <w:pPr>
              <w:jc w:val="right"/>
              <w:ind w:right="25"/>
              <w:spacing w:after="0"/>
              <w:rPr>
                <w:sz w:val="20"/>
                <w:szCs w:val="20"/>
                <w:color w:val="auto"/>
              </w:rPr>
            </w:pPr>
            <w:r>
              <w:rPr>
                <w:rFonts w:ascii="Arial" w:cs="Arial" w:eastAsia="Arial" w:hAnsi="Arial"/>
                <w:sz w:val="11"/>
                <w:szCs w:val="11"/>
                <w:color w:val="auto"/>
              </w:rPr>
              <w:t>(36,315,182)</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25"/>
              <w:spacing w:after="0"/>
              <w:rPr>
                <w:sz w:val="20"/>
                <w:szCs w:val="20"/>
                <w:color w:val="auto"/>
              </w:rPr>
            </w:pPr>
            <w:r>
              <w:rPr>
                <w:rFonts w:ascii="Arial" w:cs="Arial" w:eastAsia="Arial" w:hAnsi="Arial"/>
                <w:sz w:val="11"/>
                <w:szCs w:val="11"/>
                <w:color w:val="auto"/>
              </w:rPr>
              <w:t>(827,379)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45"/>
              <w:spacing w:after="0"/>
              <w:rPr>
                <w:sz w:val="20"/>
                <w:szCs w:val="20"/>
                <w:color w:val="auto"/>
              </w:rPr>
            </w:pPr>
            <w:r>
              <w:rPr>
                <w:rFonts w:ascii="Arial" w:cs="Arial" w:eastAsia="Arial" w:hAnsi="Arial"/>
                <w:sz w:val="11"/>
                <w:szCs w:val="11"/>
                <w:color w:val="auto"/>
              </w:rPr>
              <w:t>2,773,300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25"/>
              <w:spacing w:after="0"/>
              <w:rPr>
                <w:sz w:val="20"/>
                <w:szCs w:val="20"/>
                <w:color w:val="auto"/>
              </w:rPr>
            </w:pPr>
            <w:r>
              <w:rPr>
                <w:rFonts w:ascii="Arial" w:cs="Arial" w:eastAsia="Arial" w:hAnsi="Arial"/>
                <w:sz w:val="11"/>
                <w:szCs w:val="11"/>
                <w:color w:val="auto"/>
              </w:rPr>
              <w:t>(44,992)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45"/>
              <w:spacing w:after="0"/>
              <w:rPr>
                <w:sz w:val="20"/>
                <w:szCs w:val="20"/>
                <w:color w:val="auto"/>
              </w:rPr>
            </w:pPr>
            <w:r>
              <w:rPr>
                <w:rFonts w:ascii="Arial" w:cs="Arial" w:eastAsia="Arial" w:hAnsi="Arial"/>
                <w:sz w:val="11"/>
                <w:szCs w:val="11"/>
                <w:color w:val="auto"/>
              </w:rPr>
              <w:t>19,664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w w:val="97"/>
              </w:rPr>
              <w:t>2,828,532</w:t>
            </w:r>
          </w:p>
        </w:tc>
        <w:tc>
          <w:tcPr>
            <w:tcW w:w="0" w:type="dxa"/>
            <w:vAlign w:val="bottom"/>
          </w:tcPr>
          <w:p>
            <w:pPr>
              <w:spacing w:after="0"/>
              <w:rPr>
                <w:sz w:val="1"/>
                <w:szCs w:val="1"/>
                <w:color w:val="auto"/>
              </w:rPr>
            </w:pPr>
          </w:p>
        </w:tc>
      </w:tr>
      <w:tr>
        <w:trPr>
          <w:trHeight w:val="270"/>
        </w:trPr>
        <w:tc>
          <w:tcPr>
            <w:tcW w:w="2340" w:type="dxa"/>
            <w:vAlign w:val="bottom"/>
            <w:gridSpan w:val="2"/>
          </w:tcPr>
          <w:p>
            <w:pPr>
              <w:spacing w:after="0"/>
              <w:rPr>
                <w:sz w:val="20"/>
                <w:szCs w:val="20"/>
                <w:color w:val="auto"/>
              </w:rPr>
            </w:pPr>
            <w:r>
              <w:rPr>
                <w:rFonts w:ascii="Arial" w:cs="Arial" w:eastAsia="Arial" w:hAnsi="Arial"/>
                <w:sz w:val="13"/>
                <w:szCs w:val="13"/>
                <w:color w:val="auto"/>
                <w:w w:val="94"/>
              </w:rPr>
              <w:t>Cash dividends ($0.12 dividend per share)</w:t>
            </w:r>
          </w:p>
        </w:tc>
        <w:tc>
          <w:tcPr>
            <w:tcW w:w="11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660" w:type="dxa"/>
            <w:vAlign w:val="bottom"/>
          </w:tcPr>
          <w:p>
            <w:pPr>
              <w:jc w:val="right"/>
              <w:ind w:right="25"/>
              <w:spacing w:after="0"/>
              <w:rPr>
                <w:sz w:val="20"/>
                <w:szCs w:val="20"/>
                <w:color w:val="auto"/>
              </w:rPr>
            </w:pPr>
            <w:r>
              <w:rPr>
                <w:rFonts w:ascii="Arial" w:cs="Arial" w:eastAsia="Arial" w:hAnsi="Arial"/>
                <w:sz w:val="11"/>
                <w:szCs w:val="11"/>
                <w:color w:val="auto"/>
              </w:rPr>
              <w:t>(11,531)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(11,531)</w:t>
            </w:r>
          </w:p>
        </w:tc>
        <w:tc>
          <w:tcPr>
            <w:tcW w:w="0" w:type="dxa"/>
            <w:vAlign w:val="bottom"/>
          </w:tcPr>
          <w:p>
            <w:pPr>
              <w:spacing w:after="0"/>
              <w:rPr>
                <w:sz w:val="1"/>
                <w:szCs w:val="1"/>
                <w:color w:val="auto"/>
              </w:rPr>
            </w:pPr>
          </w:p>
        </w:tc>
      </w:tr>
      <w:tr>
        <w:trPr>
          <w:trHeight w:val="164"/>
        </w:trPr>
        <w:tc>
          <w:tcPr>
            <w:tcW w:w="2340" w:type="dxa"/>
            <w:vAlign w:val="bottom"/>
            <w:gridSpan w:val="2"/>
          </w:tcPr>
          <w:p>
            <w:pPr>
              <w:spacing w:after="0"/>
              <w:rPr>
                <w:sz w:val="20"/>
                <w:szCs w:val="20"/>
                <w:color w:val="auto"/>
              </w:rPr>
            </w:pPr>
            <w:r>
              <w:rPr>
                <w:rFonts w:ascii="Arial" w:cs="Arial" w:eastAsia="Arial" w:hAnsi="Arial"/>
                <w:sz w:val="13"/>
                <w:szCs w:val="13"/>
                <w:color w:val="auto"/>
                <w:w w:val="96"/>
              </w:rPr>
              <w:t>Proceeds from treasury stock issued from</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340" w:type="dxa"/>
            <w:vAlign w:val="bottom"/>
            <w:gridSpan w:val="2"/>
          </w:tcPr>
          <w:p>
            <w:pPr>
              <w:spacing w:after="0" w:line="135" w:lineRule="exact"/>
              <w:rPr>
                <w:sz w:val="20"/>
                <w:szCs w:val="20"/>
                <w:color w:val="auto"/>
              </w:rPr>
            </w:pPr>
            <w:r>
              <w:rPr>
                <w:rFonts w:ascii="Arial" w:cs="Arial" w:eastAsia="Arial" w:hAnsi="Arial"/>
                <w:sz w:val="13"/>
                <w:szCs w:val="13"/>
                <w:color w:val="auto"/>
              </w:rPr>
              <w:t>the exercise of stock</w:t>
            </w: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340" w:type="dxa"/>
            <w:vAlign w:val="bottom"/>
            <w:gridSpan w:val="2"/>
          </w:tcPr>
          <w:p>
            <w:pPr>
              <w:spacing w:after="0"/>
              <w:rPr>
                <w:sz w:val="20"/>
                <w:szCs w:val="20"/>
                <w:color w:val="auto"/>
              </w:rPr>
            </w:pPr>
            <w:r>
              <w:rPr>
                <w:rFonts w:ascii="Arial" w:cs="Arial" w:eastAsia="Arial" w:hAnsi="Arial"/>
                <w:sz w:val="13"/>
                <w:szCs w:val="13"/>
                <w:color w:val="auto"/>
                <w:w w:val="97"/>
              </w:rPr>
              <w:t>options and other benefit plans, net of tax</w:t>
            </w:r>
          </w:p>
        </w:tc>
        <w:tc>
          <w:tcPr>
            <w:tcW w:w="11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80" w:type="dxa"/>
            <w:vAlign w:val="bottom"/>
          </w:tcPr>
          <w:p>
            <w:pPr>
              <w:jc w:val="right"/>
              <w:ind w:right="25"/>
              <w:spacing w:after="0"/>
              <w:rPr>
                <w:sz w:val="20"/>
                <w:szCs w:val="20"/>
                <w:color w:val="auto"/>
              </w:rPr>
            </w:pPr>
            <w:r>
              <w:rPr>
                <w:rFonts w:ascii="Arial" w:cs="Arial" w:eastAsia="Arial" w:hAnsi="Arial"/>
                <w:sz w:val="11"/>
                <w:szCs w:val="11"/>
                <w:color w:val="auto"/>
              </w:rPr>
              <w:t>(4,511)</w:t>
            </w:r>
          </w:p>
        </w:tc>
        <w:tc>
          <w:tcPr>
            <w:tcW w:w="120" w:type="dxa"/>
            <w:vAlign w:val="bottom"/>
          </w:tcPr>
          <w:p>
            <w:pPr>
              <w:spacing w:after="0"/>
              <w:rPr>
                <w:sz w:val="13"/>
                <w:szCs w:val="13"/>
                <w:color w:val="auto"/>
              </w:rPr>
            </w:pPr>
          </w:p>
        </w:tc>
        <w:tc>
          <w:tcPr>
            <w:tcW w:w="920" w:type="dxa"/>
            <w:vAlign w:val="bottom"/>
          </w:tcPr>
          <w:p>
            <w:pPr>
              <w:jc w:val="right"/>
              <w:ind w:right="65"/>
              <w:spacing w:after="0"/>
              <w:rPr>
                <w:sz w:val="20"/>
                <w:szCs w:val="20"/>
                <w:color w:val="auto"/>
              </w:rPr>
            </w:pPr>
            <w:r>
              <w:rPr>
                <w:rFonts w:ascii="Arial" w:cs="Arial" w:eastAsia="Arial" w:hAnsi="Arial"/>
                <w:sz w:val="11"/>
                <w:szCs w:val="11"/>
                <w:color w:val="auto"/>
              </w:rPr>
              <w:t>193,013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45"/>
              <w:spacing w:after="0"/>
              <w:rPr>
                <w:sz w:val="20"/>
                <w:szCs w:val="20"/>
                <w:color w:val="auto"/>
              </w:rPr>
            </w:pPr>
            <w:r>
              <w:rPr>
                <w:rFonts w:ascii="Arial" w:cs="Arial" w:eastAsia="Arial" w:hAnsi="Arial"/>
                <w:sz w:val="11"/>
                <w:szCs w:val="11"/>
                <w:color w:val="auto"/>
              </w:rPr>
              <w:t>3,222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(1,289)</w:t>
            </w:r>
          </w:p>
        </w:tc>
        <w:tc>
          <w:tcPr>
            <w:tcW w:w="0" w:type="dxa"/>
            <w:vAlign w:val="bottom"/>
          </w:tcPr>
          <w:p>
            <w:pPr>
              <w:spacing w:after="0"/>
              <w:rPr>
                <w:sz w:val="1"/>
                <w:szCs w:val="1"/>
                <w:color w:val="auto"/>
              </w:rPr>
            </w:pPr>
          </w:p>
        </w:tc>
      </w:tr>
      <w:tr>
        <w:trPr>
          <w:trHeight w:val="266"/>
        </w:trPr>
        <w:tc>
          <w:tcPr>
            <w:tcW w:w="2340" w:type="dxa"/>
            <w:vAlign w:val="bottom"/>
            <w:gridSpan w:val="2"/>
          </w:tcPr>
          <w:p>
            <w:pPr>
              <w:spacing w:after="0"/>
              <w:rPr>
                <w:sz w:val="20"/>
                <w:szCs w:val="20"/>
                <w:color w:val="auto"/>
              </w:rPr>
            </w:pPr>
            <w:r>
              <w:rPr>
                <w:rFonts w:ascii="Arial" w:cs="Arial" w:eastAsia="Arial" w:hAnsi="Arial"/>
                <w:sz w:val="12"/>
                <w:szCs w:val="12"/>
                <w:color w:val="auto"/>
              </w:rPr>
              <w:t>Stock based compensation</w:t>
            </w:r>
          </w:p>
        </w:tc>
        <w:tc>
          <w:tcPr>
            <w:tcW w:w="11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80" w:type="dxa"/>
            <w:vAlign w:val="bottom"/>
          </w:tcPr>
          <w:p>
            <w:pPr>
              <w:jc w:val="right"/>
              <w:ind w:right="65"/>
              <w:spacing w:after="0"/>
              <w:rPr>
                <w:sz w:val="20"/>
                <w:szCs w:val="20"/>
                <w:color w:val="auto"/>
              </w:rPr>
            </w:pPr>
            <w:r>
              <w:rPr>
                <w:rFonts w:ascii="Arial" w:cs="Arial" w:eastAsia="Arial" w:hAnsi="Arial"/>
                <w:sz w:val="11"/>
                <w:szCs w:val="11"/>
                <w:color w:val="auto"/>
              </w:rPr>
              <w:t>5,696</w:t>
            </w:r>
          </w:p>
        </w:tc>
        <w:tc>
          <w:tcPr>
            <w:tcW w:w="12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5,696</w:t>
            </w:r>
          </w:p>
        </w:tc>
        <w:tc>
          <w:tcPr>
            <w:tcW w:w="0" w:type="dxa"/>
            <w:vAlign w:val="bottom"/>
          </w:tcPr>
          <w:p>
            <w:pPr>
              <w:spacing w:after="0"/>
              <w:rPr>
                <w:sz w:val="1"/>
                <w:szCs w:val="1"/>
                <w:color w:val="auto"/>
              </w:rPr>
            </w:pPr>
          </w:p>
        </w:tc>
      </w:tr>
      <w:tr>
        <w:trPr>
          <w:trHeight w:val="274"/>
        </w:trPr>
        <w:tc>
          <w:tcPr>
            <w:tcW w:w="2340" w:type="dxa"/>
            <w:vAlign w:val="bottom"/>
            <w:gridSpan w:val="2"/>
          </w:tcPr>
          <w:p>
            <w:pPr>
              <w:spacing w:after="0"/>
              <w:rPr>
                <w:sz w:val="20"/>
                <w:szCs w:val="20"/>
                <w:color w:val="auto"/>
              </w:rPr>
            </w:pPr>
            <w:r>
              <w:rPr>
                <w:rFonts w:ascii="Arial" w:cs="Arial" w:eastAsia="Arial" w:hAnsi="Arial"/>
                <w:sz w:val="13"/>
                <w:szCs w:val="13"/>
                <w:color w:val="auto"/>
              </w:rPr>
              <w:t>Net income (loss)</w:t>
            </w:r>
          </w:p>
        </w:tc>
        <w:tc>
          <w:tcPr>
            <w:tcW w:w="11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660" w:type="dxa"/>
            <w:vAlign w:val="bottom"/>
          </w:tcPr>
          <w:p>
            <w:pPr>
              <w:jc w:val="right"/>
              <w:ind w:right="45"/>
              <w:spacing w:after="0"/>
              <w:rPr>
                <w:sz w:val="20"/>
                <w:szCs w:val="20"/>
                <w:color w:val="auto"/>
              </w:rPr>
            </w:pPr>
            <w:r>
              <w:rPr>
                <w:rFonts w:ascii="Arial" w:cs="Arial" w:eastAsia="Arial" w:hAnsi="Arial"/>
                <w:sz w:val="11"/>
                <w:szCs w:val="11"/>
                <w:color w:val="auto"/>
              </w:rPr>
              <w:t>88,366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760" w:type="dxa"/>
            <w:vAlign w:val="bottom"/>
          </w:tcPr>
          <w:p>
            <w:pPr>
              <w:jc w:val="right"/>
              <w:ind w:right="25"/>
              <w:spacing w:after="0"/>
              <w:rPr>
                <w:sz w:val="20"/>
                <w:szCs w:val="20"/>
                <w:color w:val="auto"/>
              </w:rPr>
            </w:pPr>
            <w:r>
              <w:rPr>
                <w:rFonts w:ascii="Arial" w:cs="Arial" w:eastAsia="Arial" w:hAnsi="Arial"/>
                <w:sz w:val="11"/>
                <w:szCs w:val="11"/>
                <w:color w:val="auto"/>
              </w:rPr>
              <w:t>(909)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87,457</w:t>
            </w:r>
          </w:p>
        </w:tc>
        <w:tc>
          <w:tcPr>
            <w:tcW w:w="0" w:type="dxa"/>
            <w:vAlign w:val="bottom"/>
          </w:tcPr>
          <w:p>
            <w:pPr>
              <w:spacing w:after="0"/>
              <w:rPr>
                <w:sz w:val="1"/>
                <w:szCs w:val="1"/>
                <w:color w:val="auto"/>
              </w:rPr>
            </w:pPr>
          </w:p>
        </w:tc>
      </w:tr>
      <w:tr>
        <w:trPr>
          <w:trHeight w:val="270"/>
        </w:trPr>
        <w:tc>
          <w:tcPr>
            <w:tcW w:w="2340" w:type="dxa"/>
            <w:vAlign w:val="bottom"/>
            <w:gridSpan w:val="2"/>
          </w:tcPr>
          <w:p>
            <w:pPr>
              <w:spacing w:after="0"/>
              <w:rPr>
                <w:sz w:val="20"/>
                <w:szCs w:val="20"/>
                <w:color w:val="auto"/>
              </w:rPr>
            </w:pPr>
            <w:r>
              <w:rPr>
                <w:rFonts w:ascii="Arial" w:cs="Arial" w:eastAsia="Arial" w:hAnsi="Arial"/>
                <w:sz w:val="13"/>
                <w:szCs w:val="13"/>
                <w:color w:val="auto"/>
              </w:rPr>
              <w:t>Other comprehensive income, net of tax</w:t>
            </w:r>
          </w:p>
        </w:tc>
        <w:tc>
          <w:tcPr>
            <w:tcW w:w="11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1000" w:type="dxa"/>
            <w:vAlign w:val="bottom"/>
          </w:tcPr>
          <w:p>
            <w:pPr>
              <w:jc w:val="right"/>
              <w:ind w:right="65"/>
              <w:spacing w:after="0"/>
              <w:rPr>
                <w:sz w:val="20"/>
                <w:szCs w:val="20"/>
                <w:color w:val="auto"/>
              </w:rPr>
            </w:pPr>
            <w:r>
              <w:rPr>
                <w:rFonts w:ascii="Arial" w:cs="Arial" w:eastAsia="Arial" w:hAnsi="Arial"/>
                <w:sz w:val="11"/>
                <w:szCs w:val="11"/>
                <w:color w:val="auto"/>
              </w:rPr>
              <w:t>79,008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79,008</w:t>
            </w:r>
          </w:p>
        </w:tc>
        <w:tc>
          <w:tcPr>
            <w:tcW w:w="0" w:type="dxa"/>
            <w:vAlign w:val="bottom"/>
          </w:tcPr>
          <w:p>
            <w:pPr>
              <w:spacing w:after="0"/>
              <w:rPr>
                <w:sz w:val="1"/>
                <w:szCs w:val="1"/>
                <w:color w:val="auto"/>
              </w:rPr>
            </w:pPr>
          </w:p>
        </w:tc>
      </w:tr>
      <w:tr>
        <w:trPr>
          <w:trHeight w:val="280"/>
        </w:trPr>
        <w:tc>
          <w:tcPr>
            <w:tcW w:w="2340" w:type="dxa"/>
            <w:vAlign w:val="bottom"/>
            <w:gridSpan w:val="2"/>
          </w:tcPr>
          <w:p>
            <w:pPr>
              <w:spacing w:after="0"/>
              <w:rPr>
                <w:sz w:val="20"/>
                <w:szCs w:val="20"/>
                <w:color w:val="auto"/>
              </w:rPr>
            </w:pPr>
            <w:r>
              <w:rPr>
                <w:rFonts w:ascii="Arial" w:cs="Arial" w:eastAsia="Arial" w:hAnsi="Arial"/>
                <w:sz w:val="13"/>
                <w:szCs w:val="13"/>
                <w:color w:val="auto"/>
              </w:rPr>
              <w:t>Other owner changes</w:t>
            </w:r>
          </w:p>
        </w:tc>
        <w:tc>
          <w:tcPr>
            <w:tcW w:w="11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760" w:type="dxa"/>
            <w:vAlign w:val="bottom"/>
          </w:tcPr>
          <w:p>
            <w:pPr>
              <w:jc w:val="right"/>
              <w:ind w:right="45"/>
              <w:spacing w:after="0"/>
              <w:rPr>
                <w:sz w:val="20"/>
                <w:szCs w:val="20"/>
                <w:color w:val="auto"/>
              </w:rPr>
            </w:pPr>
            <w:r>
              <w:rPr>
                <w:rFonts w:ascii="Arial" w:cs="Arial" w:eastAsia="Arial" w:hAnsi="Arial"/>
                <w:sz w:val="11"/>
                <w:szCs w:val="11"/>
                <w:color w:val="auto"/>
              </w:rPr>
              <w:t>356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356</w:t>
            </w:r>
          </w:p>
        </w:tc>
        <w:tc>
          <w:tcPr>
            <w:tcW w:w="0" w:type="dxa"/>
            <w:vAlign w:val="bottom"/>
          </w:tcPr>
          <w:p>
            <w:pPr>
              <w:spacing w:after="0"/>
              <w:rPr>
                <w:sz w:val="1"/>
                <w:szCs w:val="1"/>
                <w:color w:val="auto"/>
              </w:rPr>
            </w:pPr>
          </w:p>
        </w:tc>
      </w:tr>
      <w:tr>
        <w:trPr>
          <w:trHeight w:val="250"/>
        </w:trPr>
        <w:tc>
          <w:tcPr>
            <w:tcW w:w="2340" w:type="dxa"/>
            <w:vAlign w:val="bottom"/>
            <w:gridSpan w:val="2"/>
          </w:tcPr>
          <w:p>
            <w:pPr>
              <w:spacing w:after="0"/>
              <w:rPr>
                <w:sz w:val="20"/>
                <w:szCs w:val="20"/>
                <w:color w:val="auto"/>
              </w:rPr>
            </w:pPr>
            <w:r>
              <w:rPr>
                <w:rFonts w:ascii="Arial" w:cs="Arial" w:eastAsia="Arial" w:hAnsi="Arial"/>
                <w:sz w:val="13"/>
                <w:szCs w:val="13"/>
                <w:b w:val="1"/>
                <w:bCs w:val="1"/>
                <w:color w:val="auto"/>
              </w:rPr>
              <w:t>Balance, March 31, 2018</w:t>
            </w:r>
          </w:p>
        </w:tc>
        <w:tc>
          <w:tcPr>
            <w:tcW w:w="10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1"/>
                <w:szCs w:val="11"/>
                <w:color w:val="auto"/>
              </w:rPr>
              <w:t>132,349,534</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1"/>
                <w:szCs w:val="11"/>
                <w:color w:val="auto"/>
              </w:rPr>
              <w:t>1,323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1"/>
                <w:szCs w:val="11"/>
                <w:color w:val="auto"/>
              </w:rPr>
              <w:t>907,801</w:t>
            </w:r>
          </w:p>
        </w:tc>
        <w:tc>
          <w:tcPr>
            <w:tcW w:w="120" w:type="dxa"/>
            <w:vAlign w:val="bottom"/>
          </w:tcPr>
          <w:p>
            <w:pPr>
              <w:spacing w:after="0"/>
              <w:rPr>
                <w:sz w:val="21"/>
                <w:szCs w:val="21"/>
                <w:color w:val="auto"/>
              </w:rPr>
            </w:pPr>
          </w:p>
        </w:tc>
        <w:tc>
          <w:tcPr>
            <w:tcW w:w="92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1"/>
                <w:szCs w:val="11"/>
                <w:color w:val="auto"/>
              </w:rPr>
              <w:t>(36,122,169)</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1"/>
                <w:szCs w:val="11"/>
                <w:color w:val="auto"/>
              </w:rPr>
              <w:t>(824,157)</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6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1"/>
                <w:szCs w:val="11"/>
                <w:color w:val="auto"/>
              </w:rPr>
              <w:t>2,850,135</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1"/>
                <w:szCs w:val="11"/>
                <w:color w:val="auto"/>
              </w:rPr>
              <w:t>34,016</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1"/>
                <w:szCs w:val="11"/>
                <w:color w:val="auto"/>
              </w:rPr>
              <w:t>19,111</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color w:val="auto"/>
                <w:w w:val="97"/>
              </w:rPr>
              <w:t>$</w:t>
            </w:r>
          </w:p>
        </w:tc>
        <w:tc>
          <w:tcPr>
            <w:tcW w:w="6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w w:val="97"/>
              </w:rPr>
              <w:t>2,988,229</w:t>
            </w:r>
          </w:p>
        </w:tc>
        <w:tc>
          <w:tcPr>
            <w:tcW w:w="0" w:type="dxa"/>
            <w:vAlign w:val="bottom"/>
          </w:tcPr>
          <w:p>
            <w:pPr>
              <w:spacing w:after="0"/>
              <w:rPr>
                <w:sz w:val="1"/>
                <w:szCs w:val="1"/>
                <w:color w:val="auto"/>
              </w:rPr>
            </w:pPr>
          </w:p>
        </w:tc>
      </w:tr>
      <w:tr>
        <w:trPr>
          <w:trHeight w:val="416"/>
        </w:trPr>
        <w:tc>
          <w:tcPr>
            <w:tcW w:w="2340" w:type="dxa"/>
            <w:vAlign w:val="bottom"/>
            <w:gridSpan w:val="2"/>
          </w:tcPr>
          <w:p>
            <w:pPr>
              <w:spacing w:after="0"/>
              <w:rPr>
                <w:sz w:val="20"/>
                <w:szCs w:val="20"/>
                <w:color w:val="auto"/>
              </w:rPr>
            </w:pPr>
            <w:r>
              <w:rPr>
                <w:rFonts w:ascii="Arial" w:cs="Arial" w:eastAsia="Arial" w:hAnsi="Arial"/>
                <w:sz w:val="13"/>
                <w:szCs w:val="13"/>
                <w:color w:val="auto"/>
                <w:w w:val="94"/>
              </w:rPr>
              <w:t>Cash dividends ($0.12 dividend per share)</w:t>
            </w:r>
          </w:p>
        </w:tc>
        <w:tc>
          <w:tcPr>
            <w:tcW w:w="11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660" w:type="dxa"/>
            <w:vAlign w:val="bottom"/>
          </w:tcPr>
          <w:p>
            <w:pPr>
              <w:jc w:val="right"/>
              <w:ind w:right="25"/>
              <w:spacing w:after="0"/>
              <w:rPr>
                <w:sz w:val="20"/>
                <w:szCs w:val="20"/>
                <w:color w:val="auto"/>
              </w:rPr>
            </w:pPr>
            <w:r>
              <w:rPr>
                <w:rFonts w:ascii="Arial" w:cs="Arial" w:eastAsia="Arial" w:hAnsi="Arial"/>
                <w:sz w:val="11"/>
                <w:szCs w:val="11"/>
                <w:color w:val="auto"/>
              </w:rPr>
              <w:t>(11,565)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4"/>
                <w:szCs w:val="24"/>
                <w:color w:val="auto"/>
              </w:rPr>
            </w:pP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(11,565)</w:t>
            </w:r>
          </w:p>
        </w:tc>
        <w:tc>
          <w:tcPr>
            <w:tcW w:w="0" w:type="dxa"/>
            <w:vAlign w:val="bottom"/>
          </w:tcPr>
          <w:p>
            <w:pPr>
              <w:spacing w:after="0"/>
              <w:rPr>
                <w:sz w:val="1"/>
                <w:szCs w:val="1"/>
                <w:color w:val="auto"/>
              </w:rPr>
            </w:pPr>
          </w:p>
        </w:tc>
      </w:tr>
      <w:tr>
        <w:trPr>
          <w:trHeight w:val="164"/>
        </w:trPr>
        <w:tc>
          <w:tcPr>
            <w:tcW w:w="2340" w:type="dxa"/>
            <w:vAlign w:val="bottom"/>
            <w:gridSpan w:val="2"/>
          </w:tcPr>
          <w:p>
            <w:pPr>
              <w:spacing w:after="0"/>
              <w:rPr>
                <w:sz w:val="20"/>
                <w:szCs w:val="20"/>
                <w:color w:val="auto"/>
              </w:rPr>
            </w:pPr>
            <w:r>
              <w:rPr>
                <w:rFonts w:ascii="Arial" w:cs="Arial" w:eastAsia="Arial" w:hAnsi="Arial"/>
                <w:sz w:val="13"/>
                <w:szCs w:val="13"/>
                <w:color w:val="auto"/>
                <w:w w:val="96"/>
              </w:rPr>
              <w:t>Proceeds from treasury stock issued from</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340" w:type="dxa"/>
            <w:vAlign w:val="bottom"/>
            <w:gridSpan w:val="2"/>
          </w:tcPr>
          <w:p>
            <w:pPr>
              <w:spacing w:after="0" w:line="135" w:lineRule="exact"/>
              <w:rPr>
                <w:sz w:val="20"/>
                <w:szCs w:val="20"/>
                <w:color w:val="auto"/>
              </w:rPr>
            </w:pPr>
            <w:r>
              <w:rPr>
                <w:rFonts w:ascii="Arial" w:cs="Arial" w:eastAsia="Arial" w:hAnsi="Arial"/>
                <w:sz w:val="13"/>
                <w:szCs w:val="13"/>
                <w:color w:val="auto"/>
              </w:rPr>
              <w:t>the exercise of stock</w:t>
            </w: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340" w:type="dxa"/>
            <w:vAlign w:val="bottom"/>
            <w:gridSpan w:val="2"/>
          </w:tcPr>
          <w:p>
            <w:pPr>
              <w:spacing w:after="0"/>
              <w:rPr>
                <w:sz w:val="20"/>
                <w:szCs w:val="20"/>
                <w:color w:val="auto"/>
              </w:rPr>
            </w:pPr>
            <w:r>
              <w:rPr>
                <w:rFonts w:ascii="Arial" w:cs="Arial" w:eastAsia="Arial" w:hAnsi="Arial"/>
                <w:sz w:val="13"/>
                <w:szCs w:val="13"/>
                <w:color w:val="auto"/>
                <w:w w:val="97"/>
              </w:rPr>
              <w:t>options and other benefit plans, net of tax</w:t>
            </w:r>
          </w:p>
        </w:tc>
        <w:tc>
          <w:tcPr>
            <w:tcW w:w="11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80" w:type="dxa"/>
            <w:vAlign w:val="bottom"/>
          </w:tcPr>
          <w:p>
            <w:pPr>
              <w:jc w:val="right"/>
              <w:ind w:right="25"/>
              <w:spacing w:after="0"/>
              <w:rPr>
                <w:sz w:val="20"/>
                <w:szCs w:val="20"/>
                <w:color w:val="auto"/>
              </w:rPr>
            </w:pPr>
            <w:r>
              <w:rPr>
                <w:rFonts w:ascii="Arial" w:cs="Arial" w:eastAsia="Arial" w:hAnsi="Arial"/>
                <w:sz w:val="11"/>
                <w:szCs w:val="11"/>
                <w:color w:val="auto"/>
              </w:rPr>
              <w:t>(5,738)</w:t>
            </w:r>
          </w:p>
        </w:tc>
        <w:tc>
          <w:tcPr>
            <w:tcW w:w="120" w:type="dxa"/>
            <w:vAlign w:val="bottom"/>
          </w:tcPr>
          <w:p>
            <w:pPr>
              <w:spacing w:after="0"/>
              <w:rPr>
                <w:sz w:val="13"/>
                <w:szCs w:val="13"/>
                <w:color w:val="auto"/>
              </w:rPr>
            </w:pPr>
          </w:p>
        </w:tc>
        <w:tc>
          <w:tcPr>
            <w:tcW w:w="920" w:type="dxa"/>
            <w:vAlign w:val="bottom"/>
          </w:tcPr>
          <w:p>
            <w:pPr>
              <w:jc w:val="right"/>
              <w:ind w:right="65"/>
              <w:spacing w:after="0"/>
              <w:rPr>
                <w:sz w:val="20"/>
                <w:szCs w:val="20"/>
                <w:color w:val="auto"/>
              </w:rPr>
            </w:pPr>
            <w:r>
              <w:rPr>
                <w:rFonts w:ascii="Arial" w:cs="Arial" w:eastAsia="Arial" w:hAnsi="Arial"/>
                <w:sz w:val="11"/>
                <w:szCs w:val="11"/>
                <w:color w:val="auto"/>
              </w:rPr>
              <w:t>159,014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45"/>
              <w:spacing w:after="0"/>
              <w:rPr>
                <w:sz w:val="20"/>
                <w:szCs w:val="20"/>
                <w:color w:val="auto"/>
              </w:rPr>
            </w:pPr>
            <w:r>
              <w:rPr>
                <w:rFonts w:ascii="Arial" w:cs="Arial" w:eastAsia="Arial" w:hAnsi="Arial"/>
                <w:sz w:val="11"/>
                <w:szCs w:val="11"/>
                <w:color w:val="auto"/>
              </w:rPr>
              <w:t>2,979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(2,759)</w:t>
            </w:r>
          </w:p>
        </w:tc>
        <w:tc>
          <w:tcPr>
            <w:tcW w:w="0" w:type="dxa"/>
            <w:vAlign w:val="bottom"/>
          </w:tcPr>
          <w:p>
            <w:pPr>
              <w:spacing w:after="0"/>
              <w:rPr>
                <w:sz w:val="1"/>
                <w:szCs w:val="1"/>
                <w:color w:val="auto"/>
              </w:rPr>
            </w:pPr>
          </w:p>
        </w:tc>
      </w:tr>
      <w:tr>
        <w:trPr>
          <w:trHeight w:val="266"/>
        </w:trPr>
        <w:tc>
          <w:tcPr>
            <w:tcW w:w="2340" w:type="dxa"/>
            <w:vAlign w:val="bottom"/>
            <w:gridSpan w:val="2"/>
          </w:tcPr>
          <w:p>
            <w:pPr>
              <w:spacing w:after="0"/>
              <w:rPr>
                <w:sz w:val="20"/>
                <w:szCs w:val="20"/>
                <w:color w:val="auto"/>
              </w:rPr>
            </w:pPr>
            <w:r>
              <w:rPr>
                <w:rFonts w:ascii="Arial" w:cs="Arial" w:eastAsia="Arial" w:hAnsi="Arial"/>
                <w:sz w:val="12"/>
                <w:szCs w:val="12"/>
                <w:color w:val="auto"/>
              </w:rPr>
              <w:t>Stock based compensation</w:t>
            </w:r>
          </w:p>
        </w:tc>
        <w:tc>
          <w:tcPr>
            <w:tcW w:w="11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80" w:type="dxa"/>
            <w:vAlign w:val="bottom"/>
          </w:tcPr>
          <w:p>
            <w:pPr>
              <w:jc w:val="right"/>
              <w:ind w:right="65"/>
              <w:spacing w:after="0"/>
              <w:rPr>
                <w:sz w:val="20"/>
                <w:szCs w:val="20"/>
                <w:color w:val="auto"/>
              </w:rPr>
            </w:pPr>
            <w:r>
              <w:rPr>
                <w:rFonts w:ascii="Arial" w:cs="Arial" w:eastAsia="Arial" w:hAnsi="Arial"/>
                <w:sz w:val="11"/>
                <w:szCs w:val="11"/>
                <w:color w:val="auto"/>
              </w:rPr>
              <w:t>8,287</w:t>
            </w:r>
          </w:p>
        </w:tc>
        <w:tc>
          <w:tcPr>
            <w:tcW w:w="12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8,287</w:t>
            </w:r>
          </w:p>
        </w:tc>
        <w:tc>
          <w:tcPr>
            <w:tcW w:w="0" w:type="dxa"/>
            <w:vAlign w:val="bottom"/>
          </w:tcPr>
          <w:p>
            <w:pPr>
              <w:spacing w:after="0"/>
              <w:rPr>
                <w:sz w:val="1"/>
                <w:szCs w:val="1"/>
                <w:color w:val="auto"/>
              </w:rPr>
            </w:pPr>
          </w:p>
        </w:tc>
      </w:tr>
      <w:tr>
        <w:trPr>
          <w:trHeight w:val="274"/>
        </w:trPr>
        <w:tc>
          <w:tcPr>
            <w:tcW w:w="2340" w:type="dxa"/>
            <w:vAlign w:val="bottom"/>
            <w:gridSpan w:val="2"/>
          </w:tcPr>
          <w:p>
            <w:pPr>
              <w:spacing w:after="0"/>
              <w:rPr>
                <w:sz w:val="20"/>
                <w:szCs w:val="20"/>
                <w:color w:val="auto"/>
              </w:rPr>
            </w:pPr>
            <w:r>
              <w:rPr>
                <w:rFonts w:ascii="Arial" w:cs="Arial" w:eastAsia="Arial" w:hAnsi="Arial"/>
                <w:sz w:val="13"/>
                <w:szCs w:val="13"/>
                <w:color w:val="auto"/>
              </w:rPr>
              <w:t>Net income (loss)</w:t>
            </w:r>
          </w:p>
        </w:tc>
        <w:tc>
          <w:tcPr>
            <w:tcW w:w="11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660" w:type="dxa"/>
            <w:vAlign w:val="bottom"/>
          </w:tcPr>
          <w:p>
            <w:pPr>
              <w:jc w:val="right"/>
              <w:ind w:right="45"/>
              <w:spacing w:after="0"/>
              <w:rPr>
                <w:sz w:val="20"/>
                <w:szCs w:val="20"/>
                <w:color w:val="auto"/>
              </w:rPr>
            </w:pPr>
            <w:r>
              <w:rPr>
                <w:rFonts w:ascii="Arial" w:cs="Arial" w:eastAsia="Arial" w:hAnsi="Arial"/>
                <w:sz w:val="11"/>
                <w:szCs w:val="11"/>
                <w:color w:val="auto"/>
              </w:rPr>
              <w:t>84,416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760" w:type="dxa"/>
            <w:vAlign w:val="bottom"/>
          </w:tcPr>
          <w:p>
            <w:pPr>
              <w:jc w:val="right"/>
              <w:ind w:right="25"/>
              <w:spacing w:after="0"/>
              <w:rPr>
                <w:sz w:val="20"/>
                <w:szCs w:val="20"/>
                <w:color w:val="auto"/>
              </w:rPr>
            </w:pPr>
            <w:r>
              <w:rPr>
                <w:rFonts w:ascii="Arial" w:cs="Arial" w:eastAsia="Arial" w:hAnsi="Arial"/>
                <w:sz w:val="11"/>
                <w:szCs w:val="11"/>
                <w:color w:val="auto"/>
              </w:rPr>
              <w:t>(1,145)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83,271</w:t>
            </w:r>
          </w:p>
        </w:tc>
        <w:tc>
          <w:tcPr>
            <w:tcW w:w="0" w:type="dxa"/>
            <w:vAlign w:val="bottom"/>
          </w:tcPr>
          <w:p>
            <w:pPr>
              <w:spacing w:after="0"/>
              <w:rPr>
                <w:sz w:val="1"/>
                <w:szCs w:val="1"/>
                <w:color w:val="auto"/>
              </w:rPr>
            </w:pPr>
          </w:p>
        </w:tc>
      </w:tr>
      <w:tr>
        <w:trPr>
          <w:trHeight w:val="270"/>
        </w:trPr>
        <w:tc>
          <w:tcPr>
            <w:tcW w:w="2340" w:type="dxa"/>
            <w:vAlign w:val="bottom"/>
            <w:gridSpan w:val="2"/>
          </w:tcPr>
          <w:p>
            <w:pPr>
              <w:spacing w:after="0"/>
              <w:rPr>
                <w:sz w:val="20"/>
                <w:szCs w:val="20"/>
                <w:color w:val="auto"/>
              </w:rPr>
            </w:pPr>
            <w:r>
              <w:rPr>
                <w:rFonts w:ascii="Arial" w:cs="Arial" w:eastAsia="Arial" w:hAnsi="Arial"/>
                <w:sz w:val="13"/>
                <w:szCs w:val="13"/>
                <w:color w:val="auto"/>
              </w:rPr>
              <w:t>Other comprehensive loss, net of tax</w:t>
            </w:r>
          </w:p>
        </w:tc>
        <w:tc>
          <w:tcPr>
            <w:tcW w:w="11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1000" w:type="dxa"/>
            <w:vAlign w:val="bottom"/>
          </w:tcPr>
          <w:p>
            <w:pPr>
              <w:jc w:val="right"/>
              <w:ind w:right="25"/>
              <w:spacing w:after="0"/>
              <w:rPr>
                <w:sz w:val="20"/>
                <w:szCs w:val="20"/>
                <w:color w:val="auto"/>
              </w:rPr>
            </w:pPr>
            <w:r>
              <w:rPr>
                <w:rFonts w:ascii="Arial" w:cs="Arial" w:eastAsia="Arial" w:hAnsi="Arial"/>
                <w:sz w:val="11"/>
                <w:szCs w:val="11"/>
                <w:color w:val="auto"/>
              </w:rPr>
              <w:t>(190,217)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(190,217)</w:t>
            </w:r>
          </w:p>
        </w:tc>
        <w:tc>
          <w:tcPr>
            <w:tcW w:w="0" w:type="dxa"/>
            <w:vAlign w:val="bottom"/>
          </w:tcPr>
          <w:p>
            <w:pPr>
              <w:spacing w:after="0"/>
              <w:rPr>
                <w:sz w:val="1"/>
                <w:szCs w:val="1"/>
                <w:color w:val="auto"/>
              </w:rPr>
            </w:pPr>
          </w:p>
        </w:tc>
      </w:tr>
      <w:tr>
        <w:trPr>
          <w:trHeight w:val="280"/>
        </w:trPr>
        <w:tc>
          <w:tcPr>
            <w:tcW w:w="2340" w:type="dxa"/>
            <w:vAlign w:val="bottom"/>
            <w:gridSpan w:val="2"/>
          </w:tcPr>
          <w:p>
            <w:pPr>
              <w:spacing w:after="0"/>
              <w:rPr>
                <w:sz w:val="20"/>
                <w:szCs w:val="20"/>
                <w:color w:val="auto"/>
              </w:rPr>
            </w:pPr>
            <w:r>
              <w:rPr>
                <w:rFonts w:ascii="Arial" w:cs="Arial" w:eastAsia="Arial" w:hAnsi="Arial"/>
                <w:sz w:val="13"/>
                <w:szCs w:val="13"/>
                <w:color w:val="auto"/>
              </w:rPr>
              <w:t>Other owner changes</w:t>
            </w:r>
          </w:p>
        </w:tc>
        <w:tc>
          <w:tcPr>
            <w:tcW w:w="11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760" w:type="dxa"/>
            <w:vAlign w:val="bottom"/>
          </w:tcPr>
          <w:p>
            <w:pPr>
              <w:jc w:val="right"/>
              <w:ind w:right="25"/>
              <w:spacing w:after="0"/>
              <w:rPr>
                <w:sz w:val="20"/>
                <w:szCs w:val="20"/>
                <w:color w:val="auto"/>
              </w:rPr>
            </w:pPr>
            <w:r>
              <w:rPr>
                <w:rFonts w:ascii="Arial" w:cs="Arial" w:eastAsia="Arial" w:hAnsi="Arial"/>
                <w:sz w:val="11"/>
                <w:szCs w:val="11"/>
                <w:color w:val="auto"/>
              </w:rPr>
              <w:t>(618)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(618)</w:t>
            </w:r>
          </w:p>
        </w:tc>
        <w:tc>
          <w:tcPr>
            <w:tcW w:w="0" w:type="dxa"/>
            <w:vAlign w:val="bottom"/>
          </w:tcPr>
          <w:p>
            <w:pPr>
              <w:spacing w:after="0"/>
              <w:rPr>
                <w:sz w:val="1"/>
                <w:szCs w:val="1"/>
                <w:color w:val="auto"/>
              </w:rPr>
            </w:pPr>
          </w:p>
        </w:tc>
      </w:tr>
      <w:tr>
        <w:trPr>
          <w:trHeight w:val="241"/>
        </w:trPr>
        <w:tc>
          <w:tcPr>
            <w:tcW w:w="2340" w:type="dxa"/>
            <w:vAlign w:val="bottom"/>
            <w:gridSpan w:val="2"/>
          </w:tcPr>
          <w:p>
            <w:pPr>
              <w:spacing w:after="0"/>
              <w:rPr>
                <w:sz w:val="20"/>
                <w:szCs w:val="20"/>
                <w:color w:val="auto"/>
              </w:rPr>
            </w:pPr>
            <w:r>
              <w:rPr>
                <w:rFonts w:ascii="Arial" w:cs="Arial" w:eastAsia="Arial" w:hAnsi="Arial"/>
                <w:sz w:val="13"/>
                <w:szCs w:val="13"/>
                <w:b w:val="1"/>
                <w:bCs w:val="1"/>
                <w:color w:val="auto"/>
              </w:rPr>
              <w:t>Balance, June 30, 2018</w:t>
            </w:r>
          </w:p>
        </w:tc>
        <w:tc>
          <w:tcPr>
            <w:tcW w:w="10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1"/>
                <w:szCs w:val="11"/>
                <w:color w:val="auto"/>
              </w:rPr>
              <w:t>132,349,534</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1"/>
                <w:szCs w:val="11"/>
                <w:color w:val="auto"/>
              </w:rPr>
              <w:t>1,323</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1"/>
                <w:szCs w:val="11"/>
                <w:color w:val="auto"/>
              </w:rPr>
              <w:t>910,350</w:t>
            </w:r>
          </w:p>
        </w:tc>
        <w:tc>
          <w:tcPr>
            <w:tcW w:w="12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1"/>
                <w:szCs w:val="11"/>
                <w:color w:val="auto"/>
              </w:rPr>
              <w:t>(35,963,155)</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1"/>
                <w:szCs w:val="11"/>
                <w:color w:val="auto"/>
              </w:rPr>
              <w:t>(821,178)</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6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1"/>
                <w:szCs w:val="11"/>
                <w:color w:val="auto"/>
              </w:rPr>
              <w:t>2,922,986</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1"/>
                <w:szCs w:val="11"/>
                <w:color w:val="auto"/>
              </w:rPr>
              <w:t>(156,201)</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1"/>
                <w:szCs w:val="11"/>
                <w:color w:val="auto"/>
              </w:rPr>
              <w:t>17,348</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color w:val="auto"/>
                <w:w w:val="97"/>
              </w:rPr>
              <w:t>$</w:t>
            </w:r>
          </w:p>
        </w:tc>
        <w:tc>
          <w:tcPr>
            <w:tcW w:w="6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w w:val="97"/>
              </w:rPr>
              <w:t>2,874,628</w:t>
            </w:r>
          </w:p>
        </w:tc>
        <w:tc>
          <w:tcPr>
            <w:tcW w:w="0" w:type="dxa"/>
            <w:vAlign w:val="bottom"/>
          </w:tcPr>
          <w:p>
            <w:pPr>
              <w:spacing w:after="0"/>
              <w:rPr>
                <w:sz w:val="1"/>
                <w:szCs w:val="1"/>
                <w:color w:val="auto"/>
              </w:rPr>
            </w:pPr>
          </w:p>
        </w:tc>
      </w:tr>
      <w:tr>
        <w:trPr>
          <w:trHeight w:val="20"/>
        </w:trPr>
        <w:tc>
          <w:tcPr>
            <w:tcW w:w="23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Balance, December 31, 2018</w:t>
            </w: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340" w:type="dxa"/>
            <w:vAlign w:val="bottom"/>
            <w:gridSpan w:val="2"/>
            <w:vMerge w:val="continue"/>
          </w:tcPr>
          <w:p>
            <w:pPr>
              <w:spacing w:after="0"/>
              <w:rPr>
                <w:sz w:val="24"/>
                <w:szCs w:val="24"/>
                <w:color w:val="auto"/>
              </w:rPr>
            </w:pPr>
          </w:p>
        </w:tc>
        <w:tc>
          <w:tcPr>
            <w:tcW w:w="1040" w:type="dxa"/>
            <w:vAlign w:val="bottom"/>
          </w:tcPr>
          <w:p>
            <w:pPr>
              <w:jc w:val="right"/>
              <w:ind w:right="85"/>
              <w:spacing w:after="0"/>
              <w:rPr>
                <w:sz w:val="20"/>
                <w:szCs w:val="20"/>
                <w:color w:val="auto"/>
              </w:rPr>
            </w:pPr>
            <w:r>
              <w:rPr>
                <w:rFonts w:ascii="Arial" w:cs="Arial" w:eastAsia="Arial" w:hAnsi="Arial"/>
                <w:sz w:val="11"/>
                <w:szCs w:val="11"/>
                <w:color w:val="auto"/>
              </w:rPr>
              <w:t>132,349,534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ind w:right="65"/>
              <w:spacing w:after="0"/>
              <w:rPr>
                <w:sz w:val="20"/>
                <w:szCs w:val="20"/>
                <w:color w:val="auto"/>
              </w:rPr>
            </w:pPr>
            <w:r>
              <w:rPr>
                <w:rFonts w:ascii="Arial" w:cs="Arial" w:eastAsia="Arial" w:hAnsi="Arial"/>
                <w:sz w:val="11"/>
                <w:szCs w:val="11"/>
                <w:color w:val="auto"/>
              </w:rPr>
              <w:t>1,323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ind w:right="65"/>
              <w:spacing w:after="0"/>
              <w:rPr>
                <w:sz w:val="20"/>
                <w:szCs w:val="20"/>
                <w:color w:val="auto"/>
              </w:rPr>
            </w:pPr>
            <w:r>
              <w:rPr>
                <w:rFonts w:ascii="Arial" w:cs="Arial" w:eastAsia="Arial" w:hAnsi="Arial"/>
                <w:sz w:val="11"/>
                <w:szCs w:val="11"/>
                <w:color w:val="auto"/>
              </w:rPr>
              <w:t>914,568</w:t>
            </w:r>
          </w:p>
        </w:tc>
        <w:tc>
          <w:tcPr>
            <w:tcW w:w="120" w:type="dxa"/>
            <w:vAlign w:val="bottom"/>
          </w:tcPr>
          <w:p>
            <w:pPr>
              <w:spacing w:after="0"/>
              <w:rPr>
                <w:sz w:val="24"/>
                <w:szCs w:val="24"/>
                <w:color w:val="auto"/>
              </w:rPr>
            </w:pPr>
          </w:p>
        </w:tc>
        <w:tc>
          <w:tcPr>
            <w:tcW w:w="920" w:type="dxa"/>
            <w:vAlign w:val="bottom"/>
          </w:tcPr>
          <w:p>
            <w:pPr>
              <w:jc w:val="right"/>
              <w:ind w:right="25"/>
              <w:spacing w:after="0"/>
              <w:rPr>
                <w:sz w:val="20"/>
                <w:szCs w:val="20"/>
                <w:color w:val="auto"/>
              </w:rPr>
            </w:pPr>
            <w:r>
              <w:rPr>
                <w:rFonts w:ascii="Arial" w:cs="Arial" w:eastAsia="Arial" w:hAnsi="Arial"/>
                <w:sz w:val="11"/>
                <w:szCs w:val="11"/>
                <w:color w:val="auto"/>
              </w:rPr>
              <w:t>(35,734,588)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ind w:right="25"/>
              <w:spacing w:after="0"/>
              <w:rPr>
                <w:sz w:val="20"/>
                <w:szCs w:val="20"/>
                <w:color w:val="auto"/>
              </w:rPr>
            </w:pPr>
            <w:r>
              <w:rPr>
                <w:rFonts w:ascii="Arial" w:cs="Arial" w:eastAsia="Arial" w:hAnsi="Arial"/>
                <w:sz w:val="11"/>
                <w:szCs w:val="11"/>
                <w:color w:val="auto"/>
              </w:rPr>
              <w:t>(816,145)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45"/>
              <w:spacing w:after="0"/>
              <w:rPr>
                <w:sz w:val="20"/>
                <w:szCs w:val="20"/>
                <w:color w:val="auto"/>
              </w:rPr>
            </w:pPr>
            <w:r>
              <w:rPr>
                <w:rFonts w:ascii="Arial" w:cs="Arial" w:eastAsia="Arial" w:hAnsi="Arial"/>
                <w:sz w:val="11"/>
                <w:szCs w:val="11"/>
                <w:color w:val="auto"/>
              </w:rPr>
              <w:t>3,021,968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25"/>
              <w:spacing w:after="0"/>
              <w:rPr>
                <w:sz w:val="20"/>
                <w:szCs w:val="20"/>
                <w:color w:val="auto"/>
              </w:rPr>
            </w:pPr>
            <w:r>
              <w:rPr>
                <w:rFonts w:ascii="Arial" w:cs="Arial" w:eastAsia="Arial" w:hAnsi="Arial"/>
                <w:sz w:val="11"/>
                <w:szCs w:val="11"/>
                <w:color w:val="auto"/>
              </w:rPr>
              <w:t>(256,583)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45"/>
              <w:spacing w:after="0"/>
              <w:rPr>
                <w:sz w:val="20"/>
                <w:szCs w:val="20"/>
                <w:color w:val="auto"/>
              </w:rPr>
            </w:pPr>
            <w:r>
              <w:rPr>
                <w:rFonts w:ascii="Arial" w:cs="Arial" w:eastAsia="Arial" w:hAnsi="Arial"/>
                <w:sz w:val="11"/>
                <w:szCs w:val="11"/>
                <w:color w:val="auto"/>
              </w:rPr>
              <w:t>3,944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w w:val="97"/>
              </w:rPr>
              <w:t>2,869,075</w:t>
            </w:r>
          </w:p>
        </w:tc>
        <w:tc>
          <w:tcPr>
            <w:tcW w:w="0" w:type="dxa"/>
            <w:vAlign w:val="bottom"/>
          </w:tcPr>
          <w:p>
            <w:pPr>
              <w:spacing w:after="0"/>
              <w:rPr>
                <w:sz w:val="1"/>
                <w:szCs w:val="1"/>
                <w:color w:val="auto"/>
              </w:rPr>
            </w:pPr>
          </w:p>
        </w:tc>
      </w:tr>
      <w:tr>
        <w:trPr>
          <w:trHeight w:val="270"/>
        </w:trPr>
        <w:tc>
          <w:tcPr>
            <w:tcW w:w="2340" w:type="dxa"/>
            <w:vAlign w:val="bottom"/>
            <w:gridSpan w:val="2"/>
          </w:tcPr>
          <w:p>
            <w:pPr>
              <w:spacing w:after="0"/>
              <w:rPr>
                <w:sz w:val="20"/>
                <w:szCs w:val="20"/>
                <w:color w:val="auto"/>
              </w:rPr>
            </w:pPr>
            <w:r>
              <w:rPr>
                <w:rFonts w:ascii="Arial" w:cs="Arial" w:eastAsia="Arial" w:hAnsi="Arial"/>
                <w:sz w:val="13"/>
                <w:szCs w:val="13"/>
                <w:color w:val="auto"/>
                <w:w w:val="94"/>
              </w:rPr>
              <w:t>Cash dividends ($0.12 dividend per share)</w:t>
            </w:r>
          </w:p>
        </w:tc>
        <w:tc>
          <w:tcPr>
            <w:tcW w:w="11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660" w:type="dxa"/>
            <w:vAlign w:val="bottom"/>
          </w:tcPr>
          <w:p>
            <w:pPr>
              <w:jc w:val="right"/>
              <w:ind w:right="25"/>
              <w:spacing w:after="0"/>
              <w:rPr>
                <w:sz w:val="20"/>
                <w:szCs w:val="20"/>
                <w:color w:val="auto"/>
              </w:rPr>
            </w:pPr>
            <w:r>
              <w:rPr>
                <w:rFonts w:ascii="Arial" w:cs="Arial" w:eastAsia="Arial" w:hAnsi="Arial"/>
                <w:sz w:val="11"/>
                <w:szCs w:val="11"/>
                <w:color w:val="auto"/>
              </w:rPr>
              <w:t>(11,687)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(11,687)</w:t>
            </w:r>
          </w:p>
        </w:tc>
        <w:tc>
          <w:tcPr>
            <w:tcW w:w="0" w:type="dxa"/>
            <w:vAlign w:val="bottom"/>
          </w:tcPr>
          <w:p>
            <w:pPr>
              <w:spacing w:after="0"/>
              <w:rPr>
                <w:sz w:val="1"/>
                <w:szCs w:val="1"/>
                <w:color w:val="auto"/>
              </w:rPr>
            </w:pPr>
          </w:p>
        </w:tc>
      </w:tr>
      <w:tr>
        <w:trPr>
          <w:trHeight w:val="164"/>
        </w:trPr>
        <w:tc>
          <w:tcPr>
            <w:tcW w:w="2340" w:type="dxa"/>
            <w:vAlign w:val="bottom"/>
            <w:gridSpan w:val="2"/>
          </w:tcPr>
          <w:p>
            <w:pPr>
              <w:spacing w:after="0"/>
              <w:rPr>
                <w:sz w:val="20"/>
                <w:szCs w:val="20"/>
                <w:color w:val="auto"/>
              </w:rPr>
            </w:pPr>
            <w:r>
              <w:rPr>
                <w:rFonts w:ascii="Arial" w:cs="Arial" w:eastAsia="Arial" w:hAnsi="Arial"/>
                <w:sz w:val="13"/>
                <w:szCs w:val="13"/>
                <w:color w:val="auto"/>
                <w:w w:val="96"/>
              </w:rPr>
              <w:t>Proceeds from treasury stock issued from</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340" w:type="dxa"/>
            <w:vAlign w:val="bottom"/>
            <w:gridSpan w:val="2"/>
          </w:tcPr>
          <w:p>
            <w:pPr>
              <w:spacing w:after="0" w:line="135" w:lineRule="exact"/>
              <w:rPr>
                <w:sz w:val="20"/>
                <w:szCs w:val="20"/>
                <w:color w:val="auto"/>
              </w:rPr>
            </w:pPr>
            <w:r>
              <w:rPr>
                <w:rFonts w:ascii="Arial" w:cs="Arial" w:eastAsia="Arial" w:hAnsi="Arial"/>
                <w:sz w:val="13"/>
                <w:szCs w:val="13"/>
                <w:color w:val="auto"/>
              </w:rPr>
              <w:t>the exercise of stock</w:t>
            </w: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340" w:type="dxa"/>
            <w:vAlign w:val="bottom"/>
            <w:gridSpan w:val="2"/>
          </w:tcPr>
          <w:p>
            <w:pPr>
              <w:spacing w:after="0"/>
              <w:rPr>
                <w:sz w:val="20"/>
                <w:szCs w:val="20"/>
                <w:color w:val="auto"/>
              </w:rPr>
            </w:pPr>
            <w:r>
              <w:rPr>
                <w:rFonts w:ascii="Arial" w:cs="Arial" w:eastAsia="Arial" w:hAnsi="Arial"/>
                <w:sz w:val="13"/>
                <w:szCs w:val="13"/>
                <w:color w:val="auto"/>
                <w:w w:val="97"/>
              </w:rPr>
              <w:t>options and other benefit plans, net of tax</w:t>
            </w:r>
          </w:p>
        </w:tc>
        <w:tc>
          <w:tcPr>
            <w:tcW w:w="11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80" w:type="dxa"/>
            <w:vAlign w:val="bottom"/>
          </w:tcPr>
          <w:p>
            <w:pPr>
              <w:jc w:val="right"/>
              <w:ind w:right="25"/>
              <w:spacing w:after="0"/>
              <w:rPr>
                <w:sz w:val="20"/>
                <w:szCs w:val="20"/>
                <w:color w:val="auto"/>
              </w:rPr>
            </w:pPr>
            <w:r>
              <w:rPr>
                <w:rFonts w:ascii="Arial" w:cs="Arial" w:eastAsia="Arial" w:hAnsi="Arial"/>
                <w:sz w:val="11"/>
                <w:szCs w:val="11"/>
                <w:color w:val="auto"/>
              </w:rPr>
              <w:t>(14,446)</w:t>
            </w:r>
          </w:p>
        </w:tc>
        <w:tc>
          <w:tcPr>
            <w:tcW w:w="120" w:type="dxa"/>
            <w:vAlign w:val="bottom"/>
          </w:tcPr>
          <w:p>
            <w:pPr>
              <w:spacing w:after="0"/>
              <w:rPr>
                <w:sz w:val="13"/>
                <w:szCs w:val="13"/>
                <w:color w:val="auto"/>
              </w:rPr>
            </w:pPr>
          </w:p>
        </w:tc>
        <w:tc>
          <w:tcPr>
            <w:tcW w:w="920" w:type="dxa"/>
            <w:vAlign w:val="bottom"/>
          </w:tcPr>
          <w:p>
            <w:pPr>
              <w:jc w:val="right"/>
              <w:ind w:right="65"/>
              <w:spacing w:after="0"/>
              <w:rPr>
                <w:sz w:val="20"/>
                <w:szCs w:val="20"/>
                <w:color w:val="auto"/>
              </w:rPr>
            </w:pPr>
            <w:r>
              <w:rPr>
                <w:rFonts w:ascii="Arial" w:cs="Arial" w:eastAsia="Arial" w:hAnsi="Arial"/>
                <w:sz w:val="11"/>
                <w:szCs w:val="11"/>
                <w:color w:val="auto"/>
              </w:rPr>
              <w:t>420,472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45"/>
              <w:spacing w:after="0"/>
              <w:rPr>
                <w:sz w:val="20"/>
                <w:szCs w:val="20"/>
                <w:color w:val="auto"/>
              </w:rPr>
            </w:pPr>
            <w:r>
              <w:rPr>
                <w:rFonts w:ascii="Arial" w:cs="Arial" w:eastAsia="Arial" w:hAnsi="Arial"/>
                <w:sz w:val="11"/>
                <w:szCs w:val="11"/>
                <w:color w:val="auto"/>
              </w:rPr>
              <w:t>8,931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(5,515)</w:t>
            </w:r>
          </w:p>
        </w:tc>
        <w:tc>
          <w:tcPr>
            <w:tcW w:w="0" w:type="dxa"/>
            <w:vAlign w:val="bottom"/>
          </w:tcPr>
          <w:p>
            <w:pPr>
              <w:spacing w:after="0"/>
              <w:rPr>
                <w:sz w:val="1"/>
                <w:szCs w:val="1"/>
                <w:color w:val="auto"/>
              </w:rPr>
            </w:pPr>
          </w:p>
        </w:tc>
      </w:tr>
      <w:tr>
        <w:trPr>
          <w:trHeight w:val="266"/>
        </w:trPr>
        <w:tc>
          <w:tcPr>
            <w:tcW w:w="2340" w:type="dxa"/>
            <w:vAlign w:val="bottom"/>
            <w:gridSpan w:val="2"/>
          </w:tcPr>
          <w:p>
            <w:pPr>
              <w:spacing w:after="0"/>
              <w:rPr>
                <w:sz w:val="20"/>
                <w:szCs w:val="20"/>
                <w:color w:val="auto"/>
              </w:rPr>
            </w:pPr>
            <w:r>
              <w:rPr>
                <w:rFonts w:ascii="Arial" w:cs="Arial" w:eastAsia="Arial" w:hAnsi="Arial"/>
                <w:sz w:val="12"/>
                <w:szCs w:val="12"/>
                <w:color w:val="auto"/>
              </w:rPr>
              <w:t>Stock based compensation</w:t>
            </w:r>
          </w:p>
        </w:tc>
        <w:tc>
          <w:tcPr>
            <w:tcW w:w="11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80" w:type="dxa"/>
            <w:vAlign w:val="bottom"/>
          </w:tcPr>
          <w:p>
            <w:pPr>
              <w:jc w:val="right"/>
              <w:ind w:right="65"/>
              <w:spacing w:after="0"/>
              <w:rPr>
                <w:sz w:val="20"/>
                <w:szCs w:val="20"/>
                <w:color w:val="auto"/>
              </w:rPr>
            </w:pPr>
            <w:r>
              <w:rPr>
                <w:rFonts w:ascii="Arial" w:cs="Arial" w:eastAsia="Arial" w:hAnsi="Arial"/>
                <w:sz w:val="11"/>
                <w:szCs w:val="11"/>
                <w:color w:val="auto"/>
              </w:rPr>
              <w:t>8,526</w:t>
            </w:r>
          </w:p>
        </w:tc>
        <w:tc>
          <w:tcPr>
            <w:tcW w:w="12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8,526</w:t>
            </w:r>
          </w:p>
        </w:tc>
        <w:tc>
          <w:tcPr>
            <w:tcW w:w="0" w:type="dxa"/>
            <w:vAlign w:val="bottom"/>
          </w:tcPr>
          <w:p>
            <w:pPr>
              <w:spacing w:after="0"/>
              <w:rPr>
                <w:sz w:val="1"/>
                <w:szCs w:val="1"/>
                <w:color w:val="auto"/>
              </w:rPr>
            </w:pPr>
          </w:p>
        </w:tc>
      </w:tr>
      <w:tr>
        <w:trPr>
          <w:trHeight w:val="274"/>
        </w:trPr>
        <w:tc>
          <w:tcPr>
            <w:tcW w:w="2340" w:type="dxa"/>
            <w:vAlign w:val="bottom"/>
            <w:gridSpan w:val="2"/>
          </w:tcPr>
          <w:p>
            <w:pPr>
              <w:spacing w:after="0"/>
              <w:rPr>
                <w:sz w:val="20"/>
                <w:szCs w:val="20"/>
                <w:color w:val="auto"/>
              </w:rPr>
            </w:pPr>
            <w:r>
              <w:rPr>
                <w:rFonts w:ascii="Arial" w:cs="Arial" w:eastAsia="Arial" w:hAnsi="Arial"/>
                <w:sz w:val="13"/>
                <w:szCs w:val="13"/>
                <w:color w:val="auto"/>
              </w:rPr>
              <w:t>Net income (loss)</w:t>
            </w:r>
          </w:p>
        </w:tc>
        <w:tc>
          <w:tcPr>
            <w:tcW w:w="11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660" w:type="dxa"/>
            <w:vAlign w:val="bottom"/>
          </w:tcPr>
          <w:p>
            <w:pPr>
              <w:jc w:val="right"/>
              <w:ind w:right="25"/>
              <w:spacing w:after="0"/>
              <w:rPr>
                <w:sz w:val="20"/>
                <w:szCs w:val="20"/>
                <w:color w:val="auto"/>
              </w:rPr>
            </w:pPr>
            <w:r>
              <w:rPr>
                <w:rFonts w:ascii="Arial" w:cs="Arial" w:eastAsia="Arial" w:hAnsi="Arial"/>
                <w:sz w:val="11"/>
                <w:szCs w:val="11"/>
                <w:color w:val="auto"/>
              </w:rPr>
              <w:t>(4,472)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760" w:type="dxa"/>
            <w:vAlign w:val="bottom"/>
          </w:tcPr>
          <w:p>
            <w:pPr>
              <w:jc w:val="right"/>
              <w:ind w:right="45"/>
              <w:spacing w:after="0"/>
              <w:rPr>
                <w:sz w:val="20"/>
                <w:szCs w:val="20"/>
                <w:color w:val="auto"/>
              </w:rPr>
            </w:pPr>
            <w:r>
              <w:rPr>
                <w:rFonts w:ascii="Arial" w:cs="Arial" w:eastAsia="Arial" w:hAnsi="Arial"/>
                <w:sz w:val="11"/>
                <w:szCs w:val="11"/>
                <w:color w:val="auto"/>
              </w:rPr>
              <w:t>459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(4,013)</w:t>
            </w:r>
          </w:p>
        </w:tc>
        <w:tc>
          <w:tcPr>
            <w:tcW w:w="0" w:type="dxa"/>
            <w:vAlign w:val="bottom"/>
          </w:tcPr>
          <w:p>
            <w:pPr>
              <w:spacing w:after="0"/>
              <w:rPr>
                <w:sz w:val="1"/>
                <w:szCs w:val="1"/>
                <w:color w:val="auto"/>
              </w:rPr>
            </w:pPr>
          </w:p>
        </w:tc>
      </w:tr>
      <w:tr>
        <w:trPr>
          <w:trHeight w:val="270"/>
        </w:trPr>
        <w:tc>
          <w:tcPr>
            <w:tcW w:w="2340" w:type="dxa"/>
            <w:vAlign w:val="bottom"/>
            <w:gridSpan w:val="2"/>
          </w:tcPr>
          <w:p>
            <w:pPr>
              <w:spacing w:after="0"/>
              <w:rPr>
                <w:sz w:val="20"/>
                <w:szCs w:val="20"/>
                <w:color w:val="auto"/>
              </w:rPr>
            </w:pPr>
            <w:r>
              <w:rPr>
                <w:rFonts w:ascii="Arial" w:cs="Arial" w:eastAsia="Arial" w:hAnsi="Arial"/>
                <w:sz w:val="13"/>
                <w:szCs w:val="13"/>
                <w:color w:val="auto"/>
              </w:rPr>
              <w:t>Other comprehensive loss, net of tax</w:t>
            </w:r>
          </w:p>
        </w:tc>
        <w:tc>
          <w:tcPr>
            <w:tcW w:w="11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1000" w:type="dxa"/>
            <w:vAlign w:val="bottom"/>
          </w:tcPr>
          <w:p>
            <w:pPr>
              <w:jc w:val="right"/>
              <w:ind w:right="25"/>
              <w:spacing w:after="0"/>
              <w:rPr>
                <w:sz w:val="20"/>
                <w:szCs w:val="20"/>
                <w:color w:val="auto"/>
              </w:rPr>
            </w:pPr>
            <w:r>
              <w:rPr>
                <w:rFonts w:ascii="Arial" w:cs="Arial" w:eastAsia="Arial" w:hAnsi="Arial"/>
                <w:sz w:val="11"/>
                <w:szCs w:val="11"/>
                <w:color w:val="auto"/>
              </w:rPr>
              <w:t>(52,417)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(52,417)</w:t>
            </w:r>
          </w:p>
        </w:tc>
        <w:tc>
          <w:tcPr>
            <w:tcW w:w="0" w:type="dxa"/>
            <w:vAlign w:val="bottom"/>
          </w:tcPr>
          <w:p>
            <w:pPr>
              <w:spacing w:after="0"/>
              <w:rPr>
                <w:sz w:val="1"/>
                <w:szCs w:val="1"/>
                <w:color w:val="auto"/>
              </w:rPr>
            </w:pPr>
          </w:p>
        </w:tc>
      </w:tr>
      <w:tr>
        <w:trPr>
          <w:trHeight w:val="270"/>
        </w:trPr>
        <w:tc>
          <w:tcPr>
            <w:tcW w:w="2340" w:type="dxa"/>
            <w:vAlign w:val="bottom"/>
            <w:gridSpan w:val="2"/>
          </w:tcPr>
          <w:p>
            <w:pPr>
              <w:spacing w:after="0"/>
              <w:rPr>
                <w:sz w:val="20"/>
                <w:szCs w:val="20"/>
                <w:color w:val="auto"/>
              </w:rPr>
            </w:pPr>
            <w:r>
              <w:rPr>
                <w:rFonts w:ascii="Arial" w:cs="Arial" w:eastAsia="Arial" w:hAnsi="Arial"/>
                <w:sz w:val="13"/>
                <w:szCs w:val="13"/>
                <w:color w:val="auto"/>
              </w:rPr>
              <w:t>Acquisitions</w:t>
            </w:r>
          </w:p>
        </w:tc>
        <w:tc>
          <w:tcPr>
            <w:tcW w:w="1040" w:type="dxa"/>
            <w:vAlign w:val="bottom"/>
          </w:tcPr>
          <w:p>
            <w:pPr>
              <w:jc w:val="right"/>
              <w:ind w:right="85"/>
              <w:spacing w:after="0"/>
              <w:rPr>
                <w:sz w:val="20"/>
                <w:szCs w:val="20"/>
                <w:color w:val="auto"/>
              </w:rPr>
            </w:pPr>
            <w:r>
              <w:rPr>
                <w:rFonts w:ascii="Arial" w:cs="Arial" w:eastAsia="Arial" w:hAnsi="Arial"/>
                <w:sz w:val="11"/>
                <w:szCs w:val="11"/>
                <w:color w:val="auto"/>
              </w:rPr>
              <w:t>65,782,182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right"/>
              <w:ind w:right="65"/>
              <w:spacing w:after="0"/>
              <w:rPr>
                <w:sz w:val="20"/>
                <w:szCs w:val="20"/>
                <w:color w:val="auto"/>
              </w:rPr>
            </w:pPr>
            <w:r>
              <w:rPr>
                <w:rFonts w:ascii="Arial" w:cs="Arial" w:eastAsia="Arial" w:hAnsi="Arial"/>
                <w:sz w:val="11"/>
                <w:szCs w:val="11"/>
                <w:color w:val="auto"/>
              </w:rPr>
              <w:t>658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65"/>
              <w:spacing w:after="0"/>
              <w:rPr>
                <w:sz w:val="20"/>
                <w:szCs w:val="20"/>
                <w:color w:val="auto"/>
              </w:rPr>
            </w:pPr>
            <w:r>
              <w:rPr>
                <w:rFonts w:ascii="Arial" w:cs="Arial" w:eastAsia="Arial" w:hAnsi="Arial"/>
                <w:sz w:val="11"/>
                <w:szCs w:val="11"/>
                <w:color w:val="auto"/>
              </w:rPr>
              <w:t>6,887,622</w:t>
            </w:r>
          </w:p>
        </w:tc>
        <w:tc>
          <w:tcPr>
            <w:tcW w:w="12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760" w:type="dxa"/>
            <w:vAlign w:val="bottom"/>
          </w:tcPr>
          <w:p>
            <w:pPr>
              <w:jc w:val="right"/>
              <w:ind w:right="45"/>
              <w:spacing w:after="0"/>
              <w:rPr>
                <w:sz w:val="20"/>
                <w:szCs w:val="20"/>
                <w:color w:val="auto"/>
              </w:rPr>
            </w:pPr>
            <w:r>
              <w:rPr>
                <w:rFonts w:ascii="Arial" w:cs="Arial" w:eastAsia="Arial" w:hAnsi="Arial"/>
                <w:sz w:val="11"/>
                <w:szCs w:val="11"/>
                <w:color w:val="auto"/>
              </w:rPr>
              <w:t>86,765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w w:val="97"/>
              </w:rPr>
              <w:t>6,975,045</w:t>
            </w:r>
          </w:p>
        </w:tc>
        <w:tc>
          <w:tcPr>
            <w:tcW w:w="0" w:type="dxa"/>
            <w:vAlign w:val="bottom"/>
          </w:tcPr>
          <w:p>
            <w:pPr>
              <w:spacing w:after="0"/>
              <w:rPr>
                <w:sz w:val="1"/>
                <w:szCs w:val="1"/>
                <w:color w:val="auto"/>
              </w:rPr>
            </w:pPr>
          </w:p>
        </w:tc>
      </w:tr>
      <w:tr>
        <w:trPr>
          <w:trHeight w:val="280"/>
        </w:trPr>
        <w:tc>
          <w:tcPr>
            <w:tcW w:w="2340" w:type="dxa"/>
            <w:vAlign w:val="bottom"/>
            <w:gridSpan w:val="2"/>
          </w:tcPr>
          <w:p>
            <w:pPr>
              <w:spacing w:after="0"/>
              <w:rPr>
                <w:sz w:val="20"/>
                <w:szCs w:val="20"/>
                <w:color w:val="auto"/>
              </w:rPr>
            </w:pPr>
            <w:r>
              <w:rPr>
                <w:rFonts w:ascii="Arial" w:cs="Arial" w:eastAsia="Arial" w:hAnsi="Arial"/>
                <w:sz w:val="13"/>
                <w:szCs w:val="13"/>
                <w:color w:val="auto"/>
              </w:rPr>
              <w:t>Other owner changes</w:t>
            </w:r>
          </w:p>
        </w:tc>
        <w:tc>
          <w:tcPr>
            <w:tcW w:w="11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760" w:type="dxa"/>
            <w:vAlign w:val="bottom"/>
          </w:tcPr>
          <w:p>
            <w:pPr>
              <w:jc w:val="right"/>
              <w:ind w:right="45"/>
              <w:spacing w:after="0"/>
              <w:rPr>
                <w:sz w:val="20"/>
                <w:szCs w:val="20"/>
                <w:color w:val="auto"/>
              </w:rPr>
            </w:pPr>
            <w:r>
              <w:rPr>
                <w:rFonts w:ascii="Arial" w:cs="Arial" w:eastAsia="Arial" w:hAnsi="Arial"/>
                <w:sz w:val="11"/>
                <w:szCs w:val="11"/>
                <w:color w:val="auto"/>
              </w:rPr>
              <w:t>1,432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1,432</w:t>
            </w:r>
          </w:p>
        </w:tc>
        <w:tc>
          <w:tcPr>
            <w:tcW w:w="0" w:type="dxa"/>
            <w:vAlign w:val="bottom"/>
          </w:tcPr>
          <w:p>
            <w:pPr>
              <w:spacing w:after="0"/>
              <w:rPr>
                <w:sz w:val="1"/>
                <w:szCs w:val="1"/>
                <w:color w:val="auto"/>
              </w:rPr>
            </w:pPr>
          </w:p>
        </w:tc>
      </w:tr>
      <w:tr>
        <w:trPr>
          <w:trHeight w:val="250"/>
        </w:trPr>
        <w:tc>
          <w:tcPr>
            <w:tcW w:w="2340" w:type="dxa"/>
            <w:vAlign w:val="bottom"/>
            <w:gridSpan w:val="2"/>
          </w:tcPr>
          <w:p>
            <w:pPr>
              <w:spacing w:after="0"/>
              <w:rPr>
                <w:sz w:val="20"/>
                <w:szCs w:val="20"/>
                <w:color w:val="auto"/>
              </w:rPr>
            </w:pPr>
            <w:r>
              <w:rPr>
                <w:rFonts w:ascii="Arial" w:cs="Arial" w:eastAsia="Arial" w:hAnsi="Arial"/>
                <w:sz w:val="13"/>
                <w:szCs w:val="13"/>
                <w:b w:val="1"/>
                <w:bCs w:val="1"/>
                <w:color w:val="auto"/>
              </w:rPr>
              <w:t>Balance, March 31, 2019</w:t>
            </w:r>
          </w:p>
        </w:tc>
        <w:tc>
          <w:tcPr>
            <w:tcW w:w="1040" w:type="dxa"/>
            <w:vAlign w:val="bottom"/>
            <w:tcBorders>
              <w:top w:val="single" w:sz="8" w:color="auto"/>
            </w:tcBorders>
          </w:tcPr>
          <w:p>
            <w:pPr>
              <w:jc w:val="right"/>
              <w:ind w:right="85"/>
              <w:spacing w:after="0"/>
              <w:rPr>
                <w:sz w:val="20"/>
                <w:szCs w:val="20"/>
                <w:color w:val="auto"/>
              </w:rPr>
            </w:pPr>
            <w:r>
              <w:rPr>
                <w:rFonts w:ascii="Arial" w:cs="Arial" w:eastAsia="Arial" w:hAnsi="Arial"/>
                <w:sz w:val="11"/>
                <w:szCs w:val="11"/>
                <w:color w:val="auto"/>
              </w:rPr>
              <w:t>198,131,716</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1"/>
                <w:szCs w:val="11"/>
                <w:color w:val="auto"/>
              </w:rPr>
              <w:t>1,981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1"/>
                <w:szCs w:val="11"/>
                <w:color w:val="auto"/>
              </w:rPr>
              <w:t>7,796,270</w:t>
            </w:r>
          </w:p>
        </w:tc>
        <w:tc>
          <w:tcPr>
            <w:tcW w:w="120" w:type="dxa"/>
            <w:vAlign w:val="bottom"/>
          </w:tcPr>
          <w:p>
            <w:pPr>
              <w:spacing w:after="0"/>
              <w:rPr>
                <w:sz w:val="21"/>
                <w:szCs w:val="21"/>
                <w:color w:val="auto"/>
              </w:rPr>
            </w:pPr>
          </w:p>
        </w:tc>
        <w:tc>
          <w:tcPr>
            <w:tcW w:w="92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1"/>
                <w:szCs w:val="11"/>
                <w:color w:val="auto"/>
              </w:rPr>
              <w:t>(35,314,116)</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1"/>
                <w:szCs w:val="11"/>
                <w:color w:val="auto"/>
              </w:rPr>
              <w:t>(807,214)</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6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1"/>
                <w:szCs w:val="11"/>
                <w:color w:val="auto"/>
              </w:rPr>
              <w:t>3,005,809</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1"/>
                <w:szCs w:val="11"/>
                <w:color w:val="auto"/>
              </w:rPr>
              <w:t>(309,000)</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1"/>
                <w:szCs w:val="11"/>
                <w:color w:val="auto"/>
              </w:rPr>
              <w:t>92,600</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color w:val="auto"/>
                <w:w w:val="97"/>
              </w:rPr>
              <w:t>$</w:t>
            </w:r>
          </w:p>
        </w:tc>
        <w:tc>
          <w:tcPr>
            <w:tcW w:w="6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w w:val="97"/>
              </w:rPr>
              <w:t>9,780,446</w:t>
            </w:r>
          </w:p>
        </w:tc>
        <w:tc>
          <w:tcPr>
            <w:tcW w:w="0" w:type="dxa"/>
            <w:vAlign w:val="bottom"/>
          </w:tcPr>
          <w:p>
            <w:pPr>
              <w:spacing w:after="0"/>
              <w:rPr>
                <w:sz w:val="1"/>
                <w:szCs w:val="1"/>
                <w:color w:val="auto"/>
              </w:rPr>
            </w:pPr>
          </w:p>
        </w:tc>
      </w:tr>
      <w:tr>
        <w:trPr>
          <w:trHeight w:val="416"/>
        </w:trPr>
        <w:tc>
          <w:tcPr>
            <w:tcW w:w="2340" w:type="dxa"/>
            <w:vAlign w:val="bottom"/>
            <w:gridSpan w:val="2"/>
          </w:tcPr>
          <w:p>
            <w:pPr>
              <w:spacing w:after="0"/>
              <w:rPr>
                <w:sz w:val="20"/>
                <w:szCs w:val="20"/>
                <w:color w:val="auto"/>
              </w:rPr>
            </w:pPr>
            <w:r>
              <w:rPr>
                <w:rFonts w:ascii="Arial" w:cs="Arial" w:eastAsia="Arial" w:hAnsi="Arial"/>
                <w:sz w:val="13"/>
                <w:szCs w:val="13"/>
                <w:color w:val="auto"/>
                <w:w w:val="94"/>
              </w:rPr>
              <w:t>Cash dividends ($0.12 dividend per share)</w:t>
            </w:r>
          </w:p>
        </w:tc>
        <w:tc>
          <w:tcPr>
            <w:tcW w:w="11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660" w:type="dxa"/>
            <w:vAlign w:val="bottom"/>
          </w:tcPr>
          <w:p>
            <w:pPr>
              <w:jc w:val="right"/>
              <w:ind w:right="25"/>
              <w:spacing w:after="0"/>
              <w:rPr>
                <w:sz w:val="20"/>
                <w:szCs w:val="20"/>
                <w:color w:val="auto"/>
              </w:rPr>
            </w:pPr>
            <w:r>
              <w:rPr>
                <w:rFonts w:ascii="Arial" w:cs="Arial" w:eastAsia="Arial" w:hAnsi="Arial"/>
                <w:sz w:val="11"/>
                <w:szCs w:val="11"/>
                <w:color w:val="auto"/>
              </w:rPr>
              <w:t>(22,576)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4"/>
                <w:szCs w:val="24"/>
                <w:color w:val="auto"/>
              </w:rPr>
            </w:pP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(22,576)</w:t>
            </w:r>
          </w:p>
        </w:tc>
        <w:tc>
          <w:tcPr>
            <w:tcW w:w="0" w:type="dxa"/>
            <w:vAlign w:val="bottom"/>
          </w:tcPr>
          <w:p>
            <w:pPr>
              <w:spacing w:after="0"/>
              <w:rPr>
                <w:sz w:val="1"/>
                <w:szCs w:val="1"/>
                <w:color w:val="auto"/>
              </w:rPr>
            </w:pPr>
          </w:p>
        </w:tc>
      </w:tr>
      <w:tr>
        <w:trPr>
          <w:trHeight w:val="164"/>
        </w:trPr>
        <w:tc>
          <w:tcPr>
            <w:tcW w:w="2340" w:type="dxa"/>
            <w:vAlign w:val="bottom"/>
            <w:gridSpan w:val="2"/>
          </w:tcPr>
          <w:p>
            <w:pPr>
              <w:spacing w:after="0"/>
              <w:rPr>
                <w:sz w:val="20"/>
                <w:szCs w:val="20"/>
                <w:color w:val="auto"/>
              </w:rPr>
            </w:pPr>
            <w:r>
              <w:rPr>
                <w:rFonts w:ascii="Arial" w:cs="Arial" w:eastAsia="Arial" w:hAnsi="Arial"/>
                <w:sz w:val="13"/>
                <w:szCs w:val="13"/>
                <w:color w:val="auto"/>
                <w:w w:val="96"/>
              </w:rPr>
              <w:t>Proceeds from treasury stock issued from</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340" w:type="dxa"/>
            <w:vAlign w:val="bottom"/>
            <w:gridSpan w:val="2"/>
          </w:tcPr>
          <w:p>
            <w:pPr>
              <w:spacing w:after="0" w:line="135" w:lineRule="exact"/>
              <w:rPr>
                <w:sz w:val="20"/>
                <w:szCs w:val="20"/>
                <w:color w:val="auto"/>
              </w:rPr>
            </w:pPr>
            <w:r>
              <w:rPr>
                <w:rFonts w:ascii="Arial" w:cs="Arial" w:eastAsia="Arial" w:hAnsi="Arial"/>
                <w:sz w:val="13"/>
                <w:szCs w:val="13"/>
                <w:color w:val="auto"/>
              </w:rPr>
              <w:t>the exercise of stock</w:t>
            </w: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340" w:type="dxa"/>
            <w:vAlign w:val="bottom"/>
            <w:gridSpan w:val="2"/>
          </w:tcPr>
          <w:p>
            <w:pPr>
              <w:spacing w:after="0"/>
              <w:rPr>
                <w:sz w:val="20"/>
                <w:szCs w:val="20"/>
                <w:color w:val="auto"/>
              </w:rPr>
            </w:pPr>
            <w:r>
              <w:rPr>
                <w:rFonts w:ascii="Arial" w:cs="Arial" w:eastAsia="Arial" w:hAnsi="Arial"/>
                <w:sz w:val="13"/>
                <w:szCs w:val="13"/>
                <w:color w:val="auto"/>
                <w:w w:val="97"/>
              </w:rPr>
              <w:t>options and other benefit plans, net of tax</w:t>
            </w:r>
          </w:p>
        </w:tc>
        <w:tc>
          <w:tcPr>
            <w:tcW w:w="11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80" w:type="dxa"/>
            <w:vAlign w:val="bottom"/>
          </w:tcPr>
          <w:p>
            <w:pPr>
              <w:jc w:val="right"/>
              <w:ind w:right="25"/>
              <w:spacing w:after="0"/>
              <w:rPr>
                <w:sz w:val="20"/>
                <w:szCs w:val="20"/>
                <w:color w:val="auto"/>
              </w:rPr>
            </w:pPr>
            <w:r>
              <w:rPr>
                <w:rFonts w:ascii="Arial" w:cs="Arial" w:eastAsia="Arial" w:hAnsi="Arial"/>
                <w:sz w:val="11"/>
                <w:szCs w:val="11"/>
                <w:color w:val="auto"/>
              </w:rPr>
              <w:t>(4,567)</w:t>
            </w:r>
          </w:p>
        </w:tc>
        <w:tc>
          <w:tcPr>
            <w:tcW w:w="120" w:type="dxa"/>
            <w:vAlign w:val="bottom"/>
          </w:tcPr>
          <w:p>
            <w:pPr>
              <w:spacing w:after="0"/>
              <w:rPr>
                <w:sz w:val="13"/>
                <w:szCs w:val="13"/>
                <w:color w:val="auto"/>
              </w:rPr>
            </w:pPr>
          </w:p>
        </w:tc>
        <w:tc>
          <w:tcPr>
            <w:tcW w:w="920" w:type="dxa"/>
            <w:vAlign w:val="bottom"/>
          </w:tcPr>
          <w:p>
            <w:pPr>
              <w:jc w:val="right"/>
              <w:ind w:right="65"/>
              <w:spacing w:after="0"/>
              <w:rPr>
                <w:sz w:val="20"/>
                <w:szCs w:val="20"/>
                <w:color w:val="auto"/>
              </w:rPr>
            </w:pPr>
            <w:r>
              <w:rPr>
                <w:rFonts w:ascii="Arial" w:cs="Arial" w:eastAsia="Arial" w:hAnsi="Arial"/>
                <w:sz w:val="11"/>
                <w:szCs w:val="11"/>
                <w:color w:val="auto"/>
              </w:rPr>
              <w:t>65,506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45"/>
              <w:spacing w:after="0"/>
              <w:rPr>
                <w:sz w:val="20"/>
                <w:szCs w:val="20"/>
                <w:color w:val="auto"/>
              </w:rPr>
            </w:pPr>
            <w:r>
              <w:rPr>
                <w:rFonts w:ascii="Arial" w:cs="Arial" w:eastAsia="Arial" w:hAnsi="Arial"/>
                <w:sz w:val="11"/>
                <w:szCs w:val="11"/>
                <w:color w:val="auto"/>
              </w:rPr>
              <w:t>1,596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(2,971)</w:t>
            </w:r>
          </w:p>
        </w:tc>
        <w:tc>
          <w:tcPr>
            <w:tcW w:w="0" w:type="dxa"/>
            <w:vAlign w:val="bottom"/>
          </w:tcPr>
          <w:p>
            <w:pPr>
              <w:spacing w:after="0"/>
              <w:rPr>
                <w:sz w:val="1"/>
                <w:szCs w:val="1"/>
                <w:color w:val="auto"/>
              </w:rPr>
            </w:pPr>
          </w:p>
        </w:tc>
      </w:tr>
      <w:tr>
        <w:trPr>
          <w:trHeight w:val="266"/>
        </w:trPr>
        <w:tc>
          <w:tcPr>
            <w:tcW w:w="2340" w:type="dxa"/>
            <w:vAlign w:val="bottom"/>
            <w:gridSpan w:val="2"/>
          </w:tcPr>
          <w:p>
            <w:pPr>
              <w:spacing w:after="0"/>
              <w:rPr>
                <w:sz w:val="20"/>
                <w:szCs w:val="20"/>
                <w:color w:val="auto"/>
              </w:rPr>
            </w:pPr>
            <w:r>
              <w:rPr>
                <w:rFonts w:ascii="Arial" w:cs="Arial" w:eastAsia="Arial" w:hAnsi="Arial"/>
                <w:sz w:val="12"/>
                <w:szCs w:val="12"/>
                <w:color w:val="auto"/>
              </w:rPr>
              <w:t>Stock based compensation</w:t>
            </w:r>
          </w:p>
        </w:tc>
        <w:tc>
          <w:tcPr>
            <w:tcW w:w="11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80" w:type="dxa"/>
            <w:vAlign w:val="bottom"/>
          </w:tcPr>
          <w:p>
            <w:pPr>
              <w:jc w:val="right"/>
              <w:ind w:right="65"/>
              <w:spacing w:after="0"/>
              <w:rPr>
                <w:sz w:val="20"/>
                <w:szCs w:val="20"/>
                <w:color w:val="auto"/>
              </w:rPr>
            </w:pPr>
            <w:r>
              <w:rPr>
                <w:rFonts w:ascii="Arial" w:cs="Arial" w:eastAsia="Arial" w:hAnsi="Arial"/>
                <w:sz w:val="11"/>
                <w:szCs w:val="11"/>
                <w:color w:val="auto"/>
              </w:rPr>
              <w:t>15,406</w:t>
            </w:r>
          </w:p>
        </w:tc>
        <w:tc>
          <w:tcPr>
            <w:tcW w:w="12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15,406</w:t>
            </w:r>
          </w:p>
        </w:tc>
        <w:tc>
          <w:tcPr>
            <w:tcW w:w="0" w:type="dxa"/>
            <w:vAlign w:val="bottom"/>
          </w:tcPr>
          <w:p>
            <w:pPr>
              <w:spacing w:after="0"/>
              <w:rPr>
                <w:sz w:val="1"/>
                <w:szCs w:val="1"/>
                <w:color w:val="auto"/>
              </w:rPr>
            </w:pPr>
          </w:p>
        </w:tc>
      </w:tr>
      <w:tr>
        <w:trPr>
          <w:trHeight w:val="274"/>
        </w:trPr>
        <w:tc>
          <w:tcPr>
            <w:tcW w:w="2340" w:type="dxa"/>
            <w:vAlign w:val="bottom"/>
            <w:gridSpan w:val="2"/>
          </w:tcPr>
          <w:p>
            <w:pPr>
              <w:spacing w:after="0"/>
              <w:rPr>
                <w:sz w:val="20"/>
                <w:szCs w:val="20"/>
                <w:color w:val="auto"/>
              </w:rPr>
            </w:pPr>
            <w:r>
              <w:rPr>
                <w:rFonts w:ascii="Arial" w:cs="Arial" w:eastAsia="Arial" w:hAnsi="Arial"/>
                <w:sz w:val="13"/>
                <w:szCs w:val="13"/>
                <w:color w:val="auto"/>
              </w:rPr>
              <w:t>Net income (loss)</w:t>
            </w:r>
          </w:p>
        </w:tc>
        <w:tc>
          <w:tcPr>
            <w:tcW w:w="11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660" w:type="dxa"/>
            <w:vAlign w:val="bottom"/>
          </w:tcPr>
          <w:p>
            <w:pPr>
              <w:jc w:val="right"/>
              <w:ind w:right="45"/>
              <w:spacing w:after="0"/>
              <w:rPr>
                <w:sz w:val="20"/>
                <w:szCs w:val="20"/>
                <w:color w:val="auto"/>
              </w:rPr>
            </w:pPr>
            <w:r>
              <w:rPr>
                <w:rFonts w:ascii="Arial" w:cs="Arial" w:eastAsia="Arial" w:hAnsi="Arial"/>
                <w:sz w:val="11"/>
                <w:szCs w:val="11"/>
                <w:color w:val="auto"/>
              </w:rPr>
              <w:t>104,235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760" w:type="dxa"/>
            <w:vAlign w:val="bottom"/>
          </w:tcPr>
          <w:p>
            <w:pPr>
              <w:jc w:val="right"/>
              <w:ind w:right="25"/>
              <w:spacing w:after="0"/>
              <w:rPr>
                <w:sz w:val="20"/>
                <w:szCs w:val="20"/>
                <w:color w:val="auto"/>
              </w:rPr>
            </w:pPr>
            <w:r>
              <w:rPr>
                <w:rFonts w:ascii="Arial" w:cs="Arial" w:eastAsia="Arial" w:hAnsi="Arial"/>
                <w:sz w:val="11"/>
                <w:szCs w:val="11"/>
                <w:color w:val="auto"/>
              </w:rPr>
              <w:t>(1,381)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102,854</w:t>
            </w:r>
          </w:p>
        </w:tc>
        <w:tc>
          <w:tcPr>
            <w:tcW w:w="0" w:type="dxa"/>
            <w:vAlign w:val="bottom"/>
          </w:tcPr>
          <w:p>
            <w:pPr>
              <w:spacing w:after="0"/>
              <w:rPr>
                <w:sz w:val="1"/>
                <w:szCs w:val="1"/>
                <w:color w:val="auto"/>
              </w:rPr>
            </w:pPr>
          </w:p>
        </w:tc>
      </w:tr>
      <w:tr>
        <w:trPr>
          <w:trHeight w:val="270"/>
        </w:trPr>
        <w:tc>
          <w:tcPr>
            <w:tcW w:w="2340" w:type="dxa"/>
            <w:vAlign w:val="bottom"/>
            <w:gridSpan w:val="2"/>
          </w:tcPr>
          <w:p>
            <w:pPr>
              <w:spacing w:after="0"/>
              <w:rPr>
                <w:sz w:val="20"/>
                <w:szCs w:val="20"/>
                <w:color w:val="auto"/>
              </w:rPr>
            </w:pPr>
            <w:r>
              <w:rPr>
                <w:rFonts w:ascii="Arial" w:cs="Arial" w:eastAsia="Arial" w:hAnsi="Arial"/>
                <w:sz w:val="13"/>
                <w:szCs w:val="13"/>
                <w:color w:val="auto"/>
              </w:rPr>
              <w:t>Other comprehensive income, net of tax</w:t>
            </w:r>
          </w:p>
        </w:tc>
        <w:tc>
          <w:tcPr>
            <w:tcW w:w="11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1000" w:type="dxa"/>
            <w:vAlign w:val="bottom"/>
          </w:tcPr>
          <w:p>
            <w:pPr>
              <w:jc w:val="right"/>
              <w:ind w:right="65"/>
              <w:spacing w:after="0"/>
              <w:rPr>
                <w:sz w:val="20"/>
                <w:szCs w:val="20"/>
                <w:color w:val="auto"/>
              </w:rPr>
            </w:pPr>
            <w:r>
              <w:rPr>
                <w:rFonts w:ascii="Arial" w:cs="Arial" w:eastAsia="Arial" w:hAnsi="Arial"/>
                <w:sz w:val="11"/>
                <w:szCs w:val="11"/>
                <w:color w:val="auto"/>
              </w:rPr>
              <w:t>19,820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19,820</w:t>
            </w:r>
          </w:p>
        </w:tc>
        <w:tc>
          <w:tcPr>
            <w:tcW w:w="0" w:type="dxa"/>
            <w:vAlign w:val="bottom"/>
          </w:tcPr>
          <w:p>
            <w:pPr>
              <w:spacing w:after="0"/>
              <w:rPr>
                <w:sz w:val="1"/>
                <w:szCs w:val="1"/>
                <w:color w:val="auto"/>
              </w:rPr>
            </w:pPr>
          </w:p>
        </w:tc>
      </w:tr>
      <w:tr>
        <w:trPr>
          <w:trHeight w:val="270"/>
        </w:trPr>
        <w:tc>
          <w:tcPr>
            <w:tcW w:w="2340" w:type="dxa"/>
            <w:vAlign w:val="bottom"/>
            <w:gridSpan w:val="2"/>
          </w:tcPr>
          <w:p>
            <w:pPr>
              <w:spacing w:after="0"/>
              <w:rPr>
                <w:sz w:val="20"/>
                <w:szCs w:val="20"/>
                <w:color w:val="auto"/>
              </w:rPr>
            </w:pPr>
            <w:r>
              <w:rPr>
                <w:rFonts w:ascii="Arial" w:cs="Arial" w:eastAsia="Arial" w:hAnsi="Arial"/>
                <w:sz w:val="13"/>
                <w:szCs w:val="13"/>
                <w:color w:val="auto"/>
              </w:rPr>
              <w:t>Acquisitions</w:t>
            </w:r>
          </w:p>
        </w:tc>
        <w:tc>
          <w:tcPr>
            <w:tcW w:w="11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760" w:type="dxa"/>
            <w:vAlign w:val="bottom"/>
          </w:tcPr>
          <w:p>
            <w:pPr>
              <w:jc w:val="right"/>
              <w:ind w:right="25"/>
              <w:spacing w:after="0"/>
              <w:rPr>
                <w:sz w:val="20"/>
                <w:szCs w:val="20"/>
                <w:color w:val="auto"/>
              </w:rPr>
            </w:pPr>
            <w:r>
              <w:rPr>
                <w:rFonts w:ascii="Arial" w:cs="Arial" w:eastAsia="Arial" w:hAnsi="Arial"/>
                <w:sz w:val="11"/>
                <w:szCs w:val="11"/>
                <w:color w:val="auto"/>
              </w:rPr>
              <w:t>(56,179)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(56,179)</w:t>
            </w:r>
          </w:p>
        </w:tc>
        <w:tc>
          <w:tcPr>
            <w:tcW w:w="0" w:type="dxa"/>
            <w:vAlign w:val="bottom"/>
          </w:tcPr>
          <w:p>
            <w:pPr>
              <w:spacing w:after="0"/>
              <w:rPr>
                <w:sz w:val="1"/>
                <w:szCs w:val="1"/>
                <w:color w:val="auto"/>
              </w:rPr>
            </w:pPr>
          </w:p>
        </w:tc>
      </w:tr>
      <w:tr>
        <w:trPr>
          <w:trHeight w:val="280"/>
        </w:trPr>
        <w:tc>
          <w:tcPr>
            <w:tcW w:w="2340" w:type="dxa"/>
            <w:vAlign w:val="bottom"/>
            <w:gridSpan w:val="2"/>
          </w:tcPr>
          <w:p>
            <w:pPr>
              <w:spacing w:after="0"/>
              <w:rPr>
                <w:sz w:val="20"/>
                <w:szCs w:val="20"/>
                <w:color w:val="auto"/>
              </w:rPr>
            </w:pPr>
            <w:r>
              <w:rPr>
                <w:rFonts w:ascii="Arial" w:cs="Arial" w:eastAsia="Arial" w:hAnsi="Arial"/>
                <w:sz w:val="13"/>
                <w:szCs w:val="13"/>
                <w:color w:val="auto"/>
              </w:rPr>
              <w:t>Other owner changes</w:t>
            </w:r>
          </w:p>
        </w:tc>
        <w:tc>
          <w:tcPr>
            <w:tcW w:w="1040" w:type="dxa"/>
            <w:vAlign w:val="bottom"/>
          </w:tcPr>
          <w:p>
            <w:pPr>
              <w:jc w:val="right"/>
              <w:ind w:right="85"/>
              <w:spacing w:after="0"/>
              <w:rPr>
                <w:sz w:val="20"/>
                <w:szCs w:val="20"/>
                <w:color w:val="auto"/>
              </w:rPr>
            </w:pPr>
            <w:r>
              <w:rPr>
                <w:rFonts w:ascii="Arial" w:cs="Arial" w:eastAsia="Arial" w:hAnsi="Arial"/>
                <w:sz w:val="11"/>
                <w:szCs w:val="11"/>
                <w:color w:val="auto"/>
              </w:rPr>
              <w:t>25,300,000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760" w:type="dxa"/>
            <w:vAlign w:val="bottom"/>
          </w:tcPr>
          <w:p>
            <w:pPr>
              <w:jc w:val="right"/>
              <w:ind w:right="25"/>
              <w:spacing w:after="0"/>
              <w:rPr>
                <w:sz w:val="20"/>
                <w:szCs w:val="20"/>
                <w:color w:val="auto"/>
              </w:rPr>
            </w:pPr>
            <w:r>
              <w:rPr>
                <w:rFonts w:ascii="Arial" w:cs="Arial" w:eastAsia="Arial" w:hAnsi="Arial"/>
                <w:sz w:val="11"/>
                <w:szCs w:val="11"/>
                <w:color w:val="auto"/>
              </w:rPr>
              <w:t>(1,643)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(1,643)</w:t>
            </w:r>
          </w:p>
        </w:tc>
        <w:tc>
          <w:tcPr>
            <w:tcW w:w="0" w:type="dxa"/>
            <w:vAlign w:val="bottom"/>
          </w:tcPr>
          <w:p>
            <w:pPr>
              <w:spacing w:after="0"/>
              <w:rPr>
                <w:sz w:val="1"/>
                <w:szCs w:val="1"/>
                <w:color w:val="auto"/>
              </w:rPr>
            </w:pPr>
          </w:p>
        </w:tc>
      </w:tr>
      <w:tr>
        <w:trPr>
          <w:trHeight w:val="242"/>
        </w:trPr>
        <w:tc>
          <w:tcPr>
            <w:tcW w:w="2340" w:type="dxa"/>
            <w:vAlign w:val="bottom"/>
            <w:gridSpan w:val="2"/>
          </w:tcPr>
          <w:p>
            <w:pPr>
              <w:spacing w:after="0"/>
              <w:rPr>
                <w:sz w:val="20"/>
                <w:szCs w:val="20"/>
                <w:color w:val="auto"/>
              </w:rPr>
            </w:pPr>
            <w:r>
              <w:rPr>
                <w:rFonts w:ascii="Arial" w:cs="Arial" w:eastAsia="Arial" w:hAnsi="Arial"/>
                <w:sz w:val="13"/>
                <w:szCs w:val="13"/>
                <w:b w:val="1"/>
                <w:bCs w:val="1"/>
                <w:color w:val="auto"/>
              </w:rPr>
              <w:t>Balance, June 30, 2019</w:t>
            </w:r>
          </w:p>
        </w:tc>
        <w:tc>
          <w:tcPr>
            <w:tcW w:w="10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1"/>
                <w:szCs w:val="11"/>
                <w:color w:val="auto"/>
              </w:rPr>
              <w:t>223,431,716</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1"/>
                <w:szCs w:val="11"/>
                <w:color w:val="auto"/>
              </w:rPr>
              <w:t>1,981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1"/>
                <w:szCs w:val="11"/>
                <w:color w:val="auto"/>
              </w:rPr>
              <w:t>7,807,109</w:t>
            </w:r>
          </w:p>
        </w:tc>
        <w:tc>
          <w:tcPr>
            <w:tcW w:w="120" w:type="dxa"/>
            <w:vAlign w:val="bottom"/>
          </w:tcPr>
          <w:p>
            <w:pPr>
              <w:spacing w:after="0"/>
              <w:rPr>
                <w:sz w:val="21"/>
                <w:szCs w:val="21"/>
                <w:color w:val="auto"/>
              </w:rPr>
            </w:pPr>
          </w:p>
        </w:tc>
        <w:tc>
          <w:tcPr>
            <w:tcW w:w="92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1"/>
                <w:szCs w:val="11"/>
                <w:color w:val="auto"/>
              </w:rPr>
              <w:t>(35,248,610)</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1"/>
                <w:szCs w:val="11"/>
                <w:color w:val="auto"/>
              </w:rPr>
              <w:t>(805,618)</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6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1"/>
                <w:szCs w:val="11"/>
                <w:color w:val="auto"/>
              </w:rPr>
              <w:t>3,087,468</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1"/>
                <w:szCs w:val="11"/>
                <w:color w:val="auto"/>
              </w:rPr>
              <w:t>(289,180)</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1"/>
                <w:szCs w:val="11"/>
                <w:color w:val="auto"/>
              </w:rPr>
              <w:t>33,397</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color w:val="auto"/>
                <w:w w:val="97"/>
              </w:rPr>
              <w:t>$</w:t>
            </w:r>
          </w:p>
        </w:tc>
        <w:tc>
          <w:tcPr>
            <w:tcW w:w="6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w w:val="97"/>
              </w:rPr>
              <w:t>9,835,157</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280" w:top="364" w:right="399" w:bottom="1440" w:gutter="0" w:footer="0" w:header="0"/>
        </w:sectPr>
      </w:pPr>
    </w:p>
    <w:bookmarkStart w:id="7" w:name="page8"/>
    <w:bookmarkEnd w:id="7"/>
    <w:p>
      <w:pPr>
        <w:jc w:val="center"/>
        <w:spacing w:after="0" w:line="289" w:lineRule="auto"/>
        <w:rPr>
          <w:sz w:val="20"/>
          <w:szCs w:val="20"/>
          <w:color w:val="auto"/>
        </w:rPr>
      </w:pPr>
      <w:r>
        <w:rPr>
          <w:rFonts w:ascii="Arial" w:cs="Arial" w:eastAsia="Arial" w:hAnsi="Arial"/>
          <w:sz w:val="17"/>
          <w:szCs w:val="17"/>
          <w:b w:val="1"/>
          <w:bCs w:val="1"/>
          <w:color w:val="auto"/>
        </w:rPr>
        <w:t>WESTINGHOUSE AIR BRAKE TECHNOLOGIES CORPORATION NOTES TO CONDENSED CONSOLIDATED FINANCIAL STATEMENTS FOR THE QUARTERLY PERIOD ENDED JUNE 30, 2019 (UNAUDITED)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w:t>
      </w:r>
    </w:p>
    <w:p>
      <w:pPr>
        <w:spacing w:after="0" w:line="121" w:lineRule="exact"/>
        <w:rPr>
          <w:sz w:val="20"/>
          <w:szCs w:val="20"/>
          <w:color w:val="auto"/>
        </w:rPr>
      </w:pPr>
    </w:p>
    <w:p>
      <w:pPr>
        <w:ind w:right="20" w:firstLine="500"/>
        <w:spacing w:after="0" w:line="273" w:lineRule="auto"/>
        <w:rPr>
          <w:sz w:val="20"/>
          <w:szCs w:val="20"/>
          <w:color w:val="auto"/>
        </w:rPr>
      </w:pPr>
      <w:r>
        <w:rPr>
          <w:rFonts w:ascii="Arial" w:cs="Arial" w:eastAsia="Arial" w:hAnsi="Arial"/>
          <w:sz w:val="17"/>
          <w:szCs w:val="17"/>
          <w:color w:val="auto"/>
        </w:rPr>
        <w:t>Westinghouse Air Brake Technologies Corporation (“Wabtec” or the "Company") is one of the world’s largest providers of value-added, technology-based equipment, systems and services for the global freight rail and passenger transit industries. Our highly engineered products enhance safety, improve productivity and reduce maintenance costs for customers and can be found on most locomotives, freight cars, passenger transit cars and buses around the world. Many of our core products and services are essential in the safe and efficient operation of freight rail and passenger transit vehicles. Wabtec is a global company with operations in over 50 countries and our products can be found in more than 100 countries throughout the world. In the first six months of 2019, approximately 59% of the Company’s revenues came from customers outside the United States.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POLICIES</w:t>
      </w:r>
    </w:p>
    <w:p>
      <w:pPr>
        <w:spacing w:after="0" w:line="121" w:lineRule="exact"/>
        <w:rPr>
          <w:sz w:val="20"/>
          <w:szCs w:val="20"/>
          <w:color w:val="auto"/>
        </w:rPr>
      </w:pPr>
    </w:p>
    <w:p>
      <w:pPr>
        <w:ind w:firstLine="500"/>
        <w:spacing w:after="0" w:line="273" w:lineRule="auto"/>
        <w:rPr>
          <w:sz w:val="20"/>
          <w:szCs w:val="20"/>
          <w:color w:val="auto"/>
        </w:rPr>
      </w:pPr>
      <w:r>
        <w:rPr>
          <w:rFonts w:ascii="Arial" w:cs="Arial" w:eastAsia="Arial" w:hAnsi="Arial"/>
          <w:sz w:val="17"/>
          <w:szCs w:val="17"/>
          <w:b w:val="1"/>
          <w:bCs w:val="1"/>
          <w:i w:val="1"/>
          <w:iCs w:val="1"/>
          <w:color w:val="auto"/>
        </w:rPr>
        <w:t xml:space="preserve">Basis of Presentation </w:t>
      </w:r>
      <w:r>
        <w:rPr>
          <w:rFonts w:ascii="Arial" w:cs="Arial" w:eastAsia="Arial" w:hAnsi="Arial"/>
          <w:sz w:val="17"/>
          <w:szCs w:val="17"/>
          <w:color w:val="auto"/>
        </w:rPr>
        <w:t>The unaudited condensed consolidated interim financial statements have been prepared in accordance with generally accepted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accounting principles ("GAAP") in the United States of America and the rules and regulations of the Securities and Exchange Commission and include the accounts of Wabtec and its subsidiaries in which Wabtec has a controlling interest. These condensed consolidated interim financial statements do not include all of the information and footnotes required for complete financial statements. In management’s opinion, these financial statements reflect all adjustments of a normal, recurring nature necessary for a fair presentation of the results for the interim periods presented. Results for these interim periods are not necessarily indicative of results to be expected for the full year.</w:t>
      </w:r>
    </w:p>
    <w:p>
      <w:pPr>
        <w:spacing w:after="0" w:line="7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Company operates on a four-four-five week accounting quarter, and the quarters end on or about March 31, June 30, September 30, and December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31.</w:t>
      </w:r>
    </w:p>
    <w:p>
      <w:pPr>
        <w:spacing w:after="0" w:line="103" w:lineRule="exact"/>
        <w:rPr>
          <w:sz w:val="20"/>
          <w:szCs w:val="20"/>
          <w:color w:val="auto"/>
        </w:rPr>
      </w:pPr>
    </w:p>
    <w:p>
      <w:pPr>
        <w:ind w:right="120" w:firstLine="500"/>
        <w:spacing w:after="0" w:line="264" w:lineRule="auto"/>
        <w:rPr>
          <w:sz w:val="20"/>
          <w:szCs w:val="20"/>
          <w:color w:val="auto"/>
        </w:rPr>
      </w:pPr>
      <w:r>
        <w:rPr>
          <w:rFonts w:ascii="Arial" w:cs="Arial" w:eastAsia="Arial" w:hAnsi="Arial"/>
          <w:sz w:val="18"/>
          <w:szCs w:val="18"/>
          <w:color w:val="auto"/>
        </w:rPr>
        <w:t>The notes included herein should be read in conjunction with the audited consolidated financial statements included in Wabtec’s Annual Report on Form 10-K for the year ended December 31, 2018. The December 31, 2018 information has been derived from the Company’s Annual Report on Form 10-K for the year ended December 31, 2018.</w:t>
      </w:r>
    </w:p>
    <w:p>
      <w:pPr>
        <w:spacing w:after="0" w:line="73" w:lineRule="exact"/>
        <w:rPr>
          <w:sz w:val="20"/>
          <w:szCs w:val="20"/>
          <w:color w:val="auto"/>
        </w:rPr>
      </w:pPr>
    </w:p>
    <w:p>
      <w:pPr>
        <w:jc w:val="both"/>
        <w:ind w:right="100" w:firstLine="500"/>
        <w:spacing w:after="0" w:line="286" w:lineRule="auto"/>
        <w:rPr>
          <w:sz w:val="20"/>
          <w:szCs w:val="20"/>
          <w:color w:val="auto"/>
        </w:rPr>
      </w:pPr>
      <w:r>
        <w:rPr>
          <w:rFonts w:ascii="Arial" w:cs="Arial" w:eastAsia="Arial" w:hAnsi="Arial"/>
          <w:sz w:val="17"/>
          <w:szCs w:val="17"/>
          <w:b w:val="1"/>
          <w:bCs w:val="1"/>
          <w:i w:val="1"/>
          <w:iCs w:val="1"/>
          <w:color w:val="auto"/>
        </w:rPr>
        <w:t xml:space="preserve">Revenue Recognition </w:t>
      </w:r>
      <w:r>
        <w:rPr>
          <w:rFonts w:ascii="Arial" w:cs="Arial" w:eastAsia="Arial" w:hAnsi="Arial"/>
          <w:sz w:val="17"/>
          <w:szCs w:val="17"/>
          <w:color w:val="auto"/>
        </w:rPr>
        <w:t>On January 1, 2018, the Company adopted ASC 606 “Revenue from Contracts with Customers”. This new guidance provides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five-step analysis of transactions to determine when and how revenue is recognized, and requires entities to recognize revenue at an amount that reflects the consideration to which the Company expects to be entitled in exchange for transferring goods or services to a customer.</w:t>
      </w:r>
    </w:p>
    <w:p>
      <w:pPr>
        <w:spacing w:after="0" w:line="57" w:lineRule="exact"/>
        <w:rPr>
          <w:sz w:val="20"/>
          <w:szCs w:val="20"/>
          <w:color w:val="auto"/>
        </w:rPr>
      </w:pPr>
    </w:p>
    <w:p>
      <w:pPr>
        <w:jc w:val="both"/>
        <w:ind w:right="220" w:firstLine="500"/>
        <w:spacing w:after="0" w:line="264" w:lineRule="auto"/>
        <w:rPr>
          <w:sz w:val="20"/>
          <w:szCs w:val="20"/>
          <w:color w:val="auto"/>
        </w:rPr>
      </w:pPr>
      <w:r>
        <w:rPr>
          <w:rFonts w:ascii="Arial" w:cs="Arial" w:eastAsia="Arial" w:hAnsi="Arial"/>
          <w:sz w:val="18"/>
          <w:szCs w:val="18"/>
          <w:color w:val="auto"/>
        </w:rPr>
        <w:t>Approximately 75% of the Company’s revenues are derived from performance obligations that are satisfied at a point in time when control passes to the customer. The remaining revenues are earned over time. Generally, for performance obligations satisfied at a point in time control passes at the time of shipment in accordance with agreed upon delivery terms.</w:t>
      </w:r>
    </w:p>
    <w:p>
      <w:pPr>
        <w:spacing w:after="0" w:line="73" w:lineRule="exact"/>
        <w:rPr>
          <w:sz w:val="20"/>
          <w:szCs w:val="20"/>
          <w:color w:val="auto"/>
        </w:rPr>
      </w:pPr>
    </w:p>
    <w:p>
      <w:pPr>
        <w:ind w:right="60" w:firstLine="500"/>
        <w:spacing w:after="0" w:line="271" w:lineRule="auto"/>
        <w:rPr>
          <w:sz w:val="20"/>
          <w:szCs w:val="20"/>
          <w:color w:val="auto"/>
        </w:rPr>
      </w:pPr>
      <w:r>
        <w:rPr>
          <w:rFonts w:ascii="Arial" w:cs="Arial" w:eastAsia="Arial" w:hAnsi="Arial"/>
          <w:sz w:val="17"/>
          <w:szCs w:val="17"/>
          <w:color w:val="auto"/>
        </w:rPr>
        <w:t>The Company also has long-term customer agreements involving the design and production of highly engineered products that require revenue to be recognized over time because these products have no alternative use without significant economic loss and the agreements contain an enforceable right to payment including a reasonable profit margin from the customer in the event of contract termination. Additionally, the Company has customer agreements involving the creation or enhancement of an asset that the customer controls which also require revenue to be recognized over time. Generally, the Company uses an input method for determining the amount of revenue, cost and gross margin to recognize over time for these customer agreements. The input methods used for these agreements include costs of material and labor, both of which give an accurate representation of the progress made toward complete satisfaction of a particular performance obligation. Contract revenues and cost estimates are reviewed and revised periodically through the year and adjustments are reflected in the accounting period as such amounts are determined.</w:t>
      </w:r>
    </w:p>
    <w:p>
      <w:pPr>
        <w:spacing w:after="0" w:line="71" w:lineRule="exact"/>
        <w:rPr>
          <w:sz w:val="20"/>
          <w:szCs w:val="20"/>
          <w:color w:val="auto"/>
        </w:rPr>
      </w:pPr>
    </w:p>
    <w:p>
      <w:pPr>
        <w:ind w:firstLine="500"/>
        <w:spacing w:after="0" w:line="272" w:lineRule="auto"/>
        <w:rPr>
          <w:sz w:val="20"/>
          <w:szCs w:val="20"/>
          <w:color w:val="auto"/>
        </w:rPr>
      </w:pPr>
      <w:r>
        <w:rPr>
          <w:rFonts w:ascii="Arial" w:cs="Arial" w:eastAsia="Arial" w:hAnsi="Arial"/>
          <w:sz w:val="17"/>
          <w:szCs w:val="17"/>
          <w:color w:val="auto"/>
        </w:rPr>
        <w:t>Contract assets include unbilled amounts resulting from sales under long-term contracts where revenue is recognized over time and revenue exceeds the amount that can be billed to the customer based on the terms of the contract. The current portion of the contract assets are classified as current assets under the caption “Unbilled Accounts Receivable” while the noncurrent contract assets are classified as other assets under the caption "Other Noncurrent Assets" on the consolidated balance sheet. Noncurrent contract assets were $122.5 million at June 30, 2019 and were not material at December 31, 2018, respectively. Included in noncurrent contract assets are certain costs that are specifically related to a contract, however, do not directly contribute to the transfer of control of the tangible product being created, such as non-recurring engineering costs. The Company has elected to use the practical expedient and does not consider unbilled amounts anticipated to be paid within one year as significant financing components.</w:t>
      </w:r>
    </w:p>
    <w:p>
      <w:pPr>
        <w:spacing w:after="0" w:line="70" w:lineRule="exact"/>
        <w:rPr>
          <w:sz w:val="20"/>
          <w:szCs w:val="20"/>
          <w:color w:val="auto"/>
        </w:rPr>
      </w:pPr>
    </w:p>
    <w:p>
      <w:pPr>
        <w:ind w:right="480" w:firstLine="500"/>
        <w:spacing w:after="0" w:line="277" w:lineRule="auto"/>
        <w:rPr>
          <w:sz w:val="20"/>
          <w:szCs w:val="20"/>
          <w:color w:val="auto"/>
        </w:rPr>
      </w:pPr>
      <w:r>
        <w:rPr>
          <w:rFonts w:ascii="Arial" w:cs="Arial" w:eastAsia="Arial" w:hAnsi="Arial"/>
          <w:sz w:val="18"/>
          <w:szCs w:val="18"/>
          <w:color w:val="auto"/>
        </w:rPr>
        <w:t>Contract liabilities include customer deposits that are made prior to the incurrence of costs related to a newly agreed upon contract and advanced customer payments that are in excess of revenue recognized. The current portion of contract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4" w:right="239" w:bottom="1440" w:gutter="0" w:footer="0" w:header="0"/>
        </w:sectPr>
      </w:pPr>
    </w:p>
    <w:bookmarkStart w:id="8" w:name="page9"/>
    <w:bookmarkEnd w:id="8"/>
    <w:p>
      <w:pPr>
        <w:ind w:right="280"/>
        <w:spacing w:after="0" w:line="272" w:lineRule="auto"/>
        <w:rPr>
          <w:sz w:val="20"/>
          <w:szCs w:val="20"/>
          <w:color w:val="auto"/>
        </w:rPr>
      </w:pPr>
      <w:r>
        <w:rPr>
          <w:rFonts w:ascii="Arial" w:cs="Arial" w:eastAsia="Arial" w:hAnsi="Arial"/>
          <w:sz w:val="17"/>
          <w:szCs w:val="17"/>
          <w:color w:val="auto"/>
        </w:rPr>
        <w:t>liabilities are classified as current liabilities under the caption “Customer Deposits” while the noncurrent contract liabilities are classified as noncurrent liabilities under the caption "Other Long-Term Liabilities" on the consolidated balance sheet. Noncurrent contract liabilities were $36.9 million at June 30, 2019 and were not material at December 31, 2018. These contract liabilities are not considered a significant financing component because they are used to meet working capital demands that can be higher in the early stages of a contract or revenue associated with the contract liabilities is expected to be recognized within one year. Contract liabilities also include provisions for estimated losses from uncompleted contracts. Provisions for loss contracts were $103.6 million and $71.2 million at June 30, 2019 and December 31, 2018, respectively. These provisions for estimated losses are classified as current liabilities and included within the caption “Other Accrued Liabilities” on the consolidated balance sheet.</w:t>
      </w:r>
    </w:p>
    <w:p>
      <w:pPr>
        <w:spacing w:after="0" w:line="70" w:lineRule="exact"/>
        <w:rPr>
          <w:sz w:val="20"/>
          <w:szCs w:val="20"/>
          <w:color w:val="auto"/>
        </w:rPr>
      </w:pPr>
    </w:p>
    <w:p>
      <w:pPr>
        <w:ind w:right="20" w:firstLine="500"/>
        <w:spacing w:after="0" w:line="271" w:lineRule="auto"/>
        <w:rPr>
          <w:sz w:val="20"/>
          <w:szCs w:val="20"/>
          <w:color w:val="auto"/>
        </w:rPr>
      </w:pPr>
      <w:r>
        <w:rPr>
          <w:rFonts w:ascii="Arial" w:cs="Arial" w:eastAsia="Arial" w:hAnsi="Arial"/>
          <w:sz w:val="17"/>
          <w:szCs w:val="17"/>
          <w:color w:val="auto"/>
        </w:rPr>
        <w:t>Due to the nature of work required to be performed on the Company’s long-term projects, the estimation of total revenue and cost at completion is subject to many variables and requires significant judgment. Contract estimates related to long-term projects are based on various assumptions to project the outcome of future events that could span several years. These assumptions include cost of materials; labor availability and productivity; complexity of the work to be performed; and the performance of suppliers, customers and subcontractors that may be associated with the contract. We have a disciplined process where management reviews the progress of long term-projects periodically throughout the year. As part of this process, management reviews information including key contract matters, progress towards completion, identified risks and opportunities and any other information that could impact the Company’s estimates of revenue and costs. After completing this analysis, any adjustments to net sales, cost of goods sold, and the related impact to operating income are recognized as necessary in the period they become known.</w:t>
      </w:r>
    </w:p>
    <w:p>
      <w:pPr>
        <w:spacing w:after="0" w:line="71" w:lineRule="exact"/>
        <w:rPr>
          <w:sz w:val="20"/>
          <w:szCs w:val="20"/>
          <w:color w:val="auto"/>
        </w:rPr>
      </w:pPr>
    </w:p>
    <w:p>
      <w:pPr>
        <w:ind w:firstLine="500"/>
        <w:spacing w:after="0" w:line="289" w:lineRule="auto"/>
        <w:rPr>
          <w:sz w:val="20"/>
          <w:szCs w:val="20"/>
          <w:color w:val="auto"/>
        </w:rPr>
      </w:pPr>
      <w:r>
        <w:rPr>
          <w:rFonts w:ascii="Arial" w:cs="Arial" w:eastAsia="Arial" w:hAnsi="Arial"/>
          <w:sz w:val="16"/>
          <w:szCs w:val="16"/>
          <w:color w:val="auto"/>
        </w:rPr>
        <w:t>Generally, the Company’s revenue contains a single performance obligation for each distinct good; however, a single contract may have multiple performance obligations comprising multiple promises to customers. Performance obligations are determined based on customer's intended use of products and services. Less complex products principally result in each completed product being a separate performance obligation recognized at a point in time. More complex products or services principally result in a single performance obligation as a customer is either procuring a bundled offering that is managed or utilized on a combined basis or there are multiple complex goods or services in the contract, which are substantially the same and recognized over time. When there are multiple performance obligations, revenue is allocated based on the relative stand-alone selling price. Pricing is defined in our contracts on a line item basis and includes an estimate of variable consideration when required by the terms of the individual customer contract. Types of variable consideration the Company typically has include volume discounts, prompt payment discounts, liquidating damages, and performance bonuses. Sales returns and allowances are also estimated and recognized in the same period the related revenue is recognized, based upon the Company’s experience.</w:t>
      </w:r>
    </w:p>
    <w:p>
      <w:pPr>
        <w:spacing w:after="0" w:line="59" w:lineRule="exact"/>
        <w:rPr>
          <w:sz w:val="20"/>
          <w:szCs w:val="20"/>
          <w:color w:val="auto"/>
        </w:rPr>
      </w:pPr>
    </w:p>
    <w:p>
      <w:pPr>
        <w:ind w:right="140" w:firstLine="500"/>
        <w:spacing w:after="0" w:line="312" w:lineRule="auto"/>
        <w:rPr>
          <w:sz w:val="20"/>
          <w:szCs w:val="20"/>
          <w:color w:val="auto"/>
        </w:rPr>
      </w:pPr>
      <w:r>
        <w:rPr>
          <w:rFonts w:ascii="Arial" w:cs="Arial" w:eastAsia="Arial" w:hAnsi="Arial"/>
          <w:sz w:val="16"/>
          <w:szCs w:val="16"/>
          <w:color w:val="auto"/>
        </w:rPr>
        <w:t>Remaining performance obligations represent the transaction price of firm customer orders subject to standard industry cancellation provisions and substantial scope-of-work adjustments. As of June 30, 2019, the Company's remaining performance obligations were $21.3 billion. The Company expects to recognize revenue of approximately 26% of remaining performance obligation over the next 12 months, with the remainder recognized thereafter.</w:t>
      </w:r>
    </w:p>
    <w:p>
      <w:pPr>
        <w:spacing w:after="0" w:line="39" w:lineRule="exact"/>
        <w:rPr>
          <w:sz w:val="20"/>
          <w:szCs w:val="20"/>
          <w:color w:val="auto"/>
        </w:rPr>
      </w:pPr>
    </w:p>
    <w:p>
      <w:pPr>
        <w:ind w:right="580" w:firstLine="500"/>
        <w:spacing w:after="0" w:line="277" w:lineRule="auto"/>
        <w:rPr>
          <w:sz w:val="20"/>
          <w:szCs w:val="20"/>
          <w:color w:val="auto"/>
        </w:rPr>
      </w:pPr>
      <w:r>
        <w:rPr>
          <w:rFonts w:ascii="Arial" w:cs="Arial" w:eastAsia="Arial" w:hAnsi="Arial"/>
          <w:sz w:val="18"/>
          <w:szCs w:val="18"/>
          <w:b w:val="1"/>
          <w:bCs w:val="1"/>
          <w:i w:val="1"/>
          <w:iCs w:val="1"/>
          <w:color w:val="auto"/>
        </w:rPr>
        <w:t xml:space="preserve">Reclassifications </w:t>
      </w:r>
      <w:r>
        <w:rPr>
          <w:rFonts w:ascii="Arial" w:cs="Arial" w:eastAsia="Arial" w:hAnsi="Arial"/>
          <w:sz w:val="18"/>
          <w:szCs w:val="18"/>
          <w:color w:val="auto"/>
        </w:rPr>
        <w:t>Certain prior year amounts have been reclassified, where necessary, to conform to the current year presentation, including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reclassification of "Net Sales" to "Sales of Goods" and "Sales of Services".</w:t>
      </w:r>
    </w:p>
    <w:p>
      <w:pPr>
        <w:spacing w:after="0" w:line="62" w:lineRule="exact"/>
        <w:rPr>
          <w:sz w:val="20"/>
          <w:szCs w:val="20"/>
          <w:color w:val="auto"/>
        </w:rPr>
      </w:pPr>
    </w:p>
    <w:p>
      <w:pPr>
        <w:ind w:right="60" w:firstLine="500"/>
        <w:spacing w:after="0" w:line="302" w:lineRule="auto"/>
        <w:rPr>
          <w:sz w:val="20"/>
          <w:szCs w:val="20"/>
          <w:color w:val="auto"/>
        </w:rPr>
      </w:pPr>
      <w:r>
        <w:rPr>
          <w:rFonts w:ascii="Arial" w:cs="Arial" w:eastAsia="Arial" w:hAnsi="Arial"/>
          <w:sz w:val="16"/>
          <w:szCs w:val="16"/>
          <w:b w:val="1"/>
          <w:bCs w:val="1"/>
          <w:i w:val="1"/>
          <w:iCs w:val="1"/>
          <w:color w:val="auto"/>
        </w:rPr>
        <w:t xml:space="preserve">Use of Estimates </w:t>
      </w:r>
      <w:r>
        <w:rPr>
          <w:rFonts w:ascii="Arial" w:cs="Arial" w:eastAsia="Arial" w:hAnsi="Arial"/>
          <w:sz w:val="16"/>
          <w:szCs w:val="16"/>
          <w:color w:val="auto"/>
        </w:rPr>
        <w:t>The preparation of financial statements in conformity with generally accepted accounting principles in the United States requires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to make estimates and assumptions that affect the reported amounts of assets and liabilities at the date of the financial statements and reported amounts of revenues and expenses during the reporting period. Actual amounts could differ from the estimates. On an ongoing basis, management reviews its estimates based on currently available information. Changes in facts and circumstances may result in revised estimates.</w:t>
      </w:r>
    </w:p>
    <w:p>
      <w:pPr>
        <w:spacing w:after="0" w:line="46" w:lineRule="exact"/>
        <w:rPr>
          <w:sz w:val="20"/>
          <w:szCs w:val="20"/>
          <w:color w:val="auto"/>
        </w:rPr>
      </w:pPr>
    </w:p>
    <w:p>
      <w:pPr>
        <w:ind w:right="320" w:firstLine="500"/>
        <w:spacing w:after="0" w:line="264" w:lineRule="auto"/>
        <w:rPr>
          <w:sz w:val="20"/>
          <w:szCs w:val="20"/>
          <w:color w:val="auto"/>
        </w:rPr>
      </w:pPr>
      <w:r>
        <w:rPr>
          <w:rFonts w:ascii="Arial" w:cs="Arial" w:eastAsia="Arial" w:hAnsi="Arial"/>
          <w:sz w:val="18"/>
          <w:szCs w:val="18"/>
          <w:b w:val="1"/>
          <w:bCs w:val="1"/>
          <w:i w:val="1"/>
          <w:iCs w:val="1"/>
          <w:color w:val="auto"/>
        </w:rPr>
        <w:t xml:space="preserve">Financial Derivatives and Hedging Activities </w:t>
      </w:r>
      <w:r>
        <w:rPr>
          <w:rFonts w:ascii="Arial" w:cs="Arial" w:eastAsia="Arial" w:hAnsi="Arial"/>
          <w:sz w:val="18"/>
          <w:szCs w:val="18"/>
          <w:color w:val="auto"/>
        </w:rPr>
        <w:t>As part of its risk management strategy, the Company utilizes derivative financial instruments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mitigate the impact of changes in foreign currency exchange rates and interest rates on earnings and cash flow. For further information regarding financial derivatives and hedging activities, refer to Footnotes 14 and 15.</w:t>
      </w:r>
    </w:p>
    <w:p>
      <w:pPr>
        <w:spacing w:after="0" w:line="73" w:lineRule="exact"/>
        <w:rPr>
          <w:sz w:val="20"/>
          <w:szCs w:val="20"/>
          <w:color w:val="auto"/>
        </w:rPr>
      </w:pPr>
    </w:p>
    <w:p>
      <w:pPr>
        <w:ind w:right="240" w:firstLine="500"/>
        <w:spacing w:after="0" w:line="271" w:lineRule="auto"/>
        <w:rPr>
          <w:sz w:val="20"/>
          <w:szCs w:val="20"/>
          <w:color w:val="auto"/>
        </w:rPr>
      </w:pPr>
      <w:r>
        <w:rPr>
          <w:rFonts w:ascii="Arial" w:cs="Arial" w:eastAsia="Arial" w:hAnsi="Arial"/>
          <w:sz w:val="17"/>
          <w:szCs w:val="17"/>
          <w:b w:val="1"/>
          <w:bCs w:val="1"/>
          <w:i w:val="1"/>
          <w:iCs w:val="1"/>
          <w:color w:val="auto"/>
        </w:rPr>
        <w:t xml:space="preserve">Foreign Currency Translation </w:t>
      </w:r>
      <w:r>
        <w:rPr>
          <w:rFonts w:ascii="Arial" w:cs="Arial" w:eastAsia="Arial" w:hAnsi="Arial"/>
          <w:sz w:val="17"/>
          <w:szCs w:val="17"/>
          <w:color w:val="auto"/>
        </w:rPr>
        <w:t>Certain of our international operations have determined that the local currency is the functional currency whereas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others have determined the U.S. dollar is their functional currency. Assets and liabilities of foreign subsidiaries where the functional currency is the local currency are translated at the rate of exchange in effect on the balance sheet date while income and expenses are translated at the average rates of exchange prevailing during the period. Foreign currency gains and losses resulting from transactions and the translation of financial statements are recorded in the Company’s consolidated financial statements based upon the provisions of ASC 830 “Foreign Currency Matters.” The effects of currency exchange rate changes on intercompany transactions and balances of a long-term investment nature are accumulated and carried as a component of accumulated other comprehensive loss. The effects of currency exchange rate changes on intercompany transactions that are denominated in a currency other than an entity’s functional currency are charged or credited to earnings.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76" w:right="239" w:bottom="1440" w:gutter="0" w:footer="0" w:header="0"/>
        </w:sectPr>
      </w:pPr>
    </w:p>
    <w:bookmarkStart w:id="9" w:name="page10"/>
    <w:bookmarkEnd w:id="9"/>
    <w:p>
      <w:pPr>
        <w:ind w:firstLine="500"/>
        <w:spacing w:after="0" w:line="259" w:lineRule="auto"/>
        <w:rPr>
          <w:sz w:val="20"/>
          <w:szCs w:val="20"/>
          <w:color w:val="auto"/>
        </w:rPr>
      </w:pPr>
      <w:r>
        <w:rPr>
          <w:rFonts w:ascii="Arial" w:cs="Arial" w:eastAsia="Arial" w:hAnsi="Arial"/>
          <w:sz w:val="18"/>
          <w:szCs w:val="18"/>
          <w:b w:val="1"/>
          <w:bCs w:val="1"/>
          <w:i w:val="1"/>
          <w:iCs w:val="1"/>
          <w:color w:val="auto"/>
        </w:rPr>
        <w:t xml:space="preserve">Noncontrolling Interests </w:t>
      </w:r>
      <w:r>
        <w:rPr>
          <w:rFonts w:ascii="Arial" w:cs="Arial" w:eastAsia="Arial" w:hAnsi="Arial"/>
          <w:sz w:val="18"/>
          <w:szCs w:val="18"/>
          <w:color w:val="auto"/>
        </w:rPr>
        <w:t>In accordance with ASC 810 "Consolidation", the Company has classified noncontrolling interests as equity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condensed consolidated balance sheets as of June 30, 2019 and December 31, 2018. Net loss attributable to noncontrolling interests was $1.4 million and $1.1 million for the three months ended June 30, 2019 and 2018, respectively. Net loss attributable to noncontrolling interests was $0.9 million and $2.1 million for the six months ended June 30, 2019 and 2018, respectively.</w:t>
      </w:r>
    </w:p>
    <w:p>
      <w:pPr>
        <w:spacing w:after="0" w:line="79" w:lineRule="exact"/>
        <w:rPr>
          <w:sz w:val="20"/>
          <w:szCs w:val="20"/>
          <w:color w:val="auto"/>
        </w:rPr>
      </w:pPr>
    </w:p>
    <w:p>
      <w:pPr>
        <w:ind w:right="40" w:firstLine="500"/>
        <w:spacing w:after="0" w:line="289" w:lineRule="auto"/>
        <w:rPr>
          <w:sz w:val="20"/>
          <w:szCs w:val="20"/>
          <w:color w:val="auto"/>
        </w:rPr>
      </w:pPr>
      <w:r>
        <w:rPr>
          <w:rFonts w:ascii="Arial" w:cs="Arial" w:eastAsia="Arial" w:hAnsi="Arial"/>
          <w:sz w:val="16"/>
          <w:szCs w:val="16"/>
          <w:b w:val="1"/>
          <w:bCs w:val="1"/>
          <w:i w:val="1"/>
          <w:iCs w:val="1"/>
          <w:color w:val="auto"/>
        </w:rPr>
        <w:t xml:space="preserve">Recently Issued Accounting Pronouncements </w:t>
      </w:r>
      <w:r>
        <w:rPr>
          <w:rFonts w:ascii="Arial" w:cs="Arial" w:eastAsia="Arial" w:hAnsi="Arial"/>
          <w:sz w:val="16"/>
          <w:szCs w:val="16"/>
          <w:color w:val="auto"/>
        </w:rPr>
        <w:t>In January 2017, the Financial Accounting Standards Board ("FASB") issued Accounting Standards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Update ("ASU") No. 2017-04, "Intangibles - Goodwill and Other (Topic 350): Simplifying the Test for Goodwill Impairment". The amendments in this update eliminate the requirement to perform Step 2 of the goodwill impairment test. Instead, an entity should perform a goodwill impairment test by comparing the fair value of a reporting unit with its carrying amount and recognize an impairment charge for the amount by which the carrying amount exceeds the reporting unit's fair value up to the carrying amount of the goodwill. The ASU is effective for public companies in the fiscal years beginning after December 15, 2019, and interim periods within those fiscal years. Early adoption is permitted. The impact of adopting this guidance could result in a change in the overall conclusion as to whether or not a reporting unit's goodwill is impaired and the amount of an impairment charge recognized in the event a reporting units' carrying value exceeds its fair value. All of the Company's reporting units had fair values that were substantially greater than the carrying value as of the Company's last quantitative goodwill impairment test, which was performed as of October 1, 2018.</w:t>
      </w:r>
    </w:p>
    <w:p>
      <w:pPr>
        <w:spacing w:after="0" w:line="59" w:lineRule="exact"/>
        <w:rPr>
          <w:sz w:val="20"/>
          <w:szCs w:val="20"/>
          <w:color w:val="auto"/>
        </w:rPr>
      </w:pPr>
    </w:p>
    <w:p>
      <w:pPr>
        <w:ind w:right="40" w:firstLine="500"/>
        <w:spacing w:after="0" w:line="269" w:lineRule="auto"/>
        <w:rPr>
          <w:sz w:val="20"/>
          <w:szCs w:val="20"/>
          <w:color w:val="auto"/>
        </w:rPr>
      </w:pPr>
      <w:r>
        <w:rPr>
          <w:rFonts w:ascii="Arial" w:cs="Arial" w:eastAsia="Arial" w:hAnsi="Arial"/>
          <w:sz w:val="17"/>
          <w:szCs w:val="17"/>
          <w:b w:val="1"/>
          <w:bCs w:val="1"/>
          <w:i w:val="1"/>
          <w:iCs w:val="1"/>
          <w:color w:val="auto"/>
        </w:rPr>
        <w:t xml:space="preserve">Recently Adopted Accounting Pronouncements </w:t>
      </w:r>
      <w:r>
        <w:rPr>
          <w:rFonts w:ascii="Arial" w:cs="Arial" w:eastAsia="Arial" w:hAnsi="Arial"/>
          <w:sz w:val="17"/>
          <w:szCs w:val="17"/>
          <w:color w:val="auto"/>
        </w:rPr>
        <w:t>In February 2018, FASB issued ASU No. 2018-02, "Income Statement - Reporting Comprehensive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Income (Topic 220): Reclassification of Certain Tax Effects from Accumulated Other Comprehensive Income". The amendments in this update address certain stranded income tax effects in accumulated other comprehensive income ("AOCI") resulting from the Tax Cuts and Jobs Act (the "Tax Act"). Current guidance requires the effect of a change in tax laws or rates on deferred tax balances to be reported in income from continuing operations in the accounting period that includes the period of enactment, even if the related income tax effects were originally charged or credited directly to AOCI. The amendments in this update allow a reclassification from accumulated other comprehensive income to retained earnings for stranded effects resulting from the Tax Act. The amount of the reclassification would include the effect of the change in the U.S. federal corporate income tax rate on the gross deferred tax amounts and related valuation allowances, if any, at the date of the enactment of the Tax Act related to items in AOCI. The updated guidance became effective for reporting periods beginning after December 15, 2018. The Company adopted this accounting standard at the beginning of the period and elected to not retrospectively apply the new standard. The impact of adopting the new standard was not material to the consolidated statement of income or the consolidated balance sheet.</w:t>
      </w:r>
    </w:p>
    <w:p>
      <w:pPr>
        <w:spacing w:after="0" w:line="75" w:lineRule="exact"/>
        <w:rPr>
          <w:sz w:val="20"/>
          <w:szCs w:val="20"/>
          <w:color w:val="auto"/>
        </w:rPr>
      </w:pPr>
    </w:p>
    <w:p>
      <w:pPr>
        <w:ind w:right="160" w:firstLine="500"/>
        <w:spacing w:after="0" w:line="291" w:lineRule="auto"/>
        <w:rPr>
          <w:sz w:val="20"/>
          <w:szCs w:val="20"/>
          <w:color w:val="auto"/>
        </w:rPr>
      </w:pPr>
      <w:r>
        <w:rPr>
          <w:rFonts w:ascii="Arial" w:cs="Arial" w:eastAsia="Arial" w:hAnsi="Arial"/>
          <w:sz w:val="16"/>
          <w:szCs w:val="16"/>
          <w:color w:val="auto"/>
        </w:rPr>
        <w:t>In February 2016, FASB issued ASU No. 2016-02, "Leases (Topic 814)" which requires lessees to recognize a right of use asset and lease liability on the balance sheet for all leases with terms longer than 12 months. For leases with terms less than 12 months, a lessee is permitted to make an accounting policy election by class of underlying asset not to recognize a right of use asset and lease liability. This guidance became effective for the Company on January 1, 2019. The Company elected the practical expedient which does not require the capitalization of leases with terms of 12 months or less. And the Company did not elect the practical expedient which allows hindsight to be used to determine the term of a lease. The Company adopted the standard using the transition alternative, which allowed for the application of the guidance at beginning of the period in which it is adopted, rather than requiring the adjustment of prior comparative periods. For further information regarding the Company's adoption of the new standard, see Footnote 7.</w:t>
      </w:r>
    </w:p>
    <w:p>
      <w:pPr>
        <w:spacing w:after="0" w:line="59" w:lineRule="exact"/>
        <w:rPr>
          <w:sz w:val="20"/>
          <w:szCs w:val="20"/>
          <w:color w:val="auto"/>
        </w:rPr>
      </w:pPr>
    </w:p>
    <w:p>
      <w:pPr>
        <w:ind w:right="120" w:firstLine="500"/>
        <w:spacing w:after="0" w:line="277" w:lineRule="auto"/>
        <w:rPr>
          <w:sz w:val="20"/>
          <w:szCs w:val="20"/>
          <w:color w:val="auto"/>
        </w:rPr>
      </w:pPr>
      <w:r>
        <w:rPr>
          <w:rFonts w:ascii="Arial" w:cs="Arial" w:eastAsia="Arial" w:hAnsi="Arial"/>
          <w:sz w:val="18"/>
          <w:szCs w:val="18"/>
          <w:b w:val="1"/>
          <w:bCs w:val="1"/>
          <w:i w:val="1"/>
          <w:iCs w:val="1"/>
          <w:color w:val="auto"/>
        </w:rPr>
        <w:t xml:space="preserve">Other Comprehensive Income (Loss) </w:t>
      </w:r>
      <w:r>
        <w:rPr>
          <w:rFonts w:ascii="Arial" w:cs="Arial" w:eastAsia="Arial" w:hAnsi="Arial"/>
          <w:sz w:val="18"/>
          <w:szCs w:val="18"/>
          <w:color w:val="auto"/>
        </w:rPr>
        <w:t>Comprehensive income comprises both net income and the change in equity from transactions and other events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circumstances from nonowner sources.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changes in accumulated other comprehensive income (loss) by component, net of tax, for the six months ended June 30, 2019 are as follows:</w:t>
      </w: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3"/>
              </w:rPr>
              <w:t>Foreign</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Pension and</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Derivative</w:t>
            </w:r>
          </w:p>
        </w:tc>
        <w:tc>
          <w:tcPr>
            <w:tcW w:w="20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post</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currency</w:t>
            </w:r>
          </w:p>
        </w:tc>
        <w:tc>
          <w:tcPr>
            <w:tcW w:w="2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retirement</w:t>
            </w:r>
          </w:p>
        </w:tc>
        <w:tc>
          <w:tcPr>
            <w:tcW w:w="320" w:type="dxa"/>
            <w:vAlign w:val="bottom"/>
          </w:tcPr>
          <w:p>
            <w:pPr>
              <w:spacing w:after="0"/>
              <w:rPr>
                <w:sz w:val="12"/>
                <w:szCs w:val="12"/>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558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260" w:type="dxa"/>
            <w:vAlign w:val="bottom"/>
          </w:tcPr>
          <w:p>
            <w:pPr>
              <w:spacing w:after="0"/>
              <w:rPr>
                <w:sz w:val="13"/>
                <w:szCs w:val="13"/>
                <w:color w:val="auto"/>
              </w:rPr>
            </w:pPr>
          </w:p>
        </w:tc>
        <w:tc>
          <w:tcPr>
            <w:tcW w:w="124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2"/>
              </w:rPr>
              <w:t>translation</w:t>
            </w:r>
          </w:p>
        </w:tc>
        <w:tc>
          <w:tcPr>
            <w:tcW w:w="240" w:type="dxa"/>
            <w:vAlign w:val="bottom"/>
          </w:tcPr>
          <w:p>
            <w:pPr>
              <w:spacing w:after="0"/>
              <w:rPr>
                <w:sz w:val="13"/>
                <w:szCs w:val="13"/>
                <w:color w:val="auto"/>
              </w:rPr>
            </w:pPr>
          </w:p>
        </w:tc>
        <w:tc>
          <w:tcPr>
            <w:tcW w:w="122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88"/>
              </w:rPr>
              <w:t>contracts</w:t>
            </w:r>
          </w:p>
        </w:tc>
        <w:tc>
          <w:tcPr>
            <w:tcW w:w="200" w:type="dxa"/>
            <w:vAlign w:val="bottom"/>
          </w:tcPr>
          <w:p>
            <w:pPr>
              <w:spacing w:after="0"/>
              <w:rPr>
                <w:sz w:val="13"/>
                <w:szCs w:val="13"/>
                <w:color w:val="auto"/>
              </w:rPr>
            </w:pPr>
          </w:p>
        </w:tc>
        <w:tc>
          <w:tcPr>
            <w:tcW w:w="128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0"/>
              </w:rPr>
              <w:t>benefit plans</w:t>
            </w: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5580" w:type="dxa"/>
            <w:vAlign w:val="bottom"/>
            <w:gridSpan w:val="2"/>
          </w:tcPr>
          <w:p>
            <w:pPr>
              <w:spacing w:after="0"/>
              <w:rPr>
                <w:sz w:val="20"/>
                <w:szCs w:val="20"/>
                <w:color w:val="auto"/>
              </w:rPr>
            </w:pPr>
            <w:r>
              <w:rPr>
                <w:rFonts w:ascii="Arial" w:cs="Arial" w:eastAsia="Arial" w:hAnsi="Arial"/>
                <w:sz w:val="18"/>
                <w:szCs w:val="18"/>
                <w:color w:val="auto"/>
              </w:rPr>
              <w:t>Balance at December 31, 2018</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(202,204)</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(54,326)</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(256,583)</w:t>
            </w:r>
          </w:p>
        </w:tc>
        <w:tc>
          <w:tcPr>
            <w:tcW w:w="0" w:type="dxa"/>
            <w:vAlign w:val="bottom"/>
          </w:tcPr>
          <w:p>
            <w:pPr>
              <w:spacing w:after="0"/>
              <w:rPr>
                <w:sz w:val="1"/>
                <w:szCs w:val="1"/>
                <w:color w:val="auto"/>
              </w:rPr>
            </w:pPr>
          </w:p>
        </w:tc>
      </w:tr>
      <w:tr>
        <w:trPr>
          <w:trHeight w:val="270"/>
        </w:trPr>
        <w:tc>
          <w:tcPr>
            <w:tcW w:w="5580" w:type="dxa"/>
            <w:vAlign w:val="bottom"/>
            <w:gridSpan w:val="2"/>
          </w:tcPr>
          <w:p>
            <w:pPr>
              <w:spacing w:after="0"/>
              <w:rPr>
                <w:sz w:val="20"/>
                <w:szCs w:val="20"/>
                <w:color w:val="auto"/>
              </w:rPr>
            </w:pPr>
            <w:r>
              <w:rPr>
                <w:rFonts w:ascii="Arial" w:cs="Arial" w:eastAsia="Arial" w:hAnsi="Arial"/>
                <w:sz w:val="18"/>
                <w:szCs w:val="18"/>
                <w:color w:val="auto"/>
              </w:rPr>
              <w:t>Other comprehensive income (loss) before reclassifications</w:t>
            </w:r>
          </w:p>
        </w:tc>
        <w:tc>
          <w:tcPr>
            <w:tcW w:w="2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(27,721)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(3,128)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(2,849)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(33,698)</w:t>
            </w:r>
          </w:p>
        </w:tc>
        <w:tc>
          <w:tcPr>
            <w:tcW w:w="0" w:type="dxa"/>
            <w:vAlign w:val="bottom"/>
          </w:tcPr>
          <w:p>
            <w:pPr>
              <w:spacing w:after="0"/>
              <w:rPr>
                <w:sz w:val="1"/>
                <w:szCs w:val="1"/>
                <w:color w:val="auto"/>
              </w:rPr>
            </w:pPr>
          </w:p>
        </w:tc>
      </w:tr>
      <w:tr>
        <w:trPr>
          <w:trHeight w:val="270"/>
        </w:trPr>
        <w:tc>
          <w:tcPr>
            <w:tcW w:w="5580" w:type="dxa"/>
            <w:vAlign w:val="bottom"/>
            <w:gridSpan w:val="2"/>
          </w:tcPr>
          <w:p>
            <w:pPr>
              <w:spacing w:after="0"/>
              <w:rPr>
                <w:sz w:val="20"/>
                <w:szCs w:val="20"/>
                <w:color w:val="auto"/>
              </w:rPr>
            </w:pPr>
            <w:r>
              <w:rPr>
                <w:rFonts w:ascii="Arial" w:cs="Arial" w:eastAsia="Arial" w:hAnsi="Arial"/>
                <w:sz w:val="18"/>
                <w:szCs w:val="18"/>
                <w:color w:val="auto"/>
              </w:rPr>
              <w:t>Amounts reclassified from accumulated other</w:t>
            </w: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80" w:type="dxa"/>
            <w:vAlign w:val="bottom"/>
            <w:gridSpan w:val="2"/>
          </w:tcPr>
          <w:p>
            <w:pPr>
              <w:ind w:left="480"/>
              <w:spacing w:after="0"/>
              <w:rPr>
                <w:sz w:val="20"/>
                <w:szCs w:val="20"/>
                <w:color w:val="auto"/>
              </w:rPr>
            </w:pPr>
            <w:r>
              <w:rPr>
                <w:rFonts w:ascii="Arial" w:cs="Arial" w:eastAsia="Arial" w:hAnsi="Arial"/>
                <w:sz w:val="18"/>
                <w:szCs w:val="18"/>
                <w:color w:val="auto"/>
              </w:rPr>
              <w:t>comprehensive income</w:t>
            </w:r>
          </w:p>
        </w:tc>
        <w:tc>
          <w:tcPr>
            <w:tcW w:w="26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60" w:type="dxa"/>
            <w:vAlign w:val="bottom"/>
          </w:tcPr>
          <w:p>
            <w:pPr>
              <w:jc w:val="right"/>
              <w:ind w:right="18"/>
              <w:spacing w:after="0"/>
              <w:rPr>
                <w:sz w:val="20"/>
                <w:szCs w:val="20"/>
                <w:color w:val="auto"/>
              </w:rPr>
            </w:pPr>
            <w:r>
              <w:rPr>
                <w:rFonts w:ascii="Arial" w:cs="Arial" w:eastAsia="Arial" w:hAnsi="Arial"/>
                <w:sz w:val="18"/>
                <w:szCs w:val="18"/>
                <w:color w:val="auto"/>
              </w:rPr>
              <w:t>1,101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80" w:type="dxa"/>
            <w:vAlign w:val="bottom"/>
            <w:gridSpan w:val="2"/>
          </w:tcPr>
          <w:p>
            <w:pPr>
              <w:spacing w:after="0"/>
              <w:rPr>
                <w:sz w:val="20"/>
                <w:szCs w:val="20"/>
                <w:color w:val="auto"/>
              </w:rPr>
            </w:pPr>
            <w:r>
              <w:rPr>
                <w:rFonts w:ascii="Arial" w:cs="Arial" w:eastAsia="Arial" w:hAnsi="Arial"/>
                <w:sz w:val="18"/>
                <w:szCs w:val="18"/>
                <w:color w:val="auto"/>
              </w:rPr>
              <w:t>Net current period other comprehensive income (loss)</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(27,721)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(3,128)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(1,748)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(32,597)</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80" w:type="dxa"/>
            <w:vAlign w:val="bottom"/>
            <w:gridSpan w:val="2"/>
          </w:tcPr>
          <w:p>
            <w:pPr>
              <w:spacing w:after="0"/>
              <w:rPr>
                <w:sz w:val="20"/>
                <w:szCs w:val="20"/>
                <w:color w:val="auto"/>
              </w:rPr>
            </w:pPr>
            <w:r>
              <w:rPr>
                <w:rFonts w:ascii="Arial" w:cs="Arial" w:eastAsia="Arial" w:hAnsi="Arial"/>
                <w:sz w:val="18"/>
                <w:szCs w:val="18"/>
                <w:color w:val="auto"/>
              </w:rPr>
              <w:t>Balance at June 30, 2019</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(229,925)</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(3,181)</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(56,074)</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(289,180)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7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10</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6" w:right="239" w:bottom="1440" w:gutter="0" w:footer="0" w:header="0"/>
        </w:sectPr>
      </w:pPr>
    </w:p>
    <w:bookmarkStart w:id="10" w:name="page11"/>
    <w:bookmarkEnd w:id="10"/>
    <w:p>
      <w:pPr>
        <w:ind w:left="460"/>
        <w:spacing w:after="0"/>
        <w:rPr>
          <w:sz w:val="20"/>
          <w:szCs w:val="20"/>
          <w:color w:val="auto"/>
        </w:rPr>
      </w:pPr>
      <w:r>
        <w:rPr>
          <w:rFonts w:ascii="Arial" w:cs="Arial" w:eastAsia="Arial" w:hAnsi="Arial"/>
          <w:sz w:val="18"/>
          <w:szCs w:val="18"/>
          <w:color w:val="auto"/>
        </w:rPr>
        <w:t>Reclassifications out of accumulated other comprehensive income (loss) for the three months ended June 30, 2019 are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Amount reclassified from</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Affected line item in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accumulated other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Condensed Consolidated</w:t>
            </w:r>
          </w:p>
        </w:tc>
        <w:tc>
          <w:tcPr>
            <w:tcW w:w="0" w:type="dxa"/>
            <w:vAlign w:val="bottom"/>
          </w:tcPr>
          <w:p>
            <w:pPr>
              <w:spacing w:after="0"/>
              <w:rPr>
                <w:sz w:val="1"/>
                <w:szCs w:val="1"/>
                <w:color w:val="auto"/>
              </w:rPr>
            </w:pPr>
          </w:p>
        </w:tc>
      </w:tr>
      <w:tr>
        <w:trPr>
          <w:trHeight w:val="158"/>
        </w:trPr>
        <w:tc>
          <w:tcPr>
            <w:tcW w:w="800" w:type="dxa"/>
            <w:vAlign w:val="bottom"/>
            <w:tcBorders>
              <w:bottom w:val="single" w:sz="8" w:color="auto"/>
            </w:tcBorders>
            <w:gridSpan w:val="2"/>
          </w:tcPr>
          <w:p>
            <w:pPr>
              <w:spacing w:after="0" w:line="158" w:lineRule="exact"/>
              <w:rPr>
                <w:sz w:val="20"/>
                <w:szCs w:val="20"/>
                <w:color w:val="auto"/>
              </w:rPr>
            </w:pPr>
            <w:r>
              <w:rPr>
                <w:rFonts w:ascii="Arial" w:cs="Arial" w:eastAsia="Arial" w:hAnsi="Arial"/>
                <w:sz w:val="14"/>
                <w:szCs w:val="14"/>
                <w:b w:val="1"/>
                <w:bCs w:val="1"/>
                <w:i w:val="1"/>
                <w:iCs w:val="1"/>
                <w:color w:val="auto"/>
                <w:w w:val="87"/>
              </w:rPr>
              <w:t>In thousands</w:t>
            </w:r>
          </w:p>
        </w:tc>
        <w:tc>
          <w:tcPr>
            <w:tcW w:w="6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8"/>
              </w:rPr>
              <w:t>comprehensive income</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0"/>
              </w:rPr>
              <w:t>Statements of Income</w:t>
            </w:r>
          </w:p>
        </w:tc>
        <w:tc>
          <w:tcPr>
            <w:tcW w:w="0" w:type="dxa"/>
            <w:vAlign w:val="bottom"/>
          </w:tcPr>
          <w:p>
            <w:pPr>
              <w:spacing w:after="0"/>
              <w:rPr>
                <w:sz w:val="1"/>
                <w:szCs w:val="1"/>
                <w:color w:val="auto"/>
              </w:rPr>
            </w:pPr>
          </w:p>
        </w:tc>
      </w:tr>
      <w:tr>
        <w:trPr>
          <w:trHeight w:val="21"/>
        </w:trPr>
        <w:tc>
          <w:tcPr>
            <w:tcW w:w="6820" w:type="dxa"/>
            <w:vAlign w:val="bottom"/>
            <w:gridSpan w:val="3"/>
            <w:vMerge w:val="restart"/>
          </w:tcPr>
          <w:p>
            <w:pPr>
              <w:spacing w:after="0"/>
              <w:rPr>
                <w:sz w:val="20"/>
                <w:szCs w:val="20"/>
                <w:color w:val="auto"/>
              </w:rPr>
            </w:pPr>
            <w:r>
              <w:rPr>
                <w:rFonts w:ascii="Arial" w:cs="Arial" w:eastAsia="Arial" w:hAnsi="Arial"/>
                <w:sz w:val="18"/>
                <w:szCs w:val="18"/>
                <w:color w:val="auto"/>
              </w:rPr>
              <w:t>Amortization of defined pension and post retirement items</w:t>
            </w: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6820" w:type="dxa"/>
            <w:vAlign w:val="bottom"/>
            <w:gridSpan w:val="3"/>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800" w:type="dxa"/>
            <w:vAlign w:val="bottom"/>
            <w:gridSpan w:val="2"/>
          </w:tcPr>
          <w:p>
            <w:pPr>
              <w:ind w:left="220"/>
              <w:spacing w:after="0"/>
              <w:rPr>
                <w:sz w:val="20"/>
                <w:szCs w:val="20"/>
                <w:color w:val="auto"/>
              </w:rPr>
            </w:pPr>
            <w:r>
              <w:rPr>
                <w:rFonts w:ascii="Arial" w:cs="Arial" w:eastAsia="Arial" w:hAnsi="Arial"/>
                <w:sz w:val="18"/>
                <w:szCs w:val="18"/>
                <w:color w:val="auto"/>
              </w:rPr>
              <w:t>Amortization of initial net obligation and prior service cost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20"/>
              <w:spacing w:after="0"/>
              <w:rPr>
                <w:sz w:val="20"/>
                <w:szCs w:val="20"/>
                <w:color w:val="auto"/>
              </w:rPr>
            </w:pPr>
            <w:r>
              <w:rPr>
                <w:rFonts w:ascii="Arial" w:cs="Arial" w:eastAsia="Arial" w:hAnsi="Arial"/>
                <w:sz w:val="18"/>
                <w:szCs w:val="18"/>
                <w:color w:val="auto"/>
              </w:rPr>
              <w:t>(366)</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160" w:type="dxa"/>
            <w:vAlign w:val="bottom"/>
            <w:gridSpan w:val="2"/>
          </w:tcPr>
          <w:p>
            <w:pPr>
              <w:ind w:left="20"/>
              <w:spacing w:after="0"/>
              <w:rPr>
                <w:sz w:val="20"/>
                <w:szCs w:val="20"/>
                <w:color w:val="auto"/>
              </w:rPr>
            </w:pPr>
            <w:r>
              <w:rPr>
                <w:rFonts w:ascii="Arial" w:cs="Arial" w:eastAsia="Arial" w:hAnsi="Arial"/>
                <w:sz w:val="18"/>
                <w:szCs w:val="18"/>
                <w:color w:val="auto"/>
                <w:w w:val="92"/>
              </w:rPr>
              <w:t>Other income (expense), net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800" w:type="dxa"/>
            <w:vAlign w:val="bottom"/>
            <w:gridSpan w:val="2"/>
          </w:tcPr>
          <w:p>
            <w:pPr>
              <w:ind w:left="220"/>
              <w:spacing w:after="0"/>
              <w:rPr>
                <w:sz w:val="20"/>
                <w:szCs w:val="20"/>
                <w:color w:val="auto"/>
              </w:rPr>
            </w:pPr>
            <w:r>
              <w:rPr>
                <w:rFonts w:ascii="Arial" w:cs="Arial" w:eastAsia="Arial" w:hAnsi="Arial"/>
                <w:sz w:val="18"/>
                <w:szCs w:val="18"/>
                <w:color w:val="auto"/>
              </w:rPr>
              <w:t>Amortization of net loss</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0" w:type="dxa"/>
            <w:vAlign w:val="bottom"/>
            <w:gridSpan w:val="2"/>
          </w:tcPr>
          <w:p>
            <w:pPr>
              <w:jc w:val="right"/>
              <w:ind w:right="80"/>
              <w:spacing w:after="0"/>
              <w:rPr>
                <w:sz w:val="20"/>
                <w:szCs w:val="20"/>
                <w:color w:val="auto"/>
              </w:rPr>
            </w:pPr>
            <w:r>
              <w:rPr>
                <w:rFonts w:ascii="Arial" w:cs="Arial" w:eastAsia="Arial" w:hAnsi="Arial"/>
                <w:sz w:val="18"/>
                <w:szCs w:val="18"/>
                <w:color w:val="auto"/>
              </w:rPr>
              <w:t>1,092</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160" w:type="dxa"/>
            <w:vAlign w:val="bottom"/>
            <w:gridSpan w:val="2"/>
          </w:tcPr>
          <w:p>
            <w:pPr>
              <w:ind w:left="20"/>
              <w:spacing w:after="0"/>
              <w:rPr>
                <w:sz w:val="20"/>
                <w:szCs w:val="20"/>
                <w:color w:val="auto"/>
              </w:rPr>
            </w:pPr>
            <w:r>
              <w:rPr>
                <w:rFonts w:ascii="Arial" w:cs="Arial" w:eastAsia="Arial" w:hAnsi="Arial"/>
                <w:sz w:val="18"/>
                <w:szCs w:val="18"/>
                <w:color w:val="auto"/>
                <w:w w:val="92"/>
              </w:rPr>
              <w:t>Other income (expense), net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0" w:type="dxa"/>
            <w:vAlign w:val="bottom"/>
            <w:gridSpan w:val="2"/>
          </w:tcPr>
          <w:p>
            <w:pPr>
              <w:jc w:val="right"/>
              <w:ind w:right="80"/>
              <w:spacing w:after="0"/>
              <w:rPr>
                <w:sz w:val="20"/>
                <w:szCs w:val="20"/>
                <w:color w:val="auto"/>
              </w:rPr>
            </w:pPr>
            <w:r>
              <w:rPr>
                <w:rFonts w:ascii="Arial" w:cs="Arial" w:eastAsia="Arial" w:hAnsi="Arial"/>
                <w:sz w:val="18"/>
                <w:szCs w:val="18"/>
                <w:color w:val="auto"/>
              </w:rPr>
              <w:t>726</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gridSpan w:val="2"/>
          </w:tcPr>
          <w:p>
            <w:pPr>
              <w:ind w:left="20"/>
              <w:spacing w:after="0"/>
              <w:rPr>
                <w:sz w:val="20"/>
                <w:szCs w:val="20"/>
                <w:color w:val="auto"/>
              </w:rPr>
            </w:pPr>
            <w:r>
              <w:rPr>
                <w:rFonts w:ascii="Arial" w:cs="Arial" w:eastAsia="Arial" w:hAnsi="Arial"/>
                <w:sz w:val="18"/>
                <w:szCs w:val="18"/>
                <w:color w:val="auto"/>
                <w:w w:val="92"/>
              </w:rPr>
              <w:t>Other income (expense), net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0" w:type="dxa"/>
            <w:vAlign w:val="bottom"/>
            <w:gridSpan w:val="2"/>
          </w:tcPr>
          <w:p>
            <w:pPr>
              <w:jc w:val="right"/>
              <w:ind w:right="20"/>
              <w:spacing w:after="0"/>
              <w:rPr>
                <w:sz w:val="20"/>
                <w:szCs w:val="20"/>
                <w:color w:val="auto"/>
              </w:rPr>
            </w:pPr>
            <w:r>
              <w:rPr>
                <w:rFonts w:ascii="Arial" w:cs="Arial" w:eastAsia="Arial" w:hAnsi="Arial"/>
                <w:sz w:val="18"/>
                <w:szCs w:val="18"/>
                <w:color w:val="auto"/>
              </w:rPr>
              <w:t>(176)</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160" w:type="dxa"/>
            <w:vAlign w:val="bottom"/>
            <w:gridSpan w:val="2"/>
          </w:tcPr>
          <w:p>
            <w:pPr>
              <w:ind w:left="20"/>
              <w:spacing w:after="0"/>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550</w:t>
            </w:r>
          </w:p>
        </w:tc>
        <w:tc>
          <w:tcPr>
            <w:tcW w:w="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16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140" w:type="dxa"/>
            <w:vAlign w:val="bottom"/>
            <w:gridSpan w:val="2"/>
          </w:tcPr>
          <w:p>
            <w:pPr>
              <w:spacing w:after="0" w:line="20" w:lineRule="exact"/>
              <w:rPr>
                <w:sz w:val="1"/>
                <w:szCs w:val="1"/>
                <w:color w:val="auto"/>
              </w:rPr>
            </w:pPr>
          </w:p>
        </w:tc>
        <w:tc>
          <w:tcPr>
            <w:tcW w:w="204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0" w:type="dxa"/>
            <w:vAlign w:val="bottom"/>
          </w:tcPr>
          <w:p>
            <w:pPr>
              <w:spacing w:after="0"/>
              <w:rPr>
                <w:sz w:val="24"/>
                <w:szCs w:val="24"/>
                <w:color w:val="auto"/>
              </w:rPr>
            </w:pPr>
          </w:p>
        </w:tc>
        <w:tc>
          <w:tcPr>
            <w:tcW w:w="11360" w:type="dxa"/>
            <w:vAlign w:val="bottom"/>
            <w:gridSpan w:val="10"/>
          </w:tcPr>
          <w:p>
            <w:pPr>
              <w:ind w:left="440"/>
              <w:spacing w:after="0"/>
              <w:rPr>
                <w:sz w:val="20"/>
                <w:szCs w:val="20"/>
                <w:color w:val="auto"/>
              </w:rPr>
            </w:pPr>
            <w:r>
              <w:rPr>
                <w:rFonts w:ascii="Arial" w:cs="Arial" w:eastAsia="Arial" w:hAnsi="Arial"/>
                <w:sz w:val="18"/>
                <w:szCs w:val="18"/>
                <w:color w:val="auto"/>
              </w:rPr>
              <w:t>Reclassifications out of accumulated other comprehensive income (loss) for the six months ended June 30, 2019 are as follows:</w:t>
            </w:r>
          </w:p>
        </w:tc>
        <w:tc>
          <w:tcPr>
            <w:tcW w:w="0" w:type="dxa"/>
            <w:vAlign w:val="bottom"/>
          </w:tcPr>
          <w:p>
            <w:pPr>
              <w:spacing w:after="0"/>
              <w:rPr>
                <w:sz w:val="1"/>
                <w:szCs w:val="1"/>
                <w:color w:val="auto"/>
              </w:rPr>
            </w:pPr>
          </w:p>
        </w:tc>
      </w:tr>
      <w:tr>
        <w:trPr>
          <w:trHeight w:val="396"/>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Amount reclassified from</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Affected line item in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accumulated other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Condensed Consolidated</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89"/>
              </w:rPr>
              <w:t>comprehensive income</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0"/>
              </w:rPr>
              <w:t>Statements of Income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800" w:type="dxa"/>
            <w:vAlign w:val="bottom"/>
            <w:gridSpan w:val="2"/>
            <w:vMerge w:val="restart"/>
          </w:tcPr>
          <w:p>
            <w:pPr>
              <w:spacing w:after="0"/>
              <w:rPr>
                <w:sz w:val="20"/>
                <w:szCs w:val="20"/>
                <w:color w:val="auto"/>
              </w:rPr>
            </w:pPr>
            <w:r>
              <w:rPr>
                <w:rFonts w:ascii="Arial" w:cs="Arial" w:eastAsia="Arial" w:hAnsi="Arial"/>
                <w:sz w:val="18"/>
                <w:szCs w:val="18"/>
                <w:color w:val="auto"/>
              </w:rPr>
              <w:t>Amortization of defined pension and post retirement items</w:t>
            </w: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8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800" w:type="dxa"/>
            <w:vAlign w:val="bottom"/>
            <w:gridSpan w:val="2"/>
          </w:tcPr>
          <w:p>
            <w:pPr>
              <w:ind w:left="260"/>
              <w:spacing w:after="0"/>
              <w:rPr>
                <w:sz w:val="20"/>
                <w:szCs w:val="20"/>
                <w:color w:val="auto"/>
              </w:rPr>
            </w:pPr>
            <w:r>
              <w:rPr>
                <w:rFonts w:ascii="Arial" w:cs="Arial" w:eastAsia="Arial" w:hAnsi="Arial"/>
                <w:sz w:val="18"/>
                <w:szCs w:val="18"/>
                <w:color w:val="auto"/>
              </w:rPr>
              <w:t>Amortization of initial net obligation and prior service cost</w:t>
            </w:r>
          </w:p>
        </w:tc>
        <w:tc>
          <w:tcPr>
            <w:tcW w:w="26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23"/>
                <w:szCs w:val="23"/>
                <w:color w:val="auto"/>
              </w:rPr>
            </w:pPr>
          </w:p>
        </w:tc>
        <w:tc>
          <w:tcPr>
            <w:tcW w:w="2300" w:type="dxa"/>
            <w:vAlign w:val="bottom"/>
            <w:gridSpan w:val="4"/>
          </w:tcPr>
          <w:p>
            <w:pPr>
              <w:ind w:left="20"/>
              <w:spacing w:after="0"/>
              <w:rPr>
                <w:sz w:val="20"/>
                <w:szCs w:val="20"/>
                <w:color w:val="auto"/>
              </w:rPr>
            </w:pPr>
            <w:r>
              <w:rPr>
                <w:rFonts w:ascii="Arial" w:cs="Arial" w:eastAsia="Arial" w:hAnsi="Arial"/>
                <w:sz w:val="18"/>
                <w:szCs w:val="18"/>
                <w:color w:val="auto"/>
                <w:w w:val="99"/>
              </w:rPr>
              <w:t>Other income (expense), net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800" w:type="dxa"/>
            <w:vAlign w:val="bottom"/>
            <w:gridSpan w:val="2"/>
          </w:tcPr>
          <w:p>
            <w:pPr>
              <w:ind w:left="260"/>
              <w:spacing w:after="0"/>
              <w:rPr>
                <w:sz w:val="20"/>
                <w:szCs w:val="20"/>
                <w:color w:val="auto"/>
              </w:rPr>
            </w:pPr>
            <w:r>
              <w:rPr>
                <w:rFonts w:ascii="Arial" w:cs="Arial" w:eastAsia="Arial" w:hAnsi="Arial"/>
                <w:sz w:val="18"/>
                <w:szCs w:val="18"/>
                <w:color w:val="auto"/>
              </w:rPr>
              <w:t>Amortization of net loss</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900" w:type="dxa"/>
            <w:vAlign w:val="bottom"/>
          </w:tcPr>
          <w:p>
            <w:pPr>
              <w:jc w:val="right"/>
              <w:ind w:right="37"/>
              <w:spacing w:after="0"/>
              <w:rPr>
                <w:sz w:val="20"/>
                <w:szCs w:val="20"/>
                <w:color w:val="auto"/>
              </w:rPr>
            </w:pPr>
            <w:r>
              <w:rPr>
                <w:rFonts w:ascii="Arial" w:cs="Arial" w:eastAsia="Arial" w:hAnsi="Arial"/>
                <w:sz w:val="18"/>
                <w:szCs w:val="18"/>
                <w:color w:val="auto"/>
              </w:rPr>
              <w:t>2,184</w:t>
            </w:r>
          </w:p>
        </w:tc>
        <w:tc>
          <w:tcPr>
            <w:tcW w:w="100" w:type="dxa"/>
            <w:vAlign w:val="bottom"/>
          </w:tcPr>
          <w:p>
            <w:pPr>
              <w:spacing w:after="0"/>
              <w:rPr>
                <w:sz w:val="23"/>
                <w:szCs w:val="23"/>
                <w:color w:val="auto"/>
              </w:rPr>
            </w:pPr>
          </w:p>
        </w:tc>
        <w:tc>
          <w:tcPr>
            <w:tcW w:w="2300" w:type="dxa"/>
            <w:vAlign w:val="bottom"/>
            <w:gridSpan w:val="4"/>
          </w:tcPr>
          <w:p>
            <w:pPr>
              <w:ind w:left="20"/>
              <w:spacing w:after="0"/>
              <w:rPr>
                <w:sz w:val="20"/>
                <w:szCs w:val="20"/>
                <w:color w:val="auto"/>
              </w:rPr>
            </w:pPr>
            <w:r>
              <w:rPr>
                <w:rFonts w:ascii="Arial" w:cs="Arial" w:eastAsia="Arial" w:hAnsi="Arial"/>
                <w:sz w:val="18"/>
                <w:szCs w:val="18"/>
                <w:color w:val="auto"/>
                <w:w w:val="99"/>
              </w:rPr>
              <w:t>Other income (expense), net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tcPr>
          <w:p>
            <w:pPr>
              <w:jc w:val="right"/>
              <w:ind w:right="37"/>
              <w:spacing w:after="0"/>
              <w:rPr>
                <w:sz w:val="20"/>
                <w:szCs w:val="20"/>
                <w:color w:val="auto"/>
              </w:rPr>
            </w:pPr>
            <w:r>
              <w:rPr>
                <w:rFonts w:ascii="Arial" w:cs="Arial" w:eastAsia="Arial" w:hAnsi="Arial"/>
                <w:sz w:val="18"/>
                <w:szCs w:val="18"/>
                <w:color w:val="auto"/>
              </w:rPr>
              <w:t>1,452</w:t>
            </w:r>
          </w:p>
        </w:tc>
        <w:tc>
          <w:tcPr>
            <w:tcW w:w="100" w:type="dxa"/>
            <w:vAlign w:val="bottom"/>
          </w:tcPr>
          <w:p>
            <w:pPr>
              <w:spacing w:after="0"/>
              <w:rPr>
                <w:sz w:val="20"/>
                <w:szCs w:val="20"/>
                <w:color w:val="auto"/>
              </w:rPr>
            </w:pPr>
          </w:p>
        </w:tc>
        <w:tc>
          <w:tcPr>
            <w:tcW w:w="2300" w:type="dxa"/>
            <w:vAlign w:val="bottom"/>
            <w:gridSpan w:val="4"/>
          </w:tcPr>
          <w:p>
            <w:pPr>
              <w:ind w:left="20"/>
              <w:spacing w:after="0"/>
              <w:rPr>
                <w:sz w:val="20"/>
                <w:szCs w:val="20"/>
                <w:color w:val="auto"/>
              </w:rPr>
            </w:pPr>
            <w:r>
              <w:rPr>
                <w:rFonts w:ascii="Arial" w:cs="Arial" w:eastAsia="Arial" w:hAnsi="Arial"/>
                <w:sz w:val="18"/>
                <w:szCs w:val="18"/>
                <w:color w:val="auto"/>
                <w:w w:val="99"/>
              </w:rPr>
              <w:t>Other income (expense), net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3"/>
                <w:szCs w:val="23"/>
                <w:color w:val="auto"/>
              </w:rPr>
            </w:pPr>
          </w:p>
        </w:tc>
        <w:tc>
          <w:tcPr>
            <w:tcW w:w="2300" w:type="dxa"/>
            <w:vAlign w:val="bottom"/>
            <w:gridSpan w:val="4"/>
          </w:tcPr>
          <w:p>
            <w:pPr>
              <w:ind w:left="20"/>
              <w:spacing w:after="0"/>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20" w:type="dxa"/>
            <w:vAlign w:val="bottom"/>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20" w:type="dxa"/>
            <w:vAlign w:val="bottom"/>
          </w:tcPr>
          <w:p>
            <w:pPr>
              <w:spacing w:after="0"/>
              <w:rPr>
                <w:sz w:val="22"/>
                <w:szCs w:val="22"/>
                <w:color w:val="auto"/>
              </w:rPr>
            </w:pPr>
          </w:p>
        </w:tc>
        <w:tc>
          <w:tcPr>
            <w:tcW w:w="2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1,101</w:t>
            </w:r>
          </w:p>
        </w:tc>
        <w:tc>
          <w:tcPr>
            <w:tcW w:w="100" w:type="dxa"/>
            <w:vAlign w:val="bottom"/>
          </w:tcPr>
          <w:p>
            <w:pPr>
              <w:spacing w:after="0"/>
              <w:rPr>
                <w:sz w:val="22"/>
                <w:szCs w:val="22"/>
                <w:color w:val="auto"/>
              </w:rPr>
            </w:pPr>
          </w:p>
        </w:tc>
        <w:tc>
          <w:tcPr>
            <w:tcW w:w="2300" w:type="dxa"/>
            <w:vAlign w:val="bottom"/>
            <w:gridSpan w:val="4"/>
          </w:tcPr>
          <w:p>
            <w:pPr>
              <w:ind w:left="20"/>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changes in accumulated other comprehensive loss by component, net of tax, for the six months ended June 30, 2018 are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Foreign</w:t>
            </w: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Pension and</w:t>
            </w: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Derivative</w:t>
            </w: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1"/>
              </w:rPr>
              <w:t>post</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currency</w:t>
            </w:r>
          </w:p>
        </w:tc>
        <w:tc>
          <w:tcPr>
            <w:tcW w:w="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retirement</w:t>
            </w:r>
          </w:p>
        </w:tc>
        <w:tc>
          <w:tcPr>
            <w:tcW w:w="360" w:type="dxa"/>
            <w:vAlign w:val="bottom"/>
          </w:tcPr>
          <w:p>
            <w:pPr>
              <w:spacing w:after="0"/>
              <w:rPr>
                <w:sz w:val="12"/>
                <w:szCs w:val="12"/>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translation</w:t>
            </w:r>
          </w:p>
        </w:tc>
        <w:tc>
          <w:tcPr>
            <w:tcW w:w="24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contracts</w:t>
            </w:r>
          </w:p>
        </w:tc>
        <w:tc>
          <w:tcPr>
            <w:tcW w:w="20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benefit plans</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460" w:type="dxa"/>
            <w:vAlign w:val="bottom"/>
          </w:tcPr>
          <w:p>
            <w:pPr>
              <w:spacing w:after="0"/>
              <w:rPr>
                <w:sz w:val="20"/>
                <w:szCs w:val="20"/>
                <w:color w:val="auto"/>
              </w:rPr>
            </w:pPr>
            <w:r>
              <w:rPr>
                <w:rFonts w:ascii="Arial" w:cs="Arial" w:eastAsia="Arial" w:hAnsi="Arial"/>
                <w:sz w:val="18"/>
                <w:szCs w:val="18"/>
                <w:color w:val="auto"/>
              </w:rPr>
              <w:t>Balance at December 31, 2017</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5,063</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4,015</w:t>
            </w:r>
          </w:p>
        </w:tc>
        <w:tc>
          <w:tcPr>
            <w:tcW w:w="12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(54,070)</w:t>
            </w:r>
          </w:p>
        </w:tc>
        <w:tc>
          <w:tcPr>
            <w:tcW w:w="100" w:type="dxa"/>
            <w:vAlign w:val="bottom"/>
          </w:tcPr>
          <w:p>
            <w:pPr>
              <w:spacing w:after="0"/>
              <w:rPr>
                <w:sz w:val="21"/>
                <w:szCs w:val="21"/>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(44,992)</w:t>
            </w:r>
          </w:p>
        </w:tc>
        <w:tc>
          <w:tcPr>
            <w:tcW w:w="0" w:type="dxa"/>
            <w:vAlign w:val="bottom"/>
          </w:tcPr>
          <w:p>
            <w:pPr>
              <w:spacing w:after="0"/>
              <w:rPr>
                <w:sz w:val="1"/>
                <w:szCs w:val="1"/>
                <w:color w:val="auto"/>
              </w:rPr>
            </w:pPr>
          </w:p>
        </w:tc>
      </w:tr>
      <w:tr>
        <w:trPr>
          <w:trHeight w:val="270"/>
        </w:trPr>
        <w:tc>
          <w:tcPr>
            <w:tcW w:w="5460" w:type="dxa"/>
            <w:vAlign w:val="bottom"/>
          </w:tcPr>
          <w:p>
            <w:pPr>
              <w:spacing w:after="0"/>
              <w:rPr>
                <w:sz w:val="20"/>
                <w:szCs w:val="20"/>
                <w:color w:val="auto"/>
              </w:rPr>
            </w:pPr>
            <w:r>
              <w:rPr>
                <w:rFonts w:ascii="Arial" w:cs="Arial" w:eastAsia="Arial" w:hAnsi="Arial"/>
                <w:sz w:val="18"/>
                <w:szCs w:val="18"/>
                <w:color w:val="auto"/>
              </w:rPr>
              <w:t>Other comprehensive income (loss) before reclassifications</w:t>
            </w: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(114,811)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(4,760)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8"/>
              <w:spacing w:after="0"/>
              <w:rPr>
                <w:sz w:val="20"/>
                <w:szCs w:val="20"/>
                <w:color w:val="auto"/>
              </w:rPr>
            </w:pPr>
            <w:r>
              <w:rPr>
                <w:rFonts w:ascii="Arial" w:cs="Arial" w:eastAsia="Arial" w:hAnsi="Arial"/>
                <w:sz w:val="18"/>
                <w:szCs w:val="18"/>
                <w:color w:val="auto"/>
              </w:rPr>
              <w:t>6,744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(112,827)</w:t>
            </w:r>
          </w:p>
        </w:tc>
        <w:tc>
          <w:tcPr>
            <w:tcW w:w="0" w:type="dxa"/>
            <w:vAlign w:val="bottom"/>
          </w:tcPr>
          <w:p>
            <w:pPr>
              <w:spacing w:after="0"/>
              <w:rPr>
                <w:sz w:val="1"/>
                <w:szCs w:val="1"/>
                <w:color w:val="auto"/>
              </w:rPr>
            </w:pPr>
          </w:p>
        </w:tc>
      </w:tr>
      <w:tr>
        <w:trPr>
          <w:trHeight w:val="270"/>
        </w:trPr>
        <w:tc>
          <w:tcPr>
            <w:tcW w:w="5460" w:type="dxa"/>
            <w:vAlign w:val="bottom"/>
          </w:tcPr>
          <w:p>
            <w:pPr>
              <w:spacing w:after="0"/>
              <w:rPr>
                <w:sz w:val="20"/>
                <w:szCs w:val="20"/>
                <w:color w:val="auto"/>
              </w:rPr>
            </w:pPr>
            <w:r>
              <w:rPr>
                <w:rFonts w:ascii="Arial" w:cs="Arial" w:eastAsia="Arial" w:hAnsi="Arial"/>
                <w:sz w:val="18"/>
                <w:szCs w:val="18"/>
                <w:color w:val="auto"/>
              </w:rPr>
              <w:t>Amounts reclassified from accumulated other</w:t>
            </w: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460" w:type="dxa"/>
            <w:vAlign w:val="bottom"/>
          </w:tcPr>
          <w:p>
            <w:pPr>
              <w:ind w:left="480"/>
              <w:spacing w:after="0"/>
              <w:rPr>
                <w:sz w:val="20"/>
                <w:szCs w:val="20"/>
                <w:color w:val="auto"/>
              </w:rPr>
            </w:pPr>
            <w:r>
              <w:rPr>
                <w:rFonts w:ascii="Arial" w:cs="Arial" w:eastAsia="Arial" w:hAnsi="Arial"/>
                <w:sz w:val="18"/>
                <w:szCs w:val="18"/>
                <w:color w:val="auto"/>
              </w:rPr>
              <w:t>comprehensive income</w:t>
            </w:r>
          </w:p>
        </w:tc>
        <w:tc>
          <w:tcPr>
            <w:tcW w:w="24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579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8"/>
              <w:spacing w:after="0"/>
              <w:rPr>
                <w:sz w:val="20"/>
                <w:szCs w:val="20"/>
                <w:color w:val="auto"/>
              </w:rPr>
            </w:pPr>
            <w:r>
              <w:rPr>
                <w:rFonts w:ascii="Arial" w:cs="Arial" w:eastAsia="Arial" w:hAnsi="Arial"/>
                <w:sz w:val="18"/>
                <w:szCs w:val="18"/>
                <w:color w:val="auto"/>
              </w:rPr>
              <w:t>1,039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1,618</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60" w:type="dxa"/>
            <w:vAlign w:val="bottom"/>
          </w:tcPr>
          <w:p>
            <w:pPr>
              <w:spacing w:after="0"/>
              <w:rPr>
                <w:sz w:val="20"/>
                <w:szCs w:val="20"/>
                <w:color w:val="auto"/>
              </w:rPr>
            </w:pPr>
            <w:r>
              <w:rPr>
                <w:rFonts w:ascii="Arial" w:cs="Arial" w:eastAsia="Arial" w:hAnsi="Arial"/>
                <w:sz w:val="18"/>
                <w:szCs w:val="18"/>
                <w:color w:val="auto"/>
              </w:rPr>
              <w:t>Net current period other comprehensive income (loss)</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(114,811)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(4,181)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8"/>
              <w:spacing w:after="0"/>
              <w:rPr>
                <w:sz w:val="20"/>
                <w:szCs w:val="20"/>
                <w:color w:val="auto"/>
              </w:rPr>
            </w:pPr>
            <w:r>
              <w:rPr>
                <w:rFonts w:ascii="Arial" w:cs="Arial" w:eastAsia="Arial" w:hAnsi="Arial"/>
                <w:sz w:val="18"/>
                <w:szCs w:val="18"/>
                <w:color w:val="auto"/>
              </w:rPr>
              <w:t>7,783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(111,209)</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60" w:type="dxa"/>
            <w:vAlign w:val="bottom"/>
          </w:tcPr>
          <w:p>
            <w:pPr>
              <w:spacing w:after="0"/>
              <w:rPr>
                <w:sz w:val="20"/>
                <w:szCs w:val="20"/>
                <w:color w:val="auto"/>
              </w:rPr>
            </w:pPr>
            <w:r>
              <w:rPr>
                <w:rFonts w:ascii="Arial" w:cs="Arial" w:eastAsia="Arial" w:hAnsi="Arial"/>
                <w:sz w:val="18"/>
                <w:szCs w:val="18"/>
                <w:color w:val="auto"/>
              </w:rPr>
              <w:t>Balance at June 30, 2018</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(109,748)</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(46,287)</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(156,201)</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80" w:top="476" w:right="239" w:bottom="1440" w:gutter="0" w:footer="0" w:header="0"/>
        </w:sectPr>
      </w:pPr>
    </w:p>
    <w:bookmarkStart w:id="11" w:name="page12"/>
    <w:bookmarkEnd w:id="11"/>
    <w:p>
      <w:pPr>
        <w:ind w:left="660"/>
        <w:spacing w:after="0"/>
        <w:rPr>
          <w:sz w:val="20"/>
          <w:szCs w:val="20"/>
          <w:color w:val="auto"/>
        </w:rPr>
      </w:pPr>
      <w:r>
        <w:rPr>
          <w:rFonts w:ascii="Arial" w:cs="Arial" w:eastAsia="Arial" w:hAnsi="Arial"/>
          <w:sz w:val="18"/>
          <w:szCs w:val="18"/>
          <w:color w:val="auto"/>
        </w:rPr>
        <w:t>Reclassifications out of accumulated other comprehensive loss for the three months ended June 30, 2018 are as follows:</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tcPr>
          <w:p>
            <w:pPr>
              <w:jc w:val="center"/>
              <w:ind w:right="135"/>
              <w:spacing w:after="0"/>
              <w:rPr>
                <w:sz w:val="20"/>
                <w:szCs w:val="20"/>
                <w:color w:val="auto"/>
              </w:rPr>
            </w:pPr>
            <w:r>
              <w:rPr>
                <w:rFonts w:ascii="Arial" w:cs="Arial" w:eastAsia="Arial" w:hAnsi="Arial"/>
                <w:sz w:val="14"/>
                <w:szCs w:val="14"/>
                <w:b w:val="1"/>
                <w:bCs w:val="1"/>
                <w:color w:val="auto"/>
                <w:w w:val="93"/>
              </w:rPr>
              <w:t>Amount reclassified from</w:t>
            </w:r>
          </w:p>
        </w:tc>
        <w:tc>
          <w:tcPr>
            <w:tcW w:w="10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2"/>
              </w:rPr>
              <w:t>Affected line item in the</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60" w:type="dxa"/>
            <w:vAlign w:val="bottom"/>
          </w:tcPr>
          <w:p>
            <w:pPr>
              <w:jc w:val="center"/>
              <w:ind w:right="135"/>
              <w:spacing w:after="0" w:line="149" w:lineRule="exact"/>
              <w:rPr>
                <w:sz w:val="20"/>
                <w:szCs w:val="20"/>
                <w:color w:val="auto"/>
              </w:rPr>
            </w:pPr>
            <w:r>
              <w:rPr>
                <w:rFonts w:ascii="Arial" w:cs="Arial" w:eastAsia="Arial" w:hAnsi="Arial"/>
                <w:sz w:val="14"/>
                <w:szCs w:val="14"/>
                <w:b w:val="1"/>
                <w:bCs w:val="1"/>
                <w:color w:val="auto"/>
                <w:w w:val="91"/>
              </w:rPr>
              <w:t>accumulated other</w:t>
            </w:r>
          </w:p>
        </w:tc>
        <w:tc>
          <w:tcPr>
            <w:tcW w:w="10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Condensed Consolidated</w:t>
            </w:r>
          </w:p>
        </w:tc>
        <w:tc>
          <w:tcPr>
            <w:tcW w:w="0" w:type="dxa"/>
            <w:vAlign w:val="bottom"/>
          </w:tcPr>
          <w:p>
            <w:pPr>
              <w:spacing w:after="0"/>
              <w:rPr>
                <w:sz w:val="1"/>
                <w:szCs w:val="1"/>
                <w:color w:val="auto"/>
              </w:rPr>
            </w:pPr>
          </w:p>
        </w:tc>
      </w:tr>
      <w:tr>
        <w:trPr>
          <w:trHeight w:val="158"/>
        </w:trPr>
        <w:tc>
          <w:tcPr>
            <w:tcW w:w="78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i w:val="1"/>
                <w:iCs w:val="1"/>
                <w:color w:val="auto"/>
                <w:w w:val="87"/>
              </w:rPr>
              <w:t>In thousands</w:t>
            </w:r>
          </w:p>
        </w:tc>
        <w:tc>
          <w:tcPr>
            <w:tcW w:w="6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60" w:type="dxa"/>
            <w:vAlign w:val="bottom"/>
          </w:tcPr>
          <w:p>
            <w:pPr>
              <w:jc w:val="center"/>
              <w:ind w:right="135"/>
              <w:spacing w:after="0" w:line="158" w:lineRule="exact"/>
              <w:rPr>
                <w:sz w:val="20"/>
                <w:szCs w:val="20"/>
                <w:color w:val="auto"/>
              </w:rPr>
            </w:pPr>
            <w:r>
              <w:rPr>
                <w:rFonts w:ascii="Arial" w:cs="Arial" w:eastAsia="Arial" w:hAnsi="Arial"/>
                <w:sz w:val="14"/>
                <w:szCs w:val="14"/>
                <w:b w:val="1"/>
                <w:bCs w:val="1"/>
                <w:color w:val="auto"/>
                <w:w w:val="88"/>
              </w:rPr>
              <w:t>comprehensive income</w:t>
            </w:r>
          </w:p>
        </w:tc>
        <w:tc>
          <w:tcPr>
            <w:tcW w:w="100" w:type="dxa"/>
            <w:vAlign w:val="bottom"/>
          </w:tcPr>
          <w:p>
            <w:pPr>
              <w:spacing w:after="0"/>
              <w:rPr>
                <w:sz w:val="13"/>
                <w:szCs w:val="13"/>
                <w:color w:val="auto"/>
              </w:rPr>
            </w:pPr>
          </w:p>
        </w:tc>
        <w:tc>
          <w:tcPr>
            <w:tcW w:w="21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Statements of Operations</w:t>
            </w:r>
          </w:p>
        </w:tc>
        <w:tc>
          <w:tcPr>
            <w:tcW w:w="0" w:type="dxa"/>
            <w:vAlign w:val="bottom"/>
          </w:tcPr>
          <w:p>
            <w:pPr>
              <w:spacing w:after="0"/>
              <w:rPr>
                <w:sz w:val="1"/>
                <w:szCs w:val="1"/>
                <w:color w:val="auto"/>
              </w:rPr>
            </w:pPr>
          </w:p>
        </w:tc>
      </w:tr>
      <w:tr>
        <w:trPr>
          <w:trHeight w:val="21"/>
        </w:trPr>
        <w:tc>
          <w:tcPr>
            <w:tcW w:w="6940" w:type="dxa"/>
            <w:vAlign w:val="bottom"/>
            <w:gridSpan w:val="2"/>
            <w:vMerge w:val="restart"/>
          </w:tcPr>
          <w:p>
            <w:pPr>
              <w:spacing w:after="0"/>
              <w:rPr>
                <w:sz w:val="20"/>
                <w:szCs w:val="20"/>
                <w:color w:val="auto"/>
              </w:rPr>
            </w:pPr>
            <w:r>
              <w:rPr>
                <w:rFonts w:ascii="Arial" w:cs="Arial" w:eastAsia="Arial" w:hAnsi="Arial"/>
                <w:sz w:val="18"/>
                <w:szCs w:val="18"/>
                <w:color w:val="auto"/>
              </w:rPr>
              <w:t>Amortization of defined pension and post retirement items</w:t>
            </w: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694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940" w:type="dxa"/>
            <w:vAlign w:val="bottom"/>
            <w:gridSpan w:val="2"/>
          </w:tcPr>
          <w:p>
            <w:pPr>
              <w:ind w:left="240"/>
              <w:spacing w:after="0"/>
              <w:rPr>
                <w:sz w:val="20"/>
                <w:szCs w:val="20"/>
                <w:color w:val="auto"/>
              </w:rPr>
            </w:pPr>
            <w:r>
              <w:rPr>
                <w:rFonts w:ascii="Arial" w:cs="Arial" w:eastAsia="Arial" w:hAnsi="Arial"/>
                <w:sz w:val="18"/>
                <w:szCs w:val="18"/>
                <w:color w:val="auto"/>
              </w:rPr>
              <w:t>Amortization of initial net obligation and prior service cost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w w:val="92"/>
              </w:rPr>
              <w:t>Other income (expense), net</w:t>
            </w:r>
          </w:p>
        </w:tc>
        <w:tc>
          <w:tcPr>
            <w:tcW w:w="0" w:type="dxa"/>
            <w:vAlign w:val="bottom"/>
          </w:tcPr>
          <w:p>
            <w:pPr>
              <w:spacing w:after="0"/>
              <w:rPr>
                <w:sz w:val="1"/>
                <w:szCs w:val="1"/>
                <w:color w:val="auto"/>
              </w:rPr>
            </w:pPr>
          </w:p>
        </w:tc>
      </w:tr>
      <w:tr>
        <w:trPr>
          <w:trHeight w:val="270"/>
        </w:trPr>
        <w:tc>
          <w:tcPr>
            <w:tcW w:w="6940" w:type="dxa"/>
            <w:vAlign w:val="bottom"/>
            <w:gridSpan w:val="2"/>
          </w:tcPr>
          <w:p>
            <w:pPr>
              <w:ind w:left="240"/>
              <w:spacing w:after="0"/>
              <w:rPr>
                <w:sz w:val="20"/>
                <w:szCs w:val="20"/>
                <w:color w:val="auto"/>
              </w:rPr>
            </w:pPr>
            <w:r>
              <w:rPr>
                <w:rFonts w:ascii="Arial" w:cs="Arial" w:eastAsia="Arial" w:hAnsi="Arial"/>
                <w:sz w:val="18"/>
                <w:szCs w:val="18"/>
                <w:color w:val="auto"/>
              </w:rPr>
              <w:t>Amortization of net loss</w:t>
            </w:r>
          </w:p>
        </w:tc>
        <w:tc>
          <w:tcPr>
            <w:tcW w:w="220" w:type="dxa"/>
            <w:vAlign w:val="bottom"/>
          </w:tcPr>
          <w:p>
            <w:pPr>
              <w:spacing w:after="0"/>
              <w:rPr>
                <w:sz w:val="23"/>
                <w:szCs w:val="23"/>
                <w:color w:val="auto"/>
              </w:rPr>
            </w:pPr>
          </w:p>
        </w:tc>
        <w:tc>
          <w:tcPr>
            <w:tcW w:w="1960" w:type="dxa"/>
            <w:vAlign w:val="bottom"/>
          </w:tcPr>
          <w:p>
            <w:pPr>
              <w:jc w:val="right"/>
              <w:ind w:right="35"/>
              <w:spacing w:after="0"/>
              <w:rPr>
                <w:sz w:val="20"/>
                <w:szCs w:val="20"/>
                <w:color w:val="auto"/>
              </w:rPr>
            </w:pPr>
            <w:r>
              <w:rPr>
                <w:rFonts w:ascii="Arial" w:cs="Arial" w:eastAsia="Arial" w:hAnsi="Arial"/>
                <w:sz w:val="18"/>
                <w:szCs w:val="18"/>
                <w:color w:val="auto"/>
              </w:rPr>
              <w:t>1,093</w:t>
            </w:r>
          </w:p>
        </w:tc>
        <w:tc>
          <w:tcPr>
            <w:tcW w:w="10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w w:val="92"/>
              </w:rPr>
              <w:t>Other income (expense), net</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tcPr>
          <w:p>
            <w:pPr>
              <w:jc w:val="right"/>
              <w:ind w:right="35"/>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20"/>
                <w:szCs w:val="20"/>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w w:val="92"/>
              </w:rPr>
              <w:t>Other income (expense), net</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6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80" w:type="dxa"/>
            <w:vAlign w:val="bottom"/>
          </w:tcPr>
          <w:p>
            <w:pPr>
              <w:spacing w:after="0"/>
              <w:rPr>
                <w:sz w:val="22"/>
                <w:szCs w:val="22"/>
                <w:color w:val="auto"/>
              </w:rPr>
            </w:pPr>
          </w:p>
        </w:tc>
        <w:tc>
          <w:tcPr>
            <w:tcW w:w="616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2"/>
                <w:szCs w:val="22"/>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spacing w:after="0"/>
              <w:rPr>
                <w:sz w:val="20"/>
                <w:szCs w:val="20"/>
                <w:color w:val="auto"/>
              </w:rPr>
            </w:pPr>
            <w:r>
              <w:rPr>
                <w:rFonts w:ascii="Arial" w:cs="Arial" w:eastAsia="Arial" w:hAnsi="Arial"/>
                <w:sz w:val="18"/>
                <w:szCs w:val="18"/>
                <w:color w:val="auto"/>
              </w:rPr>
              <w:t>Derivative contracts</w:t>
            </w: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69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940" w:type="dxa"/>
            <w:vAlign w:val="bottom"/>
            <w:gridSpan w:val="2"/>
          </w:tcPr>
          <w:p>
            <w:pPr>
              <w:spacing w:after="0"/>
              <w:rPr>
                <w:sz w:val="20"/>
                <w:szCs w:val="20"/>
                <w:color w:val="auto"/>
              </w:rPr>
            </w:pPr>
            <w:r>
              <w:rPr>
                <w:rFonts w:ascii="Arial" w:cs="Arial" w:eastAsia="Arial" w:hAnsi="Arial"/>
                <w:sz w:val="18"/>
                <w:szCs w:val="18"/>
                <w:color w:val="auto"/>
              </w:rPr>
              <w:t>Realized loss on derivative contracts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ind w:right="35"/>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6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80" w:type="dxa"/>
            <w:vAlign w:val="bottom"/>
          </w:tcPr>
          <w:p>
            <w:pPr>
              <w:spacing w:after="0"/>
              <w:rPr>
                <w:sz w:val="22"/>
                <w:szCs w:val="22"/>
                <w:color w:val="auto"/>
              </w:rPr>
            </w:pPr>
          </w:p>
        </w:tc>
        <w:tc>
          <w:tcPr>
            <w:tcW w:w="616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2"/>
                <w:szCs w:val="22"/>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Reclassifications out of accumulated other comprehensive loss for the six months ended June 30, 2018 are as follows:</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tcPr>
          <w:p>
            <w:pPr>
              <w:jc w:val="center"/>
              <w:ind w:right="135"/>
              <w:spacing w:after="0"/>
              <w:rPr>
                <w:sz w:val="20"/>
                <w:szCs w:val="20"/>
                <w:color w:val="auto"/>
              </w:rPr>
            </w:pPr>
            <w:r>
              <w:rPr>
                <w:rFonts w:ascii="Arial" w:cs="Arial" w:eastAsia="Arial" w:hAnsi="Arial"/>
                <w:sz w:val="14"/>
                <w:szCs w:val="14"/>
                <w:b w:val="1"/>
                <w:bCs w:val="1"/>
                <w:color w:val="auto"/>
                <w:w w:val="93"/>
              </w:rPr>
              <w:t>Amount reclassified from</w:t>
            </w:r>
          </w:p>
        </w:tc>
        <w:tc>
          <w:tcPr>
            <w:tcW w:w="10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2"/>
              </w:rPr>
              <w:t>Affected line item in the</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60" w:type="dxa"/>
            <w:vAlign w:val="bottom"/>
          </w:tcPr>
          <w:p>
            <w:pPr>
              <w:jc w:val="center"/>
              <w:ind w:right="135"/>
              <w:spacing w:after="0" w:line="149" w:lineRule="exact"/>
              <w:rPr>
                <w:sz w:val="20"/>
                <w:szCs w:val="20"/>
                <w:color w:val="auto"/>
              </w:rPr>
            </w:pPr>
            <w:r>
              <w:rPr>
                <w:rFonts w:ascii="Arial" w:cs="Arial" w:eastAsia="Arial" w:hAnsi="Arial"/>
                <w:sz w:val="14"/>
                <w:szCs w:val="14"/>
                <w:b w:val="1"/>
                <w:bCs w:val="1"/>
                <w:color w:val="auto"/>
                <w:w w:val="91"/>
              </w:rPr>
              <w:t>accumulated other</w:t>
            </w:r>
          </w:p>
        </w:tc>
        <w:tc>
          <w:tcPr>
            <w:tcW w:w="10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Condensed Consolidated</w:t>
            </w:r>
          </w:p>
        </w:tc>
        <w:tc>
          <w:tcPr>
            <w:tcW w:w="0" w:type="dxa"/>
            <w:vAlign w:val="bottom"/>
          </w:tcPr>
          <w:p>
            <w:pPr>
              <w:spacing w:after="0"/>
              <w:rPr>
                <w:sz w:val="1"/>
                <w:szCs w:val="1"/>
                <w:color w:val="auto"/>
              </w:rPr>
            </w:pPr>
          </w:p>
        </w:tc>
      </w:tr>
      <w:tr>
        <w:trPr>
          <w:trHeight w:val="158"/>
        </w:trPr>
        <w:tc>
          <w:tcPr>
            <w:tcW w:w="78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i w:val="1"/>
                <w:iCs w:val="1"/>
                <w:color w:val="auto"/>
                <w:w w:val="87"/>
              </w:rPr>
              <w:t>In thousands</w:t>
            </w:r>
          </w:p>
        </w:tc>
        <w:tc>
          <w:tcPr>
            <w:tcW w:w="6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60" w:type="dxa"/>
            <w:vAlign w:val="bottom"/>
          </w:tcPr>
          <w:p>
            <w:pPr>
              <w:jc w:val="center"/>
              <w:ind w:right="135"/>
              <w:spacing w:after="0" w:line="158" w:lineRule="exact"/>
              <w:rPr>
                <w:sz w:val="20"/>
                <w:szCs w:val="20"/>
                <w:color w:val="auto"/>
              </w:rPr>
            </w:pPr>
            <w:r>
              <w:rPr>
                <w:rFonts w:ascii="Arial" w:cs="Arial" w:eastAsia="Arial" w:hAnsi="Arial"/>
                <w:sz w:val="14"/>
                <w:szCs w:val="14"/>
                <w:b w:val="1"/>
                <w:bCs w:val="1"/>
                <w:color w:val="auto"/>
                <w:w w:val="88"/>
              </w:rPr>
              <w:t>comprehensive income</w:t>
            </w:r>
          </w:p>
        </w:tc>
        <w:tc>
          <w:tcPr>
            <w:tcW w:w="100" w:type="dxa"/>
            <w:vAlign w:val="bottom"/>
          </w:tcPr>
          <w:p>
            <w:pPr>
              <w:spacing w:after="0"/>
              <w:rPr>
                <w:sz w:val="13"/>
                <w:szCs w:val="13"/>
                <w:color w:val="auto"/>
              </w:rPr>
            </w:pPr>
          </w:p>
        </w:tc>
        <w:tc>
          <w:tcPr>
            <w:tcW w:w="21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Statements of Operations</w:t>
            </w:r>
          </w:p>
        </w:tc>
        <w:tc>
          <w:tcPr>
            <w:tcW w:w="0" w:type="dxa"/>
            <w:vAlign w:val="bottom"/>
          </w:tcPr>
          <w:p>
            <w:pPr>
              <w:spacing w:after="0"/>
              <w:rPr>
                <w:sz w:val="1"/>
                <w:szCs w:val="1"/>
                <w:color w:val="auto"/>
              </w:rPr>
            </w:pPr>
          </w:p>
        </w:tc>
      </w:tr>
      <w:tr>
        <w:trPr>
          <w:trHeight w:val="21"/>
        </w:trPr>
        <w:tc>
          <w:tcPr>
            <w:tcW w:w="6940" w:type="dxa"/>
            <w:vAlign w:val="bottom"/>
            <w:gridSpan w:val="2"/>
            <w:vMerge w:val="restart"/>
          </w:tcPr>
          <w:p>
            <w:pPr>
              <w:spacing w:after="0"/>
              <w:rPr>
                <w:sz w:val="20"/>
                <w:szCs w:val="20"/>
                <w:color w:val="auto"/>
              </w:rPr>
            </w:pPr>
            <w:r>
              <w:rPr>
                <w:rFonts w:ascii="Arial" w:cs="Arial" w:eastAsia="Arial" w:hAnsi="Arial"/>
                <w:sz w:val="18"/>
                <w:szCs w:val="18"/>
                <w:color w:val="auto"/>
              </w:rPr>
              <w:t>Amortization of defined pension and post retirement items</w:t>
            </w: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694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940" w:type="dxa"/>
            <w:vAlign w:val="bottom"/>
            <w:gridSpan w:val="2"/>
          </w:tcPr>
          <w:p>
            <w:pPr>
              <w:ind w:left="240"/>
              <w:spacing w:after="0"/>
              <w:rPr>
                <w:sz w:val="20"/>
                <w:szCs w:val="20"/>
                <w:color w:val="auto"/>
              </w:rPr>
            </w:pPr>
            <w:r>
              <w:rPr>
                <w:rFonts w:ascii="Arial" w:cs="Arial" w:eastAsia="Arial" w:hAnsi="Arial"/>
                <w:sz w:val="18"/>
                <w:szCs w:val="18"/>
                <w:color w:val="auto"/>
              </w:rPr>
              <w:t>Amortization of initial net obligation and prior service cost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w w:val="92"/>
              </w:rPr>
              <w:t>Other income (expense), net</w:t>
            </w:r>
          </w:p>
        </w:tc>
        <w:tc>
          <w:tcPr>
            <w:tcW w:w="0" w:type="dxa"/>
            <w:vAlign w:val="bottom"/>
          </w:tcPr>
          <w:p>
            <w:pPr>
              <w:spacing w:after="0"/>
              <w:rPr>
                <w:sz w:val="1"/>
                <w:szCs w:val="1"/>
                <w:color w:val="auto"/>
              </w:rPr>
            </w:pPr>
          </w:p>
        </w:tc>
      </w:tr>
      <w:tr>
        <w:trPr>
          <w:trHeight w:val="270"/>
        </w:trPr>
        <w:tc>
          <w:tcPr>
            <w:tcW w:w="6940" w:type="dxa"/>
            <w:vAlign w:val="bottom"/>
            <w:gridSpan w:val="2"/>
          </w:tcPr>
          <w:p>
            <w:pPr>
              <w:ind w:left="240"/>
              <w:spacing w:after="0"/>
              <w:rPr>
                <w:sz w:val="20"/>
                <w:szCs w:val="20"/>
                <w:color w:val="auto"/>
              </w:rPr>
            </w:pPr>
            <w:r>
              <w:rPr>
                <w:rFonts w:ascii="Arial" w:cs="Arial" w:eastAsia="Arial" w:hAnsi="Arial"/>
                <w:sz w:val="18"/>
                <w:szCs w:val="18"/>
                <w:color w:val="auto"/>
              </w:rPr>
              <w:t>Amortization of net loss</w:t>
            </w:r>
          </w:p>
        </w:tc>
        <w:tc>
          <w:tcPr>
            <w:tcW w:w="220" w:type="dxa"/>
            <w:vAlign w:val="bottom"/>
          </w:tcPr>
          <w:p>
            <w:pPr>
              <w:spacing w:after="0"/>
              <w:rPr>
                <w:sz w:val="23"/>
                <w:szCs w:val="23"/>
                <w:color w:val="auto"/>
              </w:rPr>
            </w:pPr>
          </w:p>
        </w:tc>
        <w:tc>
          <w:tcPr>
            <w:tcW w:w="1960" w:type="dxa"/>
            <w:vAlign w:val="bottom"/>
          </w:tcPr>
          <w:p>
            <w:pPr>
              <w:jc w:val="right"/>
              <w:ind w:right="35"/>
              <w:spacing w:after="0"/>
              <w:rPr>
                <w:sz w:val="20"/>
                <w:szCs w:val="20"/>
                <w:color w:val="auto"/>
              </w:rPr>
            </w:pPr>
            <w:r>
              <w:rPr>
                <w:rFonts w:ascii="Arial" w:cs="Arial" w:eastAsia="Arial" w:hAnsi="Arial"/>
                <w:sz w:val="18"/>
                <w:szCs w:val="18"/>
                <w:color w:val="auto"/>
              </w:rPr>
              <w:t>2,186</w:t>
            </w:r>
          </w:p>
        </w:tc>
        <w:tc>
          <w:tcPr>
            <w:tcW w:w="10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w w:val="92"/>
              </w:rPr>
              <w:t>Other income (expense), net</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tcPr>
          <w:p>
            <w:pPr>
              <w:jc w:val="right"/>
              <w:ind w:right="35"/>
              <w:spacing w:after="0"/>
              <w:rPr>
                <w:sz w:val="20"/>
                <w:szCs w:val="20"/>
                <w:color w:val="auto"/>
              </w:rPr>
            </w:pPr>
            <w:r>
              <w:rPr>
                <w:rFonts w:ascii="Arial" w:cs="Arial" w:eastAsia="Arial" w:hAnsi="Arial"/>
                <w:sz w:val="18"/>
                <w:szCs w:val="18"/>
                <w:color w:val="auto"/>
              </w:rPr>
              <w:t>1,435</w:t>
            </w:r>
          </w:p>
        </w:tc>
        <w:tc>
          <w:tcPr>
            <w:tcW w:w="100" w:type="dxa"/>
            <w:vAlign w:val="bottom"/>
          </w:tcPr>
          <w:p>
            <w:pPr>
              <w:spacing w:after="0"/>
              <w:rPr>
                <w:sz w:val="20"/>
                <w:szCs w:val="20"/>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w w:val="92"/>
              </w:rPr>
              <w:t>Other income (expense), net</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6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80" w:type="dxa"/>
            <w:vAlign w:val="bottom"/>
          </w:tcPr>
          <w:p>
            <w:pPr>
              <w:spacing w:after="0"/>
              <w:rPr>
                <w:sz w:val="22"/>
                <w:szCs w:val="22"/>
                <w:color w:val="auto"/>
              </w:rPr>
            </w:pPr>
          </w:p>
        </w:tc>
        <w:tc>
          <w:tcPr>
            <w:tcW w:w="616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1,039</w:t>
            </w:r>
          </w:p>
        </w:tc>
        <w:tc>
          <w:tcPr>
            <w:tcW w:w="100" w:type="dxa"/>
            <w:vAlign w:val="bottom"/>
          </w:tcPr>
          <w:p>
            <w:pPr>
              <w:spacing w:after="0"/>
              <w:rPr>
                <w:sz w:val="22"/>
                <w:szCs w:val="22"/>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6940" w:type="dxa"/>
            <w:vAlign w:val="bottom"/>
            <w:gridSpan w:val="2"/>
          </w:tcPr>
          <w:p>
            <w:pPr>
              <w:spacing w:after="0"/>
              <w:rPr>
                <w:sz w:val="20"/>
                <w:szCs w:val="20"/>
                <w:color w:val="auto"/>
              </w:rPr>
            </w:pPr>
            <w:r>
              <w:rPr>
                <w:rFonts w:ascii="Arial" w:cs="Arial" w:eastAsia="Arial" w:hAnsi="Arial"/>
                <w:sz w:val="18"/>
                <w:szCs w:val="18"/>
                <w:color w:val="auto"/>
              </w:rPr>
              <w:t>Derivative contracts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ind w:right="35"/>
              <w:spacing w:after="0"/>
              <w:rPr>
                <w:sz w:val="20"/>
                <w:szCs w:val="20"/>
                <w:color w:val="auto"/>
              </w:rPr>
            </w:pPr>
            <w:r>
              <w:rPr>
                <w:rFonts w:ascii="Arial" w:cs="Arial" w:eastAsia="Arial" w:hAnsi="Arial"/>
                <w:sz w:val="18"/>
                <w:szCs w:val="18"/>
                <w:color w:val="auto"/>
              </w:rPr>
              <w:t>855</w:t>
            </w:r>
          </w:p>
        </w:tc>
        <w:tc>
          <w:tcPr>
            <w:tcW w:w="100" w:type="dxa"/>
            <w:vAlign w:val="bottom"/>
          </w:tcPr>
          <w:p>
            <w:pPr>
              <w:spacing w:after="0"/>
              <w:rPr>
                <w:sz w:val="24"/>
                <w:szCs w:val="24"/>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0" w:type="dxa"/>
            <w:vAlign w:val="bottom"/>
          </w:tcPr>
          <w:p>
            <w:pPr>
              <w:spacing w:after="0"/>
              <w:rPr>
                <w:sz w:val="1"/>
                <w:szCs w:val="1"/>
                <w:color w:val="auto"/>
              </w:rPr>
            </w:pPr>
          </w:p>
        </w:tc>
      </w:tr>
      <w:tr>
        <w:trPr>
          <w:trHeight w:val="270"/>
        </w:trPr>
        <w:tc>
          <w:tcPr>
            <w:tcW w:w="6940" w:type="dxa"/>
            <w:vAlign w:val="bottom"/>
            <w:gridSpan w:val="2"/>
          </w:tcPr>
          <w:p>
            <w:pPr>
              <w:spacing w:after="0"/>
              <w:rPr>
                <w:sz w:val="20"/>
                <w:szCs w:val="20"/>
                <w:color w:val="auto"/>
              </w:rPr>
            </w:pPr>
            <w:r>
              <w:rPr>
                <w:rFonts w:ascii="Arial" w:cs="Arial" w:eastAsia="Arial" w:hAnsi="Arial"/>
                <w:sz w:val="18"/>
                <w:szCs w:val="18"/>
                <w:color w:val="auto"/>
              </w:rPr>
              <w:t>Realized loss on derivative contracts</w:t>
            </w:r>
          </w:p>
        </w:tc>
        <w:tc>
          <w:tcPr>
            <w:tcW w:w="220" w:type="dxa"/>
            <w:vAlign w:val="bottom"/>
          </w:tcPr>
          <w:p>
            <w:pPr>
              <w:spacing w:after="0"/>
              <w:rPr>
                <w:sz w:val="23"/>
                <w:szCs w:val="23"/>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80" w:type="dxa"/>
            <w:vAlign w:val="bottom"/>
          </w:tcPr>
          <w:p>
            <w:pPr>
              <w:spacing w:after="0"/>
              <w:rPr>
                <w:sz w:val="22"/>
                <w:szCs w:val="22"/>
                <w:color w:val="auto"/>
              </w:rPr>
            </w:pPr>
          </w:p>
        </w:tc>
        <w:tc>
          <w:tcPr>
            <w:tcW w:w="616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22"/>
                <w:szCs w:val="22"/>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Electric Transportation</w:t>
      </w:r>
    </w:p>
    <w:p>
      <w:pPr>
        <w:spacing w:after="0" w:line="117"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Wabtec, General Electric Company ("GE"), GE Transportation, a Wabtec Company formerly known as Transportation System Holdings Inc. ("SpinCo"), which was a newly formed wholly owned subsidiary of GE, and Wabtec US Rail Holdings, Inc. ("Merger Sub"), which was a newly formed wholly owned subsidiary of the Company, entered into the Original Merger Agreement on May 20, 2018, and GE, SpinCo, Wabtec and Wabtec US Rail, Inc. ("Direct Sale Purchaser") entered into the Original Separation Agreement on May 20, 2018, which together provided for the combination of Wabtec and GE Transportation. The Original Merger Agreement and Original Separation Agreement were subsequently amended on January 25, 2019 and the Merger was completed on February 25, 2019.</w:t>
      </w:r>
    </w:p>
    <w:p>
      <w:pPr>
        <w:spacing w:after="0" w:line="8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As part of the Merger, certain assets of GE Transportation ("GET"), including the equity interests of certain pre-Transaction subsidiaries of GE that compose part of GE Transportation, were sold to Direct Sale Purchaser for a cash payment of $2.875 billion, and Direct Sale Purchaser assumed certain liabilities of GE Transportation in connection with this purchase (the "Direct Sale"). Thereafter, GE transferred the SpinCo business to SpinCo and its subsidiaries (to the extent not already held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76" w:right="239" w:bottom="1440" w:gutter="0" w:footer="0" w:header="0"/>
        </w:sectPr>
      </w:pPr>
    </w:p>
    <w:bookmarkStart w:id="12" w:name="page13"/>
    <w:bookmarkEnd w:id="12"/>
    <w:p>
      <w:pPr>
        <w:ind w:right="240"/>
        <w:spacing w:after="0" w:line="257" w:lineRule="auto"/>
        <w:rPr>
          <w:sz w:val="20"/>
          <w:szCs w:val="20"/>
          <w:color w:val="auto"/>
        </w:rPr>
      </w:pPr>
      <w:r>
        <w:rPr>
          <w:rFonts w:ascii="Arial" w:cs="Arial" w:eastAsia="Arial" w:hAnsi="Arial"/>
          <w:sz w:val="18"/>
          <w:szCs w:val="18"/>
          <w:color w:val="auto"/>
        </w:rPr>
        <w:t>by SpinCo and its subsidiaries), and SpinCo issued to GE shares of SpinCo Class A preferred stock, SpinCo Class B preferred stock, SpinCo Class C preferred stock and additional shares of SpinCo common stock in the SpinCo Transfer. Following this issuance of additional SpinCo common stock to GE, and immediately prior to the Distribution (as defined below), GE owned 8,700,000,000 shares of SpinCo common stock, 15,000 shares of SpinCo Class A preferred stock, 10,000 shares of SpinCo Class B preferred stock and one share of SpinCo Class C preferred stock, which constituted all of the outstanding stock of SpinCo.</w:t>
      </w:r>
    </w:p>
    <w:p>
      <w:pPr>
        <w:spacing w:after="0" w:line="80"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Following the Direct Sale, GE distributed the distribution shares of SpinCo in a spin-off transaction to its stockholder (the "Distribution"). Immediately after the Distribution, Merger Sub merged with and into SpinCo (the "Merger"), whereby the separate corporate existence of Merger Sub ceased and SpinCo continued as the surviving company and a wholly owned subsidiary of Wabtec (except with respect to shares of SpinCo Class A preferred stock held by GE). In the Merger, subject to adjustment in accordance with the Merger Agreement, each share of SpinCo common stock converted into the right to receive a number of shares of Wabtec common stock based on the common stock exchange ratio set forth in the Merger Agreement and the share of SpinCo Class C preferred stock was converted into the right to receive (a) 10,000 shares of Wabtec convertible preferred stock and (b) a number of shares of Wabtec common stock equal to 9.9% of the fully-diluted pro forma Wabtec shares. Immediately prior to the Merger, Wabtec paid $10.0 million in cash to GE in exchange for all of the shares of SpinCo Class B preferred stock.</w:t>
      </w:r>
    </w:p>
    <w:p>
      <w:pPr>
        <w:spacing w:after="0" w:line="71"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Upon consummation of the Merger, Wabtec issued 46,763,975 shares of common stock to the holders of GE common stock, 19,018,207 shares of common stock to GE and 10,000 shares of preferred stock to GE and made a cash payment to GE of $2.885 billion. As a result and calculated based on Wabtec’s outstanding common stock on a fully-diluted, as-converted and as-exercised basis, as of December 31, 2018, approximately 49.2% of the outstanding shares of Wabtec common stock was held collectively by GE and holders of GE common stock (with 9.9% to be held by GE directly in shares of Wabtec common stock and 15% underlying the shares of Wabtec convertible preferred stock to be held by GE) and approximately 50.8% of the outstanding shares of Wabtec common stock would be held by pre-Merger Wabtec stockholders, in each case calculated on a fully-diluted, as-converted and as-exercised basis. Following the Merger, GE also retained 15,000 shares of SpinCo Class A non-voting preferred stock, and Wabtec held 10,000 shares of SpinCo Class B non-voting preferred stock. The shares of Wabtec common stock and Wabtec convertible preferred stock held by GE are subject to GE’s obligations under the shareholders agreement, including, among other things, and in each case subject to certain exceptions, (i) restrictions on the ability to sell, transfer or otherwise divest such shares for a period of 30 days and (ii) an obligation to sell, transfer or otherwise divest (A) by no later than 120 days following the closing date of the Merger, GE’s (and its affiliates’) ownership of Wabtec common stock and/or Wabtec convertible preferred stock so that GE (together with its affiliates) beneficially owns not less than 14.9% and not more than 19.9% of the number of shares of Wabtec common stock that were outstanding immediately after the closing of the Merger, (B) by no later than one year following the closing date of the Merger, GE’s (and its affiliates’) ownership of Wabtec common stock and/or Wabtec convertible preferred stock so that GE (together with its affiliates) beneficially owns not more than 18.5% of the number of shares of Wabtec common stock that were outstanding immediately after the closing of the Merger, in each case of clauses (A) and (B) treating the Wabtec convertible preferred stock as the Wabtec common stock into which it is convertible both for purposes of determining the number of shares of Wabtec common stock owned and for purposes of determining the number of shares of Wabtec common stock outstanding and (C) by no later than the third anniversary of the closing date of the Merger, all of the subject shares that GE (together with its affiliates) beneficially owns, and (iii) an obligation to vote all of such shares of Wabtec common stock in the proportion required under the Shareholders Agreement.</w:t>
      </w:r>
    </w:p>
    <w:p>
      <w:pPr>
        <w:spacing w:after="0" w:line="6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After the Merger, SpinCo, which is Wabtec’s wholly owned subsidiary (except with respect to shares of SpinCo Class A preferred stock held by GE), holds the SpinCo business and Direct Sale Purchaser, which also is Wabtec’s wholly owned subsidiary, holds the assets purchased and the liabilities assumed in connection with the Direct Sale. Together, SpinCo and Direct Sale Purchaser own and operate the post-transaction GE Transportation. All shares of the Company’s common stock, including those issued in the Merger, are listed on the NYSE under the Company’s current trading symbol “WAB.” On the date of the Distribution, GE or its subsidiaries and SpinCo or the SpinCo Transferred Subsidiaries entered into additional agreements relating to, among other things, intellectual property, employee matters, tax matters, research and development and transition services.</w:t>
      </w:r>
    </w:p>
    <w:p>
      <w:pPr>
        <w:spacing w:after="0" w:line="70"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On May 6, 2019, GE completed the sale of approximately 8,780 shares of Wabtec's Series A Preferred stock which converted upon the sale to 25,300,000 shares of Wabtec's common stock. After the sale Wabtec had approximately 1,220 shares of Series A Preferred Stock outstanding convertible to approximately 3,515,500 shares of common stock and GE's aggregate beneficial ownership percentage of the Company was reduced from approximately 24.9% to approximately 11.7% on a fully-diluted, as-converted and as-exercised basis. In conjunction with this secondary offering the Company waived the requirement under the shareholders agreement for GE to maintain ownership of at least 14.9% of Wabtec's stock for 120 days following the closing date of the Merger. The Company did not receive any proceeds from the sale of these shares.</w:t>
      </w:r>
    </w:p>
    <w:p>
      <w:pPr>
        <w:spacing w:after="0" w:line="70"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Total future consideration to be paid by Wabtec to GE includes a fixed payment of $470.0 million, which is directly related to the timing of tax benefits expected to be realized by Wabtec as a result of the merger. This payment is considered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76" w:right="259" w:bottom="1440" w:gutter="0" w:footer="0" w:header="0"/>
        </w:sectPr>
      </w:pPr>
    </w:p>
    <w:bookmarkStart w:id="13" w:name="page14"/>
    <w:bookmarkEnd w:id="13"/>
    <w:p>
      <w:pPr>
        <w:ind w:right="20"/>
        <w:spacing w:after="0" w:line="255" w:lineRule="auto"/>
        <w:rPr>
          <w:sz w:val="20"/>
          <w:szCs w:val="20"/>
          <w:color w:val="auto"/>
        </w:rPr>
      </w:pPr>
      <w:r>
        <w:rPr>
          <w:rFonts w:ascii="Arial" w:cs="Arial" w:eastAsia="Arial" w:hAnsi="Arial"/>
          <w:sz w:val="18"/>
          <w:szCs w:val="18"/>
          <w:color w:val="auto"/>
        </w:rPr>
        <w:t>contingent consideration because the timing of cash payments to GE is directly related to the future timing of tax benefits received by the Company as a result of the merger. The estimated total value of the consideration to be paid by Wabtec in the Transactions is approximately $10.3 billion, including the cash paid for the Direct Sales Assets, equity transferred for SpinCo, contingent consideration, assumed debt and net of cash acquired. The estimated consideration is based on the Company’s closing share price of $73.36 on February 22, 2019 and the preliminary fair value of the contingent consideration. The value of the preliminary purchase price consideration could change when the Company has completed the detailed valuation of the contingent consideration and other necessary calculations.</w:t>
      </w:r>
    </w:p>
    <w:p>
      <w:pPr>
        <w:spacing w:after="0" w:line="85"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The fair values of the assets acquired and liabilities assumed were determined using the income, cost and market approaches. The fair value measurements were primarily based on significant inputs that are not observable in the market and are considered Level 3. The June 30, 2019 consolidated balance sheet includes the assets and liabilities of GET, which have been initially measured at fair value. The noncontrolling interest includes equity interests in GET's Brazil operations held by third parties on the date of acquisition. At the time of acquisition, quotable market prices of the noncontrolling interest existed; therefore, the noncontrolling interest in the GET Brazil operations were measured using a Level 1 input. In April 2019, the Company acquired the noncontrolling interest in GET's Brazil operations for $56.2 million which approximated the fair value assigned to the noncontrolling interest on the date of acquisition. The remaining noncontrolling interest value was determined based on inputs that are not observable in the market and are considered Level 3.</w:t>
      </w:r>
    </w:p>
    <w:p>
      <w:pPr>
        <w:spacing w:after="0" w:line="5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preliminary fair values of the GET assets acquired and liabilities assumed:</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89"/>
              </w:rPr>
              <w:t>In thousands</w:t>
            </w:r>
          </w:p>
        </w:tc>
        <w:tc>
          <w:tcPr>
            <w:tcW w:w="9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64"/>
        </w:trPr>
        <w:tc>
          <w:tcPr>
            <w:tcW w:w="10020" w:type="dxa"/>
            <w:vAlign w:val="bottom"/>
            <w:gridSpan w:val="2"/>
          </w:tcPr>
          <w:p>
            <w:pPr>
              <w:spacing w:after="0"/>
              <w:rPr>
                <w:sz w:val="20"/>
                <w:szCs w:val="20"/>
                <w:color w:val="auto"/>
              </w:rPr>
            </w:pPr>
            <w:r>
              <w:rPr>
                <w:rFonts w:ascii="Arial" w:cs="Arial" w:eastAsia="Arial" w:hAnsi="Arial"/>
                <w:sz w:val="18"/>
                <w:szCs w:val="18"/>
                <w:b w:val="1"/>
                <w:bCs w:val="1"/>
                <w:color w:val="auto"/>
              </w:rPr>
              <w:t>Assets acquired</w:t>
            </w: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0"/>
        </w:trPr>
        <w:tc>
          <w:tcPr>
            <w:tcW w:w="10020" w:type="dxa"/>
            <w:vAlign w:val="bottom"/>
            <w:gridSpan w:val="2"/>
          </w:tcPr>
          <w:p>
            <w:pPr>
              <w:ind w:left="24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174,334</w:t>
            </w:r>
          </w:p>
        </w:tc>
      </w:tr>
      <w:tr>
        <w:trPr>
          <w:trHeight w:val="270"/>
        </w:trPr>
        <w:tc>
          <w:tcPr>
            <w:tcW w:w="10020" w:type="dxa"/>
            <w:vAlign w:val="bottom"/>
            <w:gridSpan w:val="2"/>
          </w:tcPr>
          <w:p>
            <w:pPr>
              <w:ind w:left="24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525,966</w:t>
            </w:r>
          </w:p>
        </w:tc>
      </w:tr>
      <w:tr>
        <w:trPr>
          <w:trHeight w:val="270"/>
        </w:trPr>
        <w:tc>
          <w:tcPr>
            <w:tcW w:w="10020" w:type="dxa"/>
            <w:vAlign w:val="bottom"/>
            <w:gridSpan w:val="2"/>
          </w:tcPr>
          <w:p>
            <w:pPr>
              <w:ind w:left="24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1,185,574</w:t>
            </w:r>
          </w:p>
        </w:tc>
      </w:tr>
      <w:tr>
        <w:trPr>
          <w:trHeight w:val="270"/>
        </w:trPr>
        <w:tc>
          <w:tcPr>
            <w:tcW w:w="10020" w:type="dxa"/>
            <w:vAlign w:val="bottom"/>
            <w:gridSpan w:val="2"/>
          </w:tcPr>
          <w:p>
            <w:pPr>
              <w:ind w:left="240"/>
              <w:spacing w:after="0"/>
              <w:rPr>
                <w:sz w:val="20"/>
                <w:szCs w:val="20"/>
                <w:color w:val="auto"/>
              </w:rPr>
            </w:pPr>
            <w:r>
              <w:rPr>
                <w:rFonts w:ascii="Arial" w:cs="Arial" w:eastAsia="Arial" w:hAnsi="Arial"/>
                <w:sz w:val="18"/>
                <w:szCs w:val="18"/>
                <w:color w:val="auto"/>
              </w:rPr>
              <w:t>Other current assets</w:t>
            </w:r>
          </w:p>
        </w:tc>
        <w:tc>
          <w:tcPr>
            <w:tcW w:w="28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64,115</w:t>
            </w:r>
          </w:p>
        </w:tc>
      </w:tr>
      <w:tr>
        <w:trPr>
          <w:trHeight w:val="270"/>
        </w:trPr>
        <w:tc>
          <w:tcPr>
            <w:tcW w:w="10020" w:type="dxa"/>
            <w:vAlign w:val="bottom"/>
            <w:gridSpan w:val="2"/>
          </w:tcPr>
          <w:p>
            <w:pPr>
              <w:ind w:left="240"/>
              <w:spacing w:after="0"/>
              <w:rPr>
                <w:sz w:val="20"/>
                <w:szCs w:val="20"/>
                <w:color w:val="auto"/>
              </w:rPr>
            </w:pPr>
            <w:r>
              <w:rPr>
                <w:rFonts w:ascii="Arial" w:cs="Arial" w:eastAsia="Arial" w:hAnsi="Arial"/>
                <w:sz w:val="18"/>
                <w:szCs w:val="18"/>
                <w:color w:val="auto"/>
              </w:rPr>
              <w:t>Property, plant, and equipment</w:t>
            </w:r>
          </w:p>
        </w:tc>
        <w:tc>
          <w:tcPr>
            <w:tcW w:w="28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1,086,245</w:t>
            </w:r>
          </w:p>
        </w:tc>
      </w:tr>
      <w:tr>
        <w:trPr>
          <w:trHeight w:val="270"/>
        </w:trPr>
        <w:tc>
          <w:tcPr>
            <w:tcW w:w="10020" w:type="dxa"/>
            <w:vAlign w:val="bottom"/>
            <w:gridSpan w:val="2"/>
          </w:tcPr>
          <w:p>
            <w:pPr>
              <w:ind w:left="24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5,758,264</w:t>
            </w:r>
          </w:p>
        </w:tc>
      </w:tr>
      <w:tr>
        <w:trPr>
          <w:trHeight w:val="270"/>
        </w:trPr>
        <w:tc>
          <w:tcPr>
            <w:tcW w:w="10020" w:type="dxa"/>
            <w:vAlign w:val="bottom"/>
            <w:gridSpan w:val="2"/>
          </w:tcPr>
          <w:p>
            <w:pPr>
              <w:ind w:left="240"/>
              <w:spacing w:after="0"/>
              <w:rPr>
                <w:sz w:val="20"/>
                <w:szCs w:val="20"/>
                <w:color w:val="auto"/>
              </w:rPr>
            </w:pPr>
            <w:r>
              <w:rPr>
                <w:rFonts w:ascii="Arial" w:cs="Arial" w:eastAsia="Arial" w:hAnsi="Arial"/>
                <w:sz w:val="18"/>
                <w:szCs w:val="18"/>
                <w:color w:val="auto"/>
              </w:rPr>
              <w:t>Trade names</w:t>
            </w:r>
          </w:p>
        </w:tc>
        <w:tc>
          <w:tcPr>
            <w:tcW w:w="28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50,000</w:t>
            </w:r>
          </w:p>
        </w:tc>
      </w:tr>
      <w:tr>
        <w:trPr>
          <w:trHeight w:val="270"/>
        </w:trPr>
        <w:tc>
          <w:tcPr>
            <w:tcW w:w="10020" w:type="dxa"/>
            <w:vAlign w:val="bottom"/>
            <w:gridSpan w:val="2"/>
          </w:tcPr>
          <w:p>
            <w:pPr>
              <w:ind w:left="240"/>
              <w:spacing w:after="0"/>
              <w:rPr>
                <w:sz w:val="20"/>
                <w:szCs w:val="20"/>
                <w:color w:val="auto"/>
              </w:rPr>
            </w:pPr>
            <w:r>
              <w:rPr>
                <w:rFonts w:ascii="Arial" w:cs="Arial" w:eastAsia="Arial" w:hAnsi="Arial"/>
                <w:sz w:val="18"/>
                <w:szCs w:val="18"/>
                <w:color w:val="auto"/>
              </w:rPr>
              <w:t>Customer relationships</w:t>
            </w:r>
          </w:p>
        </w:tc>
        <w:tc>
          <w:tcPr>
            <w:tcW w:w="28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550,000</w:t>
            </w:r>
          </w:p>
        </w:tc>
      </w:tr>
      <w:tr>
        <w:trPr>
          <w:trHeight w:val="270"/>
        </w:trPr>
        <w:tc>
          <w:tcPr>
            <w:tcW w:w="10020" w:type="dxa"/>
            <w:vAlign w:val="bottom"/>
            <w:gridSpan w:val="2"/>
          </w:tcPr>
          <w:p>
            <w:pPr>
              <w:ind w:left="240"/>
              <w:spacing w:after="0"/>
              <w:rPr>
                <w:sz w:val="20"/>
                <w:szCs w:val="20"/>
                <w:color w:val="auto"/>
              </w:rPr>
            </w:pPr>
            <w:r>
              <w:rPr>
                <w:rFonts w:ascii="Arial" w:cs="Arial" w:eastAsia="Arial" w:hAnsi="Arial"/>
                <w:sz w:val="18"/>
                <w:szCs w:val="18"/>
                <w:color w:val="auto"/>
              </w:rPr>
              <w:t>Intellectual property</w:t>
            </w:r>
          </w:p>
        </w:tc>
        <w:tc>
          <w:tcPr>
            <w:tcW w:w="28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1,210,000</w:t>
            </w:r>
          </w:p>
        </w:tc>
      </w:tr>
      <w:tr>
        <w:trPr>
          <w:trHeight w:val="270"/>
        </w:trPr>
        <w:tc>
          <w:tcPr>
            <w:tcW w:w="10020" w:type="dxa"/>
            <w:vAlign w:val="bottom"/>
            <w:gridSpan w:val="2"/>
          </w:tcPr>
          <w:p>
            <w:pPr>
              <w:ind w:left="240"/>
              <w:spacing w:after="0"/>
              <w:rPr>
                <w:sz w:val="20"/>
                <w:szCs w:val="20"/>
                <w:color w:val="auto"/>
              </w:rPr>
            </w:pPr>
            <w:r>
              <w:rPr>
                <w:rFonts w:ascii="Arial" w:cs="Arial" w:eastAsia="Arial" w:hAnsi="Arial"/>
                <w:sz w:val="18"/>
                <w:szCs w:val="18"/>
                <w:color w:val="auto"/>
              </w:rPr>
              <w:t>Backlog</w:t>
            </w:r>
          </w:p>
        </w:tc>
        <w:tc>
          <w:tcPr>
            <w:tcW w:w="28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1,530,000</w:t>
            </w:r>
          </w:p>
        </w:tc>
      </w:tr>
      <w:tr>
        <w:trPr>
          <w:trHeight w:val="270"/>
        </w:trPr>
        <w:tc>
          <w:tcPr>
            <w:tcW w:w="10020" w:type="dxa"/>
            <w:vAlign w:val="bottom"/>
            <w:gridSpan w:val="2"/>
          </w:tcPr>
          <w:p>
            <w:pPr>
              <w:ind w:left="240"/>
              <w:spacing w:after="0"/>
              <w:rPr>
                <w:sz w:val="20"/>
                <w:szCs w:val="20"/>
                <w:color w:val="auto"/>
              </w:rPr>
            </w:pPr>
            <w:r>
              <w:rPr>
                <w:rFonts w:ascii="Arial" w:cs="Arial" w:eastAsia="Arial" w:hAnsi="Arial"/>
                <w:sz w:val="18"/>
                <w:szCs w:val="18"/>
                <w:color w:val="auto"/>
              </w:rPr>
              <w:t>Other noncurrent assets</w:t>
            </w:r>
          </w:p>
        </w:tc>
        <w:tc>
          <w:tcPr>
            <w:tcW w:w="28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211,081</w:t>
            </w:r>
          </w:p>
        </w:tc>
      </w:tr>
      <w:tr>
        <w:trPr>
          <w:trHeight w:val="27"/>
        </w:trPr>
        <w:tc>
          <w:tcPr>
            <w:tcW w:w="740" w:type="dxa"/>
            <w:vAlign w:val="bottom"/>
          </w:tcPr>
          <w:p>
            <w:pPr>
              <w:spacing w:after="0"/>
              <w:rPr>
                <w:sz w:val="2"/>
                <w:szCs w:val="2"/>
                <w:color w:val="auto"/>
              </w:rPr>
            </w:pPr>
          </w:p>
        </w:tc>
        <w:tc>
          <w:tcPr>
            <w:tcW w:w="9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10020" w:type="dxa"/>
            <w:vAlign w:val="bottom"/>
            <w:gridSpan w:val="2"/>
          </w:tcPr>
          <w:p>
            <w:pPr>
              <w:ind w:left="340"/>
              <w:spacing w:after="0"/>
              <w:rPr>
                <w:sz w:val="20"/>
                <w:szCs w:val="20"/>
                <w:color w:val="auto"/>
              </w:rPr>
            </w:pPr>
            <w:r>
              <w:rPr>
                <w:rFonts w:ascii="Arial" w:cs="Arial" w:eastAsia="Arial" w:hAnsi="Arial"/>
                <w:sz w:val="18"/>
                <w:szCs w:val="18"/>
                <w:color w:val="auto"/>
              </w:rPr>
              <w:t>Total assets acquired</w:t>
            </w:r>
          </w:p>
        </w:tc>
        <w:tc>
          <w:tcPr>
            <w:tcW w:w="2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12,345,579</w:t>
            </w:r>
          </w:p>
        </w:tc>
      </w:tr>
      <w:tr>
        <w:trPr>
          <w:trHeight w:val="270"/>
        </w:trPr>
        <w:tc>
          <w:tcPr>
            <w:tcW w:w="10020" w:type="dxa"/>
            <w:vAlign w:val="bottom"/>
            <w:gridSpan w:val="2"/>
          </w:tcPr>
          <w:p>
            <w:pPr>
              <w:spacing w:after="0"/>
              <w:rPr>
                <w:sz w:val="20"/>
                <w:szCs w:val="20"/>
                <w:color w:val="auto"/>
              </w:rPr>
            </w:pPr>
            <w:r>
              <w:rPr>
                <w:rFonts w:ascii="Arial" w:cs="Arial" w:eastAsia="Arial" w:hAnsi="Arial"/>
                <w:sz w:val="18"/>
                <w:szCs w:val="18"/>
                <w:b w:val="1"/>
                <w:bCs w:val="1"/>
                <w:color w:val="auto"/>
              </w:rPr>
              <w:t>Liabilities assumed</w:t>
            </w: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10020" w:type="dxa"/>
            <w:vAlign w:val="bottom"/>
            <w:gridSpan w:val="2"/>
          </w:tcPr>
          <w:p>
            <w:pPr>
              <w:ind w:left="24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1,514,189</w:t>
            </w:r>
          </w:p>
        </w:tc>
      </w:tr>
      <w:tr>
        <w:trPr>
          <w:trHeight w:val="270"/>
        </w:trPr>
        <w:tc>
          <w:tcPr>
            <w:tcW w:w="10020" w:type="dxa"/>
            <w:vAlign w:val="bottom"/>
            <w:gridSpan w:val="2"/>
          </w:tcPr>
          <w:p>
            <w:pPr>
              <w:ind w:left="240"/>
              <w:spacing w:after="0"/>
              <w:rPr>
                <w:sz w:val="20"/>
                <w:szCs w:val="20"/>
                <w:color w:val="auto"/>
              </w:rPr>
            </w:pPr>
            <w:r>
              <w:rPr>
                <w:rFonts w:ascii="Arial" w:cs="Arial" w:eastAsia="Arial" w:hAnsi="Arial"/>
                <w:sz w:val="18"/>
                <w:szCs w:val="18"/>
                <w:color w:val="auto"/>
              </w:rPr>
              <w:t>Contingent consideration</w:t>
            </w:r>
          </w:p>
        </w:tc>
        <w:tc>
          <w:tcPr>
            <w:tcW w:w="28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440,000</w:t>
            </w:r>
          </w:p>
        </w:tc>
      </w:tr>
      <w:tr>
        <w:trPr>
          <w:trHeight w:val="270"/>
        </w:trPr>
        <w:tc>
          <w:tcPr>
            <w:tcW w:w="10020" w:type="dxa"/>
            <w:vAlign w:val="bottom"/>
            <w:gridSpan w:val="2"/>
          </w:tcPr>
          <w:p>
            <w:pPr>
              <w:ind w:left="240"/>
              <w:spacing w:after="0"/>
              <w:rPr>
                <w:sz w:val="20"/>
                <w:szCs w:val="20"/>
                <w:color w:val="auto"/>
              </w:rPr>
            </w:pPr>
            <w:r>
              <w:rPr>
                <w:rFonts w:ascii="Arial" w:cs="Arial" w:eastAsia="Arial" w:hAnsi="Arial"/>
                <w:sz w:val="18"/>
                <w:szCs w:val="18"/>
                <w:color w:val="auto"/>
              </w:rPr>
              <w:t>Other noncurrent liabilities</w:t>
            </w:r>
          </w:p>
        </w:tc>
        <w:tc>
          <w:tcPr>
            <w:tcW w:w="28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522,465</w:t>
            </w:r>
          </w:p>
        </w:tc>
      </w:tr>
      <w:tr>
        <w:trPr>
          <w:trHeight w:val="27"/>
        </w:trPr>
        <w:tc>
          <w:tcPr>
            <w:tcW w:w="740" w:type="dxa"/>
            <w:vAlign w:val="bottom"/>
          </w:tcPr>
          <w:p>
            <w:pPr>
              <w:spacing w:after="0"/>
              <w:rPr>
                <w:sz w:val="2"/>
                <w:szCs w:val="2"/>
                <w:color w:val="auto"/>
              </w:rPr>
            </w:pPr>
          </w:p>
        </w:tc>
        <w:tc>
          <w:tcPr>
            <w:tcW w:w="9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10020" w:type="dxa"/>
            <w:vAlign w:val="bottom"/>
            <w:gridSpan w:val="2"/>
          </w:tcPr>
          <w:p>
            <w:pPr>
              <w:ind w:left="340"/>
              <w:spacing w:after="0"/>
              <w:rPr>
                <w:sz w:val="20"/>
                <w:szCs w:val="20"/>
                <w:color w:val="auto"/>
              </w:rPr>
            </w:pPr>
            <w:r>
              <w:rPr>
                <w:rFonts w:ascii="Arial" w:cs="Arial" w:eastAsia="Arial" w:hAnsi="Arial"/>
                <w:sz w:val="18"/>
                <w:szCs w:val="18"/>
                <w:color w:val="auto"/>
              </w:rPr>
              <w:t>Total liabilities assumed</w:t>
            </w:r>
          </w:p>
        </w:tc>
        <w:tc>
          <w:tcPr>
            <w:tcW w:w="2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2,476,654</w:t>
            </w:r>
          </w:p>
        </w:tc>
      </w:tr>
      <w:tr>
        <w:trPr>
          <w:trHeight w:val="27"/>
        </w:trPr>
        <w:tc>
          <w:tcPr>
            <w:tcW w:w="740" w:type="dxa"/>
            <w:vAlign w:val="bottom"/>
          </w:tcPr>
          <w:p>
            <w:pPr>
              <w:spacing w:after="0"/>
              <w:rPr>
                <w:sz w:val="2"/>
                <w:szCs w:val="2"/>
                <w:color w:val="auto"/>
              </w:rPr>
            </w:pPr>
          </w:p>
        </w:tc>
        <w:tc>
          <w:tcPr>
            <w:tcW w:w="9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10020" w:type="dxa"/>
            <w:vAlign w:val="bottom"/>
            <w:gridSpan w:val="2"/>
          </w:tcPr>
          <w:p>
            <w:pPr>
              <w:ind w:left="240"/>
              <w:spacing w:after="0"/>
              <w:rPr>
                <w:sz w:val="20"/>
                <w:szCs w:val="20"/>
                <w:color w:val="auto"/>
              </w:rPr>
            </w:pPr>
            <w:r>
              <w:rPr>
                <w:rFonts w:ascii="Arial" w:cs="Arial" w:eastAsia="Arial" w:hAnsi="Arial"/>
                <w:sz w:val="18"/>
                <w:szCs w:val="18"/>
                <w:color w:val="auto"/>
              </w:rPr>
              <w:t>Net assets acquired</w:t>
            </w: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9,868,925</w:t>
            </w:r>
          </w:p>
        </w:tc>
      </w:tr>
      <w:tr>
        <w:trPr>
          <w:trHeight w:val="20"/>
        </w:trPr>
        <w:tc>
          <w:tcPr>
            <w:tcW w:w="740" w:type="dxa"/>
            <w:vAlign w:val="bottom"/>
          </w:tcPr>
          <w:p>
            <w:pPr>
              <w:spacing w:after="0" w:line="20" w:lineRule="exact"/>
              <w:rPr>
                <w:sz w:val="1"/>
                <w:szCs w:val="1"/>
                <w:color w:val="auto"/>
              </w:rPr>
            </w:pPr>
          </w:p>
        </w:tc>
        <w:tc>
          <w:tcPr>
            <w:tcW w:w="9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0"/>
        </w:trPr>
        <w:tc>
          <w:tcPr>
            <w:tcW w:w="10020" w:type="dxa"/>
            <w:vAlign w:val="bottom"/>
            <w:gridSpan w:val="2"/>
          </w:tcPr>
          <w:p>
            <w:pPr>
              <w:ind w:left="240"/>
              <w:spacing w:after="0"/>
              <w:rPr>
                <w:sz w:val="20"/>
                <w:szCs w:val="20"/>
                <w:color w:val="auto"/>
              </w:rPr>
            </w:pPr>
            <w:r>
              <w:rPr>
                <w:rFonts w:ascii="Arial" w:cs="Arial" w:eastAsia="Arial" w:hAnsi="Arial"/>
                <w:sz w:val="18"/>
                <w:szCs w:val="18"/>
                <w:color w:val="auto"/>
              </w:rPr>
              <w:t>Noncontrolling interest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86,765</w:t>
            </w:r>
          </w:p>
        </w:tc>
      </w:tr>
    </w:tbl>
    <w:p>
      <w:pPr>
        <w:spacing w:after="0" w:line="33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These estimates are preliminary in nature and subject to adjustments, which could be material. Any necessary adjustments will be finalized within one year from the date of acquisition. During the three months ended June 30, 2019, the estimated fair values for acquired backlog and customer relationships increased $50.0 million and $20.0 million, respectively. Additionally, the estimated fair value for other noncurrent assets decreased by $23.7 million primarily due to estimate revisions for long-term contract assets. These changes to initial estimates were based on information that existed at the date of acquisition. Substantially all of the accounts receivable acquired are expected to be collectible. Trade names, customer relationships, patents and backlog intangible assets are all subject to amortization. Contingent liabilities assumed as part of the transaction were not material. The contingent liabilities are related to legal and tax matters. Contingent liabilities are recorded at fair value in purchase accounting, aside from those pertaining to uncertainty in income taxes which are an exception to the fair value basis of accounting. Included in other noncurrent liabilities are customer contracts whose terms are unfavorable compared to market terms at the date of acquisition.</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76" w:right="239" w:bottom="1440" w:gutter="0" w:footer="0" w:header="0"/>
        </w:sectPr>
      </w:pPr>
    </w:p>
    <w:bookmarkStart w:id="14" w:name="page15"/>
    <w:bookmarkEnd w:id="14"/>
    <w:p>
      <w:pPr>
        <w:ind w:right="140" w:firstLine="648"/>
        <w:spacing w:after="0" w:line="259" w:lineRule="auto"/>
        <w:rPr>
          <w:sz w:val="20"/>
          <w:szCs w:val="20"/>
          <w:color w:val="auto"/>
        </w:rPr>
      </w:pPr>
      <w:r>
        <w:rPr>
          <w:rFonts w:ascii="Arial" w:cs="Arial" w:eastAsia="Arial" w:hAnsi="Arial"/>
          <w:sz w:val="18"/>
          <w:szCs w:val="18"/>
          <w:color w:val="auto"/>
        </w:rPr>
        <w:t>Goodwill was calculated as the difference between the acquisition date fair value of the consideration transferred and the fair value of the net assets acquired, and represents the future economic benefits, including synergies, and assembled workforce, that are expected to be achieved as a result of the acquisition. Substantially all of the purchased goodwill is expected to be deductible for tax purposes. The goodwill has been preliminarily allocated to the Freight segment.</w:t>
      </w:r>
    </w:p>
    <w:p>
      <w:pPr>
        <w:spacing w:after="0" w:line="7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Included in the Company's consolidated statement of income for the six months ended June 30, 2019 is $1,617.1 million of revenues and $88.2 million of operating income from GET. Acquisition related costs were approximately $55.3 million for the six months ended June 30, 2019 and are included in selling, general and administrative expenses on the consolidated statements of income.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Acquisitions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has made the following acquisition operating as a business unit or component of a business unit in the Transit Segment:</w:t>
      </w:r>
    </w:p>
    <w:p>
      <w:pPr>
        <w:spacing w:after="0" w:line="117" w:lineRule="exact"/>
        <w:rPr>
          <w:sz w:val="20"/>
          <w:szCs w:val="20"/>
          <w:color w:val="auto"/>
        </w:rPr>
      </w:pPr>
    </w:p>
    <w:p>
      <w:pPr>
        <w:ind w:left="980" w:hanging="324"/>
        <w:spacing w:after="0" w:line="279"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On March 22, 2018, the Company acquired Annax GmbH ("Annax"), a leading supplier of public address and passenger information systems for transit vehicles, for a purchase price of approximately $45.2 million, net of cash acquired and including contingent consideration, resulting in final goodwill of $38.5 million, none of which will be deductible for tax purposes. A payment of $10.1 million was made in the three months ended June 30, 2019 related to contingent consideration associated with the purchase of Annax.</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final fair values of the assets acquired and liabilities assumed at the date of the acquisition for Annax.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6316980</wp:posOffset>
            </wp:positionH>
            <wp:positionV relativeFrom="paragraph">
              <wp:posOffset>169545</wp:posOffset>
            </wp:positionV>
            <wp:extent cx="9347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740" w:type="dxa"/>
            <w:vAlign w:val="bottom"/>
          </w:tcPr>
          <w:p>
            <w:pPr>
              <w:spacing w:after="0"/>
              <w:rPr>
                <w:sz w:val="16"/>
                <w:szCs w:val="16"/>
                <w:color w:val="auto"/>
              </w:rPr>
            </w:pPr>
          </w:p>
        </w:tc>
        <w:tc>
          <w:tcPr>
            <w:tcW w:w="9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center"/>
              <w:ind w:right="175"/>
              <w:spacing w:after="0"/>
              <w:rPr>
                <w:sz w:val="20"/>
                <w:szCs w:val="20"/>
                <w:color w:val="auto"/>
              </w:rPr>
            </w:pPr>
            <w:r>
              <w:rPr>
                <w:rFonts w:ascii="Arial" w:cs="Arial" w:eastAsia="Arial" w:hAnsi="Arial"/>
                <w:sz w:val="14"/>
                <w:szCs w:val="14"/>
                <w:b w:val="1"/>
                <w:bCs w:val="1"/>
                <w:color w:val="auto"/>
                <w:w w:val="98"/>
              </w:rPr>
              <w:t>Annax</w:t>
            </w:r>
          </w:p>
        </w:tc>
      </w:tr>
      <w:tr>
        <w:trPr>
          <w:trHeight w:val="39"/>
        </w:trPr>
        <w:tc>
          <w:tcPr>
            <w:tcW w:w="740" w:type="dxa"/>
            <w:vAlign w:val="bottom"/>
          </w:tcPr>
          <w:p>
            <w:pPr>
              <w:spacing w:after="0"/>
              <w:rPr>
                <w:sz w:val="3"/>
                <w:szCs w:val="3"/>
                <w:color w:val="auto"/>
              </w:rPr>
            </w:pPr>
          </w:p>
        </w:tc>
        <w:tc>
          <w:tcPr>
            <w:tcW w:w="916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46"/>
        </w:trPr>
        <w:tc>
          <w:tcPr>
            <w:tcW w:w="740" w:type="dxa"/>
            <w:vAlign w:val="bottom"/>
          </w:tcPr>
          <w:p>
            <w:pPr>
              <w:spacing w:after="0"/>
              <w:rPr>
                <w:sz w:val="12"/>
                <w:szCs w:val="12"/>
                <w:color w:val="auto"/>
              </w:rPr>
            </w:pPr>
          </w:p>
        </w:tc>
        <w:tc>
          <w:tcPr>
            <w:tcW w:w="9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center"/>
              <w:ind w:right="215"/>
              <w:spacing w:after="0" w:line="147" w:lineRule="exact"/>
              <w:rPr>
                <w:sz w:val="20"/>
                <w:szCs w:val="20"/>
                <w:color w:val="auto"/>
              </w:rPr>
            </w:pPr>
            <w:r>
              <w:rPr>
                <w:rFonts w:ascii="Arial" w:cs="Arial" w:eastAsia="Arial" w:hAnsi="Arial"/>
                <w:sz w:val="14"/>
                <w:szCs w:val="14"/>
                <w:b w:val="1"/>
                <w:bCs w:val="1"/>
                <w:color w:val="auto"/>
                <w:w w:val="95"/>
              </w:rPr>
              <w:t>March 22,</w:t>
            </w:r>
          </w:p>
        </w:tc>
      </w:tr>
      <w:tr>
        <w:trPr>
          <w:trHeight w:val="158"/>
        </w:trPr>
        <w:tc>
          <w:tcPr>
            <w:tcW w:w="9900" w:type="dxa"/>
            <w:vAlign w:val="bottom"/>
            <w:gridSpan w:val="2"/>
          </w:tcPr>
          <w:p>
            <w:pPr>
              <w:spacing w:after="0" w:line="158" w:lineRule="exact"/>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3"/>
                <w:szCs w:val="13"/>
                <w:color w:val="auto"/>
              </w:rPr>
            </w:pPr>
          </w:p>
        </w:tc>
        <w:tc>
          <w:tcPr>
            <w:tcW w:w="1200" w:type="dxa"/>
            <w:vAlign w:val="bottom"/>
          </w:tcPr>
          <w:p>
            <w:pPr>
              <w:jc w:val="center"/>
              <w:ind w:right="175"/>
              <w:spacing w:after="0" w:line="158" w:lineRule="exact"/>
              <w:rPr>
                <w:sz w:val="20"/>
                <w:szCs w:val="20"/>
                <w:color w:val="auto"/>
              </w:rPr>
            </w:pPr>
            <w:r>
              <w:rPr>
                <w:rFonts w:ascii="Arial" w:cs="Arial" w:eastAsia="Arial" w:hAnsi="Arial"/>
                <w:sz w:val="14"/>
                <w:szCs w:val="14"/>
                <w:b w:val="1"/>
                <w:bCs w:val="1"/>
                <w:color w:val="auto"/>
                <w:w w:val="96"/>
              </w:rPr>
              <w:t>2018</w:t>
            </w:r>
          </w:p>
        </w:tc>
      </w:tr>
      <w:tr>
        <w:trPr>
          <w:trHeight w:val="21"/>
        </w:trPr>
        <w:tc>
          <w:tcPr>
            <w:tcW w:w="740" w:type="dxa"/>
            <w:vAlign w:val="bottom"/>
            <w:tcBorders>
              <w:top w:val="single" w:sz="8" w:color="auto"/>
            </w:tcBorders>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99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32,827</w:t>
            </w:r>
          </w:p>
        </w:tc>
      </w:tr>
      <w:tr>
        <w:trPr>
          <w:trHeight w:val="270"/>
        </w:trPr>
        <w:tc>
          <w:tcPr>
            <w:tcW w:w="9900" w:type="dxa"/>
            <w:vAlign w:val="bottom"/>
            <w:gridSpan w:val="2"/>
          </w:tcPr>
          <w:p>
            <w:pPr>
              <w:spacing w:after="0"/>
              <w:rPr>
                <w:sz w:val="20"/>
                <w:szCs w:val="20"/>
                <w:color w:val="auto"/>
              </w:rPr>
            </w:pPr>
            <w:r>
              <w:rPr>
                <w:rFonts w:ascii="Arial" w:cs="Arial" w:eastAsia="Arial" w:hAnsi="Arial"/>
                <w:sz w:val="18"/>
                <w:szCs w:val="18"/>
                <w:color w:val="auto"/>
              </w:rPr>
              <w:t>Property, plant &amp; equipment</w:t>
            </w:r>
          </w:p>
        </w:tc>
        <w:tc>
          <w:tcPr>
            <w:tcW w:w="280" w:type="dxa"/>
            <w:vAlign w:val="bottom"/>
          </w:tcPr>
          <w:p>
            <w:pPr>
              <w:spacing w:after="0"/>
              <w:rPr>
                <w:sz w:val="23"/>
                <w:szCs w:val="23"/>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674</w:t>
            </w:r>
          </w:p>
        </w:tc>
      </w:tr>
      <w:tr>
        <w:trPr>
          <w:trHeight w:val="270"/>
        </w:trPr>
        <w:tc>
          <w:tcPr>
            <w:tcW w:w="990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3"/>
                <w:szCs w:val="23"/>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38,511</w:t>
            </w:r>
          </w:p>
        </w:tc>
      </w:tr>
      <w:tr>
        <w:trPr>
          <w:trHeight w:val="270"/>
        </w:trPr>
        <w:tc>
          <w:tcPr>
            <w:tcW w:w="9900" w:type="dxa"/>
            <w:vAlign w:val="bottom"/>
            <w:gridSpan w:val="2"/>
          </w:tcPr>
          <w:p>
            <w:pPr>
              <w:spacing w:after="0"/>
              <w:rPr>
                <w:sz w:val="20"/>
                <w:szCs w:val="20"/>
                <w:color w:val="auto"/>
              </w:rPr>
            </w:pPr>
            <w:r>
              <w:rPr>
                <w:rFonts w:ascii="Arial" w:cs="Arial" w:eastAsia="Arial" w:hAnsi="Arial"/>
                <w:sz w:val="18"/>
                <w:szCs w:val="18"/>
                <w:color w:val="auto"/>
              </w:rPr>
              <w:t>Other intangible assets</w:t>
            </w:r>
          </w:p>
        </w:tc>
        <w:tc>
          <w:tcPr>
            <w:tcW w:w="280" w:type="dxa"/>
            <w:vAlign w:val="bottom"/>
          </w:tcPr>
          <w:p>
            <w:pPr>
              <w:spacing w:after="0"/>
              <w:rPr>
                <w:sz w:val="23"/>
                <w:szCs w:val="23"/>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11,715</w:t>
            </w:r>
          </w:p>
        </w:tc>
      </w:tr>
      <w:tr>
        <w:trPr>
          <w:trHeight w:val="27"/>
        </w:trPr>
        <w:tc>
          <w:tcPr>
            <w:tcW w:w="740" w:type="dxa"/>
            <w:vAlign w:val="bottom"/>
          </w:tcPr>
          <w:p>
            <w:pPr>
              <w:spacing w:after="0"/>
              <w:rPr>
                <w:sz w:val="2"/>
                <w:szCs w:val="2"/>
                <w:color w:val="auto"/>
              </w:rPr>
            </w:pPr>
          </w:p>
        </w:tc>
        <w:tc>
          <w:tcPr>
            <w:tcW w:w="9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9900" w:type="dxa"/>
            <w:vAlign w:val="bottom"/>
            <w:gridSpan w:val="2"/>
          </w:tcPr>
          <w:p>
            <w:pPr>
              <w:ind w:left="380"/>
              <w:spacing w:after="0"/>
              <w:rPr>
                <w:sz w:val="20"/>
                <w:szCs w:val="20"/>
                <w:color w:val="auto"/>
              </w:rPr>
            </w:pPr>
            <w:r>
              <w:rPr>
                <w:rFonts w:ascii="Arial" w:cs="Arial" w:eastAsia="Arial" w:hAnsi="Arial"/>
                <w:sz w:val="18"/>
                <w:szCs w:val="18"/>
                <w:color w:val="auto"/>
              </w:rPr>
              <w:t>Total assets acquired</w:t>
            </w:r>
          </w:p>
        </w:tc>
        <w:tc>
          <w:tcPr>
            <w:tcW w:w="280" w:type="dxa"/>
            <w:vAlign w:val="bottom"/>
          </w:tcPr>
          <w:p>
            <w:pPr>
              <w:spacing w:after="0"/>
              <w:rPr>
                <w:sz w:val="20"/>
                <w:szCs w:val="20"/>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83,727</w:t>
            </w:r>
          </w:p>
        </w:tc>
      </w:tr>
      <w:tr>
        <w:trPr>
          <w:trHeight w:val="270"/>
        </w:trPr>
        <w:tc>
          <w:tcPr>
            <w:tcW w:w="9900" w:type="dxa"/>
            <w:vAlign w:val="bottom"/>
            <w:gridSpan w:val="2"/>
          </w:tcPr>
          <w:p>
            <w:pPr>
              <w:ind w:left="380"/>
              <w:spacing w:after="0"/>
              <w:rPr>
                <w:sz w:val="20"/>
                <w:szCs w:val="20"/>
                <w:color w:val="auto"/>
              </w:rPr>
            </w:pPr>
            <w:r>
              <w:rPr>
                <w:rFonts w:ascii="Arial" w:cs="Arial" w:eastAsia="Arial" w:hAnsi="Arial"/>
                <w:sz w:val="18"/>
                <w:szCs w:val="18"/>
                <w:color w:val="auto"/>
              </w:rPr>
              <w:t>Total liabilities assumed</w:t>
            </w:r>
          </w:p>
        </w:tc>
        <w:tc>
          <w:tcPr>
            <w:tcW w:w="2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(55,064)</w:t>
            </w:r>
          </w:p>
        </w:tc>
      </w:tr>
      <w:tr>
        <w:trPr>
          <w:trHeight w:val="27"/>
        </w:trPr>
        <w:tc>
          <w:tcPr>
            <w:tcW w:w="740" w:type="dxa"/>
            <w:vAlign w:val="bottom"/>
          </w:tcPr>
          <w:p>
            <w:pPr>
              <w:spacing w:after="0"/>
              <w:rPr>
                <w:sz w:val="2"/>
                <w:szCs w:val="2"/>
                <w:color w:val="auto"/>
              </w:rPr>
            </w:pPr>
          </w:p>
        </w:tc>
        <w:tc>
          <w:tcPr>
            <w:tcW w:w="9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9900" w:type="dxa"/>
            <w:vAlign w:val="bottom"/>
            <w:gridSpan w:val="2"/>
          </w:tcPr>
          <w:p>
            <w:pPr>
              <w:ind w:left="380"/>
              <w:spacing w:after="0"/>
              <w:rPr>
                <w:sz w:val="20"/>
                <w:szCs w:val="20"/>
                <w:color w:val="auto"/>
              </w:rPr>
            </w:pPr>
            <w:r>
              <w:rPr>
                <w:rFonts w:ascii="Arial" w:cs="Arial" w:eastAsia="Arial" w:hAnsi="Arial"/>
                <w:sz w:val="18"/>
                <w:szCs w:val="18"/>
                <w:color w:val="auto"/>
              </w:rPr>
              <w:t>Net assets acquired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28,663</w:t>
            </w:r>
          </w:p>
        </w:tc>
      </w:tr>
      <w:tr>
        <w:trPr>
          <w:trHeight w:val="20"/>
        </w:trPr>
        <w:tc>
          <w:tcPr>
            <w:tcW w:w="74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60" w:firstLine="500"/>
        <w:spacing w:after="0" w:line="342" w:lineRule="auto"/>
        <w:rPr>
          <w:sz w:val="20"/>
          <w:szCs w:val="20"/>
          <w:color w:val="auto"/>
        </w:rPr>
      </w:pPr>
      <w:r>
        <w:rPr>
          <w:rFonts w:ascii="Arial" w:cs="Arial" w:eastAsia="Arial" w:hAnsi="Arial"/>
          <w:sz w:val="16"/>
          <w:szCs w:val="16"/>
          <w:color w:val="auto"/>
        </w:rPr>
        <w:t>The allocation of $11.7 million of total acquired other intangible assets includes $3.8 million assigned to trade names and $7.5 million assigned to customer relationships. The trade names were determined to have indefinite useful lives, while the customer relationships’ average useful lives are 20 years.</w:t>
      </w:r>
    </w:p>
    <w:p>
      <w:pPr>
        <w:spacing w:after="0" w:line="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also made smaller acquisitions not listed above which are individually and collectively immaterial.</w:t>
      </w:r>
    </w:p>
    <w:p>
      <w:pPr>
        <w:spacing w:after="0" w:line="117" w:lineRule="exact"/>
        <w:rPr>
          <w:sz w:val="20"/>
          <w:szCs w:val="20"/>
          <w:color w:val="auto"/>
        </w:rPr>
      </w:pPr>
    </w:p>
    <w:p>
      <w:pPr>
        <w:ind w:right="660" w:firstLine="500"/>
        <w:spacing w:after="0" w:line="277" w:lineRule="auto"/>
        <w:rPr>
          <w:sz w:val="20"/>
          <w:szCs w:val="20"/>
          <w:color w:val="auto"/>
        </w:rPr>
      </w:pPr>
      <w:r>
        <w:rPr>
          <w:rFonts w:ascii="Arial" w:cs="Arial" w:eastAsia="Arial" w:hAnsi="Arial"/>
          <w:sz w:val="18"/>
          <w:szCs w:val="18"/>
          <w:color w:val="auto"/>
        </w:rPr>
        <w:t>The following unaudited pro forma consolidated financial information presents income statement results as if the acquisitions listed above had occurred on January 1, 2018:</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48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48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Six Months Ended</w:t>
            </w:r>
          </w:p>
        </w:tc>
        <w:tc>
          <w:tcPr>
            <w:tcW w:w="2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20" w:type="dxa"/>
            <w:vAlign w:val="bottom"/>
          </w:tcPr>
          <w:p>
            <w:pPr>
              <w:spacing w:after="0"/>
              <w:rPr>
                <w:sz w:val="14"/>
                <w:szCs w:val="14"/>
                <w:color w:val="auto"/>
              </w:rPr>
            </w:pPr>
          </w:p>
        </w:tc>
      </w:tr>
      <w:tr>
        <w:trPr>
          <w:trHeight w:val="158"/>
        </w:trPr>
        <w:tc>
          <w:tcPr>
            <w:tcW w:w="40" w:type="dxa"/>
            <w:vAlign w:val="bottom"/>
          </w:tcPr>
          <w:p>
            <w:pPr>
              <w:spacing w:after="0"/>
              <w:rPr>
                <w:sz w:val="13"/>
                <w:szCs w:val="13"/>
                <w:color w:val="auto"/>
              </w:rPr>
            </w:pPr>
          </w:p>
        </w:tc>
        <w:tc>
          <w:tcPr>
            <w:tcW w:w="5580" w:type="dxa"/>
            <w:vAlign w:val="bottom"/>
            <w:gridSpan w:val="3"/>
          </w:tcPr>
          <w:p>
            <w:pPr>
              <w:spacing w:after="0" w:line="158" w:lineRule="exact"/>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3"/>
                <w:szCs w:val="13"/>
                <w:color w:val="auto"/>
              </w:rPr>
            </w:pPr>
          </w:p>
        </w:tc>
        <w:tc>
          <w:tcPr>
            <w:tcW w:w="1280" w:type="dxa"/>
            <w:vAlign w:val="bottom"/>
            <w:gridSpan w:val="2"/>
          </w:tcPr>
          <w:p>
            <w:pPr>
              <w:ind w:left="80"/>
              <w:spacing w:after="0" w:line="158" w:lineRule="exact"/>
              <w:rPr>
                <w:sz w:val="20"/>
                <w:szCs w:val="20"/>
                <w:color w:val="auto"/>
              </w:rPr>
            </w:pPr>
            <w:r>
              <w:rPr>
                <w:rFonts w:ascii="Arial" w:cs="Arial" w:eastAsia="Arial" w:hAnsi="Arial"/>
                <w:sz w:val="14"/>
                <w:szCs w:val="14"/>
                <w:b w:val="1"/>
                <w:bCs w:val="1"/>
                <w:color w:val="auto"/>
              </w:rPr>
              <w:t>June 30, 2019</w:t>
            </w:r>
          </w:p>
        </w:tc>
        <w:tc>
          <w:tcPr>
            <w:tcW w:w="200" w:type="dxa"/>
            <w:vAlign w:val="bottom"/>
          </w:tcPr>
          <w:p>
            <w:pPr>
              <w:spacing w:after="0"/>
              <w:rPr>
                <w:sz w:val="13"/>
                <w:szCs w:val="13"/>
                <w:color w:val="auto"/>
              </w:rPr>
            </w:pPr>
          </w:p>
        </w:tc>
        <w:tc>
          <w:tcPr>
            <w:tcW w:w="128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June 30, 2018</w:t>
            </w:r>
          </w:p>
        </w:tc>
        <w:tc>
          <w:tcPr>
            <w:tcW w:w="100" w:type="dxa"/>
            <w:vAlign w:val="bottom"/>
          </w:tcPr>
          <w:p>
            <w:pPr>
              <w:spacing w:after="0"/>
              <w:rPr>
                <w:sz w:val="13"/>
                <w:szCs w:val="13"/>
                <w:color w:val="auto"/>
              </w:rPr>
            </w:pPr>
          </w:p>
        </w:tc>
        <w:tc>
          <w:tcPr>
            <w:tcW w:w="136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2"/>
              </w:rPr>
              <w:t>June 30, 2019</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jc w:val="center"/>
              <w:ind w:right="94"/>
              <w:spacing w:after="0" w:line="158" w:lineRule="exact"/>
              <w:rPr>
                <w:sz w:val="20"/>
                <w:szCs w:val="20"/>
                <w:color w:val="auto"/>
              </w:rPr>
            </w:pPr>
            <w:r>
              <w:rPr>
                <w:rFonts w:ascii="Arial" w:cs="Arial" w:eastAsia="Arial" w:hAnsi="Arial"/>
                <w:sz w:val="14"/>
                <w:szCs w:val="14"/>
                <w:b w:val="1"/>
                <w:bCs w:val="1"/>
                <w:color w:val="auto"/>
                <w:w w:val="90"/>
              </w:rPr>
              <w:t>June 30, 2018</w:t>
            </w:r>
          </w:p>
        </w:tc>
        <w:tc>
          <w:tcPr>
            <w:tcW w:w="20" w:type="dxa"/>
            <w:vAlign w:val="bottom"/>
          </w:tcPr>
          <w:p>
            <w:pPr>
              <w:spacing w:after="0"/>
              <w:rPr>
                <w:sz w:val="13"/>
                <w:szCs w:val="13"/>
                <w:color w:val="auto"/>
              </w:rPr>
            </w:pPr>
          </w:p>
        </w:tc>
      </w:tr>
      <w:tr>
        <w:trPr>
          <w:trHeight w:val="21"/>
        </w:trPr>
        <w:tc>
          <w:tcPr>
            <w:tcW w:w="4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Net sales</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2,236,284</w:t>
            </w:r>
          </w:p>
        </w:tc>
        <w:tc>
          <w:tcPr>
            <w:tcW w:w="10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2,023,848</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4,316,055</w:t>
            </w:r>
          </w:p>
        </w:tc>
        <w:tc>
          <w:tcPr>
            <w:tcW w:w="100" w:type="dxa"/>
            <w:vAlign w:val="bottom"/>
          </w:tcPr>
          <w:p>
            <w:pPr>
              <w:spacing w:after="0"/>
              <w:rPr>
                <w:sz w:val="20"/>
                <w:szCs w:val="20"/>
                <w:color w:val="auto"/>
              </w:rPr>
            </w:pPr>
          </w:p>
        </w:tc>
        <w:tc>
          <w:tcPr>
            <w:tcW w:w="200" w:type="dxa"/>
            <w:vAlign w:val="bottom"/>
            <w:gridSpan w:val="2"/>
          </w:tcPr>
          <w:p>
            <w:pPr>
              <w:jc w:val="right"/>
              <w:ind w:right="8"/>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3,905,572</w:t>
            </w:r>
          </w:p>
        </w:tc>
        <w:tc>
          <w:tcPr>
            <w:tcW w:w="20" w:type="dxa"/>
            <w:vAlign w:val="bottom"/>
          </w:tcPr>
          <w:p>
            <w:pPr>
              <w:spacing w:after="0"/>
              <w:rPr>
                <w:sz w:val="20"/>
                <w:szCs w:val="20"/>
                <w:color w:val="auto"/>
              </w:rPr>
            </w:pPr>
          </w:p>
        </w:tc>
      </w:tr>
      <w:tr>
        <w:trPr>
          <w:trHeight w:val="270"/>
        </w:trPr>
        <w:tc>
          <w:tcPr>
            <w:tcW w:w="40" w:type="dxa"/>
            <w:vAlign w:val="bottom"/>
          </w:tcPr>
          <w:p>
            <w:pPr>
              <w:spacing w:after="0"/>
              <w:rPr>
                <w:sz w:val="23"/>
                <w:szCs w:val="23"/>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23"/>
                <w:szCs w:val="23"/>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703,676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634,868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1,247,156</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1,019,549</w:t>
            </w: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Net income attributable to Wabtec shareholders</w:t>
            </w:r>
          </w:p>
        </w:tc>
        <w:tc>
          <w:tcPr>
            <w:tcW w:w="200" w:type="dxa"/>
            <w:vAlign w:val="bottom"/>
          </w:tcPr>
          <w:p>
            <w:pPr>
              <w:spacing w:after="0"/>
              <w:rPr>
                <w:sz w:val="23"/>
                <w:szCs w:val="23"/>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171,875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151,475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255,152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99,206</w:t>
            </w: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Diluted earnings per share</w:t>
            </w: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580" w:type="dxa"/>
            <w:vAlign w:val="bottom"/>
            <w:gridSpan w:val="3"/>
          </w:tcPr>
          <w:p>
            <w:pPr>
              <w:ind w:left="380"/>
              <w:spacing w:after="0"/>
              <w:rPr>
                <w:sz w:val="20"/>
                <w:szCs w:val="20"/>
                <w:color w:val="auto"/>
              </w:rPr>
            </w:pPr>
            <w:r>
              <w:rPr>
                <w:rFonts w:ascii="Arial" w:cs="Arial" w:eastAsia="Arial" w:hAnsi="Arial"/>
                <w:sz w:val="18"/>
                <w:szCs w:val="18"/>
                <w:color w:val="auto"/>
              </w:rPr>
              <w:t>As Reported</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23"/>
                <w:szCs w:val="23"/>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0.87</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0.61</w:t>
            </w:r>
          </w:p>
        </w:tc>
        <w:tc>
          <w:tcPr>
            <w:tcW w:w="100" w:type="dxa"/>
            <w:vAlign w:val="bottom"/>
          </w:tcPr>
          <w:p>
            <w:pPr>
              <w:spacing w:after="0"/>
              <w:rPr>
                <w:sz w:val="23"/>
                <w:szCs w:val="23"/>
                <w:color w:val="auto"/>
              </w:rPr>
            </w:pPr>
          </w:p>
        </w:tc>
        <w:tc>
          <w:tcPr>
            <w:tcW w:w="200" w:type="dxa"/>
            <w:vAlign w:val="bottom"/>
            <w:gridSpan w:val="2"/>
          </w:tcPr>
          <w:p>
            <w:pPr>
              <w:jc w:val="right"/>
              <w:ind w:right="8"/>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1.79</w:t>
            </w: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580" w:type="dxa"/>
            <w:vAlign w:val="bottom"/>
            <w:gridSpan w:val="3"/>
          </w:tcPr>
          <w:p>
            <w:pPr>
              <w:ind w:left="380"/>
              <w:spacing w:after="0"/>
              <w:rPr>
                <w:sz w:val="20"/>
                <w:szCs w:val="20"/>
                <w:color w:val="auto"/>
              </w:rPr>
            </w:pPr>
            <w:r>
              <w:rPr>
                <w:rFonts w:ascii="Arial" w:cs="Arial" w:eastAsia="Arial" w:hAnsi="Arial"/>
                <w:sz w:val="18"/>
                <w:szCs w:val="18"/>
                <w:color w:val="auto"/>
              </w:rPr>
              <w:t>Pro forma</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0.90</w:t>
            </w:r>
          </w:p>
        </w:tc>
        <w:tc>
          <w:tcPr>
            <w:tcW w:w="100" w:type="dxa"/>
            <w:vAlign w:val="bottom"/>
          </w:tcPr>
          <w:p>
            <w:pPr>
              <w:spacing w:after="0"/>
              <w:rPr>
                <w:sz w:val="23"/>
                <w:szCs w:val="23"/>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0.79</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3"/>
                <w:szCs w:val="23"/>
                <w:color w:val="auto"/>
              </w:rPr>
            </w:pPr>
          </w:p>
        </w:tc>
        <w:tc>
          <w:tcPr>
            <w:tcW w:w="200" w:type="dxa"/>
            <w:vAlign w:val="bottom"/>
            <w:gridSpan w:val="2"/>
          </w:tcPr>
          <w:p>
            <w:pPr>
              <w:jc w:val="right"/>
              <w:ind w:right="8"/>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0.52</w:t>
            </w:r>
          </w:p>
        </w:tc>
        <w:tc>
          <w:tcPr>
            <w:tcW w:w="20" w:type="dxa"/>
            <w:vAlign w:val="bottom"/>
          </w:tcPr>
          <w:p>
            <w:pPr>
              <w:spacing w:after="0"/>
              <w:rPr>
                <w:sz w:val="23"/>
                <w:szCs w:val="23"/>
                <w:color w:val="auto"/>
              </w:rPr>
            </w:pPr>
          </w:p>
        </w:tc>
      </w:tr>
      <w:tr>
        <w:trPr>
          <w:trHeight w:val="675"/>
        </w:trPr>
        <w:tc>
          <w:tcPr>
            <w:tcW w:w="5620" w:type="dxa"/>
            <w:vAlign w:val="bottom"/>
            <w:gridSpan w:val="4"/>
          </w:tcPr>
          <w:p>
            <w:pPr>
              <w:spacing w:after="0"/>
              <w:rPr>
                <w:sz w:val="20"/>
                <w:szCs w:val="20"/>
                <w:color w:val="auto"/>
              </w:rPr>
            </w:pPr>
            <w:r>
              <w:rPr>
                <w:rFonts w:ascii="Arial" w:cs="Arial" w:eastAsia="Arial" w:hAnsi="Arial"/>
                <w:sz w:val="18"/>
                <w:szCs w:val="18"/>
                <w:b w:val="1"/>
                <w:bCs w:val="1"/>
                <w:color w:val="auto"/>
              </w:rPr>
              <w:t>4. INVENTORIES</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40" w:type="dxa"/>
            <w:vAlign w:val="bottom"/>
          </w:tcPr>
          <w:p>
            <w:pPr>
              <w:spacing w:after="0"/>
              <w:rPr>
                <w:sz w:val="24"/>
                <w:szCs w:val="24"/>
                <w:color w:val="auto"/>
              </w:rPr>
            </w:pPr>
          </w:p>
        </w:tc>
        <w:tc>
          <w:tcPr>
            <w:tcW w:w="5580" w:type="dxa"/>
            <w:vAlign w:val="bottom"/>
            <w:gridSpan w:val="3"/>
          </w:tcPr>
          <w:p>
            <w:pPr>
              <w:ind w:left="460"/>
              <w:spacing w:after="0"/>
              <w:rPr>
                <w:sz w:val="20"/>
                <w:szCs w:val="20"/>
                <w:color w:val="auto"/>
              </w:rPr>
            </w:pPr>
            <w:r>
              <w:rPr>
                <w:rFonts w:ascii="Arial" w:cs="Arial" w:eastAsia="Arial" w:hAnsi="Arial"/>
                <w:sz w:val="18"/>
                <w:szCs w:val="18"/>
                <w:color w:val="auto"/>
              </w:rPr>
              <w:t>The components of inventory, net of reserves, were:</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8"/>
        </w:trPr>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June 30,</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center"/>
              <w:ind w:right="114"/>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24"/>
                <w:szCs w:val="24"/>
                <w:color w:val="auto"/>
              </w:rPr>
            </w:pPr>
          </w:p>
        </w:tc>
      </w:tr>
      <w:tr>
        <w:trPr>
          <w:trHeight w:val="158"/>
        </w:trPr>
        <w:tc>
          <w:tcPr>
            <w:tcW w:w="5620" w:type="dxa"/>
            <w:vAlign w:val="bottom"/>
            <w:gridSpan w:val="4"/>
          </w:tcPr>
          <w:p>
            <w:pPr>
              <w:ind w:left="40"/>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jc w:val="center"/>
              <w:ind w:right="16"/>
              <w:spacing w:after="0" w:line="158" w:lineRule="exact"/>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jc w:val="center"/>
              <w:ind w:right="74"/>
              <w:spacing w:after="0" w:line="158" w:lineRule="exact"/>
              <w:rPr>
                <w:sz w:val="20"/>
                <w:szCs w:val="20"/>
                <w:color w:val="auto"/>
              </w:rPr>
            </w:pPr>
            <w:r>
              <w:rPr>
                <w:rFonts w:ascii="Arial" w:cs="Arial" w:eastAsia="Arial" w:hAnsi="Arial"/>
                <w:sz w:val="14"/>
                <w:szCs w:val="14"/>
                <w:b w:val="1"/>
                <w:bCs w:val="1"/>
                <w:color w:val="auto"/>
                <w:w w:val="89"/>
              </w:rPr>
              <w:t>2018</w:t>
            </w:r>
          </w:p>
        </w:tc>
        <w:tc>
          <w:tcPr>
            <w:tcW w:w="20" w:type="dxa"/>
            <w:vAlign w:val="bottom"/>
          </w:tcPr>
          <w:p>
            <w:pPr>
              <w:spacing w:after="0"/>
              <w:rPr>
                <w:sz w:val="13"/>
                <w:szCs w:val="13"/>
                <w:color w:val="auto"/>
              </w:rPr>
            </w:pPr>
          </w:p>
        </w:tc>
      </w:tr>
      <w:tr>
        <w:trPr>
          <w:trHeight w:val="21"/>
        </w:trPr>
        <w:tc>
          <w:tcPr>
            <w:tcW w:w="4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37"/>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Raw materials</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786,281</w:t>
            </w:r>
          </w:p>
        </w:tc>
        <w:tc>
          <w:tcPr>
            <w:tcW w:w="10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465,873</w:t>
            </w:r>
          </w:p>
        </w:tc>
        <w:tc>
          <w:tcPr>
            <w:tcW w:w="20" w:type="dxa"/>
            <w:vAlign w:val="bottom"/>
          </w:tcPr>
          <w:p>
            <w:pPr>
              <w:spacing w:after="0"/>
              <w:rPr>
                <w:sz w:val="20"/>
                <w:szCs w:val="20"/>
                <w:color w:val="auto"/>
              </w:rPr>
            </w:pPr>
          </w:p>
        </w:tc>
      </w:tr>
      <w:tr>
        <w:trPr>
          <w:trHeight w:val="270"/>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Work-in-progress</w:t>
            </w: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434,731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154,485</w:t>
            </w:r>
          </w:p>
        </w:tc>
        <w:tc>
          <w:tcPr>
            <w:tcW w:w="20" w:type="dxa"/>
            <w:vAlign w:val="bottom"/>
          </w:tcPr>
          <w:p>
            <w:pPr>
              <w:spacing w:after="0"/>
              <w:rPr>
                <w:sz w:val="23"/>
                <w:szCs w:val="23"/>
                <w:color w:val="auto"/>
              </w:rPr>
            </w:pPr>
          </w:p>
        </w:tc>
      </w:tr>
      <w:tr>
        <w:trPr>
          <w:trHeight w:val="270"/>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Finished goods</w:t>
            </w: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660,779</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224,528</w:t>
            </w:r>
          </w:p>
        </w:tc>
        <w:tc>
          <w:tcPr>
            <w:tcW w:w="20" w:type="dxa"/>
            <w:vAlign w:val="bottom"/>
          </w:tcPr>
          <w:p>
            <w:pPr>
              <w:spacing w:after="0"/>
              <w:rPr>
                <w:sz w:val="23"/>
                <w:szCs w:val="23"/>
                <w:color w:val="auto"/>
              </w:rPr>
            </w:pPr>
          </w:p>
        </w:tc>
      </w:tr>
      <w:tr>
        <w:trPr>
          <w:trHeight w:val="27"/>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7"/>
        </w:trPr>
        <w:tc>
          <w:tcPr>
            <w:tcW w:w="40" w:type="dxa"/>
            <w:vAlign w:val="bottom"/>
          </w:tcPr>
          <w:p>
            <w:pPr>
              <w:spacing w:after="0"/>
              <w:rPr>
                <w:sz w:val="22"/>
                <w:szCs w:val="22"/>
                <w:color w:val="auto"/>
              </w:rPr>
            </w:pPr>
          </w:p>
        </w:tc>
        <w:tc>
          <w:tcPr>
            <w:tcW w:w="5580" w:type="dxa"/>
            <w:vAlign w:val="bottom"/>
            <w:gridSpan w:val="3"/>
          </w:tcPr>
          <w:p>
            <w:pPr>
              <w:ind w:left="480"/>
              <w:spacing w:after="0"/>
              <w:rPr>
                <w:sz w:val="20"/>
                <w:szCs w:val="20"/>
                <w:color w:val="auto"/>
              </w:rPr>
            </w:pPr>
            <w:r>
              <w:rPr>
                <w:rFonts w:ascii="Arial" w:cs="Arial" w:eastAsia="Arial" w:hAnsi="Arial"/>
                <w:sz w:val="18"/>
                <w:szCs w:val="18"/>
                <w:color w:val="auto"/>
              </w:rPr>
              <w:t>Total inventories</w:t>
            </w: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1,881,791</w:t>
            </w:r>
          </w:p>
        </w:tc>
        <w:tc>
          <w:tcPr>
            <w:tcW w:w="100" w:type="dxa"/>
            <w:vAlign w:val="bottom"/>
          </w:tcPr>
          <w:p>
            <w:pPr>
              <w:spacing w:after="0"/>
              <w:rPr>
                <w:sz w:val="22"/>
                <w:szCs w:val="22"/>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844,886</w:t>
            </w:r>
          </w:p>
        </w:tc>
        <w:tc>
          <w:tcPr>
            <w:tcW w:w="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change in the carrying amount of goodwill by segment for the six months ended June 30, 2019 is as follows:</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Freight</w:t>
            </w:r>
          </w:p>
        </w:tc>
        <w:tc>
          <w:tcPr>
            <w:tcW w:w="28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Transit</w:t>
            </w:r>
          </w:p>
        </w:tc>
        <w:tc>
          <w:tcPr>
            <w:tcW w:w="320" w:type="dxa"/>
            <w:vAlign w:val="bottom"/>
          </w:tcPr>
          <w:p>
            <w:pPr>
              <w:spacing w:after="0"/>
              <w:rPr>
                <w:sz w:val="14"/>
                <w:szCs w:val="14"/>
                <w:color w:val="auto"/>
              </w:rPr>
            </w:pPr>
          </w:p>
        </w:tc>
        <w:tc>
          <w:tcPr>
            <w:tcW w:w="104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704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280" w:type="dxa"/>
            <w:vAlign w:val="bottom"/>
          </w:tcPr>
          <w:p>
            <w:pPr>
              <w:spacing w:after="0"/>
              <w:rPr>
                <w:sz w:val="13"/>
                <w:szCs w:val="13"/>
                <w:color w:val="auto"/>
              </w:rPr>
            </w:pPr>
          </w:p>
        </w:tc>
        <w:tc>
          <w:tcPr>
            <w:tcW w:w="12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1"/>
              </w:rPr>
              <w:t>Segment</w:t>
            </w:r>
          </w:p>
        </w:tc>
        <w:tc>
          <w:tcPr>
            <w:tcW w:w="280" w:type="dxa"/>
            <w:vAlign w:val="bottom"/>
          </w:tcPr>
          <w:p>
            <w:pPr>
              <w:spacing w:after="0"/>
              <w:rPr>
                <w:sz w:val="13"/>
                <w:szCs w:val="13"/>
                <w:color w:val="auto"/>
              </w:rPr>
            </w:pPr>
          </w:p>
        </w:tc>
        <w:tc>
          <w:tcPr>
            <w:tcW w:w="120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1"/>
              </w:rPr>
              <w:t>Segment</w:t>
            </w: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7040" w:type="dxa"/>
            <w:vAlign w:val="bottom"/>
            <w:gridSpan w:val="2"/>
          </w:tcPr>
          <w:p>
            <w:pPr>
              <w:spacing w:after="0"/>
              <w:rPr>
                <w:sz w:val="20"/>
                <w:szCs w:val="20"/>
                <w:color w:val="auto"/>
              </w:rPr>
            </w:pPr>
            <w:r>
              <w:rPr>
                <w:rFonts w:ascii="Arial" w:cs="Arial" w:eastAsia="Arial" w:hAnsi="Arial"/>
                <w:sz w:val="18"/>
                <w:szCs w:val="18"/>
                <w:color w:val="auto"/>
              </w:rPr>
              <w:t>Balance at December 31, 2018</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713,391</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1,683,153</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2,396,544</w:t>
            </w:r>
          </w:p>
        </w:tc>
        <w:tc>
          <w:tcPr>
            <w:tcW w:w="0" w:type="dxa"/>
            <w:vAlign w:val="bottom"/>
          </w:tcPr>
          <w:p>
            <w:pPr>
              <w:spacing w:after="0"/>
              <w:rPr>
                <w:sz w:val="1"/>
                <w:szCs w:val="1"/>
                <w:color w:val="auto"/>
              </w:rPr>
            </w:pPr>
          </w:p>
        </w:tc>
      </w:tr>
      <w:tr>
        <w:trPr>
          <w:trHeight w:val="270"/>
        </w:trPr>
        <w:tc>
          <w:tcPr>
            <w:tcW w:w="704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280" w:type="dxa"/>
            <w:vAlign w:val="bottom"/>
          </w:tcPr>
          <w:p>
            <w:pPr>
              <w:spacing w:after="0"/>
              <w:rPr>
                <w:sz w:val="23"/>
                <w:szCs w:val="23"/>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5,754,115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15,420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5,769,535</w:t>
            </w:r>
          </w:p>
        </w:tc>
        <w:tc>
          <w:tcPr>
            <w:tcW w:w="0" w:type="dxa"/>
            <w:vAlign w:val="bottom"/>
          </w:tcPr>
          <w:p>
            <w:pPr>
              <w:spacing w:after="0"/>
              <w:rPr>
                <w:sz w:val="1"/>
                <w:szCs w:val="1"/>
                <w:color w:val="auto"/>
              </w:rPr>
            </w:pPr>
          </w:p>
        </w:tc>
      </w:tr>
      <w:tr>
        <w:trPr>
          <w:trHeight w:val="270"/>
        </w:trPr>
        <w:tc>
          <w:tcPr>
            <w:tcW w:w="7040" w:type="dxa"/>
            <w:vAlign w:val="bottom"/>
            <w:gridSpan w:val="2"/>
          </w:tcPr>
          <w:p>
            <w:pPr>
              <w:spacing w:after="0"/>
              <w:rPr>
                <w:sz w:val="20"/>
                <w:szCs w:val="20"/>
                <w:color w:val="auto"/>
              </w:rPr>
            </w:pPr>
            <w:r>
              <w:rPr>
                <w:rFonts w:ascii="Arial" w:cs="Arial" w:eastAsia="Arial" w:hAnsi="Arial"/>
                <w:sz w:val="18"/>
                <w:szCs w:val="18"/>
                <w:color w:val="auto"/>
              </w:rPr>
              <w:t>Foreign currency impact</w:t>
            </w:r>
          </w:p>
        </w:tc>
        <w:tc>
          <w:tcPr>
            <w:tcW w:w="2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(11,687)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(3,721)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(15,408)</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6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40" w:type="dxa"/>
            <w:vAlign w:val="bottom"/>
            <w:gridSpan w:val="2"/>
          </w:tcPr>
          <w:p>
            <w:pPr>
              <w:spacing w:after="0"/>
              <w:rPr>
                <w:sz w:val="20"/>
                <w:szCs w:val="20"/>
                <w:color w:val="auto"/>
              </w:rPr>
            </w:pPr>
            <w:r>
              <w:rPr>
                <w:rFonts w:ascii="Arial" w:cs="Arial" w:eastAsia="Arial" w:hAnsi="Arial"/>
                <w:sz w:val="18"/>
                <w:szCs w:val="18"/>
                <w:color w:val="auto"/>
              </w:rPr>
              <w:t>Balance at June 30, 2019</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6,455,819</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1,694,852</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8,150,671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76" w:right="239" w:bottom="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476" w:right="239" w:bottom="0" w:gutter="0" w:footer="0" w:header="0"/>
          <w:type w:val="continuous"/>
        </w:sectPr>
      </w:pPr>
    </w:p>
    <w:bookmarkStart w:id="15" w:name="page16"/>
    <w:bookmarkEnd w:id="15"/>
    <w:p>
      <w:pPr>
        <w:ind w:right="260" w:firstLine="500"/>
        <w:spacing w:after="0" w:line="264" w:lineRule="auto"/>
        <w:rPr>
          <w:sz w:val="20"/>
          <w:szCs w:val="20"/>
          <w:color w:val="auto"/>
        </w:rPr>
      </w:pPr>
      <w:r>
        <w:rPr>
          <w:rFonts w:ascii="Arial" w:cs="Arial" w:eastAsia="Arial" w:hAnsi="Arial"/>
          <w:sz w:val="18"/>
          <w:szCs w:val="18"/>
          <w:color w:val="auto"/>
        </w:rPr>
        <w:t>As of June 30, 2019 and December 31, 2018, the Company’s trade names had a net carrying amount of $626.6 million and $582.8 million, respectively. The Company believes these intangibles have indefinite lives, with the exception of the GE Transportation trade name, to which the company has assigned a useful life of 5 years.</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Intangible assets of the Company, other than goodwill and trade names, consist of the following:</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180" w:type="dxa"/>
            <w:vAlign w:val="bottom"/>
          </w:tcPr>
          <w:p>
            <w:pPr>
              <w:jc w:val="right"/>
              <w:ind w:right="197"/>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58"/>
        </w:trPr>
        <w:tc>
          <w:tcPr>
            <w:tcW w:w="78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i w:val="1"/>
                <w:iCs w:val="1"/>
                <w:color w:val="auto"/>
                <w:w w:val="87"/>
              </w:rPr>
              <w:t>In thousands</w:t>
            </w:r>
          </w:p>
        </w:tc>
        <w:tc>
          <w:tcPr>
            <w:tcW w:w="7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ind w:left="280"/>
              <w:spacing w:after="0" w:line="158"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ind w:right="457"/>
              <w:spacing w:after="0" w:line="158"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
        </w:trPr>
        <w:tc>
          <w:tcPr>
            <w:tcW w:w="8540" w:type="dxa"/>
            <w:vAlign w:val="bottom"/>
            <w:gridSpan w:val="2"/>
            <w:vMerge w:val="restart"/>
          </w:tcPr>
          <w:p>
            <w:pPr>
              <w:spacing w:after="0"/>
              <w:rPr>
                <w:sz w:val="20"/>
                <w:szCs w:val="20"/>
                <w:color w:val="auto"/>
              </w:rPr>
            </w:pPr>
            <w:r>
              <w:rPr>
                <w:rFonts w:ascii="Arial" w:cs="Arial" w:eastAsia="Arial" w:hAnsi="Arial"/>
                <w:sz w:val="18"/>
                <w:szCs w:val="18"/>
                <w:color w:val="auto"/>
              </w:rPr>
              <w:t>Backlog, intellectual property, patents, and other intangibles, net of accumulated</w:t>
            </w: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854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amortization of $76,059 and $42,446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ind w:left="280"/>
              <w:spacing w:after="0"/>
              <w:rPr>
                <w:sz w:val="20"/>
                <w:szCs w:val="20"/>
                <w:color w:val="auto"/>
              </w:rPr>
            </w:pPr>
            <w:r>
              <w:rPr>
                <w:rFonts w:ascii="Arial" w:cs="Arial" w:eastAsia="Arial" w:hAnsi="Arial"/>
                <w:sz w:val="18"/>
                <w:szCs w:val="18"/>
                <w:color w:val="auto"/>
                <w:w w:val="99"/>
              </w:rPr>
              <w:t>2,689,022</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15,328</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Customer relationships, net of accumulated amortization</w:t>
            </w: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of $183,933 and $158,533</w:t>
            </w:r>
          </w:p>
        </w:tc>
        <w:tc>
          <w:tcPr>
            <w:tcW w:w="260" w:type="dxa"/>
            <w:vAlign w:val="bottom"/>
          </w:tcPr>
          <w:p>
            <w:pPr>
              <w:spacing w:after="0"/>
              <w:rPr>
                <w:sz w:val="23"/>
                <w:szCs w:val="23"/>
                <w:color w:val="auto"/>
              </w:rPr>
            </w:pPr>
          </w:p>
        </w:tc>
        <w:tc>
          <w:tcPr>
            <w:tcW w:w="1100" w:type="dxa"/>
            <w:vAlign w:val="bottom"/>
          </w:tcPr>
          <w:p>
            <w:pPr>
              <w:ind w:left="280"/>
              <w:spacing w:after="0"/>
              <w:rPr>
                <w:sz w:val="20"/>
                <w:szCs w:val="20"/>
                <w:color w:val="auto"/>
              </w:rPr>
            </w:pPr>
            <w:r>
              <w:rPr>
                <w:rFonts w:ascii="Arial" w:cs="Arial" w:eastAsia="Arial" w:hAnsi="Arial"/>
                <w:sz w:val="18"/>
                <w:szCs w:val="18"/>
                <w:color w:val="auto"/>
                <w:w w:val="99"/>
              </w:rPr>
              <w:t>1,048,774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531,761</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77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40" w:type="dxa"/>
            <w:vAlign w:val="bottom"/>
            <w:gridSpan w:val="2"/>
          </w:tcPr>
          <w:p>
            <w:pPr>
              <w:ind w:left="4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w w:val="99"/>
              </w:rPr>
              <w:t>3,737,796</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547,089</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right="140" w:firstLine="500"/>
        <w:spacing w:after="0" w:line="286" w:lineRule="auto"/>
        <w:rPr>
          <w:sz w:val="20"/>
          <w:szCs w:val="20"/>
          <w:color w:val="auto"/>
        </w:rPr>
      </w:pPr>
      <w:r>
        <w:rPr>
          <w:rFonts w:ascii="Arial" w:cs="Arial" w:eastAsia="Arial" w:hAnsi="Arial"/>
          <w:sz w:val="17"/>
          <w:szCs w:val="17"/>
          <w:color w:val="auto"/>
        </w:rPr>
        <w:t>The weighted average remaining useful life of backlog, intellectual property, customer relationships and other intangibles were 18 years, 10 years, 18 years and 13 years, respectively. Amortization expense for intangible assets was $66.0 million and $93.4 million for the three and six months ended June 30, 2019, and $9.9 million and $20.3 million for the three and six months ended June 30, 2018, respectively.</w:t>
      </w:r>
    </w:p>
    <w:p>
      <w:pPr>
        <w:spacing w:after="0" w:line="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Amortization expense for the five succeeding years is estimated to be as follows:</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480" w:type="dxa"/>
            <w:vAlign w:val="bottom"/>
          </w:tcPr>
          <w:p>
            <w:pPr>
              <w:jc w:val="right"/>
              <w:ind w:right="2010"/>
              <w:spacing w:after="0"/>
              <w:rPr>
                <w:sz w:val="20"/>
                <w:szCs w:val="20"/>
                <w:color w:val="auto"/>
              </w:rPr>
            </w:pPr>
            <w:r>
              <w:rPr>
                <w:rFonts w:ascii="Arial" w:cs="Arial" w:eastAsia="Arial" w:hAnsi="Arial"/>
                <w:sz w:val="18"/>
                <w:szCs w:val="18"/>
                <w:color w:val="auto"/>
                <w:w w:val="88"/>
              </w:rPr>
              <w:t>Remainder of 2019</w:t>
            </w:r>
          </w:p>
        </w:tc>
        <w:tc>
          <w:tcPr>
            <w:tcW w:w="69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130,967</w:t>
            </w:r>
          </w:p>
        </w:tc>
      </w:tr>
      <w:tr>
        <w:trPr>
          <w:trHeight w:val="270"/>
        </w:trPr>
        <w:tc>
          <w:tcPr>
            <w:tcW w:w="3480" w:type="dxa"/>
            <w:vAlign w:val="bottom"/>
          </w:tcPr>
          <w:p>
            <w:pPr>
              <w:jc w:val="right"/>
              <w:ind w:right="2910"/>
              <w:spacing w:after="0"/>
              <w:rPr>
                <w:sz w:val="20"/>
                <w:szCs w:val="20"/>
                <w:color w:val="auto"/>
              </w:rPr>
            </w:pPr>
            <w:r>
              <w:rPr>
                <w:rFonts w:ascii="Arial" w:cs="Arial" w:eastAsia="Arial" w:hAnsi="Arial"/>
                <w:sz w:val="18"/>
                <w:szCs w:val="18"/>
                <w:color w:val="auto"/>
              </w:rPr>
              <w:t>2020</w:t>
            </w:r>
          </w:p>
        </w:tc>
        <w:tc>
          <w:tcPr>
            <w:tcW w:w="69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259,206</w:t>
            </w:r>
          </w:p>
        </w:tc>
      </w:tr>
      <w:tr>
        <w:trPr>
          <w:trHeight w:val="270"/>
        </w:trPr>
        <w:tc>
          <w:tcPr>
            <w:tcW w:w="3480" w:type="dxa"/>
            <w:vAlign w:val="bottom"/>
          </w:tcPr>
          <w:p>
            <w:pPr>
              <w:jc w:val="right"/>
              <w:ind w:right="2910"/>
              <w:spacing w:after="0"/>
              <w:rPr>
                <w:sz w:val="20"/>
                <w:szCs w:val="20"/>
                <w:color w:val="auto"/>
              </w:rPr>
            </w:pPr>
            <w:r>
              <w:rPr>
                <w:rFonts w:ascii="Arial" w:cs="Arial" w:eastAsia="Arial" w:hAnsi="Arial"/>
                <w:sz w:val="18"/>
                <w:szCs w:val="18"/>
                <w:color w:val="auto"/>
              </w:rPr>
              <w:t>2021</w:t>
            </w:r>
          </w:p>
        </w:tc>
        <w:tc>
          <w:tcPr>
            <w:tcW w:w="69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259,117</w:t>
            </w:r>
          </w:p>
        </w:tc>
      </w:tr>
      <w:tr>
        <w:trPr>
          <w:trHeight w:val="270"/>
        </w:trPr>
        <w:tc>
          <w:tcPr>
            <w:tcW w:w="3480" w:type="dxa"/>
            <w:vAlign w:val="bottom"/>
          </w:tcPr>
          <w:p>
            <w:pPr>
              <w:jc w:val="right"/>
              <w:ind w:right="2910"/>
              <w:spacing w:after="0"/>
              <w:rPr>
                <w:sz w:val="20"/>
                <w:szCs w:val="20"/>
                <w:color w:val="auto"/>
              </w:rPr>
            </w:pPr>
            <w:r>
              <w:rPr>
                <w:rFonts w:ascii="Arial" w:cs="Arial" w:eastAsia="Arial" w:hAnsi="Arial"/>
                <w:sz w:val="18"/>
                <w:szCs w:val="18"/>
                <w:color w:val="auto"/>
              </w:rPr>
              <w:t>2022</w:t>
            </w:r>
          </w:p>
        </w:tc>
        <w:tc>
          <w:tcPr>
            <w:tcW w:w="69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258,805</w:t>
            </w:r>
          </w:p>
        </w:tc>
      </w:tr>
      <w:tr>
        <w:trPr>
          <w:trHeight w:val="270"/>
        </w:trPr>
        <w:tc>
          <w:tcPr>
            <w:tcW w:w="3480" w:type="dxa"/>
            <w:vAlign w:val="bottom"/>
          </w:tcPr>
          <w:p>
            <w:pPr>
              <w:jc w:val="right"/>
              <w:ind w:right="2910"/>
              <w:spacing w:after="0"/>
              <w:rPr>
                <w:sz w:val="20"/>
                <w:szCs w:val="20"/>
                <w:color w:val="auto"/>
              </w:rPr>
            </w:pPr>
            <w:r>
              <w:rPr>
                <w:rFonts w:ascii="Arial" w:cs="Arial" w:eastAsia="Arial" w:hAnsi="Arial"/>
                <w:sz w:val="18"/>
                <w:szCs w:val="18"/>
                <w:color w:val="auto"/>
              </w:rPr>
              <w:t>2023</w:t>
            </w:r>
          </w:p>
        </w:tc>
        <w:tc>
          <w:tcPr>
            <w:tcW w:w="69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258,174</w:t>
            </w:r>
          </w:p>
        </w:tc>
      </w:tr>
      <w:tr>
        <w:trPr>
          <w:trHeight w:val="918"/>
        </w:trPr>
        <w:tc>
          <w:tcPr>
            <w:tcW w:w="3480" w:type="dxa"/>
            <w:vAlign w:val="bottom"/>
          </w:tcPr>
          <w:p>
            <w:pPr>
              <w:spacing w:after="0"/>
              <w:rPr>
                <w:sz w:val="24"/>
                <w:szCs w:val="24"/>
                <w:color w:val="auto"/>
              </w:rPr>
            </w:pPr>
          </w:p>
        </w:tc>
        <w:tc>
          <w:tcPr>
            <w:tcW w:w="6940" w:type="dxa"/>
            <w:vAlign w:val="bottom"/>
          </w:tcPr>
          <w:p>
            <w:pPr>
              <w:jc w:val="right"/>
              <w:ind w:right="4570"/>
              <w:spacing w:after="0"/>
              <w:rPr>
                <w:sz w:val="20"/>
                <w:szCs w:val="20"/>
                <w:color w:val="auto"/>
              </w:rPr>
            </w:pPr>
            <w:r>
              <w:rPr>
                <w:rFonts w:ascii="Arial" w:cs="Arial" w:eastAsia="Arial" w:hAnsi="Arial"/>
                <w:sz w:val="18"/>
                <w:szCs w:val="18"/>
                <w:color w:val="auto"/>
              </w:rPr>
              <w:t>16</w:t>
            </w:r>
          </w:p>
        </w:tc>
        <w:tc>
          <w:tcPr>
            <w:tcW w:w="860" w:type="dxa"/>
            <w:vAlign w:val="bottom"/>
          </w:tcPr>
          <w:p>
            <w:pPr>
              <w:spacing w:after="0"/>
              <w:rPr>
                <w:sz w:val="24"/>
                <w:szCs w:val="24"/>
                <w:color w:val="auto"/>
              </w:rPr>
            </w:pPr>
          </w:p>
        </w:tc>
      </w:tr>
    </w:tbl>
    <w:p>
      <w:pPr>
        <w:sectPr>
          <w:pgSz w:w="11900" w:h="16838" w:orient="portrait"/>
          <w:cols w:equalWidth="0" w:num="1">
            <w:col w:w="11420"/>
          </w:cols>
          <w:pgMar w:left="240" w:top="476"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6. CONTRACT ASSETS AND CONTRACT LIABILITIES</w:t>
      </w:r>
    </w:p>
    <w:p>
      <w:pPr>
        <w:spacing w:after="0" w:line="121" w:lineRule="exact"/>
        <w:rPr>
          <w:sz w:val="20"/>
          <w:szCs w:val="20"/>
          <w:color w:val="auto"/>
        </w:rPr>
      </w:pPr>
    </w:p>
    <w:p>
      <w:pPr>
        <w:ind w:right="240" w:firstLine="486"/>
        <w:spacing w:after="0" w:line="259" w:lineRule="auto"/>
        <w:rPr>
          <w:sz w:val="20"/>
          <w:szCs w:val="20"/>
          <w:color w:val="auto"/>
        </w:rPr>
      </w:pPr>
      <w:r>
        <w:rPr>
          <w:rFonts w:ascii="Arial" w:cs="Arial" w:eastAsia="Arial" w:hAnsi="Arial"/>
          <w:sz w:val="18"/>
          <w:szCs w:val="18"/>
          <w:color w:val="auto"/>
        </w:rPr>
        <w:t>Contract assets include unbilled amounts resulting from sales under long-term contracts where revenue is recognized over time and revenue exceeds the amount that can be billed to the customer based on the terms of the contract. Contract liabilities include customer deposits that are made prior to the incurrence of costs related to a newly agreed upon contract, advanced customer payments that are in excess of revenue recognized, and provisions for estimated losses from uncompleted contracts.</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change in the carrying amount of contract assets and contract liabilities for the six months ended June 30, 2019 is as follows: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7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4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jc w:val="right"/>
              <w:ind w:right="332"/>
              <w:spacing w:after="0"/>
              <w:rPr>
                <w:sz w:val="20"/>
                <w:szCs w:val="20"/>
                <w:color w:val="auto"/>
              </w:rPr>
            </w:pPr>
            <w:r>
              <w:rPr>
                <w:rFonts w:ascii="Arial" w:cs="Arial" w:eastAsia="Arial" w:hAnsi="Arial"/>
                <w:sz w:val="14"/>
                <w:szCs w:val="14"/>
                <w:b w:val="1"/>
                <w:bCs w:val="1"/>
                <w:color w:val="auto"/>
              </w:rPr>
              <w:t>Contract Assets</w:t>
            </w: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720" w:type="dxa"/>
            <w:vAlign w:val="bottom"/>
            <w:gridSpan w:val="2"/>
          </w:tcPr>
          <w:p>
            <w:pPr>
              <w:spacing w:after="0"/>
              <w:rPr>
                <w:sz w:val="20"/>
                <w:szCs w:val="20"/>
                <w:color w:val="auto"/>
              </w:rPr>
            </w:pPr>
            <w:r>
              <w:rPr>
                <w:rFonts w:ascii="Arial" w:cs="Arial" w:eastAsia="Arial" w:hAnsi="Arial"/>
                <w:sz w:val="18"/>
                <w:szCs w:val="18"/>
                <w:color w:val="auto"/>
              </w:rPr>
              <w:t>Balance at beginning of year</w:t>
            </w:r>
          </w:p>
        </w:tc>
        <w:tc>
          <w:tcPr>
            <w:tcW w:w="5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345,585</w:t>
            </w:r>
          </w:p>
        </w:tc>
        <w:tc>
          <w:tcPr>
            <w:tcW w:w="0" w:type="dxa"/>
            <w:vAlign w:val="bottom"/>
          </w:tcPr>
          <w:p>
            <w:pPr>
              <w:spacing w:after="0"/>
              <w:rPr>
                <w:sz w:val="1"/>
                <w:szCs w:val="1"/>
                <w:color w:val="auto"/>
              </w:rPr>
            </w:pPr>
          </w:p>
        </w:tc>
      </w:tr>
      <w:tr>
        <w:trPr>
          <w:trHeight w:val="270"/>
        </w:trPr>
        <w:tc>
          <w:tcPr>
            <w:tcW w:w="4720" w:type="dxa"/>
            <w:vAlign w:val="bottom"/>
            <w:gridSpan w:val="2"/>
          </w:tcPr>
          <w:p>
            <w:pPr>
              <w:spacing w:after="0"/>
              <w:rPr>
                <w:sz w:val="20"/>
                <w:szCs w:val="20"/>
                <w:color w:val="auto"/>
              </w:rPr>
            </w:pPr>
            <w:r>
              <w:rPr>
                <w:rFonts w:ascii="Arial" w:cs="Arial" w:eastAsia="Arial" w:hAnsi="Arial"/>
                <w:sz w:val="18"/>
                <w:szCs w:val="18"/>
                <w:color w:val="auto"/>
              </w:rPr>
              <w:t>Acquisitions</w:t>
            </w:r>
          </w:p>
        </w:tc>
        <w:tc>
          <w:tcPr>
            <w:tcW w:w="4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213,605</w:t>
            </w:r>
          </w:p>
        </w:tc>
        <w:tc>
          <w:tcPr>
            <w:tcW w:w="0" w:type="dxa"/>
            <w:vAlign w:val="bottom"/>
          </w:tcPr>
          <w:p>
            <w:pPr>
              <w:spacing w:after="0"/>
              <w:rPr>
                <w:sz w:val="1"/>
                <w:szCs w:val="1"/>
                <w:color w:val="auto"/>
              </w:rPr>
            </w:pPr>
          </w:p>
        </w:tc>
      </w:tr>
      <w:tr>
        <w:trPr>
          <w:trHeight w:val="270"/>
        </w:trPr>
        <w:tc>
          <w:tcPr>
            <w:tcW w:w="4720" w:type="dxa"/>
            <w:vAlign w:val="bottom"/>
            <w:gridSpan w:val="2"/>
          </w:tcPr>
          <w:p>
            <w:pPr>
              <w:spacing w:after="0"/>
              <w:rPr>
                <w:sz w:val="20"/>
                <w:szCs w:val="20"/>
                <w:color w:val="auto"/>
              </w:rPr>
            </w:pPr>
            <w:r>
              <w:rPr>
                <w:rFonts w:ascii="Arial" w:cs="Arial" w:eastAsia="Arial" w:hAnsi="Arial"/>
                <w:sz w:val="18"/>
                <w:szCs w:val="18"/>
                <w:color w:val="auto"/>
              </w:rPr>
              <w:t>Recognized in current year</w:t>
            </w:r>
          </w:p>
        </w:tc>
        <w:tc>
          <w:tcPr>
            <w:tcW w:w="4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324,940</w:t>
            </w:r>
          </w:p>
        </w:tc>
        <w:tc>
          <w:tcPr>
            <w:tcW w:w="0" w:type="dxa"/>
            <w:vAlign w:val="bottom"/>
          </w:tcPr>
          <w:p>
            <w:pPr>
              <w:spacing w:after="0"/>
              <w:rPr>
                <w:sz w:val="1"/>
                <w:szCs w:val="1"/>
                <w:color w:val="auto"/>
              </w:rPr>
            </w:pPr>
          </w:p>
        </w:tc>
      </w:tr>
      <w:tr>
        <w:trPr>
          <w:trHeight w:val="270"/>
        </w:trPr>
        <w:tc>
          <w:tcPr>
            <w:tcW w:w="4720" w:type="dxa"/>
            <w:vAlign w:val="bottom"/>
            <w:gridSpan w:val="2"/>
          </w:tcPr>
          <w:p>
            <w:pPr>
              <w:spacing w:after="0"/>
              <w:rPr>
                <w:sz w:val="20"/>
                <w:szCs w:val="20"/>
                <w:color w:val="auto"/>
              </w:rPr>
            </w:pPr>
            <w:r>
              <w:rPr>
                <w:rFonts w:ascii="Arial" w:cs="Arial" w:eastAsia="Arial" w:hAnsi="Arial"/>
                <w:sz w:val="18"/>
                <w:szCs w:val="18"/>
                <w:color w:val="auto"/>
              </w:rPr>
              <w:t>Reclassified to accounts receivable</w:t>
            </w:r>
          </w:p>
        </w:tc>
        <w:tc>
          <w:tcPr>
            <w:tcW w:w="4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(300,714)</w:t>
            </w:r>
          </w:p>
        </w:tc>
        <w:tc>
          <w:tcPr>
            <w:tcW w:w="0" w:type="dxa"/>
            <w:vAlign w:val="bottom"/>
          </w:tcPr>
          <w:p>
            <w:pPr>
              <w:spacing w:after="0"/>
              <w:rPr>
                <w:sz w:val="1"/>
                <w:szCs w:val="1"/>
                <w:color w:val="auto"/>
              </w:rPr>
            </w:pPr>
          </w:p>
        </w:tc>
      </w:tr>
      <w:tr>
        <w:trPr>
          <w:trHeight w:val="270"/>
        </w:trPr>
        <w:tc>
          <w:tcPr>
            <w:tcW w:w="4720" w:type="dxa"/>
            <w:vAlign w:val="bottom"/>
            <w:gridSpan w:val="2"/>
          </w:tcPr>
          <w:p>
            <w:pPr>
              <w:spacing w:after="0"/>
              <w:rPr>
                <w:sz w:val="20"/>
                <w:szCs w:val="20"/>
                <w:color w:val="auto"/>
              </w:rPr>
            </w:pPr>
            <w:r>
              <w:rPr>
                <w:rFonts w:ascii="Arial" w:cs="Arial" w:eastAsia="Arial" w:hAnsi="Arial"/>
                <w:sz w:val="18"/>
                <w:szCs w:val="18"/>
                <w:color w:val="auto"/>
              </w:rPr>
              <w:t>Foreign currency impact</w:t>
            </w:r>
          </w:p>
        </w:tc>
        <w:tc>
          <w:tcPr>
            <w:tcW w:w="4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20" w:type="dxa"/>
            <w:vAlign w:val="bottom"/>
            <w:gridSpan w:val="2"/>
          </w:tcPr>
          <w:p>
            <w:pPr>
              <w:spacing w:after="0"/>
              <w:rPr>
                <w:sz w:val="20"/>
                <w:szCs w:val="20"/>
                <w:color w:val="auto"/>
              </w:rPr>
            </w:pPr>
            <w:r>
              <w:rPr>
                <w:rFonts w:ascii="Arial" w:cs="Arial" w:eastAsia="Arial" w:hAnsi="Arial"/>
                <w:sz w:val="18"/>
                <w:szCs w:val="18"/>
                <w:color w:val="auto"/>
              </w:rPr>
              <w:t>Balance at June 30, 2019</w:t>
            </w:r>
          </w:p>
        </w:tc>
        <w:tc>
          <w:tcPr>
            <w:tcW w:w="5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582,491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47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4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jc w:val="right"/>
              <w:ind w:right="212"/>
              <w:spacing w:after="0"/>
              <w:rPr>
                <w:sz w:val="20"/>
                <w:szCs w:val="20"/>
                <w:color w:val="auto"/>
              </w:rPr>
            </w:pPr>
            <w:r>
              <w:rPr>
                <w:rFonts w:ascii="Arial" w:cs="Arial" w:eastAsia="Arial" w:hAnsi="Arial"/>
                <w:sz w:val="14"/>
                <w:szCs w:val="14"/>
                <w:b w:val="1"/>
                <w:bCs w:val="1"/>
                <w:color w:val="auto"/>
              </w:rPr>
              <w:t>Contract Liabilities</w:t>
            </w: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720" w:type="dxa"/>
            <w:vAlign w:val="bottom"/>
            <w:gridSpan w:val="2"/>
          </w:tcPr>
          <w:p>
            <w:pPr>
              <w:spacing w:after="0"/>
              <w:rPr>
                <w:sz w:val="20"/>
                <w:szCs w:val="20"/>
                <w:color w:val="auto"/>
              </w:rPr>
            </w:pPr>
            <w:r>
              <w:rPr>
                <w:rFonts w:ascii="Arial" w:cs="Arial" w:eastAsia="Arial" w:hAnsi="Arial"/>
                <w:sz w:val="18"/>
                <w:szCs w:val="18"/>
                <w:color w:val="auto"/>
              </w:rPr>
              <w:t>Balance at beginning of year</w:t>
            </w:r>
          </w:p>
        </w:tc>
        <w:tc>
          <w:tcPr>
            <w:tcW w:w="5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444,805</w:t>
            </w:r>
          </w:p>
        </w:tc>
        <w:tc>
          <w:tcPr>
            <w:tcW w:w="0" w:type="dxa"/>
            <w:vAlign w:val="bottom"/>
          </w:tcPr>
          <w:p>
            <w:pPr>
              <w:spacing w:after="0"/>
              <w:rPr>
                <w:sz w:val="1"/>
                <w:szCs w:val="1"/>
                <w:color w:val="auto"/>
              </w:rPr>
            </w:pPr>
          </w:p>
        </w:tc>
      </w:tr>
      <w:tr>
        <w:trPr>
          <w:trHeight w:val="270"/>
        </w:trPr>
        <w:tc>
          <w:tcPr>
            <w:tcW w:w="4720" w:type="dxa"/>
            <w:vAlign w:val="bottom"/>
            <w:gridSpan w:val="2"/>
          </w:tcPr>
          <w:p>
            <w:pPr>
              <w:spacing w:after="0"/>
              <w:rPr>
                <w:sz w:val="20"/>
                <w:szCs w:val="20"/>
                <w:color w:val="auto"/>
              </w:rPr>
            </w:pPr>
            <w:r>
              <w:rPr>
                <w:rFonts w:ascii="Arial" w:cs="Arial" w:eastAsia="Arial" w:hAnsi="Arial"/>
                <w:sz w:val="18"/>
                <w:szCs w:val="18"/>
                <w:color w:val="auto"/>
              </w:rPr>
              <w:t>Acquisitions</w:t>
            </w:r>
          </w:p>
        </w:tc>
        <w:tc>
          <w:tcPr>
            <w:tcW w:w="4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282,054</w:t>
            </w:r>
          </w:p>
        </w:tc>
        <w:tc>
          <w:tcPr>
            <w:tcW w:w="0" w:type="dxa"/>
            <w:vAlign w:val="bottom"/>
          </w:tcPr>
          <w:p>
            <w:pPr>
              <w:spacing w:after="0"/>
              <w:rPr>
                <w:sz w:val="1"/>
                <w:szCs w:val="1"/>
                <w:color w:val="auto"/>
              </w:rPr>
            </w:pPr>
          </w:p>
        </w:tc>
      </w:tr>
      <w:tr>
        <w:trPr>
          <w:trHeight w:val="270"/>
        </w:trPr>
        <w:tc>
          <w:tcPr>
            <w:tcW w:w="4720" w:type="dxa"/>
            <w:vAlign w:val="bottom"/>
            <w:gridSpan w:val="2"/>
          </w:tcPr>
          <w:p>
            <w:pPr>
              <w:spacing w:after="0"/>
              <w:rPr>
                <w:sz w:val="20"/>
                <w:szCs w:val="20"/>
                <w:color w:val="auto"/>
              </w:rPr>
            </w:pPr>
            <w:r>
              <w:rPr>
                <w:rFonts w:ascii="Arial" w:cs="Arial" w:eastAsia="Arial" w:hAnsi="Arial"/>
                <w:sz w:val="18"/>
                <w:szCs w:val="18"/>
                <w:color w:val="auto"/>
              </w:rPr>
              <w:t>Recognized in current year</w:t>
            </w:r>
          </w:p>
        </w:tc>
        <w:tc>
          <w:tcPr>
            <w:tcW w:w="4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572,644</w:t>
            </w:r>
          </w:p>
        </w:tc>
        <w:tc>
          <w:tcPr>
            <w:tcW w:w="0" w:type="dxa"/>
            <w:vAlign w:val="bottom"/>
          </w:tcPr>
          <w:p>
            <w:pPr>
              <w:spacing w:after="0"/>
              <w:rPr>
                <w:sz w:val="1"/>
                <w:szCs w:val="1"/>
                <w:color w:val="auto"/>
              </w:rPr>
            </w:pPr>
          </w:p>
        </w:tc>
      </w:tr>
      <w:tr>
        <w:trPr>
          <w:trHeight w:val="270"/>
        </w:trPr>
        <w:tc>
          <w:tcPr>
            <w:tcW w:w="4720" w:type="dxa"/>
            <w:vAlign w:val="bottom"/>
            <w:gridSpan w:val="2"/>
          </w:tcPr>
          <w:p>
            <w:pPr>
              <w:spacing w:after="0"/>
              <w:rPr>
                <w:sz w:val="20"/>
                <w:szCs w:val="20"/>
                <w:color w:val="auto"/>
              </w:rPr>
            </w:pPr>
            <w:r>
              <w:rPr>
                <w:rFonts w:ascii="Arial" w:cs="Arial" w:eastAsia="Arial" w:hAnsi="Arial"/>
                <w:sz w:val="18"/>
                <w:szCs w:val="18"/>
                <w:color w:val="auto"/>
              </w:rPr>
              <w:t>Amounts in beginning balance reclassified to revenue</w:t>
            </w:r>
          </w:p>
        </w:tc>
        <w:tc>
          <w:tcPr>
            <w:tcW w:w="4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(251,980)</w:t>
            </w:r>
          </w:p>
        </w:tc>
        <w:tc>
          <w:tcPr>
            <w:tcW w:w="0" w:type="dxa"/>
            <w:vAlign w:val="bottom"/>
          </w:tcPr>
          <w:p>
            <w:pPr>
              <w:spacing w:after="0"/>
              <w:rPr>
                <w:sz w:val="1"/>
                <w:szCs w:val="1"/>
                <w:color w:val="auto"/>
              </w:rPr>
            </w:pPr>
          </w:p>
        </w:tc>
      </w:tr>
      <w:tr>
        <w:trPr>
          <w:trHeight w:val="270"/>
        </w:trPr>
        <w:tc>
          <w:tcPr>
            <w:tcW w:w="4720" w:type="dxa"/>
            <w:vAlign w:val="bottom"/>
            <w:gridSpan w:val="2"/>
          </w:tcPr>
          <w:p>
            <w:pPr>
              <w:spacing w:after="0"/>
              <w:rPr>
                <w:sz w:val="20"/>
                <w:szCs w:val="20"/>
                <w:color w:val="auto"/>
              </w:rPr>
            </w:pPr>
            <w:r>
              <w:rPr>
                <w:rFonts w:ascii="Arial" w:cs="Arial" w:eastAsia="Arial" w:hAnsi="Arial"/>
                <w:sz w:val="18"/>
                <w:szCs w:val="18"/>
                <w:color w:val="auto"/>
              </w:rPr>
              <w:t>Current year amounts reclassified to revenue</w:t>
            </w:r>
          </w:p>
        </w:tc>
        <w:tc>
          <w:tcPr>
            <w:tcW w:w="4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(257,640)</w:t>
            </w:r>
          </w:p>
        </w:tc>
        <w:tc>
          <w:tcPr>
            <w:tcW w:w="0" w:type="dxa"/>
            <w:vAlign w:val="bottom"/>
          </w:tcPr>
          <w:p>
            <w:pPr>
              <w:spacing w:after="0"/>
              <w:rPr>
                <w:sz w:val="1"/>
                <w:szCs w:val="1"/>
                <w:color w:val="auto"/>
              </w:rPr>
            </w:pPr>
          </w:p>
        </w:tc>
      </w:tr>
      <w:tr>
        <w:trPr>
          <w:trHeight w:val="270"/>
        </w:trPr>
        <w:tc>
          <w:tcPr>
            <w:tcW w:w="4720" w:type="dxa"/>
            <w:vAlign w:val="bottom"/>
            <w:gridSpan w:val="2"/>
          </w:tcPr>
          <w:p>
            <w:pPr>
              <w:spacing w:after="0"/>
              <w:rPr>
                <w:sz w:val="20"/>
                <w:szCs w:val="20"/>
                <w:color w:val="auto"/>
              </w:rPr>
            </w:pPr>
            <w:r>
              <w:rPr>
                <w:rFonts w:ascii="Arial" w:cs="Arial" w:eastAsia="Arial" w:hAnsi="Arial"/>
                <w:sz w:val="18"/>
                <w:szCs w:val="18"/>
                <w:color w:val="auto"/>
              </w:rPr>
              <w:t>Foreign currency impact</w:t>
            </w:r>
          </w:p>
        </w:tc>
        <w:tc>
          <w:tcPr>
            <w:tcW w:w="4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20" w:type="dxa"/>
            <w:vAlign w:val="bottom"/>
            <w:gridSpan w:val="2"/>
          </w:tcPr>
          <w:p>
            <w:pPr>
              <w:spacing w:after="0"/>
              <w:rPr>
                <w:sz w:val="20"/>
                <w:szCs w:val="20"/>
                <w:color w:val="auto"/>
              </w:rPr>
            </w:pPr>
            <w:r>
              <w:rPr>
                <w:rFonts w:ascii="Arial" w:cs="Arial" w:eastAsia="Arial" w:hAnsi="Arial"/>
                <w:sz w:val="18"/>
                <w:szCs w:val="18"/>
                <w:color w:val="auto"/>
              </w:rPr>
              <w:t>Balance at June 30, 2019</w:t>
            </w:r>
          </w:p>
        </w:tc>
        <w:tc>
          <w:tcPr>
            <w:tcW w:w="5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789,016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840" w:type="dxa"/>
            <w:vAlign w:val="bottom"/>
            <w:vMerge w:val="restart"/>
          </w:tcPr>
          <w:p>
            <w:pPr>
              <w:jc w:val="right"/>
              <w:ind w:right="3710"/>
              <w:spacing w:after="0"/>
              <w:rPr>
                <w:sz w:val="20"/>
                <w:szCs w:val="20"/>
                <w:color w:val="auto"/>
              </w:rPr>
            </w:pPr>
            <w:r>
              <w:rPr>
                <w:rFonts w:ascii="Arial" w:cs="Arial" w:eastAsia="Arial" w:hAnsi="Arial"/>
                <w:sz w:val="18"/>
                <w:szCs w:val="18"/>
                <w:color w:val="auto"/>
              </w:rPr>
              <w:t>17</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7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48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7. LEASES</w:t>
      </w:r>
    </w:p>
    <w:p>
      <w:pPr>
        <w:spacing w:after="0" w:line="12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During the first quarter of 2019, the Company adopted ASU No. 2016-02, "Leases (Topic 842)," which requires leases with durations greater than twelve months to be recognized on the balance sheet. The Company adopted the standard using the modified retrospective approach with an effective date as of the beginning of our fiscal year, January 1, 2019. Prior year financial statements were not recast under the new standard and, therefore, those amounts are not presented below.</w:t>
      </w:r>
    </w:p>
    <w:p>
      <w:pPr>
        <w:spacing w:after="0" w:line="7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Company leases property and equipment under finance and operating leases. For leases with terms greater than 12 months, the Company records the related asset and obligation at the present value of lease payments. Many of the Company's leases include rental escalation clauses, renewal options, and/or termination options that are factored into our determination of lease payments when appropriate. The Company does not separate lease and non-lease components contracts.</w:t>
      </w:r>
    </w:p>
    <w:p>
      <w:pPr>
        <w:spacing w:after="0" w:line="79" w:lineRule="exact"/>
        <w:rPr>
          <w:sz w:val="20"/>
          <w:szCs w:val="20"/>
          <w:color w:val="auto"/>
        </w:rPr>
      </w:pPr>
    </w:p>
    <w:p>
      <w:pPr>
        <w:ind w:right="620" w:firstLine="648"/>
        <w:spacing w:after="0" w:line="308" w:lineRule="auto"/>
        <w:rPr>
          <w:sz w:val="20"/>
          <w:szCs w:val="20"/>
          <w:color w:val="auto"/>
        </w:rPr>
      </w:pPr>
      <w:r>
        <w:rPr>
          <w:rFonts w:ascii="Arial" w:cs="Arial" w:eastAsia="Arial" w:hAnsi="Arial"/>
          <w:sz w:val="17"/>
          <w:szCs w:val="17"/>
          <w:color w:val="auto"/>
        </w:rPr>
        <w:t>As most of the Company's leases do not provide a readily stated discount rate, the Company must estimate our incremental borrowing rate to discount lease payments. The Company has established discount rates by geographic region ranging from 1.2% to 12.3%.</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are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Three Months</w:t>
            </w:r>
          </w:p>
        </w:tc>
        <w:tc>
          <w:tcPr>
            <w:tcW w:w="300" w:type="dxa"/>
            <w:vAlign w:val="bottom"/>
          </w:tcPr>
          <w:p>
            <w:pPr>
              <w:spacing w:after="0"/>
              <w:rPr>
                <w:sz w:val="14"/>
                <w:szCs w:val="14"/>
                <w:color w:val="auto"/>
              </w:rPr>
            </w:pPr>
          </w:p>
        </w:tc>
        <w:tc>
          <w:tcPr>
            <w:tcW w:w="1180" w:type="dxa"/>
            <w:vAlign w:val="bottom"/>
          </w:tcPr>
          <w:p>
            <w:pPr>
              <w:jc w:val="center"/>
              <w:ind w:right="195"/>
              <w:spacing w:after="0"/>
              <w:rPr>
                <w:sz w:val="20"/>
                <w:szCs w:val="20"/>
                <w:color w:val="auto"/>
              </w:rPr>
            </w:pPr>
            <w:r>
              <w:rPr>
                <w:rFonts w:ascii="Arial" w:cs="Arial" w:eastAsia="Arial" w:hAnsi="Arial"/>
                <w:sz w:val="14"/>
                <w:szCs w:val="14"/>
                <w:b w:val="1"/>
                <w:bCs w:val="1"/>
                <w:color w:val="auto"/>
                <w:w w:val="93"/>
              </w:rPr>
              <w:t>Six Months</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Ended</w:t>
            </w:r>
          </w:p>
        </w:tc>
        <w:tc>
          <w:tcPr>
            <w:tcW w:w="300" w:type="dxa"/>
            <w:vAlign w:val="bottom"/>
          </w:tcPr>
          <w:p>
            <w:pPr>
              <w:spacing w:after="0"/>
              <w:rPr>
                <w:sz w:val="12"/>
                <w:szCs w:val="12"/>
                <w:color w:val="auto"/>
              </w:rPr>
            </w:pPr>
          </w:p>
        </w:tc>
        <w:tc>
          <w:tcPr>
            <w:tcW w:w="1180" w:type="dxa"/>
            <w:vAlign w:val="bottom"/>
          </w:tcPr>
          <w:p>
            <w:pPr>
              <w:jc w:val="center"/>
              <w:ind w:right="215"/>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86"/>
        </w:trPr>
        <w:tc>
          <w:tcPr>
            <w:tcW w:w="6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9"/>
              </w:rPr>
              <w:t>June 30,</w:t>
            </w:r>
          </w:p>
        </w:tc>
        <w:tc>
          <w:tcPr>
            <w:tcW w:w="300" w:type="dxa"/>
            <w:vAlign w:val="bottom"/>
          </w:tcPr>
          <w:p>
            <w:pPr>
              <w:spacing w:after="0"/>
              <w:rPr>
                <w:sz w:val="16"/>
                <w:szCs w:val="16"/>
                <w:color w:val="auto"/>
              </w:rPr>
            </w:pPr>
          </w:p>
        </w:tc>
        <w:tc>
          <w:tcPr>
            <w:tcW w:w="1180" w:type="dxa"/>
            <w:vAlign w:val="bottom"/>
          </w:tcPr>
          <w:p>
            <w:pPr>
              <w:jc w:val="center"/>
              <w:ind w:right="215"/>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276"/>
        </w:trPr>
        <w:tc>
          <w:tcPr>
            <w:tcW w:w="67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6"/>
              </w:rPr>
              <w:t>2019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Operating lease expense</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13,387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26,784</w:t>
            </w:r>
          </w:p>
        </w:tc>
        <w:tc>
          <w:tcPr>
            <w:tcW w:w="0" w:type="dxa"/>
            <w:vAlign w:val="bottom"/>
          </w:tcPr>
          <w:p>
            <w:pPr>
              <w:spacing w:after="0"/>
              <w:rPr>
                <w:sz w:val="1"/>
                <w:szCs w:val="1"/>
                <w:color w:val="auto"/>
              </w:rPr>
            </w:pPr>
          </w:p>
        </w:tc>
      </w:tr>
      <w:tr>
        <w:trPr>
          <w:trHeight w:val="270"/>
        </w:trPr>
        <w:tc>
          <w:tcPr>
            <w:tcW w:w="6740" w:type="dxa"/>
            <w:vAlign w:val="bottom"/>
          </w:tcPr>
          <w:p>
            <w:pPr>
              <w:ind w:left="40"/>
              <w:spacing w:after="0"/>
              <w:rPr>
                <w:sz w:val="20"/>
                <w:szCs w:val="20"/>
                <w:color w:val="auto"/>
              </w:rPr>
            </w:pPr>
            <w:r>
              <w:rPr>
                <w:rFonts w:ascii="Arial" w:cs="Arial" w:eastAsia="Arial" w:hAnsi="Arial"/>
                <w:sz w:val="18"/>
                <w:szCs w:val="18"/>
                <w:color w:val="auto"/>
              </w:rPr>
              <w:t>Finance lease expense</w:t>
            </w: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740" w:type="dxa"/>
            <w:vAlign w:val="bottom"/>
          </w:tcPr>
          <w:p>
            <w:pPr>
              <w:ind w:left="160"/>
              <w:spacing w:after="0"/>
              <w:rPr>
                <w:sz w:val="20"/>
                <w:szCs w:val="20"/>
                <w:color w:val="auto"/>
              </w:rPr>
            </w:pPr>
            <w:r>
              <w:rPr>
                <w:rFonts w:ascii="Arial" w:cs="Arial" w:eastAsia="Arial" w:hAnsi="Arial"/>
                <w:sz w:val="18"/>
                <w:szCs w:val="18"/>
                <w:color w:val="auto"/>
              </w:rPr>
              <w:t>Amortization of leased assets</w:t>
            </w: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272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70"/>
        </w:trPr>
        <w:tc>
          <w:tcPr>
            <w:tcW w:w="6740" w:type="dxa"/>
            <w:vAlign w:val="bottom"/>
          </w:tcPr>
          <w:p>
            <w:pPr>
              <w:ind w:left="180"/>
              <w:spacing w:after="0"/>
              <w:rPr>
                <w:sz w:val="20"/>
                <w:szCs w:val="20"/>
                <w:color w:val="auto"/>
              </w:rPr>
            </w:pPr>
            <w:r>
              <w:rPr>
                <w:rFonts w:ascii="Arial" w:cs="Arial" w:eastAsia="Arial" w:hAnsi="Arial"/>
                <w:sz w:val="18"/>
                <w:szCs w:val="18"/>
                <w:color w:val="auto"/>
              </w:rPr>
              <w:t>Interest on lease liabilities</w:t>
            </w: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0"/>
        </w:trPr>
        <w:tc>
          <w:tcPr>
            <w:tcW w:w="6740" w:type="dxa"/>
            <w:vAlign w:val="bottom"/>
          </w:tcPr>
          <w:p>
            <w:pPr>
              <w:ind w:left="40"/>
              <w:spacing w:after="0"/>
              <w:rPr>
                <w:sz w:val="20"/>
                <w:szCs w:val="20"/>
                <w:color w:val="auto"/>
              </w:rPr>
            </w:pPr>
            <w:r>
              <w:rPr>
                <w:rFonts w:ascii="Arial" w:cs="Arial" w:eastAsia="Arial" w:hAnsi="Arial"/>
                <w:sz w:val="18"/>
                <w:szCs w:val="18"/>
                <w:color w:val="auto"/>
              </w:rPr>
              <w:t>Short-term and variable lease expense</w:t>
            </w: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172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70"/>
        </w:trPr>
        <w:tc>
          <w:tcPr>
            <w:tcW w:w="6740" w:type="dxa"/>
            <w:vAlign w:val="bottom"/>
          </w:tcPr>
          <w:p>
            <w:pPr>
              <w:ind w:left="40"/>
              <w:spacing w:after="0"/>
              <w:rPr>
                <w:sz w:val="20"/>
                <w:szCs w:val="20"/>
                <w:color w:val="auto"/>
              </w:rPr>
            </w:pPr>
            <w:r>
              <w:rPr>
                <w:rFonts w:ascii="Arial" w:cs="Arial" w:eastAsia="Arial" w:hAnsi="Arial"/>
                <w:sz w:val="18"/>
                <w:szCs w:val="18"/>
                <w:color w:val="auto"/>
              </w:rPr>
              <w:t>Sublease income</w:t>
            </w: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13,697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27,336</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color w:val="auto"/>
              </w:rPr>
              <w:t>Scheduled payments of lease liabilities are as follows:</w:t>
            </w: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67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3"/>
              </w:rPr>
              <w:t>Operating Leases</w:t>
            </w:r>
          </w:p>
        </w:tc>
        <w:tc>
          <w:tcPr>
            <w:tcW w:w="8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0"/>
              </w:rPr>
              <w:t>Finance</w:t>
            </w:r>
          </w:p>
        </w:tc>
        <w:tc>
          <w:tcPr>
            <w:tcW w:w="300" w:type="dxa"/>
            <w:vAlign w:val="bottom"/>
          </w:tcPr>
          <w:p>
            <w:pPr>
              <w:spacing w:after="0"/>
              <w:rPr>
                <w:sz w:val="24"/>
                <w:szCs w:val="24"/>
                <w:color w:val="auto"/>
              </w:rPr>
            </w:pPr>
          </w:p>
        </w:tc>
        <w:tc>
          <w:tcPr>
            <w:tcW w:w="1180" w:type="dxa"/>
            <w:vAlign w:val="bottom"/>
            <w:vMerge w:val="restart"/>
          </w:tcPr>
          <w:p>
            <w:pPr>
              <w:jc w:val="center"/>
              <w:ind w:right="215"/>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92"/>
        </w:trPr>
        <w:tc>
          <w:tcPr>
            <w:tcW w:w="67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4"/>
              </w:rPr>
              <w:t>Leases</w:t>
            </w:r>
          </w:p>
        </w:tc>
        <w:tc>
          <w:tcPr>
            <w:tcW w:w="100" w:type="dxa"/>
            <w:vAlign w:val="bottom"/>
            <w:gridSpan w:val="2"/>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Remaining 2019</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25,598</w:t>
            </w:r>
          </w:p>
        </w:tc>
        <w:tc>
          <w:tcPr>
            <w:tcW w:w="8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188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25,786</w:t>
            </w:r>
          </w:p>
        </w:tc>
        <w:tc>
          <w:tcPr>
            <w:tcW w:w="0" w:type="dxa"/>
            <w:vAlign w:val="bottom"/>
          </w:tcPr>
          <w:p>
            <w:pPr>
              <w:spacing w:after="0"/>
              <w:rPr>
                <w:sz w:val="1"/>
                <w:szCs w:val="1"/>
                <w:color w:val="auto"/>
              </w:rPr>
            </w:pPr>
          </w:p>
        </w:tc>
      </w:tr>
      <w:tr>
        <w:trPr>
          <w:trHeight w:val="270"/>
        </w:trPr>
        <w:tc>
          <w:tcPr>
            <w:tcW w:w="6740" w:type="dxa"/>
            <w:vAlign w:val="bottom"/>
          </w:tcPr>
          <w:p>
            <w:pPr>
              <w:ind w:left="4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23"/>
                <w:szCs w:val="23"/>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45,910</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383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46,293</w:t>
            </w:r>
          </w:p>
        </w:tc>
        <w:tc>
          <w:tcPr>
            <w:tcW w:w="0" w:type="dxa"/>
            <w:vAlign w:val="bottom"/>
          </w:tcPr>
          <w:p>
            <w:pPr>
              <w:spacing w:after="0"/>
              <w:rPr>
                <w:sz w:val="1"/>
                <w:szCs w:val="1"/>
                <w:color w:val="auto"/>
              </w:rPr>
            </w:pPr>
          </w:p>
        </w:tc>
      </w:tr>
      <w:tr>
        <w:trPr>
          <w:trHeight w:val="270"/>
        </w:trPr>
        <w:tc>
          <w:tcPr>
            <w:tcW w:w="6740" w:type="dxa"/>
            <w:vAlign w:val="bottom"/>
          </w:tcPr>
          <w:p>
            <w:pPr>
              <w:ind w:left="40"/>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23"/>
                <w:szCs w:val="23"/>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37,570</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185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37,755</w:t>
            </w:r>
          </w:p>
        </w:tc>
        <w:tc>
          <w:tcPr>
            <w:tcW w:w="0" w:type="dxa"/>
            <w:vAlign w:val="bottom"/>
          </w:tcPr>
          <w:p>
            <w:pPr>
              <w:spacing w:after="0"/>
              <w:rPr>
                <w:sz w:val="1"/>
                <w:szCs w:val="1"/>
                <w:color w:val="auto"/>
              </w:rPr>
            </w:pPr>
          </w:p>
        </w:tc>
      </w:tr>
      <w:tr>
        <w:trPr>
          <w:trHeight w:val="270"/>
        </w:trPr>
        <w:tc>
          <w:tcPr>
            <w:tcW w:w="6740" w:type="dxa"/>
            <w:vAlign w:val="bottom"/>
          </w:tcPr>
          <w:p>
            <w:pPr>
              <w:ind w:left="40"/>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23"/>
                <w:szCs w:val="23"/>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30,788</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30,909</w:t>
            </w:r>
          </w:p>
        </w:tc>
        <w:tc>
          <w:tcPr>
            <w:tcW w:w="0" w:type="dxa"/>
            <w:vAlign w:val="bottom"/>
          </w:tcPr>
          <w:p>
            <w:pPr>
              <w:spacing w:after="0"/>
              <w:rPr>
                <w:sz w:val="1"/>
                <w:szCs w:val="1"/>
                <w:color w:val="auto"/>
              </w:rPr>
            </w:pPr>
          </w:p>
        </w:tc>
      </w:tr>
      <w:tr>
        <w:trPr>
          <w:trHeight w:val="270"/>
        </w:trPr>
        <w:tc>
          <w:tcPr>
            <w:tcW w:w="6740" w:type="dxa"/>
            <w:vAlign w:val="bottom"/>
          </w:tcPr>
          <w:p>
            <w:pPr>
              <w:ind w:left="40"/>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23"/>
                <w:szCs w:val="23"/>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26,252</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26,373</w:t>
            </w:r>
          </w:p>
        </w:tc>
        <w:tc>
          <w:tcPr>
            <w:tcW w:w="0" w:type="dxa"/>
            <w:vAlign w:val="bottom"/>
          </w:tcPr>
          <w:p>
            <w:pPr>
              <w:spacing w:after="0"/>
              <w:rPr>
                <w:sz w:val="1"/>
                <w:szCs w:val="1"/>
                <w:color w:val="auto"/>
              </w:rPr>
            </w:pPr>
          </w:p>
        </w:tc>
      </w:tr>
      <w:tr>
        <w:trPr>
          <w:trHeight w:val="270"/>
        </w:trPr>
        <w:tc>
          <w:tcPr>
            <w:tcW w:w="67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80" w:type="dxa"/>
            <w:vAlign w:val="bottom"/>
          </w:tcPr>
          <w:p>
            <w:pPr>
              <w:spacing w:after="0"/>
              <w:rPr>
                <w:sz w:val="23"/>
                <w:szCs w:val="23"/>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107,810</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349</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108,159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lease payments</w:t>
            </w:r>
          </w:p>
        </w:tc>
        <w:tc>
          <w:tcPr>
            <w:tcW w:w="180" w:type="dxa"/>
            <w:vAlign w:val="bottom"/>
          </w:tcPr>
          <w:p>
            <w:pPr>
              <w:spacing w:after="0"/>
              <w:rPr>
                <w:sz w:val="20"/>
                <w:szCs w:val="20"/>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273,928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1,347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275,275</w:t>
            </w:r>
          </w:p>
        </w:tc>
        <w:tc>
          <w:tcPr>
            <w:tcW w:w="0" w:type="dxa"/>
            <w:vAlign w:val="bottom"/>
          </w:tcPr>
          <w:p>
            <w:pPr>
              <w:spacing w:after="0"/>
              <w:rPr>
                <w:sz w:val="1"/>
                <w:szCs w:val="1"/>
                <w:color w:val="auto"/>
              </w:rPr>
            </w:pPr>
          </w:p>
        </w:tc>
      </w:tr>
      <w:tr>
        <w:trPr>
          <w:trHeight w:val="270"/>
        </w:trPr>
        <w:tc>
          <w:tcPr>
            <w:tcW w:w="6740" w:type="dxa"/>
            <w:vAlign w:val="bottom"/>
          </w:tcPr>
          <w:p>
            <w:pPr>
              <w:ind w:left="40"/>
              <w:spacing w:after="0"/>
              <w:rPr>
                <w:sz w:val="20"/>
                <w:szCs w:val="20"/>
                <w:color w:val="auto"/>
              </w:rPr>
            </w:pPr>
            <w:r>
              <w:rPr>
                <w:rFonts w:ascii="Arial" w:cs="Arial" w:eastAsia="Arial" w:hAnsi="Arial"/>
                <w:sz w:val="18"/>
                <w:szCs w:val="18"/>
                <w:color w:val="auto"/>
              </w:rPr>
              <w:t>Less: Present value discount</w:t>
            </w:r>
          </w:p>
        </w:tc>
        <w:tc>
          <w:tcPr>
            <w:tcW w:w="1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(29,311)</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(29,313)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Present value lease liabilities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244,617</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1,345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245,962</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10240" w:type="dxa"/>
            <w:vAlign w:val="bottom"/>
            <w:gridSpan w:val="10"/>
          </w:tcPr>
          <w:p>
            <w:pPr>
              <w:spacing w:after="0"/>
              <w:rPr>
                <w:sz w:val="20"/>
                <w:szCs w:val="20"/>
                <w:color w:val="auto"/>
              </w:rPr>
            </w:pPr>
            <w:r>
              <w:rPr>
                <w:rFonts w:ascii="Arial" w:cs="Arial" w:eastAsia="Arial" w:hAnsi="Arial"/>
                <w:sz w:val="18"/>
                <w:szCs w:val="18"/>
                <w:color w:val="auto"/>
                <w:w w:val="90"/>
              </w:rPr>
              <w:t>The following table summarizes the remaining lease term and discount rate assumptions used to develop the present value of lease liabilities:</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6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ind w:right="435"/>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276"/>
        </w:trPr>
        <w:tc>
          <w:tcPr>
            <w:tcW w:w="6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Weighted-average remaining lease term (years)</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740" w:type="dxa"/>
            <w:vAlign w:val="bottom"/>
          </w:tcPr>
          <w:p>
            <w:pPr>
              <w:ind w:left="260"/>
              <w:spacing w:after="0"/>
              <w:rPr>
                <w:sz w:val="20"/>
                <w:szCs w:val="20"/>
                <w:color w:val="auto"/>
              </w:rPr>
            </w:pPr>
            <w:r>
              <w:rPr>
                <w:rFonts w:ascii="Arial" w:cs="Arial" w:eastAsia="Arial" w:hAnsi="Arial"/>
                <w:sz w:val="18"/>
                <w:szCs w:val="18"/>
                <w:color w:val="auto"/>
              </w:rPr>
              <w:t>Operating leases</w:t>
            </w: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ind w:left="7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0"/>
        </w:trPr>
        <w:tc>
          <w:tcPr>
            <w:tcW w:w="6740" w:type="dxa"/>
            <w:vAlign w:val="bottom"/>
          </w:tcPr>
          <w:p>
            <w:pPr>
              <w:ind w:left="260"/>
              <w:spacing w:after="0"/>
              <w:rPr>
                <w:sz w:val="20"/>
                <w:szCs w:val="20"/>
                <w:color w:val="auto"/>
              </w:rPr>
            </w:pPr>
            <w:r>
              <w:rPr>
                <w:rFonts w:ascii="Arial" w:cs="Arial" w:eastAsia="Arial" w:hAnsi="Arial"/>
                <w:sz w:val="18"/>
                <w:szCs w:val="18"/>
                <w:color w:val="auto"/>
              </w:rPr>
              <w:t>Finance leases</w:t>
            </w: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ind w:left="7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0"/>
        </w:trPr>
        <w:tc>
          <w:tcPr>
            <w:tcW w:w="6740" w:type="dxa"/>
            <w:vAlign w:val="bottom"/>
          </w:tcPr>
          <w:p>
            <w:pPr>
              <w:ind w:left="40"/>
              <w:spacing w:after="0"/>
              <w:rPr>
                <w:sz w:val="20"/>
                <w:szCs w:val="20"/>
                <w:color w:val="auto"/>
              </w:rPr>
            </w:pPr>
            <w:r>
              <w:rPr>
                <w:rFonts w:ascii="Arial" w:cs="Arial" w:eastAsia="Arial" w:hAnsi="Arial"/>
                <w:sz w:val="18"/>
                <w:szCs w:val="18"/>
                <w:color w:val="auto"/>
              </w:rPr>
              <w:t>Weighted-average discount rate</w:t>
            </w: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740" w:type="dxa"/>
            <w:vAlign w:val="bottom"/>
          </w:tcPr>
          <w:p>
            <w:pPr>
              <w:ind w:left="260"/>
              <w:spacing w:after="0"/>
              <w:rPr>
                <w:sz w:val="20"/>
                <w:szCs w:val="20"/>
                <w:color w:val="auto"/>
              </w:rPr>
            </w:pPr>
            <w:r>
              <w:rPr>
                <w:rFonts w:ascii="Arial" w:cs="Arial" w:eastAsia="Arial" w:hAnsi="Arial"/>
                <w:sz w:val="18"/>
                <w:szCs w:val="18"/>
                <w:color w:val="auto"/>
              </w:rPr>
              <w:t>Operating leases</w:t>
            </w: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ind w:left="760"/>
              <w:spacing w:after="0"/>
              <w:rPr>
                <w:sz w:val="20"/>
                <w:szCs w:val="20"/>
                <w:color w:val="auto"/>
              </w:rPr>
            </w:pPr>
            <w:r>
              <w:rPr>
                <w:rFonts w:ascii="Arial" w:cs="Arial" w:eastAsia="Arial" w:hAnsi="Arial"/>
                <w:sz w:val="18"/>
                <w:szCs w:val="18"/>
                <w:color w:val="auto"/>
                <w:w w:val="97"/>
              </w:rPr>
              <w:t>3.0%</w:t>
            </w:r>
          </w:p>
        </w:tc>
        <w:tc>
          <w:tcPr>
            <w:tcW w:w="0" w:type="dxa"/>
            <w:vAlign w:val="bottom"/>
          </w:tcPr>
          <w:p>
            <w:pPr>
              <w:spacing w:after="0"/>
              <w:rPr>
                <w:sz w:val="1"/>
                <w:szCs w:val="1"/>
                <w:color w:val="auto"/>
              </w:rPr>
            </w:pPr>
          </w:p>
        </w:tc>
      </w:tr>
      <w:tr>
        <w:trPr>
          <w:trHeight w:val="270"/>
        </w:trPr>
        <w:tc>
          <w:tcPr>
            <w:tcW w:w="6740" w:type="dxa"/>
            <w:vAlign w:val="bottom"/>
          </w:tcPr>
          <w:p>
            <w:pPr>
              <w:ind w:left="260"/>
              <w:spacing w:after="0"/>
              <w:rPr>
                <w:sz w:val="20"/>
                <w:szCs w:val="20"/>
                <w:color w:val="auto"/>
              </w:rPr>
            </w:pPr>
            <w:r>
              <w:rPr>
                <w:rFonts w:ascii="Arial" w:cs="Arial" w:eastAsia="Arial" w:hAnsi="Arial"/>
                <w:sz w:val="18"/>
                <w:szCs w:val="18"/>
                <w:color w:val="auto"/>
              </w:rPr>
              <w:t>Finance leases</w:t>
            </w: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ind w:left="760"/>
              <w:spacing w:after="0"/>
              <w:rPr>
                <w:sz w:val="20"/>
                <w:szCs w:val="20"/>
                <w:color w:val="auto"/>
              </w:rPr>
            </w:pPr>
            <w:r>
              <w:rPr>
                <w:rFonts w:ascii="Arial" w:cs="Arial" w:eastAsia="Arial" w:hAnsi="Arial"/>
                <w:sz w:val="18"/>
                <w:szCs w:val="18"/>
                <w:color w:val="auto"/>
                <w:w w:val="97"/>
              </w:rPr>
              <w:t>1.2%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364" w:right="2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8. LONG-TERM DEBT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Long-term debt consisted of the following:</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vMerge w:val="restart"/>
          </w:tcPr>
          <w:p>
            <w:pPr>
              <w:spacing w:after="0"/>
              <w:rPr>
                <w:sz w:val="20"/>
                <w:szCs w:val="20"/>
                <w:color w:val="auto"/>
              </w:rPr>
            </w:pPr>
            <w:r>
              <w:rPr>
                <w:rFonts w:ascii="Arial" w:cs="Arial" w:eastAsia="Arial" w:hAnsi="Arial"/>
                <w:sz w:val="16"/>
                <w:szCs w:val="16"/>
                <w:b w:val="1"/>
                <w:bCs w:val="1"/>
                <w:i w:val="1"/>
                <w:iCs w:val="1"/>
                <w:color w:val="auto"/>
                <w:w w:val="84"/>
              </w:rPr>
              <w:t>In thousands</w:t>
            </w:r>
          </w:p>
        </w:tc>
        <w:tc>
          <w:tcPr>
            <w:tcW w:w="7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53"/>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60" w:type="dxa"/>
            <w:vAlign w:val="bottom"/>
            <w:tcBorders>
              <w:bottom w:val="single" w:sz="8" w:color="auto"/>
            </w:tcBorders>
            <w:vMerge w:val="continue"/>
          </w:tcPr>
          <w:p>
            <w:pPr>
              <w:spacing w:after="0"/>
              <w:rPr>
                <w:sz w:val="11"/>
                <w:szCs w:val="11"/>
                <w:color w:val="auto"/>
              </w:rPr>
            </w:pPr>
          </w:p>
        </w:tc>
        <w:tc>
          <w:tcPr>
            <w:tcW w:w="7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jc w:val="right"/>
              <w:ind w:right="513"/>
              <w:spacing w:after="0" w:line="12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jc w:val="right"/>
              <w:ind w:right="513"/>
              <w:spacing w:after="0" w:line="125"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48"/>
        </w:trPr>
        <w:tc>
          <w:tcPr>
            <w:tcW w:w="8300" w:type="dxa"/>
            <w:vAlign w:val="bottom"/>
            <w:gridSpan w:val="3"/>
            <w:vMerge w:val="restart"/>
          </w:tcPr>
          <w:p>
            <w:pPr>
              <w:spacing w:after="0"/>
              <w:rPr>
                <w:sz w:val="20"/>
                <w:szCs w:val="20"/>
                <w:color w:val="auto"/>
              </w:rPr>
            </w:pPr>
            <w:r>
              <w:rPr>
                <w:rFonts w:ascii="Arial" w:cs="Arial" w:eastAsia="Arial" w:hAnsi="Arial"/>
                <w:sz w:val="18"/>
                <w:szCs w:val="18"/>
                <w:color w:val="auto"/>
              </w:rPr>
              <w:t>Floating Senior Notes, due 2021, net of unamortized debt</w:t>
            </w:r>
          </w:p>
        </w:tc>
        <w:tc>
          <w:tcPr>
            <w:tcW w:w="3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8300" w:type="dxa"/>
            <w:vAlign w:val="bottom"/>
            <w:gridSpan w:val="3"/>
            <w:vMerge w:val="continue"/>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00" w:type="dxa"/>
            <w:vAlign w:val="bottom"/>
            <w:gridSpan w:val="3"/>
          </w:tcPr>
          <w:p>
            <w:pPr>
              <w:spacing w:after="0"/>
              <w:rPr>
                <w:sz w:val="20"/>
                <w:szCs w:val="20"/>
                <w:color w:val="auto"/>
              </w:rPr>
            </w:pPr>
            <w:r>
              <w:rPr>
                <w:rFonts w:ascii="Arial" w:cs="Arial" w:eastAsia="Arial" w:hAnsi="Arial"/>
                <w:sz w:val="18"/>
                <w:szCs w:val="18"/>
                <w:color w:val="auto"/>
              </w:rPr>
              <w:t>issuance costs of $2,604 and $3,204</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497,396</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496,796</w:t>
            </w:r>
          </w:p>
        </w:tc>
        <w:tc>
          <w:tcPr>
            <w:tcW w:w="0" w:type="dxa"/>
            <w:vAlign w:val="bottom"/>
          </w:tcPr>
          <w:p>
            <w:pPr>
              <w:spacing w:after="0"/>
              <w:rPr>
                <w:sz w:val="1"/>
                <w:szCs w:val="1"/>
                <w:color w:val="auto"/>
              </w:rPr>
            </w:pPr>
          </w:p>
        </w:tc>
      </w:tr>
      <w:tr>
        <w:trPr>
          <w:trHeight w:val="256"/>
        </w:trPr>
        <w:tc>
          <w:tcPr>
            <w:tcW w:w="8300" w:type="dxa"/>
            <w:vAlign w:val="bottom"/>
            <w:gridSpan w:val="3"/>
          </w:tcPr>
          <w:p>
            <w:pPr>
              <w:spacing w:after="0"/>
              <w:rPr>
                <w:sz w:val="20"/>
                <w:szCs w:val="20"/>
                <w:color w:val="auto"/>
              </w:rPr>
            </w:pPr>
            <w:r>
              <w:rPr>
                <w:rFonts w:ascii="Arial" w:cs="Arial" w:eastAsia="Arial" w:hAnsi="Arial"/>
                <w:sz w:val="18"/>
                <w:szCs w:val="18"/>
                <w:color w:val="auto"/>
              </w:rPr>
              <w:t>4.15% Senior Notes, due 2024, net of unamortized debt</w:t>
            </w: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300" w:type="dxa"/>
            <w:vAlign w:val="bottom"/>
            <w:gridSpan w:val="3"/>
          </w:tcPr>
          <w:p>
            <w:pPr>
              <w:spacing w:after="0"/>
              <w:rPr>
                <w:sz w:val="20"/>
                <w:szCs w:val="20"/>
                <w:color w:val="auto"/>
              </w:rPr>
            </w:pPr>
            <w:r>
              <w:rPr>
                <w:rFonts w:ascii="Arial" w:cs="Arial" w:eastAsia="Arial" w:hAnsi="Arial"/>
                <w:sz w:val="18"/>
                <w:szCs w:val="18"/>
                <w:color w:val="auto"/>
              </w:rPr>
              <w:t>issuance costs of $6,362 and $7,043</w:t>
            </w:r>
          </w:p>
        </w:tc>
        <w:tc>
          <w:tcPr>
            <w:tcW w:w="30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743,638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742,957</w:t>
            </w:r>
          </w:p>
        </w:tc>
        <w:tc>
          <w:tcPr>
            <w:tcW w:w="0" w:type="dxa"/>
            <w:vAlign w:val="bottom"/>
          </w:tcPr>
          <w:p>
            <w:pPr>
              <w:spacing w:after="0"/>
              <w:rPr>
                <w:sz w:val="1"/>
                <w:szCs w:val="1"/>
                <w:color w:val="auto"/>
              </w:rPr>
            </w:pPr>
          </w:p>
        </w:tc>
      </w:tr>
      <w:tr>
        <w:trPr>
          <w:trHeight w:val="256"/>
        </w:trPr>
        <w:tc>
          <w:tcPr>
            <w:tcW w:w="8300" w:type="dxa"/>
            <w:vAlign w:val="bottom"/>
            <w:gridSpan w:val="3"/>
          </w:tcPr>
          <w:p>
            <w:pPr>
              <w:spacing w:after="0"/>
              <w:rPr>
                <w:sz w:val="20"/>
                <w:szCs w:val="20"/>
                <w:color w:val="auto"/>
              </w:rPr>
            </w:pPr>
            <w:r>
              <w:rPr>
                <w:rFonts w:ascii="Arial" w:cs="Arial" w:eastAsia="Arial" w:hAnsi="Arial"/>
                <w:sz w:val="18"/>
                <w:szCs w:val="18"/>
                <w:color w:val="auto"/>
              </w:rPr>
              <w:t>4.70% Senior Notes, due 2028, net of unamortized debt</w:t>
            </w: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300" w:type="dxa"/>
            <w:vAlign w:val="bottom"/>
            <w:gridSpan w:val="3"/>
          </w:tcPr>
          <w:p>
            <w:pPr>
              <w:spacing w:after="0"/>
              <w:rPr>
                <w:sz w:val="20"/>
                <w:szCs w:val="20"/>
                <w:color w:val="auto"/>
              </w:rPr>
            </w:pPr>
            <w:r>
              <w:rPr>
                <w:rFonts w:ascii="Arial" w:cs="Arial" w:eastAsia="Arial" w:hAnsi="Arial"/>
                <w:sz w:val="18"/>
                <w:szCs w:val="18"/>
                <w:color w:val="auto"/>
              </w:rPr>
              <w:t>issuance costs of $9,809 and $10,343</w:t>
            </w:r>
          </w:p>
        </w:tc>
        <w:tc>
          <w:tcPr>
            <w:tcW w:w="30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1,240,191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1,239,657</w:t>
            </w:r>
          </w:p>
        </w:tc>
        <w:tc>
          <w:tcPr>
            <w:tcW w:w="0" w:type="dxa"/>
            <w:vAlign w:val="bottom"/>
          </w:tcPr>
          <w:p>
            <w:pPr>
              <w:spacing w:after="0"/>
              <w:rPr>
                <w:sz w:val="1"/>
                <w:szCs w:val="1"/>
                <w:color w:val="auto"/>
              </w:rPr>
            </w:pPr>
          </w:p>
        </w:tc>
      </w:tr>
      <w:tr>
        <w:trPr>
          <w:trHeight w:val="256"/>
        </w:trPr>
        <w:tc>
          <w:tcPr>
            <w:tcW w:w="8300" w:type="dxa"/>
            <w:vAlign w:val="bottom"/>
            <w:gridSpan w:val="3"/>
          </w:tcPr>
          <w:p>
            <w:pPr>
              <w:spacing w:after="0"/>
              <w:rPr>
                <w:sz w:val="20"/>
                <w:szCs w:val="20"/>
                <w:color w:val="auto"/>
              </w:rPr>
            </w:pPr>
            <w:r>
              <w:rPr>
                <w:rFonts w:ascii="Arial" w:cs="Arial" w:eastAsia="Arial" w:hAnsi="Arial"/>
                <w:sz w:val="18"/>
                <w:szCs w:val="18"/>
                <w:color w:val="auto"/>
              </w:rPr>
              <w:t>3.45% Senior Notes, due 2026, net of unamortized debt</w:t>
            </w: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300" w:type="dxa"/>
            <w:vAlign w:val="bottom"/>
            <w:gridSpan w:val="3"/>
          </w:tcPr>
          <w:p>
            <w:pPr>
              <w:spacing w:after="0"/>
              <w:rPr>
                <w:sz w:val="20"/>
                <w:szCs w:val="20"/>
                <w:color w:val="auto"/>
              </w:rPr>
            </w:pPr>
            <w:r>
              <w:rPr>
                <w:rFonts w:ascii="Arial" w:cs="Arial" w:eastAsia="Arial" w:hAnsi="Arial"/>
                <w:sz w:val="18"/>
                <w:szCs w:val="18"/>
                <w:color w:val="auto"/>
              </w:rPr>
              <w:t>issuance costs of $1,604 and $1,718</w:t>
            </w:r>
          </w:p>
        </w:tc>
        <w:tc>
          <w:tcPr>
            <w:tcW w:w="30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748,396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748,282</w:t>
            </w:r>
          </w:p>
        </w:tc>
        <w:tc>
          <w:tcPr>
            <w:tcW w:w="0" w:type="dxa"/>
            <w:vAlign w:val="bottom"/>
          </w:tcPr>
          <w:p>
            <w:pPr>
              <w:spacing w:after="0"/>
              <w:rPr>
                <w:sz w:val="1"/>
                <w:szCs w:val="1"/>
                <w:color w:val="auto"/>
              </w:rPr>
            </w:pPr>
          </w:p>
        </w:tc>
      </w:tr>
      <w:tr>
        <w:trPr>
          <w:trHeight w:val="256"/>
        </w:trPr>
        <w:tc>
          <w:tcPr>
            <w:tcW w:w="8300" w:type="dxa"/>
            <w:vAlign w:val="bottom"/>
            <w:gridSpan w:val="3"/>
          </w:tcPr>
          <w:p>
            <w:pPr>
              <w:spacing w:after="0"/>
              <w:rPr>
                <w:sz w:val="20"/>
                <w:szCs w:val="20"/>
                <w:color w:val="auto"/>
              </w:rPr>
            </w:pPr>
            <w:r>
              <w:rPr>
                <w:rFonts w:ascii="Arial" w:cs="Arial" w:eastAsia="Arial" w:hAnsi="Arial"/>
                <w:sz w:val="18"/>
                <w:szCs w:val="18"/>
                <w:color w:val="auto"/>
              </w:rPr>
              <w:t>4.375% Senior Notes, due 2023, net of unamortized</w:t>
            </w: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300" w:type="dxa"/>
            <w:vAlign w:val="bottom"/>
            <w:gridSpan w:val="3"/>
          </w:tcPr>
          <w:p>
            <w:pPr>
              <w:spacing w:after="0"/>
              <w:rPr>
                <w:sz w:val="20"/>
                <w:szCs w:val="20"/>
                <w:color w:val="auto"/>
              </w:rPr>
            </w:pPr>
            <w:r>
              <w:rPr>
                <w:rFonts w:ascii="Arial" w:cs="Arial" w:eastAsia="Arial" w:hAnsi="Arial"/>
                <w:sz w:val="18"/>
                <w:szCs w:val="18"/>
                <w:color w:val="auto"/>
              </w:rPr>
              <w:t>discount and debt issuance costs of $1,048 and $1,177</w:t>
            </w:r>
          </w:p>
        </w:tc>
        <w:tc>
          <w:tcPr>
            <w:tcW w:w="30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248,952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248,823</w:t>
            </w:r>
          </w:p>
        </w:tc>
        <w:tc>
          <w:tcPr>
            <w:tcW w:w="0" w:type="dxa"/>
            <w:vAlign w:val="bottom"/>
          </w:tcPr>
          <w:p>
            <w:pPr>
              <w:spacing w:after="0"/>
              <w:rPr>
                <w:sz w:val="1"/>
                <w:szCs w:val="1"/>
                <w:color w:val="auto"/>
              </w:rPr>
            </w:pPr>
          </w:p>
        </w:tc>
      </w:tr>
      <w:tr>
        <w:trPr>
          <w:trHeight w:val="256"/>
        </w:trPr>
        <w:tc>
          <w:tcPr>
            <w:tcW w:w="8300" w:type="dxa"/>
            <w:vAlign w:val="bottom"/>
            <w:gridSpan w:val="3"/>
          </w:tcPr>
          <w:p>
            <w:pPr>
              <w:spacing w:after="0"/>
              <w:rPr>
                <w:sz w:val="20"/>
                <w:szCs w:val="20"/>
                <w:color w:val="auto"/>
              </w:rPr>
            </w:pPr>
            <w:r>
              <w:rPr>
                <w:rFonts w:ascii="Arial" w:cs="Arial" w:eastAsia="Arial" w:hAnsi="Arial"/>
                <w:sz w:val="18"/>
                <w:szCs w:val="18"/>
                <w:color w:val="auto"/>
              </w:rPr>
              <w:t>Revolving Credit Facility, net of unamortized</w:t>
            </w: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300" w:type="dxa"/>
            <w:vAlign w:val="bottom"/>
            <w:gridSpan w:val="3"/>
          </w:tcPr>
          <w:p>
            <w:pPr>
              <w:spacing w:after="0"/>
              <w:rPr>
                <w:sz w:val="20"/>
                <w:szCs w:val="20"/>
                <w:color w:val="auto"/>
              </w:rPr>
            </w:pPr>
            <w:r>
              <w:rPr>
                <w:rFonts w:ascii="Arial" w:cs="Arial" w:eastAsia="Arial" w:hAnsi="Arial"/>
                <w:sz w:val="18"/>
                <w:szCs w:val="18"/>
                <w:color w:val="auto"/>
              </w:rPr>
              <w:t>debt issuance costs of $2,592 and $3,138</w:t>
            </w:r>
          </w:p>
        </w:tc>
        <w:tc>
          <w:tcPr>
            <w:tcW w:w="30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1,113,269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338,112</w:t>
            </w:r>
          </w:p>
        </w:tc>
        <w:tc>
          <w:tcPr>
            <w:tcW w:w="0" w:type="dxa"/>
            <w:vAlign w:val="bottom"/>
          </w:tcPr>
          <w:p>
            <w:pPr>
              <w:spacing w:after="0"/>
              <w:rPr>
                <w:sz w:val="1"/>
                <w:szCs w:val="1"/>
                <w:color w:val="auto"/>
              </w:rPr>
            </w:pPr>
          </w:p>
        </w:tc>
      </w:tr>
      <w:tr>
        <w:trPr>
          <w:trHeight w:val="270"/>
        </w:trPr>
        <w:tc>
          <w:tcPr>
            <w:tcW w:w="8300" w:type="dxa"/>
            <w:vAlign w:val="bottom"/>
            <w:gridSpan w:val="3"/>
          </w:tcPr>
          <w:p>
            <w:pPr>
              <w:spacing w:after="0"/>
              <w:rPr>
                <w:sz w:val="20"/>
                <w:szCs w:val="20"/>
                <w:color w:val="auto"/>
              </w:rPr>
            </w:pPr>
            <w:r>
              <w:rPr>
                <w:rFonts w:ascii="Arial" w:cs="Arial" w:eastAsia="Arial" w:hAnsi="Arial"/>
                <w:sz w:val="18"/>
                <w:szCs w:val="18"/>
                <w:color w:val="auto"/>
              </w:rPr>
              <w:t>Other Borrowings</w:t>
            </w:r>
          </w:p>
        </w:tc>
        <w:tc>
          <w:tcPr>
            <w:tcW w:w="300" w:type="dxa"/>
            <w:vAlign w:val="bottom"/>
          </w:tcPr>
          <w:p>
            <w:pPr>
              <w:spacing w:after="0"/>
              <w:rPr>
                <w:sz w:val="23"/>
                <w:szCs w:val="23"/>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41,339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42,246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7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28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4,633,181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3,856,873</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280" w:type="dxa"/>
            <w:vAlign w:val="bottom"/>
            <w:gridSpan w:val="2"/>
          </w:tcPr>
          <w:p>
            <w:pPr>
              <w:ind w:left="440"/>
              <w:spacing w:after="0"/>
              <w:rPr>
                <w:sz w:val="20"/>
                <w:szCs w:val="20"/>
                <w:color w:val="auto"/>
              </w:rPr>
            </w:pPr>
            <w:r>
              <w:rPr>
                <w:rFonts w:ascii="Arial" w:cs="Arial" w:eastAsia="Arial" w:hAnsi="Arial"/>
                <w:sz w:val="18"/>
                <w:szCs w:val="18"/>
                <w:color w:val="auto"/>
              </w:rPr>
              <w:t>Less: current portion</w:t>
            </w:r>
          </w:p>
        </w:tc>
        <w:tc>
          <w:tcPr>
            <w:tcW w:w="300" w:type="dxa"/>
            <w:vAlign w:val="bottom"/>
          </w:tcPr>
          <w:p>
            <w:pPr>
              <w:spacing w:after="0"/>
              <w:rPr>
                <w:sz w:val="23"/>
                <w:szCs w:val="23"/>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104,413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64,099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7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280" w:type="dxa"/>
            <w:vAlign w:val="bottom"/>
            <w:gridSpan w:val="2"/>
          </w:tcPr>
          <w:p>
            <w:pPr>
              <w:ind w:left="440"/>
              <w:spacing w:after="0"/>
              <w:rPr>
                <w:sz w:val="20"/>
                <w:szCs w:val="20"/>
                <w:color w:val="auto"/>
              </w:rPr>
            </w:pPr>
            <w:r>
              <w:rPr>
                <w:rFonts w:ascii="Arial" w:cs="Arial" w:eastAsia="Arial" w:hAnsi="Arial"/>
                <w:sz w:val="18"/>
                <w:szCs w:val="18"/>
                <w:color w:val="auto"/>
              </w:rPr>
              <w:t>Long-term portion</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4,528,768</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3,792,774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On September 14, 2018, the Company issued $2.5 billion of senior notes with three different maturities.</w:t>
      </w:r>
    </w:p>
    <w:p>
      <w:pPr>
        <w:spacing w:after="0" w:line="158" w:lineRule="exact"/>
        <w:rPr>
          <w:sz w:val="20"/>
          <w:szCs w:val="20"/>
          <w:color w:val="auto"/>
        </w:rPr>
      </w:pPr>
    </w:p>
    <w:p>
      <w:pPr>
        <w:ind w:left="660" w:right="20" w:hanging="328"/>
        <w:spacing w:after="0" w:line="297" w:lineRule="auto"/>
        <w:tabs>
          <w:tab w:leader="none" w:pos="66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u w:val="single" w:color="auto"/>
          <w:color w:val="auto"/>
        </w:rPr>
        <w:t>Floating Rate Senior Notes due 2021</w:t>
      </w:r>
      <w:r>
        <w:rPr>
          <w:rFonts w:ascii="Arial" w:cs="Arial" w:eastAsia="Arial" w:hAnsi="Arial"/>
          <w:sz w:val="16"/>
          <w:szCs w:val="16"/>
          <w:i w:val="1"/>
          <w:iCs w:val="1"/>
          <w:color w:val="auto"/>
        </w:rPr>
        <w:t xml:space="preserve"> - </w:t>
      </w:r>
      <w:r>
        <w:rPr>
          <w:rFonts w:ascii="Arial" w:cs="Arial" w:eastAsia="Arial" w:hAnsi="Arial"/>
          <w:sz w:val="16"/>
          <w:szCs w:val="16"/>
          <w:color w:val="auto"/>
        </w:rPr>
        <w:t>The Company issued $500.0 million of Floating Rate Senior Notes due 2021 (the "Floating Rate Notes"). The</w:t>
      </w:r>
      <w:r>
        <w:rPr>
          <w:rFonts w:ascii="Arial" w:cs="Arial" w:eastAsia="Arial" w:hAnsi="Arial"/>
          <w:sz w:val="16"/>
          <w:szCs w:val="16"/>
          <w:i w:val="1"/>
          <w:iCs w:val="1"/>
          <w:color w:val="auto"/>
        </w:rPr>
        <w:t xml:space="preserve"> </w:t>
      </w:r>
      <w:r>
        <w:rPr>
          <w:rFonts w:ascii="Arial" w:cs="Arial" w:eastAsia="Arial" w:hAnsi="Arial"/>
          <w:sz w:val="16"/>
          <w:szCs w:val="16"/>
          <w:color w:val="auto"/>
        </w:rPr>
        <w:t>Floating Rate Notes, which are non-callable for one year, were issued at 100% of face value. Interest on the Floating Rate Notes accrues at a floating rate per annum equal to three-month Libor plus 105 basis points. The interest rate for the Floating Rate Notes for the initial interest period was the three-month Libor plus 105 basis points determined on September 12, 2018 and is payable quarterly on December 15, March 15, June 15, and September 15 of each year. The Company incurred $3.5 million of deferred financing costs related to the issuance of the Floating Rate Notes.</w:t>
      </w:r>
    </w:p>
    <w:p>
      <w:pPr>
        <w:spacing w:after="0" w:line="50" w:lineRule="exact"/>
        <w:rPr>
          <w:rFonts w:ascii="Arial" w:cs="Arial" w:eastAsia="Arial" w:hAnsi="Arial"/>
          <w:sz w:val="16"/>
          <w:szCs w:val="16"/>
          <w:i w:val="1"/>
          <w:iCs w:val="1"/>
          <w:color w:val="auto"/>
        </w:rPr>
      </w:pPr>
    </w:p>
    <w:p>
      <w:pPr>
        <w:jc w:val="both"/>
        <w:ind w:left="660" w:right="360" w:hanging="328"/>
        <w:spacing w:after="0" w:line="312" w:lineRule="auto"/>
        <w:tabs>
          <w:tab w:leader="none" w:pos="66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u w:val="single" w:color="auto"/>
          <w:color w:val="auto"/>
        </w:rPr>
        <w:t>4.15% Senior Notes due 2024</w:t>
      </w:r>
      <w:r>
        <w:rPr>
          <w:rFonts w:ascii="Arial" w:cs="Arial" w:eastAsia="Arial" w:hAnsi="Arial"/>
          <w:sz w:val="16"/>
          <w:szCs w:val="16"/>
          <w:i w:val="1"/>
          <w:iCs w:val="1"/>
          <w:color w:val="auto"/>
        </w:rPr>
        <w:t xml:space="preserve"> - </w:t>
      </w:r>
      <w:r>
        <w:rPr>
          <w:rFonts w:ascii="Arial" w:cs="Arial" w:eastAsia="Arial" w:hAnsi="Arial"/>
          <w:sz w:val="16"/>
          <w:szCs w:val="16"/>
          <w:color w:val="auto"/>
        </w:rPr>
        <w:t>The Company issued $750.0 million of 4.15% Senior Notes due 2024 (the "2024 Notes"). The 2024 Notes were</w:t>
      </w:r>
      <w:r>
        <w:rPr>
          <w:rFonts w:ascii="Arial" w:cs="Arial" w:eastAsia="Arial" w:hAnsi="Arial"/>
          <w:sz w:val="16"/>
          <w:szCs w:val="16"/>
          <w:i w:val="1"/>
          <w:iCs w:val="1"/>
          <w:color w:val="auto"/>
        </w:rPr>
        <w:t xml:space="preserve"> </w:t>
      </w:r>
      <w:r>
        <w:rPr>
          <w:rFonts w:ascii="Arial" w:cs="Arial" w:eastAsia="Arial" w:hAnsi="Arial"/>
          <w:sz w:val="16"/>
          <w:szCs w:val="16"/>
          <w:color w:val="auto"/>
        </w:rPr>
        <w:t>issued at 99.805% of face value. Interest on the 2024 Notes accrues at a rate of 4.15% per annum and is payable semi-annually on March 15 and September 15 of each year. The Company incurred $7.4 million of deferred financing costs related to the issuance of the 2024 Notes.</w:t>
      </w:r>
    </w:p>
    <w:p>
      <w:pPr>
        <w:spacing w:after="0" w:line="38" w:lineRule="exact"/>
        <w:rPr>
          <w:rFonts w:ascii="Arial" w:cs="Arial" w:eastAsia="Arial" w:hAnsi="Arial"/>
          <w:sz w:val="16"/>
          <w:szCs w:val="16"/>
          <w:i w:val="1"/>
          <w:iCs w:val="1"/>
          <w:color w:val="auto"/>
        </w:rPr>
      </w:pPr>
    </w:p>
    <w:p>
      <w:pPr>
        <w:ind w:left="660" w:right="100" w:hanging="328"/>
        <w:spacing w:after="0" w:line="259" w:lineRule="auto"/>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4.70% Senior Notes Due 2028</w:t>
      </w:r>
      <w:r>
        <w:rPr>
          <w:rFonts w:ascii="Arial" w:cs="Arial" w:eastAsia="Arial" w:hAnsi="Arial"/>
          <w:sz w:val="18"/>
          <w:szCs w:val="18"/>
          <w:i w:val="1"/>
          <w:iCs w:val="1"/>
          <w:color w:val="auto"/>
        </w:rPr>
        <w:t xml:space="preserve"> - </w:t>
      </w:r>
      <w:r>
        <w:rPr>
          <w:rFonts w:ascii="Arial" w:cs="Arial" w:eastAsia="Arial" w:hAnsi="Arial"/>
          <w:sz w:val="18"/>
          <w:szCs w:val="18"/>
          <w:color w:val="auto"/>
        </w:rPr>
        <w:t>The Company issued $1,250.0 million of 4.70% Senior Notes due 2028 (the "2028 Notes" and together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Floating Rate Notes and 2024 Notes, the "Senior Notes"). The 2028 Notes were issued at 99.889% of face value. Interest on the 2028 Notes accrues at a rate of 4.70% per annum and is payable semi-annually on March 15 and September 15 of each year. The Company incurred $10.6 million of deferred financing costs related to the issuance of the 2028 Notes.</w:t>
      </w:r>
    </w:p>
    <w:p>
      <w:pPr>
        <w:spacing w:after="0" w:line="79" w:lineRule="exact"/>
        <w:rPr>
          <w:sz w:val="20"/>
          <w:szCs w:val="20"/>
          <w:color w:val="auto"/>
        </w:rPr>
      </w:pPr>
    </w:p>
    <w:p>
      <w:pPr>
        <w:ind w:right="240" w:firstLine="486"/>
        <w:spacing w:after="0" w:line="276" w:lineRule="auto"/>
        <w:rPr>
          <w:sz w:val="20"/>
          <w:szCs w:val="20"/>
          <w:color w:val="auto"/>
        </w:rPr>
      </w:pPr>
      <w:r>
        <w:rPr>
          <w:rFonts w:ascii="Arial" w:cs="Arial" w:eastAsia="Arial" w:hAnsi="Arial"/>
          <w:sz w:val="17"/>
          <w:szCs w:val="17"/>
          <w:color w:val="auto"/>
        </w:rPr>
        <w:t>The net proceeds from the issuance and sale of the Senior Notes were used to finance the cash portion of the GE Transportation acquisition. The principal balances are due in full at maturity. The Senior Notes are senior unsecured obligations of the Company and rank pari passu with all existing and future senior debt and senior to all existing and future subordinated indebtedness of the Company. The indenture under which the Senior Notes were issued contains covenants and restrictions which limit among other things, the following: the incurrence of indebtedness, payment of dividends and certain distributions, sales of assets, change in control, mergers and consolidations and the incurrence of liens.</w:t>
      </w:r>
    </w:p>
    <w:p>
      <w:pPr>
        <w:spacing w:after="0" w:line="64" w:lineRule="exact"/>
        <w:rPr>
          <w:sz w:val="20"/>
          <w:szCs w:val="20"/>
          <w:color w:val="auto"/>
        </w:rPr>
      </w:pPr>
    </w:p>
    <w:p>
      <w:pPr>
        <w:ind w:right="120" w:firstLine="486"/>
        <w:spacing w:after="0" w:line="342" w:lineRule="auto"/>
        <w:rPr>
          <w:sz w:val="20"/>
          <w:szCs w:val="20"/>
          <w:color w:val="auto"/>
        </w:rPr>
      </w:pPr>
      <w:r>
        <w:rPr>
          <w:rFonts w:ascii="Arial" w:cs="Arial" w:eastAsia="Arial" w:hAnsi="Arial"/>
          <w:sz w:val="16"/>
          <w:szCs w:val="16"/>
          <w:color w:val="auto"/>
        </w:rPr>
        <w:t>On February 12, 2019, the rating assigned by Moody's was decreased to Ba1. Accordingly, pursuant to the respective terms of the Senior Notes issued on September 14, 2018, the interest rate increased by 0.25%. The interest rate increase took effect during the interest period following February 12, 2019.</w:t>
      </w:r>
    </w:p>
    <w:p>
      <w:pPr>
        <w:spacing w:after="0" w:line="16"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The Company is in compliance with the restrictions and covenants in the indenture under which the Senior Notes were issued and expects that these restrictions and covenants will not be any type of limiting factor in executing our operating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6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3.45% Senior Notes Due November 2026</w:t>
      </w:r>
    </w:p>
    <w:p>
      <w:pPr>
        <w:spacing w:after="0" w:line="117"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On November 3, 2016, the Company issued $750.0 million of 3.45% Senior Notes due in 2026 (the "2016 Notes"). The 2016 Notes were issued at 99.965% of face value. Interest on the 2016 Notes accrues at a rate of 3.45% per annum and is payable semi-annually on May 15 and November 15 of each year. The proceeds were used to finance the cash portion of the Faiveley Transport acquisition, refinance Faiveley Transport's indebtedness, and for general corporate purposes. The principal balance is due in full at maturity. The Company incurred $2.7 million of deferred financing costs related to the issuance of the 2016 Notes.</w:t>
      </w:r>
    </w:p>
    <w:p>
      <w:pPr>
        <w:spacing w:after="0" w:line="80"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The 2016 Notes are senior unsecured obligations of the Company and rank pari passu with all existing and future senior debt and senior to all existing and future subordinated indebtedness of the Company. The indenture under which the 2016 Notes were issued contains covenants and restrictions which limit among other things, the following: the incurrence of indebtedness, payment of dividends and certain distributions, sale of assets, change in control, mergers and consolidations and the incurrence of liens.</w:t>
      </w:r>
    </w:p>
    <w:p>
      <w:pPr>
        <w:spacing w:after="0" w:line="79" w:lineRule="exact"/>
        <w:rPr>
          <w:sz w:val="20"/>
          <w:szCs w:val="20"/>
          <w:color w:val="auto"/>
        </w:rPr>
      </w:pPr>
    </w:p>
    <w:p>
      <w:pPr>
        <w:ind w:right="340" w:firstLine="500"/>
        <w:spacing w:after="0" w:line="277" w:lineRule="auto"/>
        <w:rPr>
          <w:sz w:val="20"/>
          <w:szCs w:val="20"/>
          <w:color w:val="auto"/>
        </w:rPr>
      </w:pPr>
      <w:r>
        <w:rPr>
          <w:rFonts w:ascii="Arial" w:cs="Arial" w:eastAsia="Arial" w:hAnsi="Arial"/>
          <w:sz w:val="18"/>
          <w:szCs w:val="18"/>
          <w:color w:val="auto"/>
        </w:rPr>
        <w:t>The Company is in compliance with the restrictions and covenants in the indenture under which the 2016 Notes were issued and expects that these restrictions and covenants will not be any type of limiting factor in executing its operating activities.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4.375% Senior Notes Due August 2023</w:t>
      </w:r>
    </w:p>
    <w:p>
      <w:pPr>
        <w:spacing w:after="0" w:line="117" w:lineRule="exact"/>
        <w:rPr>
          <w:sz w:val="20"/>
          <w:szCs w:val="20"/>
          <w:color w:val="auto"/>
        </w:rPr>
      </w:pPr>
    </w:p>
    <w:p>
      <w:pPr>
        <w:ind w:firstLine="500"/>
        <w:spacing w:after="0" w:line="291" w:lineRule="auto"/>
        <w:rPr>
          <w:sz w:val="20"/>
          <w:szCs w:val="20"/>
          <w:color w:val="auto"/>
        </w:rPr>
      </w:pPr>
      <w:r>
        <w:rPr>
          <w:rFonts w:ascii="Arial" w:cs="Arial" w:eastAsia="Arial" w:hAnsi="Arial"/>
          <w:sz w:val="16"/>
          <w:szCs w:val="16"/>
          <w:color w:val="auto"/>
        </w:rPr>
        <w:t>In August 2013, the Company issued $250.0 million of 4.375% Senior Notes due in 2023 (the “2013 Notes”). The 2013 Notes were issued at 99.879% of face value. Interest on the 2013 Notes accrues at a rate of 4.375% per annum and is payable semi-annually on February 15 and August 15 of each</w:t>
      </w:r>
    </w:p>
    <w:p>
      <w:pPr>
        <w:ind w:right="220"/>
        <w:spacing w:after="0" w:line="290" w:lineRule="auto"/>
        <w:rPr>
          <w:sz w:val="20"/>
          <w:szCs w:val="20"/>
          <w:color w:val="auto"/>
        </w:rPr>
      </w:pPr>
      <w:r>
        <w:rPr>
          <w:rFonts w:ascii="Arial" w:cs="Arial" w:eastAsia="Arial" w:hAnsi="Arial"/>
          <w:sz w:val="17"/>
          <w:szCs w:val="17"/>
          <w:color w:val="auto"/>
        </w:rPr>
        <w:t>year. The proceeds were used to repay debt outstanding under the Company’s existing credit agreement, and for general corporate purposes. The principal balance is due in full at maturity. The Company incurred $2.6 million of deferred financing costs related to the issuance of the 2013 Notes.</w:t>
      </w:r>
    </w:p>
    <w:p>
      <w:pPr>
        <w:spacing w:after="0" w:line="53" w:lineRule="exact"/>
        <w:rPr>
          <w:sz w:val="20"/>
          <w:szCs w:val="20"/>
          <w:color w:val="auto"/>
        </w:rPr>
      </w:pPr>
    </w:p>
    <w:p>
      <w:pPr>
        <w:ind w:right="20" w:firstLine="500"/>
        <w:spacing w:after="0" w:line="259" w:lineRule="auto"/>
        <w:rPr>
          <w:sz w:val="20"/>
          <w:szCs w:val="20"/>
          <w:color w:val="auto"/>
        </w:rPr>
      </w:pPr>
      <w:r>
        <w:rPr>
          <w:rFonts w:ascii="Arial" w:cs="Arial" w:eastAsia="Arial" w:hAnsi="Arial"/>
          <w:sz w:val="18"/>
          <w:szCs w:val="18"/>
          <w:color w:val="auto"/>
        </w:rPr>
        <w:t>The 2013 Notes are senior unsecured obligations of the Company and rank pari passu with all existing and future senior debt and senior to all existing and future subordinated indebtedness of the Company. The indenture under which the 2013 Notes were issued contains covenants and restrictions which limit among other things, the following: the incurrence of indebtedness, payment of dividends and certain distributions, sale of assets, change in control, mergers and consolidations and the incurrence of liens.</w:t>
      </w:r>
    </w:p>
    <w:p>
      <w:pPr>
        <w:spacing w:after="0" w:line="79" w:lineRule="exact"/>
        <w:rPr>
          <w:sz w:val="20"/>
          <w:szCs w:val="20"/>
          <w:color w:val="auto"/>
        </w:rPr>
      </w:pPr>
    </w:p>
    <w:p>
      <w:pPr>
        <w:ind w:right="340" w:firstLine="500"/>
        <w:spacing w:after="0" w:line="277" w:lineRule="auto"/>
        <w:rPr>
          <w:sz w:val="20"/>
          <w:szCs w:val="20"/>
          <w:color w:val="auto"/>
        </w:rPr>
      </w:pPr>
      <w:r>
        <w:rPr>
          <w:rFonts w:ascii="Arial" w:cs="Arial" w:eastAsia="Arial" w:hAnsi="Arial"/>
          <w:sz w:val="18"/>
          <w:szCs w:val="18"/>
          <w:color w:val="auto"/>
        </w:rPr>
        <w:t>The Company is in compliance with the restrictions and covenants in the indenture under which the 2013 Notes were issued and expects that these restrictions and covenants will not be any type of limiting factor in executing our operating activities.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Refinancing Credit Agreement</w:t>
      </w:r>
    </w:p>
    <w:p>
      <w:pPr>
        <w:spacing w:after="0" w:line="117"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On June 8, 2018, the Company entered into a credit agreement (the “2018 Refinancing Credit Agreement”), which replaced the Company’s then-existing 2016 Refinancing Credit Agreement. As part of the 2018 Refinancing Credit Agreement, the Company entered into (i) a $1.2 billion revolving credit facility (the “Revolving Credit Facility”), which replaced the Company’s revolving credit facility under the 2016 Refinancing Credit Agreement, and includes a letter of credit sub-facility of up to $450.0 million and a swing line sub-facility of $75.0 million, (ii) a $350.0 million term loan (the “Refinancing Term Loan”), which refinanced the term loan under the 2016 Refinancing Credit Agreement, and (iii) a new $400.0 million delayed draw term loan (the “Delayed Draw Term Loan”). The 2018 Refinancing Credit Agreement also provided for a bridge loan facility (the “Bridge Loan Facility”) in an amount not to exceed $2.5 billion, which would only become effective at the Company’s request. Commitments in respect of the Bridge Loan Facility were terminated upon the issuance and sale of the Senior Notes on September 14, 2018. In addition, the 2018 Refinancing Credit Agreement contains an uncommitted accordion feature allowing the Company to request, in an aggregate amount not to exceed $600.0 million, increases to the borrowing commitments under the Revolving Credit Facility or a new incremental term loan commitment. At June 30, 2019, the Company had approximately $780.3 million of available bank borrowing capacity subject to certain financial covenant restrictions, net of $27.6 million of letters of credit.</w:t>
      </w:r>
    </w:p>
    <w:p>
      <w:pPr>
        <w:spacing w:after="0" w:line="75" w:lineRule="exact"/>
        <w:rPr>
          <w:sz w:val="20"/>
          <w:szCs w:val="20"/>
          <w:color w:val="auto"/>
        </w:rPr>
      </w:pPr>
    </w:p>
    <w:p>
      <w:pPr>
        <w:ind w:right="160" w:firstLine="486"/>
        <w:spacing w:after="0" w:line="286" w:lineRule="auto"/>
        <w:rPr>
          <w:sz w:val="20"/>
          <w:szCs w:val="20"/>
          <w:color w:val="auto"/>
        </w:rPr>
      </w:pPr>
      <w:r>
        <w:rPr>
          <w:rFonts w:ascii="Arial" w:cs="Arial" w:eastAsia="Arial" w:hAnsi="Arial"/>
          <w:sz w:val="16"/>
          <w:szCs w:val="16"/>
          <w:color w:val="auto"/>
        </w:rPr>
        <w:t>The Revolving Credit Facility matures on June 8, 2023 and is unsecured. The Refinancing Term Loan matures on June 8, 2021 and is unsecured. The Delayed Draw Term Loan matures on the third anniversary of the date on which it is borrowed and is unsecured. The applicable interest rate for borrowings under the 2018 Refinancing Credit Agreement includes interest rate spreads based on the lower of the pricing corresponding to (i) the Company’s ratio of total debt (less unrestricted cash up to $300.0 million) to EBITDA (“Leverage Ratio”) or (ii) the Company’s public rating, in each case that range between</w:t>
      </w:r>
    </w:p>
    <w:p>
      <w:pPr>
        <w:spacing w:after="0" w:line="2"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1.000% and 1.875% for LIBOR/CDOR-based borrowings and 0.0% and 0.875% for Alternate Base Rate based borrowings. The obligations of the Company under the 2018 Refinancing Credit Agreement have been guaranteed by certain of the Company’s subsidiaries.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76" w:right="259" w:bottom="1440" w:gutter="0" w:footer="0" w:header="0"/>
        </w:sectPr>
      </w:pPr>
    </w:p>
    <w:bookmarkStart w:id="20" w:name="page21"/>
    <w:bookmarkEnd w:id="20"/>
    <w:p>
      <w:pPr>
        <w:ind w:right="60" w:firstLine="486"/>
        <w:spacing w:after="0" w:line="277" w:lineRule="auto"/>
        <w:rPr>
          <w:sz w:val="20"/>
          <w:szCs w:val="20"/>
          <w:color w:val="auto"/>
        </w:rPr>
      </w:pPr>
      <w:r>
        <w:rPr>
          <w:rFonts w:ascii="Arial" w:cs="Arial" w:eastAsia="Arial" w:hAnsi="Arial"/>
          <w:sz w:val="18"/>
          <w:szCs w:val="18"/>
          <w:color w:val="auto"/>
        </w:rPr>
        <w:t>The Delayed Draw Term Loan was initially drawn on February 25, 2019. The Company incurred a 17.5 basis point commitment fee from June 8, 2018 until the initial draw.</w:t>
      </w:r>
    </w:p>
    <w:p>
      <w:pPr>
        <w:spacing w:after="0" w:line="62" w:lineRule="exact"/>
        <w:rPr>
          <w:sz w:val="20"/>
          <w:szCs w:val="20"/>
          <w:color w:val="auto"/>
        </w:rPr>
      </w:pPr>
    </w:p>
    <w:p>
      <w:pPr>
        <w:ind w:right="40" w:firstLine="486"/>
        <w:spacing w:after="0" w:line="287" w:lineRule="auto"/>
        <w:rPr>
          <w:sz w:val="20"/>
          <w:szCs w:val="20"/>
          <w:color w:val="auto"/>
        </w:rPr>
      </w:pPr>
      <w:r>
        <w:rPr>
          <w:rFonts w:ascii="Arial" w:cs="Arial" w:eastAsia="Arial" w:hAnsi="Arial"/>
          <w:sz w:val="16"/>
          <w:szCs w:val="16"/>
          <w:color w:val="auto"/>
        </w:rPr>
        <w:t>The 2018 Refinancing Credit Agreement contains customary representations and warranties by the Company and its subsidiaries, including customary use of materiality, material adverse effect, and knowledge qualifiers. The Company and its subsidiaries are also subject to (i) customary affirmative covenants that impose certain reporting obligations on the Company and its subsidiaries and (ii) customary negative covenants, including limitations on: indebtedness; liens; restricted payments; fundamental changes; business activities; transactions with affiliates; restrictive agreements; changes in fiscal year; and use of proceeds. In addition, the Company is required to maintain (i) an Interest Coverage ratio at least 3.00 to 1.00 over each period of four consecutive fiscal quarters ending on the last day of a fiscal quarter and (ii) a Leverage Ratio, calculated as of the last day of a fiscal quarter for a period of four consecutive fiscal quarters, of 3.25 to 1.00 or less; provided that, in the event the Company completes the Direct Sale and the Merger or any other material acquisition in which the cash consideration paid exceeds $500.0 million, the maximum Leverage Ratio permitted will be 3.75 to 1.00 at the end of the fiscal quarter in which such acquisition is consummated and each of the three fiscal quarters immediately following such fiscal quarter and 3.50 to 1.00 at the end of each of the fourth and fifth full fiscal quarters after the consummation of such acquisition. The Company is in compliance with the restrictions and covenants of the 2018 Refinancing Credit Agreement and does not expect that these measurements will limit the Company in executing its operating activities.</w:t>
      </w:r>
    </w:p>
    <w:p>
      <w:pPr>
        <w:spacing w:after="0" w:line="65"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At June 30, 2019, the weighted average interest rate on the Company’s variable rate debt was 3.28%. On June 5, 2014, the Company entered into a forward starting interest rate swap agreement with a notional value of $150.0 million. The effective date of the interest rate swap agreement was November 7, 2016, and the termination date was December 19, 2018.</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Refinancing Credit Agreement</w:t>
      </w:r>
    </w:p>
    <w:p>
      <w:pPr>
        <w:spacing w:after="0" w:line="117" w:lineRule="exact"/>
        <w:rPr>
          <w:sz w:val="20"/>
          <w:szCs w:val="20"/>
          <w:color w:val="auto"/>
        </w:rPr>
      </w:pPr>
    </w:p>
    <w:p>
      <w:pPr>
        <w:ind w:right="180" w:firstLine="500"/>
        <w:spacing w:after="0" w:line="259" w:lineRule="auto"/>
        <w:rPr>
          <w:sz w:val="20"/>
          <w:szCs w:val="20"/>
          <w:color w:val="auto"/>
        </w:rPr>
      </w:pPr>
      <w:r>
        <w:rPr>
          <w:rFonts w:ascii="Arial" w:cs="Arial" w:eastAsia="Arial" w:hAnsi="Arial"/>
          <w:sz w:val="18"/>
          <w:szCs w:val="18"/>
          <w:color w:val="auto"/>
        </w:rPr>
        <w:t>On June 22, 2016, the Company amended its existing revolving credit facility with a consortium of commercial banks. This 2016 Refinancing Credit Agreement provided the Company with a $1.2 billion, 5 year revolving credit facility and a $400 million delayed draw term loan (the “Term Loan”). The Company incurred approximately $3 million of deferred financing cost related to the 2016 Refinancing Credit Agreement. The 2016 Refinancing Credit Agreement borrowings bore variable interest rates indexed as described below.</w:t>
      </w:r>
    </w:p>
    <w:p>
      <w:pPr>
        <w:spacing w:after="0" w:line="79"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Under the 2016 Refinancing Credit Agreement, the Company could elect a Base Rate of interest for U.S. Dollar denominated loans or, for certain currencies, an interest rate based on the London Interbank Offered Rate (“LIBOR”) of interest, or other rates appropriate for such currencies (in any case, “the Alternate Rate”). The Base Rate adjusted on a daily basis and was the greater of the Federal Funds Effective Rate plus 0.50% per annum, the PNC, N.A. prime rate or the Daily LIBOR Rate plus 100 basis points, plus a margin that ranged from 0 to 75 basis points. The Alternate Rate was based on the quoted rates specific to the applicable currency, plus a margin that ranged from 75 to 175 basis points. Both the Base Rate and Alternate Rate margins were dependent on the Company’s consolidated total indebtedness to EBITDA ratios. The initial Base Rate margin was 0 basis points and the Alternate Rate margin is 175 basis points.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76" w:right="239" w:bottom="1440" w:gutter="0" w:footer="0" w:header="0"/>
        </w:sectPr>
      </w:pPr>
    </w:p>
    <w:bookmarkStart w:id="21" w:name="page22"/>
    <w:bookmarkEnd w:id="21"/>
    <w:p>
      <w:pPr>
        <w:ind w:right="8740" w:firstLine="8"/>
        <w:spacing w:after="0" w:line="378" w:lineRule="auto"/>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 Defined Benefit Pension Plans</w:t>
      </w:r>
    </w:p>
    <w:p>
      <w:pPr>
        <w:ind w:right="180" w:firstLine="500"/>
        <w:spacing w:after="0" w:line="308" w:lineRule="auto"/>
        <w:rPr>
          <w:sz w:val="20"/>
          <w:szCs w:val="20"/>
          <w:color w:val="auto"/>
        </w:rPr>
      </w:pPr>
      <w:r>
        <w:rPr>
          <w:rFonts w:ascii="Arial" w:cs="Arial" w:eastAsia="Arial" w:hAnsi="Arial"/>
          <w:sz w:val="17"/>
          <w:szCs w:val="17"/>
          <w:color w:val="auto"/>
        </w:rPr>
        <w:t>The Company sponsors defined benefit pension plans that cover certain U.S., Canadian, German and United Kingdom employees and which provide benefits of stated amounts for each year of service of the employee. The Company uses a December 31 measurement date for the plans.</w:t>
      </w:r>
    </w:p>
    <w:p>
      <w:pPr>
        <w:spacing w:after="0" w:line="3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tables provide information regarding the Company’s defined benefit pension plans summarized by U.S. and international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184150</wp:posOffset>
            </wp:positionV>
            <wp:extent cx="36874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34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5"/>
          </w:tcPr>
          <w:p>
            <w:pPr>
              <w:jc w:val="center"/>
              <w:ind w:right="330"/>
              <w:spacing w:after="0"/>
              <w:rPr>
                <w:sz w:val="20"/>
                <w:szCs w:val="20"/>
                <w:color w:val="auto"/>
              </w:rPr>
            </w:pPr>
            <w:r>
              <w:rPr>
                <w:rFonts w:ascii="Arial" w:cs="Arial" w:eastAsia="Arial" w:hAnsi="Arial"/>
                <w:sz w:val="14"/>
                <w:szCs w:val="14"/>
                <w:b w:val="1"/>
                <w:bCs w:val="1"/>
                <w:color w:val="auto"/>
                <w:w w:val="95"/>
              </w:rPr>
              <w:t>U.S.</w:t>
            </w:r>
          </w:p>
        </w:tc>
        <w:tc>
          <w:tcPr>
            <w:tcW w:w="8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5"/>
          </w:tcPr>
          <w:p>
            <w:pPr>
              <w:jc w:val="center"/>
              <w:ind w:left="476"/>
              <w:spacing w:after="0"/>
              <w:rPr>
                <w:sz w:val="20"/>
                <w:szCs w:val="20"/>
                <w:color w:val="auto"/>
              </w:rPr>
            </w:pPr>
            <w:r>
              <w:rPr>
                <w:rFonts w:ascii="Arial" w:cs="Arial" w:eastAsia="Arial" w:hAnsi="Arial"/>
                <w:sz w:val="14"/>
                <w:szCs w:val="14"/>
                <w:b w:val="1"/>
                <w:bCs w:val="1"/>
                <w:color w:val="auto"/>
                <w:w w:val="97"/>
              </w:rPr>
              <w:t>International</w:t>
            </w:r>
          </w:p>
        </w:tc>
        <w:tc>
          <w:tcPr>
            <w:tcW w:w="8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8"/>
          </w:tcPr>
          <w:p>
            <w:pPr>
              <w:jc w:val="center"/>
              <w:ind w:right="300"/>
              <w:spacing w:after="0"/>
              <w:rPr>
                <w:sz w:val="20"/>
                <w:szCs w:val="20"/>
                <w:color w:val="auto"/>
              </w:rPr>
            </w:pPr>
            <w:r>
              <w:rPr>
                <w:rFonts w:ascii="Arial" w:cs="Arial" w:eastAsia="Arial" w:hAnsi="Arial"/>
                <w:sz w:val="14"/>
                <w:szCs w:val="14"/>
                <w:b w:val="1"/>
                <w:bCs w:val="1"/>
                <w:color w:val="auto"/>
                <w:w w:val="93"/>
              </w:rPr>
              <w:t>Three Months Ended June 30,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7"/>
          </w:tcPr>
          <w:p>
            <w:pPr>
              <w:jc w:val="center"/>
              <w:ind w:right="300"/>
              <w:spacing w:after="0"/>
              <w:rPr>
                <w:sz w:val="20"/>
                <w:szCs w:val="20"/>
                <w:color w:val="auto"/>
              </w:rPr>
            </w:pPr>
            <w:r>
              <w:rPr>
                <w:rFonts w:ascii="Arial" w:cs="Arial" w:eastAsia="Arial" w:hAnsi="Arial"/>
                <w:sz w:val="14"/>
                <w:szCs w:val="14"/>
                <w:b w:val="1"/>
                <w:bCs w:val="1"/>
                <w:color w:val="auto"/>
                <w:w w:val="93"/>
              </w:rPr>
              <w:t>Three Months Ended June 30,</w:t>
            </w:r>
          </w:p>
        </w:tc>
        <w:tc>
          <w:tcPr>
            <w:tcW w:w="0" w:type="dxa"/>
            <w:vAlign w:val="bottom"/>
          </w:tcPr>
          <w:p>
            <w:pPr>
              <w:spacing w:after="0"/>
              <w:rPr>
                <w:sz w:val="1"/>
                <w:szCs w:val="1"/>
                <w:color w:val="auto"/>
              </w:rPr>
            </w:pPr>
          </w:p>
        </w:tc>
      </w:tr>
      <w:tr>
        <w:trPr>
          <w:trHeight w:val="229"/>
        </w:trPr>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i w:val="1"/>
                <w:iCs w:val="1"/>
                <w:color w:val="auto"/>
                <w:w w:val="87"/>
              </w:rPr>
              <w:t>In thousands</w:t>
            </w:r>
          </w:p>
        </w:tc>
        <w:tc>
          <w:tcPr>
            <w:tcW w:w="4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355"/>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ind w:right="412"/>
              <w:spacing w:after="0"/>
              <w:rPr>
                <w:sz w:val="20"/>
                <w:szCs w:val="20"/>
                <w:color w:val="auto"/>
              </w:rPr>
            </w:pPr>
            <w:r>
              <w:rPr>
                <w:rFonts w:ascii="Arial" w:cs="Arial" w:eastAsia="Arial" w:hAnsi="Arial"/>
                <w:sz w:val="14"/>
                <w:szCs w:val="14"/>
                <w:b w:val="1"/>
                <w:bCs w:val="1"/>
                <w:color w:val="auto"/>
                <w:w w:val="96"/>
              </w:rPr>
              <w:t>2018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436"/>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jc w:val="right"/>
              <w:ind w:right="432"/>
              <w:spacing w:after="0"/>
              <w:rPr>
                <w:sz w:val="20"/>
                <w:szCs w:val="20"/>
                <w:color w:val="auto"/>
              </w:rPr>
            </w:pPr>
            <w:r>
              <w:rPr>
                <w:rFonts w:ascii="Arial" w:cs="Arial" w:eastAsia="Arial" w:hAnsi="Arial"/>
                <w:sz w:val="14"/>
                <w:szCs w:val="14"/>
                <w:b w:val="1"/>
                <w:bCs w:val="1"/>
                <w:color w:val="auto"/>
                <w:w w:val="96"/>
              </w:rPr>
              <w:t>2018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5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Net periodic benefit cost</w:t>
            </w: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5580" w:type="dxa"/>
            <w:vAlign w:val="bottom"/>
            <w:gridSpan w:val="3"/>
            <w:vMerge w:val="continue"/>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560" w:type="dxa"/>
            <w:vAlign w:val="bottom"/>
            <w:gridSpan w:val="2"/>
          </w:tcPr>
          <w:p>
            <w:pPr>
              <w:ind w:left="220"/>
              <w:spacing w:after="0"/>
              <w:rPr>
                <w:sz w:val="20"/>
                <w:szCs w:val="20"/>
                <w:color w:val="auto"/>
              </w:rPr>
            </w:pPr>
            <w:r>
              <w:rPr>
                <w:rFonts w:ascii="Arial" w:cs="Arial" w:eastAsia="Arial" w:hAnsi="Arial"/>
                <w:sz w:val="18"/>
                <w:szCs w:val="18"/>
                <w:color w:val="auto"/>
              </w:rPr>
              <w:t>Service cost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71</w:t>
            </w:r>
          </w:p>
        </w:tc>
        <w:tc>
          <w:tcPr>
            <w:tcW w:w="720" w:type="dxa"/>
            <w:vAlign w:val="bottom"/>
            <w:gridSpan w:val="5"/>
          </w:tcPr>
          <w:p>
            <w:pPr>
              <w:jc w:val="right"/>
              <w:ind w:right="3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87</w:t>
            </w:r>
          </w:p>
        </w:tc>
        <w:tc>
          <w:tcPr>
            <w:tcW w:w="40" w:type="dxa"/>
            <w:vAlign w:val="bottom"/>
          </w:tcPr>
          <w:p>
            <w:pPr>
              <w:spacing w:after="0"/>
              <w:rPr>
                <w:sz w:val="23"/>
                <w:szCs w:val="23"/>
                <w:color w:val="auto"/>
              </w:rPr>
            </w:pPr>
          </w:p>
        </w:tc>
        <w:tc>
          <w:tcPr>
            <w:tcW w:w="42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611</w:t>
            </w:r>
          </w:p>
        </w:tc>
        <w:tc>
          <w:tcPr>
            <w:tcW w:w="20" w:type="dxa"/>
            <w:vAlign w:val="bottom"/>
          </w:tcPr>
          <w:p>
            <w:pPr>
              <w:spacing w:after="0"/>
              <w:rPr>
                <w:sz w:val="23"/>
                <w:szCs w:val="23"/>
                <w:color w:val="auto"/>
              </w:rPr>
            </w:pPr>
          </w:p>
        </w:tc>
        <w:tc>
          <w:tcPr>
            <w:tcW w:w="620" w:type="dxa"/>
            <w:vAlign w:val="bottom"/>
            <w:gridSpan w:val="3"/>
          </w:tcPr>
          <w:p>
            <w:pPr>
              <w:jc w:val="right"/>
              <w:ind w:right="2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691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560" w:type="dxa"/>
            <w:vAlign w:val="bottom"/>
            <w:gridSpan w:val="2"/>
          </w:tcPr>
          <w:p>
            <w:pPr>
              <w:ind w:left="220"/>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372</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333</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1,711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560" w:type="dxa"/>
            <w:vAlign w:val="bottom"/>
            <w:gridSpan w:val="2"/>
          </w:tcPr>
          <w:p>
            <w:pPr>
              <w:ind w:left="220"/>
              <w:spacing w:after="0"/>
              <w:rPr>
                <w:sz w:val="20"/>
                <w:szCs w:val="20"/>
                <w:color w:val="auto"/>
              </w:rPr>
            </w:pPr>
            <w:r>
              <w:rPr>
                <w:rFonts w:ascii="Arial" w:cs="Arial" w:eastAsia="Arial" w:hAnsi="Arial"/>
                <w:sz w:val="18"/>
                <w:szCs w:val="18"/>
                <w:color w:val="auto"/>
              </w:rPr>
              <w:t>Expected return on plan assets</w:t>
            </w:r>
          </w:p>
        </w:tc>
        <w:tc>
          <w:tcPr>
            <w:tcW w:w="300" w:type="dxa"/>
            <w:vAlign w:val="bottom"/>
          </w:tcPr>
          <w:p>
            <w:pPr>
              <w:spacing w:after="0"/>
              <w:rPr>
                <w:sz w:val="23"/>
                <w:szCs w:val="23"/>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(433)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(445)</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(2,927)</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(3,466)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560" w:type="dxa"/>
            <w:vAlign w:val="bottom"/>
            <w:gridSpan w:val="2"/>
          </w:tcPr>
          <w:p>
            <w:pPr>
              <w:ind w:left="220"/>
              <w:spacing w:after="0"/>
              <w:rPr>
                <w:sz w:val="20"/>
                <w:szCs w:val="20"/>
                <w:color w:val="auto"/>
              </w:rPr>
            </w:pPr>
            <w:r>
              <w:rPr>
                <w:rFonts w:ascii="Arial" w:cs="Arial" w:eastAsia="Arial" w:hAnsi="Arial"/>
                <w:sz w:val="18"/>
                <w:szCs w:val="18"/>
                <w:color w:val="auto"/>
              </w:rPr>
              <w:t>Net amortization/deferrals</w:t>
            </w: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207</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243</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7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560" w:type="dxa"/>
            <w:vAlign w:val="bottom"/>
            <w:gridSpan w:val="2"/>
          </w:tcPr>
          <w:p>
            <w:pPr>
              <w:ind w:left="460"/>
              <w:spacing w:after="0"/>
              <w:rPr>
                <w:sz w:val="20"/>
                <w:szCs w:val="20"/>
                <w:color w:val="auto"/>
              </w:rPr>
            </w:pPr>
            <w:r>
              <w:rPr>
                <w:rFonts w:ascii="Arial" w:cs="Arial" w:eastAsia="Arial" w:hAnsi="Arial"/>
                <w:sz w:val="18"/>
                <w:szCs w:val="18"/>
                <w:color w:val="auto"/>
              </w:rPr>
              <w:t>Net periodic benefit cost (credit)</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auto"/>
            </w:tcBorders>
            <w:gridSpan w:val="2"/>
          </w:tcPr>
          <w:p>
            <w:pPr>
              <w:spacing w:after="0"/>
              <w:rPr>
                <w:sz w:val="22"/>
                <w:szCs w:val="22"/>
                <w:color w:val="auto"/>
              </w:rPr>
            </w:pPr>
          </w:p>
        </w:tc>
        <w:tc>
          <w:tcPr>
            <w:tcW w:w="120" w:type="dxa"/>
            <w:vAlign w:val="bottom"/>
            <w:gridSpan w:val="2"/>
          </w:tcPr>
          <w:p>
            <w:pPr>
              <w:spacing w:after="0"/>
              <w:rPr>
                <w:sz w:val="22"/>
                <w:szCs w:val="22"/>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40" w:type="dxa"/>
            <w:vAlign w:val="bottom"/>
            <w:tcBorders>
              <w:bottom w:val="single" w:sz="8" w:color="auto"/>
            </w:tcBorders>
          </w:tcPr>
          <w:p>
            <w:pPr>
              <w:spacing w:after="0"/>
              <w:rPr>
                <w:sz w:val="22"/>
                <w:szCs w:val="22"/>
                <w:color w:val="auto"/>
              </w:rPr>
            </w:pPr>
          </w:p>
        </w:tc>
        <w:tc>
          <w:tcPr>
            <w:tcW w:w="100" w:type="dxa"/>
            <w:vAlign w:val="bottom"/>
            <w:gridSpan w:val="2"/>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0" w:type="dxa"/>
            <w:vAlign w:val="bottom"/>
            <w:tcBorders>
              <w:bottom w:val="single" w:sz="8" w:color="auto"/>
            </w:tcBorders>
          </w:tcPr>
          <w:p>
            <w:pPr>
              <w:spacing w:after="0"/>
              <w:rPr>
                <w:sz w:val="22"/>
                <w:szCs w:val="22"/>
                <w:color w:val="auto"/>
              </w:rPr>
            </w:pPr>
          </w:p>
        </w:tc>
        <w:tc>
          <w:tcPr>
            <w:tcW w:w="120" w:type="dxa"/>
            <w:vAlign w:val="bottom"/>
            <w:gridSpan w:val="2"/>
          </w:tcPr>
          <w:p>
            <w:pPr>
              <w:spacing w:after="0"/>
              <w:rPr>
                <w:sz w:val="22"/>
                <w:szCs w:val="22"/>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5"/>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5"/>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gridSpan w:val="5"/>
          </w:tcPr>
          <w:p>
            <w:pPr>
              <w:jc w:val="center"/>
              <w:ind w:right="370"/>
              <w:spacing w:after="0"/>
              <w:rPr>
                <w:sz w:val="20"/>
                <w:szCs w:val="20"/>
                <w:color w:val="auto"/>
              </w:rPr>
            </w:pPr>
            <w:r>
              <w:rPr>
                <w:rFonts w:ascii="Arial" w:cs="Arial" w:eastAsia="Arial" w:hAnsi="Arial"/>
                <w:sz w:val="14"/>
                <w:szCs w:val="14"/>
                <w:b w:val="1"/>
                <w:bCs w:val="1"/>
                <w:color w:val="auto"/>
                <w:w w:val="95"/>
              </w:rPr>
              <w:t>U.S.</w:t>
            </w:r>
          </w:p>
        </w:tc>
        <w:tc>
          <w:tcPr>
            <w:tcW w:w="82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5"/>
          </w:tcPr>
          <w:p>
            <w:pPr>
              <w:jc w:val="center"/>
              <w:ind w:left="416"/>
              <w:spacing w:after="0"/>
              <w:rPr>
                <w:sz w:val="20"/>
                <w:szCs w:val="20"/>
                <w:color w:val="auto"/>
              </w:rPr>
            </w:pPr>
            <w:r>
              <w:rPr>
                <w:rFonts w:ascii="Arial" w:cs="Arial" w:eastAsia="Arial" w:hAnsi="Arial"/>
                <w:sz w:val="14"/>
                <w:szCs w:val="14"/>
                <w:b w:val="1"/>
                <w:bCs w:val="1"/>
                <w:color w:val="auto"/>
                <w:w w:val="95"/>
              </w:rPr>
              <w:t>International</w:t>
            </w:r>
          </w:p>
        </w:tc>
        <w:tc>
          <w:tcPr>
            <w:tcW w:w="8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00" w:type="dxa"/>
            <w:vAlign w:val="bottom"/>
            <w:gridSpan w:val="6"/>
          </w:tcPr>
          <w:p>
            <w:pPr>
              <w:jc w:val="center"/>
              <w:ind w:left="435"/>
              <w:spacing w:after="0" w:line="153" w:lineRule="exact"/>
              <w:rPr>
                <w:sz w:val="20"/>
                <w:szCs w:val="20"/>
                <w:color w:val="auto"/>
              </w:rPr>
            </w:pPr>
            <w:r>
              <w:rPr>
                <w:rFonts w:ascii="Arial" w:cs="Arial" w:eastAsia="Arial" w:hAnsi="Arial"/>
                <w:sz w:val="14"/>
                <w:szCs w:val="14"/>
                <w:b w:val="1"/>
                <w:bCs w:val="1"/>
                <w:color w:val="auto"/>
                <w:w w:val="93"/>
              </w:rPr>
              <w:t>Six Months Ended</w:t>
            </w: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60" w:type="dxa"/>
            <w:vAlign w:val="bottom"/>
            <w:gridSpan w:val="5"/>
          </w:tcPr>
          <w:p>
            <w:pPr>
              <w:jc w:val="center"/>
              <w:ind w:left="416"/>
              <w:spacing w:after="0" w:line="153" w:lineRule="exact"/>
              <w:rPr>
                <w:sz w:val="20"/>
                <w:szCs w:val="20"/>
                <w:color w:val="auto"/>
              </w:rPr>
            </w:pPr>
            <w:r>
              <w:rPr>
                <w:rFonts w:ascii="Arial" w:cs="Arial" w:eastAsia="Arial" w:hAnsi="Arial"/>
                <w:sz w:val="14"/>
                <w:szCs w:val="14"/>
                <w:b w:val="1"/>
                <w:bCs w:val="1"/>
                <w:color w:val="auto"/>
                <w:w w:val="92"/>
              </w:rPr>
              <w:t>Six Months Ended</w:t>
            </w: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6"/>
          </w:tcPr>
          <w:p>
            <w:pPr>
              <w:jc w:val="center"/>
              <w:ind w:left="455"/>
              <w:spacing w:after="0"/>
              <w:rPr>
                <w:sz w:val="20"/>
                <w:szCs w:val="20"/>
                <w:color w:val="auto"/>
              </w:rPr>
            </w:pPr>
            <w:r>
              <w:rPr>
                <w:rFonts w:ascii="Arial" w:cs="Arial" w:eastAsia="Arial" w:hAnsi="Arial"/>
                <w:sz w:val="14"/>
                <w:szCs w:val="14"/>
                <w:b w:val="1"/>
                <w:bCs w:val="1"/>
                <w:color w:val="auto"/>
                <w:w w:val="92"/>
              </w:rPr>
              <w:t>June 30,</w:t>
            </w:r>
          </w:p>
        </w:tc>
        <w:tc>
          <w:tcPr>
            <w:tcW w:w="8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5"/>
          </w:tcPr>
          <w:p>
            <w:pPr>
              <w:jc w:val="center"/>
              <w:ind w:left="416"/>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00" w:type="dxa"/>
            <w:vAlign w:val="bottom"/>
          </w:tcPr>
          <w:p>
            <w:pPr>
              <w:spacing w:after="0"/>
              <w:rPr>
                <w:sz w:val="19"/>
                <w:szCs w:val="19"/>
                <w:color w:val="auto"/>
              </w:rPr>
            </w:pPr>
          </w:p>
        </w:tc>
        <w:tc>
          <w:tcPr>
            <w:tcW w:w="980" w:type="dxa"/>
            <w:vAlign w:val="bottom"/>
          </w:tcPr>
          <w:p>
            <w:pPr>
              <w:jc w:val="right"/>
              <w:ind w:right="375"/>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ind w:right="452"/>
              <w:spacing w:after="0"/>
              <w:rPr>
                <w:sz w:val="20"/>
                <w:szCs w:val="20"/>
                <w:color w:val="auto"/>
              </w:rPr>
            </w:pPr>
            <w:r>
              <w:rPr>
                <w:rFonts w:ascii="Arial" w:cs="Arial" w:eastAsia="Arial" w:hAnsi="Arial"/>
                <w:sz w:val="14"/>
                <w:szCs w:val="14"/>
                <w:b w:val="1"/>
                <w:bCs w:val="1"/>
                <w:color w:val="auto"/>
                <w:w w:val="83"/>
              </w:rPr>
              <w:t>2018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456"/>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jc w:val="right"/>
              <w:ind w:right="472"/>
              <w:spacing w:after="0"/>
              <w:rPr>
                <w:sz w:val="20"/>
                <w:szCs w:val="20"/>
                <w:color w:val="auto"/>
              </w:rPr>
            </w:pPr>
            <w:r>
              <w:rPr>
                <w:rFonts w:ascii="Arial" w:cs="Arial" w:eastAsia="Arial" w:hAnsi="Arial"/>
                <w:sz w:val="14"/>
                <w:szCs w:val="14"/>
                <w:b w:val="1"/>
                <w:bCs w:val="1"/>
                <w:color w:val="auto"/>
                <w:w w:val="83"/>
              </w:rPr>
              <w:t>2018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periodic benefit cost</w:t>
            </w: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56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560" w:type="dxa"/>
            <w:vAlign w:val="bottom"/>
            <w:gridSpan w:val="2"/>
          </w:tcPr>
          <w:p>
            <w:pPr>
              <w:ind w:left="260"/>
              <w:spacing w:after="0"/>
              <w:rPr>
                <w:sz w:val="20"/>
                <w:szCs w:val="20"/>
                <w:color w:val="auto"/>
              </w:rPr>
            </w:pPr>
            <w:r>
              <w:rPr>
                <w:rFonts w:ascii="Arial" w:cs="Arial" w:eastAsia="Arial" w:hAnsi="Arial"/>
                <w:sz w:val="18"/>
                <w:szCs w:val="18"/>
                <w:color w:val="auto"/>
              </w:rPr>
              <w:t>Service cost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142</w:t>
            </w:r>
          </w:p>
        </w:tc>
        <w:tc>
          <w:tcPr>
            <w:tcW w:w="720" w:type="dxa"/>
            <w:vAlign w:val="bottom"/>
            <w:gridSpan w:val="5"/>
          </w:tcPr>
          <w:p>
            <w:pPr>
              <w:jc w:val="right"/>
              <w:ind w:right="3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174</w:t>
            </w:r>
          </w:p>
        </w:tc>
        <w:tc>
          <w:tcPr>
            <w:tcW w:w="40" w:type="dxa"/>
            <w:vAlign w:val="bottom"/>
          </w:tcPr>
          <w:p>
            <w:pPr>
              <w:spacing w:after="0"/>
              <w:rPr>
                <w:sz w:val="23"/>
                <w:szCs w:val="23"/>
                <w:color w:val="auto"/>
              </w:rPr>
            </w:pPr>
          </w:p>
        </w:tc>
        <w:tc>
          <w:tcPr>
            <w:tcW w:w="42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1,222</w:t>
            </w:r>
          </w:p>
        </w:tc>
        <w:tc>
          <w:tcPr>
            <w:tcW w:w="20" w:type="dxa"/>
            <w:vAlign w:val="bottom"/>
          </w:tcPr>
          <w:p>
            <w:pPr>
              <w:spacing w:after="0"/>
              <w:rPr>
                <w:sz w:val="23"/>
                <w:szCs w:val="23"/>
                <w:color w:val="auto"/>
              </w:rPr>
            </w:pPr>
          </w:p>
        </w:tc>
        <w:tc>
          <w:tcPr>
            <w:tcW w:w="620" w:type="dxa"/>
            <w:vAlign w:val="bottom"/>
            <w:gridSpan w:val="3"/>
          </w:tcPr>
          <w:p>
            <w:pPr>
              <w:jc w:val="right"/>
              <w:ind w:right="3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1,382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560" w:type="dxa"/>
            <w:vAlign w:val="bottom"/>
            <w:gridSpan w:val="2"/>
          </w:tcPr>
          <w:p>
            <w:pPr>
              <w:ind w:left="260"/>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744</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666</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3,422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3,668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560" w:type="dxa"/>
            <w:vAlign w:val="bottom"/>
            <w:gridSpan w:val="2"/>
          </w:tcPr>
          <w:p>
            <w:pPr>
              <w:ind w:left="260"/>
              <w:spacing w:after="0"/>
              <w:rPr>
                <w:sz w:val="20"/>
                <w:szCs w:val="20"/>
                <w:color w:val="auto"/>
              </w:rPr>
            </w:pPr>
            <w:r>
              <w:rPr>
                <w:rFonts w:ascii="Arial" w:cs="Arial" w:eastAsia="Arial" w:hAnsi="Arial"/>
                <w:sz w:val="18"/>
                <w:szCs w:val="18"/>
                <w:color w:val="auto"/>
              </w:rPr>
              <w:t>Expected return on plan assets</w:t>
            </w:r>
          </w:p>
        </w:tc>
        <w:tc>
          <w:tcPr>
            <w:tcW w:w="300" w:type="dxa"/>
            <w:vAlign w:val="bottom"/>
          </w:tcPr>
          <w:p>
            <w:pPr>
              <w:spacing w:after="0"/>
              <w:rPr>
                <w:sz w:val="23"/>
                <w:szCs w:val="23"/>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(866)</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(890)</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(5,854)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(6,932)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560" w:type="dxa"/>
            <w:vAlign w:val="bottom"/>
            <w:gridSpan w:val="2"/>
          </w:tcPr>
          <w:p>
            <w:pPr>
              <w:ind w:left="260"/>
              <w:spacing w:after="0"/>
              <w:rPr>
                <w:sz w:val="20"/>
                <w:szCs w:val="20"/>
                <w:color w:val="auto"/>
              </w:rPr>
            </w:pPr>
            <w:r>
              <w:rPr>
                <w:rFonts w:ascii="Arial" w:cs="Arial" w:eastAsia="Arial" w:hAnsi="Arial"/>
                <w:sz w:val="18"/>
                <w:szCs w:val="18"/>
                <w:color w:val="auto"/>
              </w:rPr>
              <w:t>Net amortization/deferrals</w:t>
            </w: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414</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486</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1,282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1,108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7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gridSpan w:val="2"/>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560" w:type="dxa"/>
            <w:vAlign w:val="bottom"/>
            <w:gridSpan w:val="2"/>
          </w:tcPr>
          <w:p>
            <w:pPr>
              <w:ind w:left="500"/>
              <w:spacing w:after="0"/>
              <w:rPr>
                <w:sz w:val="20"/>
                <w:szCs w:val="20"/>
                <w:color w:val="auto"/>
              </w:rPr>
            </w:pPr>
            <w:r>
              <w:rPr>
                <w:rFonts w:ascii="Arial" w:cs="Arial" w:eastAsia="Arial" w:hAnsi="Arial"/>
                <w:sz w:val="18"/>
                <w:szCs w:val="18"/>
                <w:color w:val="auto"/>
              </w:rPr>
              <w:t>Net periodic benefit cost (credit)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434</w:t>
            </w:r>
          </w:p>
        </w:tc>
        <w:tc>
          <w:tcPr>
            <w:tcW w:w="720" w:type="dxa"/>
            <w:vAlign w:val="bottom"/>
            <w:gridSpan w:val="5"/>
          </w:tcPr>
          <w:p>
            <w:pPr>
              <w:jc w:val="right"/>
              <w:ind w:right="3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436</w:t>
            </w:r>
          </w:p>
        </w:tc>
        <w:tc>
          <w:tcPr>
            <w:tcW w:w="40" w:type="dxa"/>
            <w:vAlign w:val="bottom"/>
          </w:tcPr>
          <w:p>
            <w:pPr>
              <w:spacing w:after="0"/>
              <w:rPr>
                <w:sz w:val="22"/>
                <w:szCs w:val="22"/>
                <w:color w:val="auto"/>
              </w:rPr>
            </w:pPr>
          </w:p>
        </w:tc>
        <w:tc>
          <w:tcPr>
            <w:tcW w:w="42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22"/>
                <w:szCs w:val="22"/>
                <w:color w:val="auto"/>
              </w:rPr>
            </w:pPr>
          </w:p>
        </w:tc>
        <w:tc>
          <w:tcPr>
            <w:tcW w:w="620" w:type="dxa"/>
            <w:vAlign w:val="bottom"/>
            <w:gridSpan w:val="3"/>
          </w:tcPr>
          <w:p>
            <w:pPr>
              <w:jc w:val="right"/>
              <w:ind w:right="3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(774)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8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Assumptions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558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560" w:type="dxa"/>
            <w:vAlign w:val="bottom"/>
            <w:gridSpan w:val="2"/>
          </w:tcPr>
          <w:p>
            <w:pPr>
              <w:ind w:left="260"/>
              <w:spacing w:after="0"/>
              <w:rPr>
                <w:sz w:val="20"/>
                <w:szCs w:val="20"/>
                <w:color w:val="auto"/>
              </w:rPr>
            </w:pPr>
            <w:r>
              <w:rPr>
                <w:rFonts w:ascii="Arial" w:cs="Arial" w:eastAsia="Arial" w:hAnsi="Arial"/>
                <w:sz w:val="18"/>
                <w:szCs w:val="18"/>
                <w:color w:val="auto"/>
              </w:rPr>
              <w:t>Discount Rate</w:t>
            </w:r>
          </w:p>
        </w:tc>
        <w:tc>
          <w:tcPr>
            <w:tcW w:w="300" w:type="dxa"/>
            <w:vAlign w:val="bottom"/>
          </w:tcPr>
          <w:p>
            <w:pPr>
              <w:spacing w:after="0"/>
              <w:rPr>
                <w:sz w:val="23"/>
                <w:szCs w:val="23"/>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560" w:type="dxa"/>
            <w:vAlign w:val="bottom"/>
            <w:gridSpan w:val="2"/>
          </w:tcPr>
          <w:p>
            <w:pPr>
              <w:ind w:left="260"/>
              <w:spacing w:after="0"/>
              <w:rPr>
                <w:sz w:val="20"/>
                <w:szCs w:val="20"/>
                <w:color w:val="auto"/>
              </w:rPr>
            </w:pPr>
            <w:r>
              <w:rPr>
                <w:rFonts w:ascii="Arial" w:cs="Arial" w:eastAsia="Arial" w:hAnsi="Arial"/>
                <w:sz w:val="18"/>
                <w:szCs w:val="18"/>
                <w:color w:val="auto"/>
              </w:rPr>
              <w:t>Expected long-term rate of return</w:t>
            </w:r>
          </w:p>
        </w:tc>
        <w:tc>
          <w:tcPr>
            <w:tcW w:w="300" w:type="dxa"/>
            <w:vAlign w:val="bottom"/>
          </w:tcPr>
          <w:p>
            <w:pPr>
              <w:spacing w:after="0"/>
              <w:rPr>
                <w:sz w:val="23"/>
                <w:szCs w:val="23"/>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5.2%</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560" w:type="dxa"/>
            <w:vAlign w:val="bottom"/>
            <w:gridSpan w:val="2"/>
          </w:tcPr>
          <w:p>
            <w:pPr>
              <w:ind w:left="260"/>
              <w:spacing w:after="0"/>
              <w:rPr>
                <w:sz w:val="20"/>
                <w:szCs w:val="20"/>
                <w:color w:val="auto"/>
              </w:rPr>
            </w:pPr>
            <w:r>
              <w:rPr>
                <w:rFonts w:ascii="Arial" w:cs="Arial" w:eastAsia="Arial" w:hAnsi="Arial"/>
                <w:sz w:val="18"/>
                <w:szCs w:val="18"/>
                <w:color w:val="auto"/>
              </w:rPr>
              <w:t>Rate of compensation increase</w:t>
            </w:r>
          </w:p>
        </w:tc>
        <w:tc>
          <w:tcPr>
            <w:tcW w:w="300" w:type="dxa"/>
            <w:vAlign w:val="bottom"/>
          </w:tcPr>
          <w:p>
            <w:pPr>
              <w:spacing w:after="0"/>
              <w:rPr>
                <w:sz w:val="23"/>
                <w:szCs w:val="23"/>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ind w:right="360" w:firstLine="500"/>
        <w:spacing w:after="0" w:line="264" w:lineRule="auto"/>
        <w:rPr>
          <w:sz w:val="20"/>
          <w:szCs w:val="20"/>
          <w:color w:val="auto"/>
        </w:rPr>
      </w:pPr>
      <w:r>
        <w:rPr>
          <w:rFonts w:ascii="Arial" w:cs="Arial" w:eastAsia="Arial" w:hAnsi="Arial"/>
          <w:sz w:val="18"/>
          <w:szCs w:val="18"/>
          <w:color w:val="auto"/>
        </w:rPr>
        <w:t>The Company’s funding methods are based on governmental requirements and differ from those methods used to recognize pension expense. The Company expects to contribute $6.4 million to the international plans during 2019. The Company does not expect to make contributions to the U.S. plans during 2019.</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 Retirement Benefit Plans</w:t>
      </w:r>
    </w:p>
    <w:p>
      <w:pPr>
        <w:spacing w:after="0" w:line="121" w:lineRule="exact"/>
        <w:rPr>
          <w:sz w:val="20"/>
          <w:szCs w:val="20"/>
          <w:color w:val="auto"/>
        </w:rPr>
      </w:pPr>
    </w:p>
    <w:p>
      <w:pPr>
        <w:ind w:right="340" w:firstLine="500"/>
        <w:spacing w:after="0" w:line="264" w:lineRule="auto"/>
        <w:rPr>
          <w:sz w:val="20"/>
          <w:szCs w:val="20"/>
          <w:color w:val="auto"/>
        </w:rPr>
      </w:pPr>
      <w:r>
        <w:rPr>
          <w:rFonts w:ascii="Arial" w:cs="Arial" w:eastAsia="Arial" w:hAnsi="Arial"/>
          <w:sz w:val="18"/>
          <w:szCs w:val="18"/>
          <w:color w:val="auto"/>
        </w:rPr>
        <w:t>In addition to providing pension benefits, the Company has provided certain unfunded postretirement health care and life insurance benefits for a portion of North American employees. The Company is not obligated to pay health care and life insurance benefits to individuals who had retired prior to 1990. The Company uses a December 31 measurement date for all post retirement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64" w:right="239" w:bottom="1440" w:gutter="0" w:footer="0" w:header="0"/>
        </w:sectPr>
      </w:pPr>
    </w:p>
    <w:bookmarkStart w:id="22" w:name="page23"/>
    <w:bookmarkEnd w:id="22"/>
    <w:p>
      <w:pPr>
        <w:ind w:left="500"/>
        <w:spacing w:after="0"/>
        <w:rPr>
          <w:sz w:val="20"/>
          <w:szCs w:val="20"/>
          <w:color w:val="auto"/>
        </w:rPr>
      </w:pPr>
      <w:r>
        <w:rPr>
          <w:rFonts w:ascii="Arial" w:cs="Arial" w:eastAsia="Arial" w:hAnsi="Arial"/>
          <w:sz w:val="16"/>
          <w:szCs w:val="16"/>
          <w:color w:val="auto"/>
        </w:rPr>
        <w:t>The following tables provide information regarding the Company’s postretirement benefit plans summarized by U.S. and international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184150</wp:posOffset>
            </wp:positionV>
            <wp:extent cx="36874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34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5"/>
          </w:tcPr>
          <w:p>
            <w:pPr>
              <w:jc w:val="center"/>
              <w:ind w:left="478"/>
              <w:spacing w:after="0"/>
              <w:rPr>
                <w:sz w:val="20"/>
                <w:szCs w:val="20"/>
                <w:color w:val="auto"/>
              </w:rPr>
            </w:pPr>
            <w:r>
              <w:rPr>
                <w:rFonts w:ascii="Arial" w:cs="Arial" w:eastAsia="Arial" w:hAnsi="Arial"/>
                <w:sz w:val="14"/>
                <w:szCs w:val="14"/>
                <w:b w:val="1"/>
                <w:bCs w:val="1"/>
                <w:color w:val="auto"/>
                <w:w w:val="95"/>
              </w:rPr>
              <w:t>U.S.</w:t>
            </w:r>
          </w:p>
        </w:tc>
        <w:tc>
          <w:tcPr>
            <w:tcW w:w="8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5"/>
          </w:tcPr>
          <w:p>
            <w:pPr>
              <w:jc w:val="center"/>
              <w:ind w:left="478"/>
              <w:spacing w:after="0"/>
              <w:rPr>
                <w:sz w:val="20"/>
                <w:szCs w:val="20"/>
                <w:color w:val="auto"/>
              </w:rPr>
            </w:pPr>
            <w:r>
              <w:rPr>
                <w:rFonts w:ascii="Arial" w:cs="Arial" w:eastAsia="Arial" w:hAnsi="Arial"/>
                <w:sz w:val="14"/>
                <w:szCs w:val="14"/>
                <w:b w:val="1"/>
                <w:bCs w:val="1"/>
                <w:color w:val="auto"/>
                <w:w w:val="97"/>
              </w:rPr>
              <w:t>International</w:t>
            </w:r>
          </w:p>
        </w:tc>
        <w:tc>
          <w:tcPr>
            <w:tcW w:w="8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7"/>
          </w:tcPr>
          <w:p>
            <w:pPr>
              <w:jc w:val="center"/>
              <w:ind w:right="300"/>
              <w:spacing w:after="0"/>
              <w:rPr>
                <w:sz w:val="20"/>
                <w:szCs w:val="20"/>
                <w:color w:val="auto"/>
              </w:rPr>
            </w:pPr>
            <w:r>
              <w:rPr>
                <w:rFonts w:ascii="Arial" w:cs="Arial" w:eastAsia="Arial" w:hAnsi="Arial"/>
                <w:sz w:val="14"/>
                <w:szCs w:val="14"/>
                <w:b w:val="1"/>
                <w:bCs w:val="1"/>
                <w:color w:val="auto"/>
                <w:w w:val="93"/>
              </w:rPr>
              <w:t>Three Months Ended June 30,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7"/>
          </w:tcPr>
          <w:p>
            <w:pPr>
              <w:jc w:val="center"/>
              <w:ind w:right="300"/>
              <w:spacing w:after="0"/>
              <w:rPr>
                <w:sz w:val="20"/>
                <w:szCs w:val="20"/>
                <w:color w:val="auto"/>
              </w:rPr>
            </w:pPr>
            <w:r>
              <w:rPr>
                <w:rFonts w:ascii="Arial" w:cs="Arial" w:eastAsia="Arial" w:hAnsi="Arial"/>
                <w:sz w:val="14"/>
                <w:szCs w:val="14"/>
                <w:b w:val="1"/>
                <w:bCs w:val="1"/>
                <w:color w:val="auto"/>
                <w:w w:val="93"/>
              </w:rPr>
              <w:t>Three Months Ended June 30,</w:t>
            </w:r>
          </w:p>
        </w:tc>
        <w:tc>
          <w:tcPr>
            <w:tcW w:w="0" w:type="dxa"/>
            <w:vAlign w:val="bottom"/>
          </w:tcPr>
          <w:p>
            <w:pPr>
              <w:spacing w:after="0"/>
              <w:rPr>
                <w:sz w:val="1"/>
                <w:szCs w:val="1"/>
                <w:color w:val="auto"/>
              </w:rPr>
            </w:pPr>
          </w:p>
        </w:tc>
      </w:tr>
      <w:tr>
        <w:trPr>
          <w:trHeight w:val="229"/>
        </w:trPr>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i w:val="1"/>
                <w:iCs w:val="1"/>
                <w:color w:val="auto"/>
                <w:w w:val="87"/>
              </w:rPr>
              <w:t>In thousands</w:t>
            </w:r>
          </w:p>
        </w:tc>
        <w:tc>
          <w:tcPr>
            <w:tcW w:w="4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38"/>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ind w:right="413"/>
              <w:spacing w:after="0"/>
              <w:rPr>
                <w:sz w:val="20"/>
                <w:szCs w:val="20"/>
                <w:color w:val="auto"/>
              </w:rPr>
            </w:pPr>
            <w:r>
              <w:rPr>
                <w:rFonts w:ascii="Arial" w:cs="Arial" w:eastAsia="Arial" w:hAnsi="Arial"/>
                <w:sz w:val="14"/>
                <w:szCs w:val="14"/>
                <w:b w:val="1"/>
                <w:bCs w:val="1"/>
                <w:color w:val="auto"/>
                <w:w w:val="96"/>
              </w:rPr>
              <w:t>2018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438"/>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jc w:val="right"/>
              <w:ind w:right="433"/>
              <w:spacing w:after="0"/>
              <w:rPr>
                <w:sz w:val="20"/>
                <w:szCs w:val="20"/>
                <w:color w:val="auto"/>
              </w:rPr>
            </w:pPr>
            <w:r>
              <w:rPr>
                <w:rFonts w:ascii="Arial" w:cs="Arial" w:eastAsia="Arial" w:hAnsi="Arial"/>
                <w:sz w:val="14"/>
                <w:szCs w:val="14"/>
                <w:b w:val="1"/>
                <w:bCs w:val="1"/>
                <w:color w:val="auto"/>
                <w:w w:val="96"/>
              </w:rPr>
              <w:t>2018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5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Net periodic benefit cost</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5580" w:type="dxa"/>
            <w:vAlign w:val="bottom"/>
            <w:gridSpan w:val="3"/>
            <w:vMerge w:val="continue"/>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560" w:type="dxa"/>
            <w:vAlign w:val="bottom"/>
            <w:gridSpan w:val="2"/>
          </w:tcPr>
          <w:p>
            <w:pPr>
              <w:ind w:left="220"/>
              <w:spacing w:after="0"/>
              <w:rPr>
                <w:sz w:val="20"/>
                <w:szCs w:val="20"/>
                <w:color w:val="auto"/>
              </w:rPr>
            </w:pPr>
            <w:r>
              <w:rPr>
                <w:rFonts w:ascii="Arial" w:cs="Arial" w:eastAsia="Arial" w:hAnsi="Arial"/>
                <w:sz w:val="18"/>
                <w:szCs w:val="18"/>
                <w:color w:val="auto"/>
              </w:rPr>
              <w:t>Service cost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3"/>
                <w:szCs w:val="23"/>
                <w:color w:val="auto"/>
              </w:rPr>
            </w:pPr>
          </w:p>
        </w:tc>
        <w:tc>
          <w:tcPr>
            <w:tcW w:w="620" w:type="dxa"/>
            <w:vAlign w:val="bottom"/>
            <w:gridSpan w:val="3"/>
          </w:tcPr>
          <w:p>
            <w:pPr>
              <w:jc w:val="right"/>
              <w:ind w:right="3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3"/>
                <w:szCs w:val="23"/>
                <w:color w:val="auto"/>
              </w:rPr>
            </w:pPr>
          </w:p>
        </w:tc>
        <w:tc>
          <w:tcPr>
            <w:tcW w:w="42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3"/>
                <w:szCs w:val="23"/>
                <w:color w:val="auto"/>
              </w:rPr>
            </w:pPr>
          </w:p>
        </w:tc>
        <w:tc>
          <w:tcPr>
            <w:tcW w:w="620" w:type="dxa"/>
            <w:vAlign w:val="bottom"/>
            <w:gridSpan w:val="3"/>
          </w:tcPr>
          <w:p>
            <w:pPr>
              <w:jc w:val="right"/>
              <w:ind w:right="2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560" w:type="dxa"/>
            <w:vAlign w:val="bottom"/>
            <w:gridSpan w:val="2"/>
          </w:tcPr>
          <w:p>
            <w:pPr>
              <w:ind w:left="220"/>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560" w:type="dxa"/>
            <w:vAlign w:val="bottom"/>
            <w:gridSpan w:val="2"/>
          </w:tcPr>
          <w:p>
            <w:pPr>
              <w:ind w:left="220"/>
              <w:spacing w:after="0"/>
              <w:rPr>
                <w:sz w:val="20"/>
                <w:szCs w:val="20"/>
                <w:color w:val="auto"/>
              </w:rPr>
            </w:pPr>
            <w:r>
              <w:rPr>
                <w:rFonts w:ascii="Arial" w:cs="Arial" w:eastAsia="Arial" w:hAnsi="Arial"/>
                <w:sz w:val="18"/>
                <w:szCs w:val="18"/>
                <w:color w:val="auto"/>
              </w:rPr>
              <w:t>Net amortization/deferrals</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7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560" w:type="dxa"/>
            <w:vAlign w:val="bottom"/>
            <w:gridSpan w:val="2"/>
          </w:tcPr>
          <w:p>
            <w:pPr>
              <w:ind w:left="460"/>
              <w:spacing w:after="0"/>
              <w:rPr>
                <w:sz w:val="20"/>
                <w:szCs w:val="20"/>
                <w:color w:val="auto"/>
              </w:rPr>
            </w:pPr>
            <w:r>
              <w:rPr>
                <w:rFonts w:ascii="Arial" w:cs="Arial" w:eastAsia="Arial" w:hAnsi="Arial"/>
                <w:sz w:val="18"/>
                <w:szCs w:val="18"/>
                <w:color w:val="auto"/>
              </w:rPr>
              <w:t>Net periodic benefit cost</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 w:type="dxa"/>
            <w:vAlign w:val="bottom"/>
            <w:tcBorders>
              <w:bottom w:val="single" w:sz="8" w:color="auto"/>
            </w:tcBorders>
          </w:tcPr>
          <w:p>
            <w:pPr>
              <w:spacing w:after="0"/>
              <w:rPr>
                <w:sz w:val="22"/>
                <w:szCs w:val="22"/>
                <w:color w:val="auto"/>
              </w:rPr>
            </w:pPr>
          </w:p>
        </w:tc>
        <w:tc>
          <w:tcPr>
            <w:tcW w:w="120" w:type="dxa"/>
            <w:vAlign w:val="bottom"/>
            <w:gridSpan w:val="2"/>
          </w:tcPr>
          <w:p>
            <w:pPr>
              <w:spacing w:after="0"/>
              <w:rPr>
                <w:sz w:val="22"/>
                <w:szCs w:val="22"/>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40" w:type="dxa"/>
            <w:vAlign w:val="bottom"/>
            <w:tcBorders>
              <w:bottom w:val="single" w:sz="8" w:color="auto"/>
            </w:tcBorders>
          </w:tcPr>
          <w:p>
            <w:pPr>
              <w:spacing w:after="0"/>
              <w:rPr>
                <w:sz w:val="22"/>
                <w:szCs w:val="22"/>
                <w:color w:val="auto"/>
              </w:rPr>
            </w:pPr>
          </w:p>
        </w:tc>
        <w:tc>
          <w:tcPr>
            <w:tcW w:w="100" w:type="dxa"/>
            <w:vAlign w:val="bottom"/>
            <w:gridSpan w:val="2"/>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22"/>
                <w:szCs w:val="22"/>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5"/>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5"/>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5"/>
          </w:tcPr>
          <w:p>
            <w:pPr>
              <w:jc w:val="center"/>
              <w:ind w:left="438"/>
              <w:spacing w:after="0"/>
              <w:rPr>
                <w:sz w:val="20"/>
                <w:szCs w:val="20"/>
                <w:color w:val="auto"/>
              </w:rPr>
            </w:pPr>
            <w:r>
              <w:rPr>
                <w:rFonts w:ascii="Arial" w:cs="Arial" w:eastAsia="Arial" w:hAnsi="Arial"/>
                <w:sz w:val="14"/>
                <w:szCs w:val="14"/>
                <w:b w:val="1"/>
                <w:bCs w:val="1"/>
                <w:color w:val="auto"/>
                <w:w w:val="95"/>
              </w:rPr>
              <w:t>U.S.</w:t>
            </w:r>
          </w:p>
        </w:tc>
        <w:tc>
          <w:tcPr>
            <w:tcW w:w="82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5"/>
          </w:tcPr>
          <w:p>
            <w:pPr>
              <w:jc w:val="center"/>
              <w:ind w:left="418"/>
              <w:spacing w:after="0"/>
              <w:rPr>
                <w:sz w:val="20"/>
                <w:szCs w:val="20"/>
                <w:color w:val="auto"/>
              </w:rPr>
            </w:pPr>
            <w:r>
              <w:rPr>
                <w:rFonts w:ascii="Arial" w:cs="Arial" w:eastAsia="Arial" w:hAnsi="Arial"/>
                <w:sz w:val="14"/>
                <w:szCs w:val="14"/>
                <w:b w:val="1"/>
                <w:bCs w:val="1"/>
                <w:color w:val="auto"/>
                <w:w w:val="95"/>
              </w:rPr>
              <w:t>International</w:t>
            </w:r>
          </w:p>
        </w:tc>
        <w:tc>
          <w:tcPr>
            <w:tcW w:w="8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00" w:type="dxa"/>
            <w:vAlign w:val="bottom"/>
            <w:gridSpan w:val="5"/>
          </w:tcPr>
          <w:p>
            <w:pPr>
              <w:jc w:val="center"/>
              <w:ind w:left="438"/>
              <w:spacing w:after="0" w:line="153" w:lineRule="exact"/>
              <w:rPr>
                <w:sz w:val="20"/>
                <w:szCs w:val="20"/>
                <w:color w:val="auto"/>
              </w:rPr>
            </w:pPr>
            <w:r>
              <w:rPr>
                <w:rFonts w:ascii="Arial" w:cs="Arial" w:eastAsia="Arial" w:hAnsi="Arial"/>
                <w:sz w:val="14"/>
                <w:szCs w:val="14"/>
                <w:b w:val="1"/>
                <w:bCs w:val="1"/>
                <w:color w:val="auto"/>
                <w:w w:val="93"/>
              </w:rPr>
              <w:t>Six Months Ended</w:t>
            </w: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60" w:type="dxa"/>
            <w:vAlign w:val="bottom"/>
            <w:gridSpan w:val="5"/>
          </w:tcPr>
          <w:p>
            <w:pPr>
              <w:jc w:val="center"/>
              <w:ind w:left="418"/>
              <w:spacing w:after="0" w:line="153" w:lineRule="exact"/>
              <w:rPr>
                <w:sz w:val="20"/>
                <w:szCs w:val="20"/>
                <w:color w:val="auto"/>
              </w:rPr>
            </w:pPr>
            <w:r>
              <w:rPr>
                <w:rFonts w:ascii="Arial" w:cs="Arial" w:eastAsia="Arial" w:hAnsi="Arial"/>
                <w:sz w:val="14"/>
                <w:szCs w:val="14"/>
                <w:b w:val="1"/>
                <w:bCs w:val="1"/>
                <w:color w:val="auto"/>
                <w:w w:val="92"/>
              </w:rPr>
              <w:t>Six Months Ended</w:t>
            </w: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5"/>
          </w:tcPr>
          <w:p>
            <w:pPr>
              <w:jc w:val="center"/>
              <w:ind w:left="458"/>
              <w:spacing w:after="0"/>
              <w:rPr>
                <w:sz w:val="20"/>
                <w:szCs w:val="20"/>
                <w:color w:val="auto"/>
              </w:rPr>
            </w:pPr>
            <w:r>
              <w:rPr>
                <w:rFonts w:ascii="Arial" w:cs="Arial" w:eastAsia="Arial" w:hAnsi="Arial"/>
                <w:sz w:val="14"/>
                <w:szCs w:val="14"/>
                <w:b w:val="1"/>
                <w:bCs w:val="1"/>
                <w:color w:val="auto"/>
                <w:w w:val="92"/>
              </w:rPr>
              <w:t>June 30,</w:t>
            </w:r>
          </w:p>
        </w:tc>
        <w:tc>
          <w:tcPr>
            <w:tcW w:w="8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5"/>
          </w:tcPr>
          <w:p>
            <w:pPr>
              <w:jc w:val="center"/>
              <w:ind w:left="418"/>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00" w:type="dxa"/>
            <w:vAlign w:val="bottom"/>
          </w:tcPr>
          <w:p>
            <w:pPr>
              <w:spacing w:after="0"/>
              <w:rPr>
                <w:sz w:val="19"/>
                <w:szCs w:val="19"/>
                <w:color w:val="auto"/>
              </w:rPr>
            </w:pPr>
          </w:p>
        </w:tc>
        <w:tc>
          <w:tcPr>
            <w:tcW w:w="1060" w:type="dxa"/>
            <w:vAlign w:val="bottom"/>
          </w:tcPr>
          <w:p>
            <w:pPr>
              <w:jc w:val="right"/>
              <w:ind w:right="458"/>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ind w:right="453"/>
              <w:spacing w:after="0"/>
              <w:rPr>
                <w:sz w:val="20"/>
                <w:szCs w:val="20"/>
                <w:color w:val="auto"/>
              </w:rPr>
            </w:pPr>
            <w:r>
              <w:rPr>
                <w:rFonts w:ascii="Arial" w:cs="Arial" w:eastAsia="Arial" w:hAnsi="Arial"/>
                <w:sz w:val="14"/>
                <w:szCs w:val="14"/>
                <w:b w:val="1"/>
                <w:bCs w:val="1"/>
                <w:color w:val="auto"/>
                <w:w w:val="83"/>
              </w:rPr>
              <w:t>2018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458"/>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jc w:val="right"/>
              <w:ind w:right="473"/>
              <w:spacing w:after="0"/>
              <w:rPr>
                <w:sz w:val="20"/>
                <w:szCs w:val="20"/>
                <w:color w:val="auto"/>
              </w:rPr>
            </w:pPr>
            <w:r>
              <w:rPr>
                <w:rFonts w:ascii="Arial" w:cs="Arial" w:eastAsia="Arial" w:hAnsi="Arial"/>
                <w:sz w:val="14"/>
                <w:szCs w:val="14"/>
                <w:b w:val="1"/>
                <w:bCs w:val="1"/>
                <w:color w:val="auto"/>
                <w:w w:val="83"/>
              </w:rPr>
              <w:t>2018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periodic benefit cost</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56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560" w:type="dxa"/>
            <w:vAlign w:val="bottom"/>
            <w:gridSpan w:val="2"/>
          </w:tcPr>
          <w:p>
            <w:pPr>
              <w:ind w:left="260"/>
              <w:spacing w:after="0"/>
              <w:rPr>
                <w:sz w:val="20"/>
                <w:szCs w:val="20"/>
                <w:color w:val="auto"/>
              </w:rPr>
            </w:pPr>
            <w:r>
              <w:rPr>
                <w:rFonts w:ascii="Arial" w:cs="Arial" w:eastAsia="Arial" w:hAnsi="Arial"/>
                <w:sz w:val="18"/>
                <w:szCs w:val="18"/>
                <w:color w:val="auto"/>
              </w:rPr>
              <w:t>Service cost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8"/>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3"/>
                <w:szCs w:val="23"/>
                <w:color w:val="auto"/>
              </w:rPr>
            </w:pPr>
          </w:p>
        </w:tc>
        <w:tc>
          <w:tcPr>
            <w:tcW w:w="620" w:type="dxa"/>
            <w:vAlign w:val="bottom"/>
            <w:gridSpan w:val="3"/>
          </w:tcPr>
          <w:p>
            <w:pPr>
              <w:jc w:val="right"/>
              <w:ind w:right="3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3"/>
                <w:szCs w:val="23"/>
                <w:color w:val="auto"/>
              </w:rPr>
            </w:pPr>
          </w:p>
        </w:tc>
        <w:tc>
          <w:tcPr>
            <w:tcW w:w="42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8"/>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3"/>
                <w:szCs w:val="23"/>
                <w:color w:val="auto"/>
              </w:rPr>
            </w:pPr>
          </w:p>
        </w:tc>
        <w:tc>
          <w:tcPr>
            <w:tcW w:w="620" w:type="dxa"/>
            <w:vAlign w:val="bottom"/>
            <w:gridSpan w:val="3"/>
          </w:tcPr>
          <w:p>
            <w:pPr>
              <w:jc w:val="right"/>
              <w:ind w:right="3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560" w:type="dxa"/>
            <w:vAlign w:val="bottom"/>
            <w:gridSpan w:val="2"/>
          </w:tcPr>
          <w:p>
            <w:pPr>
              <w:ind w:left="260"/>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23"/>
                <w:szCs w:val="23"/>
                <w:color w:val="auto"/>
              </w:rPr>
            </w:pPr>
          </w:p>
        </w:tc>
        <w:tc>
          <w:tcPr>
            <w:tcW w:w="1060" w:type="dxa"/>
            <w:vAlign w:val="bottom"/>
          </w:tcPr>
          <w:p>
            <w:pPr>
              <w:jc w:val="right"/>
              <w:ind w:right="38"/>
              <w:spacing w:after="0"/>
              <w:rPr>
                <w:sz w:val="20"/>
                <w:szCs w:val="20"/>
                <w:color w:val="auto"/>
              </w:rPr>
            </w:pPr>
            <w:r>
              <w:rPr>
                <w:rFonts w:ascii="Arial" w:cs="Arial" w:eastAsia="Arial" w:hAnsi="Arial"/>
                <w:sz w:val="18"/>
                <w:szCs w:val="18"/>
                <w:color w:val="auto"/>
              </w:rPr>
              <w:t>178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162</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38"/>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560" w:type="dxa"/>
            <w:vAlign w:val="bottom"/>
            <w:gridSpan w:val="2"/>
          </w:tcPr>
          <w:p>
            <w:pPr>
              <w:ind w:left="260"/>
              <w:spacing w:after="0"/>
              <w:rPr>
                <w:sz w:val="20"/>
                <w:szCs w:val="20"/>
                <w:color w:val="auto"/>
              </w:rPr>
            </w:pPr>
            <w:r>
              <w:rPr>
                <w:rFonts w:ascii="Arial" w:cs="Arial" w:eastAsia="Arial" w:hAnsi="Arial"/>
                <w:sz w:val="18"/>
                <w:szCs w:val="18"/>
                <w:color w:val="auto"/>
              </w:rPr>
              <w:t>Net amortization/deferrals</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(152)</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7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560" w:type="dxa"/>
            <w:vAlign w:val="bottom"/>
            <w:gridSpan w:val="2"/>
          </w:tcPr>
          <w:p>
            <w:pPr>
              <w:ind w:left="500"/>
              <w:spacing w:after="0"/>
              <w:rPr>
                <w:sz w:val="20"/>
                <w:szCs w:val="20"/>
                <w:color w:val="auto"/>
              </w:rPr>
            </w:pPr>
            <w:r>
              <w:rPr>
                <w:rFonts w:ascii="Arial" w:cs="Arial" w:eastAsia="Arial" w:hAnsi="Arial"/>
                <w:sz w:val="18"/>
                <w:szCs w:val="18"/>
                <w:color w:val="auto"/>
              </w:rPr>
              <w:t>Net periodic benefit cost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2"/>
                <w:szCs w:val="22"/>
                <w:color w:val="auto"/>
              </w:rPr>
            </w:pPr>
          </w:p>
        </w:tc>
        <w:tc>
          <w:tcPr>
            <w:tcW w:w="620" w:type="dxa"/>
            <w:vAlign w:val="bottom"/>
            <w:gridSpan w:val="3"/>
          </w:tcPr>
          <w:p>
            <w:pPr>
              <w:jc w:val="right"/>
              <w:ind w:right="3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22"/>
                <w:szCs w:val="22"/>
                <w:color w:val="auto"/>
              </w:rPr>
            </w:pPr>
          </w:p>
        </w:tc>
        <w:tc>
          <w:tcPr>
            <w:tcW w:w="42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ind w:right="3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Assumptions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558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560" w:type="dxa"/>
            <w:vAlign w:val="bottom"/>
            <w:gridSpan w:val="2"/>
          </w:tcPr>
          <w:p>
            <w:pPr>
              <w:ind w:left="240"/>
              <w:spacing w:after="0"/>
              <w:rPr>
                <w:sz w:val="20"/>
                <w:szCs w:val="20"/>
                <w:color w:val="auto"/>
              </w:rPr>
            </w:pPr>
            <w:r>
              <w:rPr>
                <w:rFonts w:ascii="Arial" w:cs="Arial" w:eastAsia="Arial" w:hAnsi="Arial"/>
                <w:sz w:val="18"/>
                <w:szCs w:val="18"/>
                <w:color w:val="auto"/>
              </w:rPr>
              <w:t>Discount Rate</w:t>
            </w:r>
          </w:p>
        </w:tc>
        <w:tc>
          <w:tcPr>
            <w:tcW w:w="300" w:type="dxa"/>
            <w:vAlign w:val="bottom"/>
          </w:tcPr>
          <w:p>
            <w:pPr>
              <w:spacing w:after="0"/>
              <w:rPr>
                <w:sz w:val="23"/>
                <w:szCs w:val="23"/>
                <w:color w:val="auto"/>
              </w:rPr>
            </w:pPr>
          </w:p>
        </w:tc>
        <w:tc>
          <w:tcPr>
            <w:tcW w:w="1060" w:type="dxa"/>
            <w:vAlign w:val="bottom"/>
          </w:tcPr>
          <w:p>
            <w:pPr>
              <w:jc w:val="right"/>
              <w:ind w:right="78"/>
              <w:spacing w:after="0"/>
              <w:rPr>
                <w:sz w:val="20"/>
                <w:szCs w:val="20"/>
                <w:color w:val="auto"/>
              </w:rPr>
            </w:pPr>
            <w:r>
              <w:rPr>
                <w:rFonts w:ascii="Arial" w:cs="Arial" w:eastAsia="Arial" w:hAnsi="Arial"/>
                <w:sz w:val="18"/>
                <w:szCs w:val="18"/>
                <w:color w:val="auto"/>
              </w:rPr>
              <w:t>4.17%</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3.43%</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3.49%</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121" w:lineRule="exact"/>
        <w:rPr>
          <w:sz w:val="20"/>
          <w:szCs w:val="20"/>
          <w:color w:val="auto"/>
        </w:rPr>
      </w:pPr>
    </w:p>
    <w:p>
      <w:pPr>
        <w:ind w:right="40" w:firstLine="500"/>
        <w:spacing w:after="0" w:line="297" w:lineRule="auto"/>
        <w:rPr>
          <w:sz w:val="20"/>
          <w:szCs w:val="20"/>
          <w:color w:val="auto"/>
        </w:rPr>
      </w:pPr>
      <w:r>
        <w:rPr>
          <w:rFonts w:ascii="Arial" w:cs="Arial" w:eastAsia="Arial" w:hAnsi="Arial"/>
          <w:sz w:val="16"/>
          <w:szCs w:val="16"/>
          <w:color w:val="auto"/>
        </w:rPr>
        <w:t>As of June 30, 2019, the Company maintains employee stock-based compensation plans for stock options, restricted stock, and incentive stock units as governed by the 2011 Stock Incentive Compensation Plan, as amended and restated (the “2011 Plan”) and the 2000 Stock Incentive Plan, as amended (the “2000 Plan”). The 2011 Plan has a term through May 10, 2027 and provides a maximum of 3,800,000 shares for grants or awards, plus any shares which remain available under the 2000 Plan. The amendment and restatement of the 2011 Plan was approved by stockholders of Wabtec on May 10, 2017. The Company also maintains a 1995 Non-Employee Directors’ Fee and Stock Option Plan as amended and restated (“the Directors Plan”).</w:t>
      </w:r>
    </w:p>
    <w:p>
      <w:pPr>
        <w:spacing w:after="0" w:line="50" w:lineRule="exact"/>
        <w:rPr>
          <w:sz w:val="20"/>
          <w:szCs w:val="20"/>
          <w:color w:val="auto"/>
        </w:rPr>
      </w:pPr>
    </w:p>
    <w:p>
      <w:pPr>
        <w:ind w:firstLine="500"/>
        <w:spacing w:after="0" w:line="259" w:lineRule="auto"/>
        <w:rPr>
          <w:sz w:val="20"/>
          <w:szCs w:val="20"/>
          <w:color w:val="auto"/>
        </w:rPr>
      </w:pPr>
      <w:r>
        <w:rPr>
          <w:rFonts w:ascii="Arial" w:cs="Arial" w:eastAsia="Arial" w:hAnsi="Arial"/>
          <w:sz w:val="18"/>
          <w:szCs w:val="18"/>
          <w:color w:val="auto"/>
        </w:rPr>
        <w:t>Stock-based compensation expense was $15.8 million and $8.3 million for the three months ended June 30, 2019 and 2018, respectively. Included in stock-based compensation expense for the three months ended June 30, 2019 is $1.0 million of expense related to stock options, $8.1 million related to restricted stock, $2.9 million related to restricted stock units, $3.5 million related to incentive stock units and $0.3 million related to units issued for Directors’ fees.</w:t>
      </w:r>
    </w:p>
    <w:p>
      <w:pPr>
        <w:spacing w:after="0" w:line="79" w:lineRule="exact"/>
        <w:rPr>
          <w:sz w:val="20"/>
          <w:szCs w:val="20"/>
          <w:color w:val="auto"/>
        </w:rPr>
      </w:pPr>
    </w:p>
    <w:p>
      <w:pPr>
        <w:ind w:right="20" w:firstLine="500"/>
        <w:spacing w:after="0" w:line="257" w:lineRule="auto"/>
        <w:rPr>
          <w:sz w:val="20"/>
          <w:szCs w:val="20"/>
          <w:color w:val="auto"/>
        </w:rPr>
      </w:pPr>
      <w:r>
        <w:rPr>
          <w:rFonts w:ascii="Arial" w:cs="Arial" w:eastAsia="Arial" w:hAnsi="Arial"/>
          <w:sz w:val="18"/>
          <w:szCs w:val="18"/>
          <w:color w:val="auto"/>
        </w:rPr>
        <w:t>Stock-based compensation expense was $24.3 million and $14.0 million for the six months ended June 30, 2019 and 2018, respectively. Included in stock-based compensation expense for the six months ended June 30, 2019 is $1.3 million of expense related to stock options, $10.8 million related to restricted stock, $3.7 million related to restricted stock units, $7.9 million related to incentive stock units and $0.6 million related to units issued for Directors’ fees. At June 30, 2019, unamortized compensation expense related to stock options, non-vested restricted shares and incentive stock units expected to vest totaled $61.7 million.</w:t>
      </w:r>
    </w:p>
    <w:p>
      <w:pPr>
        <w:spacing w:after="0" w:line="80" w:lineRule="exact"/>
        <w:rPr>
          <w:sz w:val="20"/>
          <w:szCs w:val="20"/>
          <w:color w:val="auto"/>
        </w:rPr>
      </w:pPr>
    </w:p>
    <w:p>
      <w:pPr>
        <w:ind w:right="180" w:firstLine="500"/>
        <w:spacing w:after="0" w:line="259" w:lineRule="auto"/>
        <w:rPr>
          <w:sz w:val="20"/>
          <w:szCs w:val="20"/>
          <w:color w:val="auto"/>
        </w:rPr>
      </w:pPr>
      <w:r>
        <w:rPr>
          <w:rFonts w:ascii="Arial" w:cs="Arial" w:eastAsia="Arial" w:hAnsi="Arial"/>
          <w:sz w:val="18"/>
          <w:szCs w:val="18"/>
          <w:b w:val="1"/>
          <w:bCs w:val="1"/>
          <w:i w:val="1"/>
          <w:iCs w:val="1"/>
          <w:color w:val="auto"/>
        </w:rPr>
        <w:t xml:space="preserve">Stock Options </w:t>
      </w:r>
      <w:r>
        <w:rPr>
          <w:rFonts w:ascii="Arial" w:cs="Arial" w:eastAsia="Arial" w:hAnsi="Arial"/>
          <w:sz w:val="18"/>
          <w:szCs w:val="18"/>
          <w:color w:val="auto"/>
        </w:rPr>
        <w:t>Stock options are granted to eligible employees at an exercise price equivalent to the stock's fair market value, which is the average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high and low Wabtec stock price on the date of grant. Under the 2011 Plan and the 2000 Plan, options granted prior to 2019 become exercisable over a four-year vesting period, while options granted in 2019 become exercisable over a three-year vesting period. Both vesting periods expire 10 years from the date of grant.</w:t>
      </w:r>
    </w:p>
    <w:p>
      <w:pPr>
        <w:spacing w:after="0" w:line="79" w:lineRule="exact"/>
        <w:rPr>
          <w:sz w:val="20"/>
          <w:szCs w:val="20"/>
          <w:color w:val="auto"/>
        </w:rPr>
      </w:pPr>
    </w:p>
    <w:p>
      <w:pPr>
        <w:ind w:right="200" w:firstLine="500"/>
        <w:spacing w:after="0" w:line="277" w:lineRule="auto"/>
        <w:rPr>
          <w:sz w:val="20"/>
          <w:szCs w:val="20"/>
          <w:color w:val="auto"/>
        </w:rPr>
      </w:pPr>
      <w:r>
        <w:rPr>
          <w:rFonts w:ascii="Arial" w:cs="Arial" w:eastAsia="Arial" w:hAnsi="Arial"/>
          <w:sz w:val="18"/>
          <w:szCs w:val="18"/>
          <w:color w:val="auto"/>
        </w:rPr>
        <w:t>The following table summarizes the Company’s stock option activity and related information for the 2011 Plan, the 2000 Plan and the Directors Plan for the six months ended June 30, 2019:</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Weighted</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4"/>
                <w:szCs w:val="14"/>
                <w:color w:val="auto"/>
              </w:rPr>
            </w:pPr>
          </w:p>
        </w:tc>
        <w:tc>
          <w:tcPr>
            <w:tcW w:w="1180" w:type="dxa"/>
            <w:vAlign w:val="bottom"/>
            <w:vMerge w:val="restart"/>
          </w:tcPr>
          <w:p>
            <w:pPr>
              <w:jc w:val="center"/>
              <w:ind w:right="76"/>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138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Exercise</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180" w:type="dxa"/>
            <w:vAlign w:val="bottom"/>
          </w:tcPr>
          <w:p>
            <w:pPr>
              <w:spacing w:after="0"/>
              <w:rPr>
                <w:sz w:val="12"/>
                <w:szCs w:val="12"/>
                <w:color w:val="auto"/>
              </w:rPr>
            </w:pPr>
          </w:p>
        </w:tc>
        <w:tc>
          <w:tcPr>
            <w:tcW w:w="118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95"/>
              </w:rPr>
              <w:t>Intrinsic value</w:t>
            </w:r>
          </w:p>
        </w:tc>
        <w:tc>
          <w:tcPr>
            <w:tcW w:w="0" w:type="dxa"/>
            <w:vAlign w:val="bottom"/>
          </w:tcPr>
          <w:p>
            <w:pPr>
              <w:spacing w:after="0"/>
              <w:rPr>
                <w:sz w:val="1"/>
                <w:szCs w:val="1"/>
                <w:color w:val="auto"/>
              </w:rPr>
            </w:pPr>
          </w:p>
        </w:tc>
      </w:tr>
      <w:tr>
        <w:trPr>
          <w:trHeight w:val="192"/>
        </w:trPr>
        <w:tc>
          <w:tcPr>
            <w:tcW w:w="5580" w:type="dxa"/>
            <w:vAlign w:val="bottom"/>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Contractual Life</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Outstanding at December 31, 2018</w:t>
            </w: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466,677</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61.04</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5,003</w:t>
            </w:r>
          </w:p>
        </w:tc>
        <w:tc>
          <w:tcPr>
            <w:tcW w:w="0" w:type="dxa"/>
            <w:vAlign w:val="bottom"/>
          </w:tcPr>
          <w:p>
            <w:pPr>
              <w:spacing w:after="0"/>
              <w:rPr>
                <w:sz w:val="1"/>
                <w:szCs w:val="1"/>
                <w:color w:val="auto"/>
              </w:rPr>
            </w:pPr>
          </w:p>
        </w:tc>
      </w:tr>
      <w:tr>
        <w:trPr>
          <w:trHeight w:val="270"/>
        </w:trPr>
        <w:tc>
          <w:tcPr>
            <w:tcW w:w="55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132,155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70.46</w:t>
            </w: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70"/>
        </w:trPr>
        <w:tc>
          <w:tcPr>
            <w:tcW w:w="5580" w:type="dxa"/>
            <w:vAlign w:val="bottom"/>
          </w:tcPr>
          <w:p>
            <w:pPr>
              <w:ind w:left="240"/>
              <w:spacing w:after="0"/>
              <w:rPr>
                <w:sz w:val="20"/>
                <w:szCs w:val="20"/>
                <w:color w:val="auto"/>
              </w:rPr>
            </w:pPr>
            <w:r>
              <w:rPr>
                <w:rFonts w:ascii="Arial" w:cs="Arial" w:eastAsia="Arial" w:hAnsi="Arial"/>
                <w:sz w:val="18"/>
                <w:szCs w:val="18"/>
                <w:color w:val="auto"/>
              </w:rPr>
              <w:t>Exercised</w:t>
            </w:r>
          </w:p>
        </w:tc>
        <w:tc>
          <w:tcPr>
            <w:tcW w:w="1380" w:type="dxa"/>
            <w:vAlign w:val="bottom"/>
          </w:tcPr>
          <w:p>
            <w:pPr>
              <w:jc w:val="right"/>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64.54</w:t>
            </w: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0"/>
        </w:trPr>
        <w:tc>
          <w:tcPr>
            <w:tcW w:w="5580" w:type="dxa"/>
            <w:vAlign w:val="bottom"/>
          </w:tcPr>
          <w:p>
            <w:pPr>
              <w:ind w:left="240"/>
              <w:spacing w:after="0"/>
              <w:rPr>
                <w:sz w:val="20"/>
                <w:szCs w:val="20"/>
                <w:color w:val="auto"/>
              </w:rPr>
            </w:pPr>
            <w:r>
              <w:rPr>
                <w:rFonts w:ascii="Arial" w:cs="Arial" w:eastAsia="Arial" w:hAnsi="Arial"/>
                <w:sz w:val="18"/>
                <w:szCs w:val="18"/>
                <w:color w:val="auto"/>
              </w:rPr>
              <w:t>Canceled</w:t>
            </w:r>
          </w:p>
        </w:tc>
        <w:tc>
          <w:tcPr>
            <w:tcW w:w="1380" w:type="dxa"/>
            <w:vAlign w:val="bottom"/>
          </w:tcPr>
          <w:p>
            <w:pPr>
              <w:jc w:val="right"/>
              <w:spacing w:after="0"/>
              <w:rPr>
                <w:sz w:val="20"/>
                <w:szCs w:val="20"/>
                <w:color w:val="auto"/>
              </w:rPr>
            </w:pPr>
            <w:r>
              <w:rPr>
                <w:rFonts w:ascii="Arial" w:cs="Arial" w:eastAsia="Arial" w:hAnsi="Arial"/>
                <w:sz w:val="18"/>
                <w:szCs w:val="18"/>
                <w:color w:val="auto"/>
              </w:rPr>
              <w:t>(3,148)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73.34</w:t>
            </w: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80" w:type="dxa"/>
            <w:vAlign w:val="bottom"/>
          </w:tcPr>
          <w:p>
            <w:pPr>
              <w:spacing w:after="0"/>
              <w:rPr>
                <w:sz w:val="20"/>
                <w:szCs w:val="20"/>
                <w:color w:val="auto"/>
              </w:rPr>
            </w:pPr>
            <w:r>
              <w:rPr>
                <w:rFonts w:ascii="Arial" w:cs="Arial" w:eastAsia="Arial" w:hAnsi="Arial"/>
                <w:sz w:val="18"/>
                <w:szCs w:val="18"/>
                <w:color w:val="auto"/>
              </w:rPr>
              <w:t>Outstanding at June 30, 2019</w:t>
            </w:r>
          </w:p>
        </w:tc>
        <w:tc>
          <w:tcPr>
            <w:tcW w:w="13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595,216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63.08</w:t>
            </w: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5,168</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Exercisable at June 30, 2019</w:t>
            </w: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388,634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54.89</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6,558</w:t>
            </w: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ind w:right="40" w:firstLine="500"/>
        <w:spacing w:after="0" w:line="277" w:lineRule="auto"/>
        <w:rPr>
          <w:sz w:val="20"/>
          <w:szCs w:val="20"/>
          <w:color w:val="auto"/>
        </w:rPr>
      </w:pPr>
      <w:r>
        <w:rPr>
          <w:rFonts w:ascii="Arial" w:cs="Arial" w:eastAsia="Arial" w:hAnsi="Arial"/>
          <w:sz w:val="18"/>
          <w:szCs w:val="18"/>
          <w:color w:val="auto"/>
        </w:rPr>
        <w:t>The fair value of each option grant is estimated on the date of grant using the Black-Scholes option pricing model with the following weighted-average assumptions:</w:t>
      </w:r>
    </w:p>
    <w:p>
      <w:pPr>
        <w:spacing w:after="0" w:line="216" w:lineRule="exact"/>
        <w:rPr>
          <w:sz w:val="20"/>
          <w:szCs w:val="20"/>
          <w:color w:val="auto"/>
        </w:rPr>
      </w:pPr>
    </w:p>
    <w:p>
      <w:pPr>
        <w:jc w:val="center"/>
        <w:ind w:left="848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48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13335</wp:posOffset>
            </wp:positionV>
            <wp:extent cx="18865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87" w:lineRule="exact"/>
        <w:rPr>
          <w:sz w:val="20"/>
          <w:szCs w:val="20"/>
          <w:color w:val="auto"/>
        </w:rPr>
      </w:pPr>
    </w:p>
    <w:p>
      <w:pPr>
        <w:ind w:left="9020"/>
        <w:spacing w:after="0"/>
        <w:tabs>
          <w:tab w:leader="none" w:pos="1054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23495</wp:posOffset>
            </wp:positionV>
            <wp:extent cx="18865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ectPr>
          <w:pgSz w:w="11900" w:h="16838" w:orient="portrait"/>
          <w:cols w:equalWidth="0" w:num="1">
            <w:col w:w="11420"/>
          </w:cols>
          <w:pgMar w:left="240" w:top="476" w:right="239" w:bottom="0" w:gutter="0" w:footer="0" w:header="0"/>
        </w:sectPr>
      </w:pPr>
    </w:p>
    <w:p>
      <w:pPr>
        <w:spacing w:after="0" w:line="63" w:lineRule="exact"/>
        <w:rPr>
          <w:sz w:val="20"/>
          <w:szCs w:val="20"/>
          <w:color w:val="auto"/>
        </w:rPr>
      </w:pPr>
    </w:p>
    <w:p>
      <w:pPr>
        <w:ind w:left="40"/>
        <w:spacing w:after="0"/>
        <w:tabs>
          <w:tab w:leader="none" w:pos="9360" w:val="left"/>
          <w:tab w:leader="none" w:pos="10900" w:val="left"/>
        </w:tabs>
        <w:rPr>
          <w:sz w:val="20"/>
          <w:szCs w:val="20"/>
          <w:color w:val="auto"/>
        </w:rPr>
      </w:pPr>
      <w:r>
        <w:rPr>
          <w:rFonts w:ascii="Arial" w:cs="Arial" w:eastAsia="Arial" w:hAnsi="Arial"/>
          <w:sz w:val="18"/>
          <w:szCs w:val="18"/>
          <w:color w:val="auto"/>
        </w:rPr>
        <w:t>Dividend yield</w:t>
      </w:r>
      <w:r>
        <w:rPr>
          <w:sz w:val="20"/>
          <w:szCs w:val="20"/>
          <w:color w:val="auto"/>
        </w:rPr>
        <w:tab/>
      </w:r>
      <w:r>
        <w:rPr>
          <w:rFonts w:ascii="Arial" w:cs="Arial" w:eastAsia="Arial" w:hAnsi="Arial"/>
          <w:sz w:val="18"/>
          <w:szCs w:val="18"/>
          <w:color w:val="auto"/>
        </w:rPr>
        <w:t>0.66%</w:t>
      </w:r>
      <w:r>
        <w:rPr>
          <w:sz w:val="20"/>
          <w:szCs w:val="20"/>
          <w:color w:val="auto"/>
        </w:rPr>
        <w:tab/>
      </w:r>
      <w:r>
        <w:rPr>
          <w:rFonts w:ascii="Arial" w:cs="Arial" w:eastAsia="Arial" w:hAnsi="Arial"/>
          <w:sz w:val="16"/>
          <w:szCs w:val="16"/>
          <w:color w:val="auto"/>
        </w:rPr>
        <w:t>0.31%</w:t>
      </w:r>
    </w:p>
    <w:p>
      <w:pPr>
        <w:sectPr>
          <w:pgSz w:w="11900" w:h="16838" w:orient="portrait"/>
          <w:cols w:equalWidth="0" w:num="1">
            <w:col w:w="11420"/>
          </w:cols>
          <w:pgMar w:left="240" w:top="476" w:right="239" w:bottom="0" w:gutter="0" w:footer="0" w:header="0"/>
          <w:type w:val="continuous"/>
        </w:sectPr>
      </w:pPr>
    </w:p>
    <w:bookmarkStart w:id="23" w:name="page24"/>
    <w:bookmarkEnd w:id="23"/>
    <w:tbl>
      <w:tblPr>
        <w:tblLayout w:type="fixed"/>
        <w:tblInd w:w="40" w:type="dxa"/>
        <w:tblCellMar>
          <w:top w:w="0" w:type="dxa"/>
          <w:left w:w="0" w:type="dxa"/>
          <w:bottom w:w="0" w:type="dxa"/>
          <w:right w:w="0" w:type="dxa"/>
        </w:tblCellMar>
      </w:tblP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4900" w:type="dxa"/>
            <w:vAlign w:val="bottom"/>
          </w:tcPr>
          <w:p>
            <w:pPr>
              <w:jc w:val="right"/>
              <w:ind w:right="450"/>
              <w:spacing w:after="0"/>
              <w:rPr>
                <w:sz w:val="20"/>
                <w:szCs w:val="20"/>
                <w:color w:val="auto"/>
              </w:rPr>
            </w:pPr>
            <w:r>
              <w:rPr>
                <w:rFonts w:ascii="Arial" w:cs="Arial" w:eastAsia="Arial" w:hAnsi="Arial"/>
                <w:sz w:val="18"/>
                <w:szCs w:val="18"/>
                <w:color w:val="auto"/>
              </w:rPr>
              <w:t>2.61%</w:t>
            </w:r>
          </w:p>
        </w:tc>
        <w:tc>
          <w:tcPr>
            <w:tcW w:w="1000" w:type="dxa"/>
            <w:vAlign w:val="bottom"/>
          </w:tcPr>
          <w:p>
            <w:pPr>
              <w:jc w:val="right"/>
              <w:spacing w:after="0"/>
              <w:rPr>
                <w:sz w:val="20"/>
                <w:szCs w:val="20"/>
                <w:color w:val="auto"/>
              </w:rPr>
            </w:pPr>
            <w:r>
              <w:rPr>
                <w:rFonts w:ascii="Arial" w:cs="Arial" w:eastAsia="Arial" w:hAnsi="Arial"/>
                <w:sz w:val="18"/>
                <w:szCs w:val="18"/>
                <w:color w:val="auto"/>
              </w:rPr>
              <w:t>2.78%</w:t>
            </w:r>
          </w:p>
        </w:tc>
      </w:tr>
      <w:tr>
        <w:trPr>
          <w:trHeight w:val="270"/>
        </w:trPr>
        <w:tc>
          <w:tcPr>
            <w:tcW w:w="5440" w:type="dxa"/>
            <w:vAlign w:val="bottom"/>
          </w:tcPr>
          <w:p>
            <w:pPr>
              <w:spacing w:after="0"/>
              <w:rPr>
                <w:sz w:val="20"/>
                <w:szCs w:val="20"/>
                <w:color w:val="auto"/>
              </w:rPr>
            </w:pPr>
            <w:r>
              <w:rPr>
                <w:rFonts w:ascii="Arial" w:cs="Arial" w:eastAsia="Arial" w:hAnsi="Arial"/>
                <w:sz w:val="18"/>
                <w:szCs w:val="18"/>
                <w:color w:val="auto"/>
              </w:rPr>
              <w:t>Stock price volatility</w:t>
            </w:r>
          </w:p>
        </w:tc>
        <w:tc>
          <w:tcPr>
            <w:tcW w:w="4900" w:type="dxa"/>
            <w:vAlign w:val="bottom"/>
          </w:tcPr>
          <w:p>
            <w:pPr>
              <w:jc w:val="right"/>
              <w:ind w:right="450"/>
              <w:spacing w:after="0"/>
              <w:rPr>
                <w:sz w:val="20"/>
                <w:szCs w:val="20"/>
                <w:color w:val="auto"/>
              </w:rPr>
            </w:pPr>
            <w:r>
              <w:rPr>
                <w:rFonts w:ascii="Arial" w:cs="Arial" w:eastAsia="Arial" w:hAnsi="Arial"/>
                <w:sz w:val="18"/>
                <w:szCs w:val="18"/>
                <w:color w:val="auto"/>
              </w:rPr>
              <w:t>25.8%</w:t>
            </w:r>
          </w:p>
        </w:tc>
        <w:tc>
          <w:tcPr>
            <w:tcW w:w="1000" w:type="dxa"/>
            <w:vAlign w:val="bottom"/>
          </w:tcPr>
          <w:p>
            <w:pPr>
              <w:jc w:val="right"/>
              <w:spacing w:after="0"/>
              <w:rPr>
                <w:sz w:val="20"/>
                <w:szCs w:val="20"/>
                <w:color w:val="auto"/>
              </w:rPr>
            </w:pPr>
            <w:r>
              <w:rPr>
                <w:rFonts w:ascii="Arial" w:cs="Arial" w:eastAsia="Arial" w:hAnsi="Arial"/>
                <w:sz w:val="18"/>
                <w:szCs w:val="18"/>
                <w:color w:val="auto"/>
              </w:rPr>
              <w:t>23.9%</w:t>
            </w:r>
          </w:p>
        </w:tc>
      </w:tr>
      <w:tr>
        <w:trPr>
          <w:trHeight w:val="270"/>
        </w:trPr>
        <w:tc>
          <w:tcPr>
            <w:tcW w:w="5440" w:type="dxa"/>
            <w:vAlign w:val="bottom"/>
          </w:tcPr>
          <w:p>
            <w:pPr>
              <w:spacing w:after="0"/>
              <w:rPr>
                <w:sz w:val="20"/>
                <w:szCs w:val="20"/>
                <w:color w:val="auto"/>
              </w:rPr>
            </w:pPr>
            <w:r>
              <w:rPr>
                <w:rFonts w:ascii="Arial" w:cs="Arial" w:eastAsia="Arial" w:hAnsi="Arial"/>
                <w:sz w:val="18"/>
                <w:szCs w:val="18"/>
                <w:color w:val="auto"/>
              </w:rPr>
              <w:t>Expected life (years)</w:t>
            </w:r>
          </w:p>
        </w:tc>
        <w:tc>
          <w:tcPr>
            <w:tcW w:w="4900" w:type="dxa"/>
            <w:vAlign w:val="bottom"/>
          </w:tcPr>
          <w:p>
            <w:pPr>
              <w:jc w:val="right"/>
              <w:ind w:right="590"/>
              <w:spacing w:after="0"/>
              <w:rPr>
                <w:sz w:val="20"/>
                <w:szCs w:val="20"/>
                <w:color w:val="auto"/>
              </w:rPr>
            </w:pPr>
            <w:r>
              <w:rPr>
                <w:rFonts w:ascii="Arial" w:cs="Arial" w:eastAsia="Arial" w:hAnsi="Arial"/>
                <w:sz w:val="18"/>
                <w:szCs w:val="18"/>
                <w:color w:val="auto"/>
              </w:rPr>
              <w:t>5.0</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5.0</w:t>
            </w:r>
          </w:p>
        </w:tc>
      </w:tr>
    </w:tbl>
    <w:p>
      <w:pPr>
        <w:spacing w:after="0" w:line="33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dividend yield is based on the Company’s dividend rate and the current market price of the underlying common stock at the date of grant.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Expected life in years is determined from historical stock option exercise data. Expected volatility is based on the historical volatility of the Company’s stock.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risk-free interest rate is based on the U.S. Treasury bond rates for the expected life of the option.</w:t>
      </w:r>
    </w:p>
    <w:p>
      <w:pPr>
        <w:spacing w:after="0" w:line="103" w:lineRule="exact"/>
        <w:rPr>
          <w:sz w:val="20"/>
          <w:szCs w:val="20"/>
          <w:color w:val="auto"/>
        </w:rPr>
      </w:pPr>
    </w:p>
    <w:p>
      <w:pPr>
        <w:jc w:val="both"/>
        <w:ind w:firstLine="500"/>
        <w:spacing w:after="0" w:line="264" w:lineRule="auto"/>
        <w:rPr>
          <w:sz w:val="20"/>
          <w:szCs w:val="20"/>
          <w:color w:val="auto"/>
        </w:rPr>
      </w:pPr>
      <w:r>
        <w:rPr>
          <w:rFonts w:ascii="Arial" w:cs="Arial" w:eastAsia="Arial" w:hAnsi="Arial"/>
          <w:sz w:val="18"/>
          <w:szCs w:val="18"/>
          <w:b w:val="1"/>
          <w:bCs w:val="1"/>
          <w:i w:val="1"/>
          <w:iCs w:val="1"/>
          <w:color w:val="auto"/>
        </w:rPr>
        <w:t xml:space="preserve">Restricted Stock, Restricted Units and Incentive Stock </w:t>
      </w:r>
      <w:r>
        <w:rPr>
          <w:rFonts w:ascii="Arial" w:cs="Arial" w:eastAsia="Arial" w:hAnsi="Arial"/>
          <w:sz w:val="18"/>
          <w:szCs w:val="18"/>
          <w:color w:val="auto"/>
        </w:rPr>
        <w:t>Beginning in 2006, the Company adopted a restricted stock program. As provided for under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2011 Plan and 2000 Plan, eligible employees are granted restricted stock that generally vests over four years from the date of grant. Under the Directors Plan, restricted stock units vest one year from the date of grant.</w:t>
      </w:r>
    </w:p>
    <w:p>
      <w:pPr>
        <w:spacing w:after="0" w:line="73" w:lineRule="exact"/>
        <w:rPr>
          <w:sz w:val="20"/>
          <w:szCs w:val="20"/>
          <w:color w:val="auto"/>
        </w:rPr>
      </w:pPr>
    </w:p>
    <w:p>
      <w:pPr>
        <w:ind w:right="20" w:firstLine="500"/>
        <w:spacing w:after="0" w:line="270" w:lineRule="auto"/>
        <w:rPr>
          <w:sz w:val="20"/>
          <w:szCs w:val="20"/>
          <w:color w:val="auto"/>
        </w:rPr>
      </w:pPr>
      <w:r>
        <w:rPr>
          <w:rFonts w:ascii="Arial" w:cs="Arial" w:eastAsia="Arial" w:hAnsi="Arial"/>
          <w:sz w:val="17"/>
          <w:szCs w:val="17"/>
          <w:color w:val="auto"/>
        </w:rPr>
        <w:t>In addition, the Company has issued incentive stock units to eligible employees that vest upon attainment of certain cumulative three-year performance goals. Based on the Company’s performance for each three-year period then ended, the incentive stock units can vest, with underlying shares of common stock being awarded in an amount ranging from 0% to 200% of the amount of initial incentive stock units granted. The incentive stock units included in the table below represent the number of incentive stock units that are expected to vest based on the Company’s estimate for meeting those established performance targets. As of June 30, 2019, the Company estimates that it will achieve 107%, 105% and 103% for the incentive stock awards expected to vest based on performance for the three-year periods ending December 31, 2019, 2020, and 2021, respectively, and has recorded incentive compensation expense accordingly. If the estimate of the number of these incentive stock units expected to vest changes in a future accounting period, cumulative compensation expense could increase or decrease and will be recognized in the current period for the elapsed portion of the vesting period and would change future expense for the remaining vesting period.</w:t>
      </w:r>
    </w:p>
    <w:p>
      <w:pPr>
        <w:spacing w:after="0" w:line="74" w:lineRule="exact"/>
        <w:rPr>
          <w:sz w:val="20"/>
          <w:szCs w:val="20"/>
          <w:color w:val="auto"/>
        </w:rPr>
      </w:pPr>
    </w:p>
    <w:p>
      <w:pPr>
        <w:ind w:right="120" w:firstLine="500"/>
        <w:spacing w:after="0" w:line="277" w:lineRule="auto"/>
        <w:rPr>
          <w:sz w:val="20"/>
          <w:szCs w:val="20"/>
          <w:color w:val="auto"/>
        </w:rPr>
      </w:pPr>
      <w:r>
        <w:rPr>
          <w:rFonts w:ascii="Arial" w:cs="Arial" w:eastAsia="Arial" w:hAnsi="Arial"/>
          <w:sz w:val="18"/>
          <w:szCs w:val="18"/>
          <w:color w:val="auto"/>
        </w:rPr>
        <w:t>Compensation expense for the non-vested restricted stock and incentive stock units is based on the average of the high and low Wabtec stock price on the date of grant and recognized over the applicable vesting period.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4" w:name="page25"/>
    <w:bookmarkEnd w:id="24"/>
    <w:p>
      <w:pPr>
        <w:ind w:right="500" w:firstLine="500"/>
        <w:spacing w:after="0" w:line="308" w:lineRule="auto"/>
        <w:rPr>
          <w:sz w:val="20"/>
          <w:szCs w:val="20"/>
          <w:color w:val="auto"/>
        </w:rPr>
      </w:pPr>
      <w:r>
        <w:rPr>
          <w:rFonts w:ascii="Arial" w:cs="Arial" w:eastAsia="Arial" w:hAnsi="Arial"/>
          <w:sz w:val="17"/>
          <w:szCs w:val="17"/>
          <w:color w:val="auto"/>
        </w:rPr>
        <w:t>The following table summarizes the restricted stock activity and related information for the 2011 Plan, the 2000 Plan and the Directors Plan, and incentive stock units activity for the 2011 Plan and the 2000 Plan with related information for the six months ended June 30, 2019:</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15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Restricted</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Incentive</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77"/>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04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49"/>
        </w:trPr>
        <w:tc>
          <w:tcPr>
            <w:tcW w:w="7040" w:type="dxa"/>
            <w:vAlign w:val="bottom"/>
          </w:tcPr>
          <w:p>
            <w:pPr>
              <w:spacing w:after="0"/>
              <w:rPr>
                <w:sz w:val="12"/>
                <w:szCs w:val="12"/>
                <w:color w:val="auto"/>
              </w:rPr>
            </w:pPr>
          </w:p>
        </w:tc>
        <w:tc>
          <w:tcPr>
            <w:tcW w:w="15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Stock</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92"/>
        </w:trPr>
        <w:tc>
          <w:tcPr>
            <w:tcW w:w="704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and Units</w:t>
            </w:r>
          </w:p>
        </w:tc>
        <w:tc>
          <w:tcPr>
            <w:tcW w:w="12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Units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Outstanding at December 31, 2018</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445,089</w:t>
            </w:r>
          </w:p>
        </w:tc>
        <w:tc>
          <w:tcPr>
            <w:tcW w:w="12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415,243</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75.51</w:t>
            </w:r>
          </w:p>
        </w:tc>
        <w:tc>
          <w:tcPr>
            <w:tcW w:w="0" w:type="dxa"/>
            <w:vAlign w:val="bottom"/>
          </w:tcPr>
          <w:p>
            <w:pPr>
              <w:spacing w:after="0"/>
              <w:rPr>
                <w:sz w:val="1"/>
                <w:szCs w:val="1"/>
                <w:color w:val="auto"/>
              </w:rPr>
            </w:pPr>
          </w:p>
        </w:tc>
      </w:tr>
      <w:tr>
        <w:trPr>
          <w:trHeight w:val="270"/>
        </w:trPr>
        <w:tc>
          <w:tcPr>
            <w:tcW w:w="7040" w:type="dxa"/>
            <w:vAlign w:val="bottom"/>
          </w:tcPr>
          <w:p>
            <w:pPr>
              <w:ind w:left="24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568,052</w:t>
            </w:r>
          </w:p>
        </w:tc>
        <w:tc>
          <w:tcPr>
            <w:tcW w:w="120" w:type="dxa"/>
            <w:vAlign w:val="bottom"/>
          </w:tcPr>
          <w:p>
            <w:pPr>
              <w:spacing w:after="0"/>
              <w:rPr>
                <w:sz w:val="23"/>
                <w:szCs w:val="23"/>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258,100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70.48</w:t>
            </w:r>
          </w:p>
        </w:tc>
        <w:tc>
          <w:tcPr>
            <w:tcW w:w="0" w:type="dxa"/>
            <w:vAlign w:val="bottom"/>
          </w:tcPr>
          <w:p>
            <w:pPr>
              <w:spacing w:after="0"/>
              <w:rPr>
                <w:sz w:val="1"/>
                <w:szCs w:val="1"/>
                <w:color w:val="auto"/>
              </w:rPr>
            </w:pPr>
          </w:p>
        </w:tc>
      </w:tr>
      <w:tr>
        <w:trPr>
          <w:trHeight w:val="270"/>
        </w:trPr>
        <w:tc>
          <w:tcPr>
            <w:tcW w:w="7040" w:type="dxa"/>
            <w:vAlign w:val="bottom"/>
          </w:tcPr>
          <w:p>
            <w:pPr>
              <w:ind w:left="240"/>
              <w:spacing w:after="0"/>
              <w:rPr>
                <w:sz w:val="20"/>
                <w:szCs w:val="20"/>
                <w:color w:val="auto"/>
              </w:rPr>
            </w:pPr>
            <w:r>
              <w:rPr>
                <w:rFonts w:ascii="Arial" w:cs="Arial" w:eastAsia="Arial" w:hAnsi="Arial"/>
                <w:sz w:val="18"/>
                <w:szCs w:val="18"/>
                <w:color w:val="auto"/>
              </w:rPr>
              <w:t>Vested</w:t>
            </w:r>
          </w:p>
        </w:tc>
        <w:tc>
          <w:tcPr>
            <w:tcW w:w="1380" w:type="dxa"/>
            <w:vAlign w:val="bottom"/>
          </w:tcPr>
          <w:p>
            <w:pPr>
              <w:jc w:val="right"/>
              <w:spacing w:after="0"/>
              <w:rPr>
                <w:sz w:val="20"/>
                <w:szCs w:val="20"/>
                <w:color w:val="auto"/>
              </w:rPr>
            </w:pPr>
            <w:r>
              <w:rPr>
                <w:rFonts w:ascii="Arial" w:cs="Arial" w:eastAsia="Arial" w:hAnsi="Arial"/>
                <w:sz w:val="18"/>
                <w:szCs w:val="18"/>
                <w:color w:val="auto"/>
              </w:rPr>
              <w:t>(207,656)</w:t>
            </w: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(119,835)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71.59</w:t>
            </w:r>
          </w:p>
        </w:tc>
        <w:tc>
          <w:tcPr>
            <w:tcW w:w="0" w:type="dxa"/>
            <w:vAlign w:val="bottom"/>
          </w:tcPr>
          <w:p>
            <w:pPr>
              <w:spacing w:after="0"/>
              <w:rPr>
                <w:sz w:val="1"/>
                <w:szCs w:val="1"/>
                <w:color w:val="auto"/>
              </w:rPr>
            </w:pPr>
          </w:p>
        </w:tc>
      </w:tr>
      <w:tr>
        <w:trPr>
          <w:trHeight w:val="270"/>
        </w:trPr>
        <w:tc>
          <w:tcPr>
            <w:tcW w:w="7040" w:type="dxa"/>
            <w:vAlign w:val="bottom"/>
          </w:tcPr>
          <w:p>
            <w:pPr>
              <w:ind w:left="240"/>
              <w:spacing w:after="0"/>
              <w:rPr>
                <w:sz w:val="20"/>
                <w:szCs w:val="20"/>
                <w:color w:val="auto"/>
              </w:rPr>
            </w:pPr>
            <w:r>
              <w:rPr>
                <w:rFonts w:ascii="Arial" w:cs="Arial" w:eastAsia="Arial" w:hAnsi="Arial"/>
                <w:sz w:val="18"/>
                <w:szCs w:val="18"/>
                <w:color w:val="auto"/>
              </w:rPr>
              <w:t>Adjustment for incentive stock awards expected to vest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43,257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78.82</w:t>
            </w:r>
          </w:p>
        </w:tc>
        <w:tc>
          <w:tcPr>
            <w:tcW w:w="0" w:type="dxa"/>
            <w:vAlign w:val="bottom"/>
          </w:tcPr>
          <w:p>
            <w:pPr>
              <w:spacing w:after="0"/>
              <w:rPr>
                <w:sz w:val="1"/>
                <w:szCs w:val="1"/>
                <w:color w:val="auto"/>
              </w:rPr>
            </w:pPr>
          </w:p>
        </w:tc>
      </w:tr>
      <w:tr>
        <w:trPr>
          <w:trHeight w:val="270"/>
        </w:trPr>
        <w:tc>
          <w:tcPr>
            <w:tcW w:w="7040" w:type="dxa"/>
            <w:vAlign w:val="bottom"/>
          </w:tcPr>
          <w:p>
            <w:pPr>
              <w:ind w:left="240"/>
              <w:spacing w:after="0"/>
              <w:rPr>
                <w:sz w:val="20"/>
                <w:szCs w:val="20"/>
                <w:color w:val="auto"/>
              </w:rPr>
            </w:pPr>
            <w:r>
              <w:rPr>
                <w:rFonts w:ascii="Arial" w:cs="Arial" w:eastAsia="Arial" w:hAnsi="Arial"/>
                <w:sz w:val="18"/>
                <w:szCs w:val="18"/>
                <w:color w:val="auto"/>
              </w:rPr>
              <w:t>Canceled</w:t>
            </w:r>
          </w:p>
        </w:tc>
        <w:tc>
          <w:tcPr>
            <w:tcW w:w="1380" w:type="dxa"/>
            <w:vAlign w:val="bottom"/>
          </w:tcPr>
          <w:p>
            <w:pPr>
              <w:jc w:val="right"/>
              <w:spacing w:after="0"/>
              <w:rPr>
                <w:sz w:val="20"/>
                <w:szCs w:val="20"/>
                <w:color w:val="auto"/>
              </w:rPr>
            </w:pPr>
            <w:r>
              <w:rPr>
                <w:rFonts w:ascii="Arial" w:cs="Arial" w:eastAsia="Arial" w:hAnsi="Arial"/>
                <w:sz w:val="18"/>
                <w:szCs w:val="18"/>
                <w:color w:val="auto"/>
              </w:rPr>
              <w:t>(11,041)</w:t>
            </w: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(38,116)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74.38</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40" w:type="dxa"/>
            <w:vAlign w:val="bottom"/>
          </w:tcPr>
          <w:p>
            <w:pPr>
              <w:spacing w:after="0"/>
              <w:rPr>
                <w:sz w:val="20"/>
                <w:szCs w:val="20"/>
                <w:color w:val="auto"/>
              </w:rPr>
            </w:pPr>
            <w:r>
              <w:rPr>
                <w:rFonts w:ascii="Arial" w:cs="Arial" w:eastAsia="Arial" w:hAnsi="Arial"/>
                <w:sz w:val="18"/>
                <w:szCs w:val="18"/>
                <w:color w:val="auto"/>
              </w:rPr>
              <w:t>Outstanding at June 30, 2019</w:t>
            </w:r>
          </w:p>
        </w:tc>
        <w:tc>
          <w:tcPr>
            <w:tcW w:w="13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794,444</w:t>
            </w:r>
          </w:p>
        </w:tc>
        <w:tc>
          <w:tcPr>
            <w:tcW w:w="120" w:type="dxa"/>
            <w:vAlign w:val="bottom"/>
          </w:tcPr>
          <w:p>
            <w:pPr>
              <w:spacing w:after="0"/>
              <w:rPr>
                <w:sz w:val="22"/>
                <w:szCs w:val="22"/>
                <w:color w:val="auto"/>
              </w:rPr>
            </w:pPr>
          </w:p>
        </w:tc>
        <w:tc>
          <w:tcPr>
            <w:tcW w:w="13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558,649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73.53</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ind w:right="100" w:firstLine="500"/>
        <w:spacing w:after="0" w:line="312" w:lineRule="auto"/>
        <w:rPr>
          <w:sz w:val="20"/>
          <w:szCs w:val="20"/>
          <w:color w:val="auto"/>
        </w:rPr>
      </w:pPr>
      <w:r>
        <w:rPr>
          <w:rFonts w:ascii="Arial" w:cs="Arial" w:eastAsia="Arial" w:hAnsi="Arial"/>
          <w:sz w:val="16"/>
          <w:szCs w:val="16"/>
          <w:color w:val="auto"/>
        </w:rPr>
        <w:t>The overall effective tax rate was 28.7% and 38.3% for the three and six months ended June 30, 2019, respectively and 11.2% and 17.7% for the three and six months ended June 30, 2018, respectively. The increase in the effective rate is primarily the result of non-deductible transaction related expenses incurred as a result of the acquisition of GE Transportation as well as increased estimated liabilities resulting from provisions of the Tax Cuts and Jobs Act.</w:t>
      </w:r>
    </w:p>
    <w:p>
      <w:pPr>
        <w:spacing w:after="0" w:line="39" w:lineRule="exact"/>
        <w:rPr>
          <w:sz w:val="20"/>
          <w:szCs w:val="20"/>
          <w:color w:val="auto"/>
        </w:rPr>
      </w:pPr>
    </w:p>
    <w:p>
      <w:pPr>
        <w:jc w:val="both"/>
        <w:ind w:right="280" w:firstLine="500"/>
        <w:spacing w:after="0" w:line="286" w:lineRule="auto"/>
        <w:rPr>
          <w:sz w:val="20"/>
          <w:szCs w:val="20"/>
          <w:color w:val="auto"/>
        </w:rPr>
      </w:pPr>
      <w:r>
        <w:rPr>
          <w:rFonts w:ascii="Arial" w:cs="Arial" w:eastAsia="Arial" w:hAnsi="Arial"/>
          <w:sz w:val="17"/>
          <w:szCs w:val="17"/>
          <w:color w:val="auto"/>
        </w:rPr>
        <w:t>As of June 30, 2019, the liability for income taxes associated with uncertain tax positions was $12.1 million, of which $11.0 million, if recognized, would favorably affect the Company’s effective income tax rate. As of December 31, 2018, the liability for income taxes associated with unrecognized tax benefits was $9.5 million, of which $8.4 million, if recognized, would favorably affect the Company's effective tax rate.</w:t>
      </w:r>
    </w:p>
    <w:p>
      <w:pPr>
        <w:spacing w:after="0" w:line="57" w:lineRule="exact"/>
        <w:rPr>
          <w:sz w:val="20"/>
          <w:szCs w:val="20"/>
          <w:color w:val="auto"/>
        </w:rPr>
      </w:pPr>
    </w:p>
    <w:p>
      <w:pPr>
        <w:ind w:right="360" w:firstLine="500"/>
        <w:spacing w:after="0" w:line="342" w:lineRule="auto"/>
        <w:rPr>
          <w:sz w:val="20"/>
          <w:szCs w:val="20"/>
          <w:color w:val="auto"/>
        </w:rPr>
      </w:pPr>
      <w:r>
        <w:rPr>
          <w:rFonts w:ascii="Arial" w:cs="Arial" w:eastAsia="Arial" w:hAnsi="Arial"/>
          <w:sz w:val="16"/>
          <w:szCs w:val="16"/>
          <w:color w:val="auto"/>
        </w:rPr>
        <w:t>The Company includes interest and penalties related to uncertain tax positions in income tax expense. As of June 30, 2019, the total interest and penalties accrued was approximately $1.1 million. As of December 31, 2018, the total interest and penalties accrued was approximately was $0.9 million.</w:t>
      </w:r>
    </w:p>
    <w:p>
      <w:pPr>
        <w:spacing w:after="0" w:line="16" w:lineRule="exact"/>
        <w:rPr>
          <w:sz w:val="20"/>
          <w:szCs w:val="20"/>
          <w:color w:val="auto"/>
        </w:rPr>
      </w:pPr>
    </w:p>
    <w:p>
      <w:pPr>
        <w:ind w:right="160" w:firstLine="500"/>
        <w:spacing w:after="0" w:line="277" w:lineRule="auto"/>
        <w:rPr>
          <w:sz w:val="20"/>
          <w:szCs w:val="20"/>
          <w:color w:val="auto"/>
        </w:rPr>
      </w:pPr>
      <w:r>
        <w:rPr>
          <w:rFonts w:ascii="Arial" w:cs="Arial" w:eastAsia="Arial" w:hAnsi="Arial"/>
          <w:sz w:val="18"/>
          <w:szCs w:val="18"/>
          <w:color w:val="auto"/>
        </w:rPr>
        <w:t>At this time, the Company believes it is reasonably possible that unrecognized tax benefits of approximately $6.2 million may change within the next 12 months due to the expiration of statutory review periods and current examinations.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76"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12. EARNINGS PER SHARE</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computation of basic and diluted earnings per share for net income attributable to Wabtec shareholders is as follows:</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10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60" w:type="dxa"/>
            <w:vAlign w:val="bottom"/>
            <w:gridSpan w:val="4"/>
          </w:tcPr>
          <w:p>
            <w:pPr>
              <w:jc w:val="right"/>
              <w:ind w:right="75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2"/>
        </w:trPr>
        <w:tc>
          <w:tcPr>
            <w:tcW w:w="210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3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340" w:type="dxa"/>
            <w:vAlign w:val="bottom"/>
          </w:tcPr>
          <w:p>
            <w:pPr>
              <w:spacing w:after="0"/>
              <w:rPr>
                <w:sz w:val="19"/>
                <w:szCs w:val="19"/>
                <w:color w:val="auto"/>
              </w:rPr>
            </w:pPr>
          </w:p>
        </w:tc>
        <w:tc>
          <w:tcPr>
            <w:tcW w:w="1100" w:type="dxa"/>
            <w:vAlign w:val="bottom"/>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
        </w:trPr>
        <w:tc>
          <w:tcPr>
            <w:tcW w:w="210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b w:val="1"/>
                <w:bCs w:val="1"/>
                <w:color w:val="auto"/>
              </w:rPr>
              <w:t>Numerator</w:t>
            </w:r>
          </w:p>
        </w:tc>
        <w:tc>
          <w:tcPr>
            <w:tcW w:w="628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100" w:type="dxa"/>
            <w:vAlign w:val="bottom"/>
            <w:vMerge w:val="continue"/>
          </w:tcPr>
          <w:p>
            <w:pPr>
              <w:spacing w:after="0"/>
              <w:rPr>
                <w:sz w:val="20"/>
                <w:szCs w:val="20"/>
                <w:color w:val="auto"/>
              </w:rPr>
            </w:pPr>
          </w:p>
        </w:tc>
        <w:tc>
          <w:tcPr>
            <w:tcW w:w="628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8380" w:type="dxa"/>
            <w:vAlign w:val="bottom"/>
            <w:gridSpan w:val="2"/>
          </w:tcPr>
          <w:p>
            <w:pPr>
              <w:spacing w:after="0"/>
              <w:rPr>
                <w:sz w:val="20"/>
                <w:szCs w:val="20"/>
                <w:color w:val="auto"/>
              </w:rPr>
            </w:pPr>
            <w:r>
              <w:rPr>
                <w:rFonts w:ascii="Arial" w:cs="Arial" w:eastAsia="Arial" w:hAnsi="Arial"/>
                <w:sz w:val="18"/>
                <w:szCs w:val="18"/>
                <w:color w:val="auto"/>
              </w:rPr>
              <w:t>Numerator for basic and diluted earnings per common</w:t>
            </w: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380" w:type="dxa"/>
            <w:vAlign w:val="bottom"/>
            <w:gridSpan w:val="2"/>
          </w:tcPr>
          <w:p>
            <w:pPr>
              <w:ind w:left="140"/>
              <w:spacing w:after="0"/>
              <w:rPr>
                <w:sz w:val="20"/>
                <w:szCs w:val="20"/>
                <w:color w:val="auto"/>
              </w:rPr>
            </w:pPr>
            <w:r>
              <w:rPr>
                <w:rFonts w:ascii="Arial" w:cs="Arial" w:eastAsia="Arial" w:hAnsi="Arial"/>
                <w:sz w:val="18"/>
                <w:szCs w:val="18"/>
                <w:color w:val="auto"/>
              </w:rPr>
              <w:t>share - net income attributable</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380" w:type="dxa"/>
            <w:vAlign w:val="bottom"/>
            <w:gridSpan w:val="2"/>
          </w:tcPr>
          <w:p>
            <w:pPr>
              <w:ind w:left="240"/>
              <w:spacing w:after="0"/>
              <w:rPr>
                <w:sz w:val="20"/>
                <w:szCs w:val="20"/>
                <w:color w:val="auto"/>
              </w:rPr>
            </w:pPr>
            <w:r>
              <w:rPr>
                <w:rFonts w:ascii="Arial" w:cs="Arial" w:eastAsia="Arial" w:hAnsi="Arial"/>
                <w:sz w:val="18"/>
                <w:szCs w:val="18"/>
                <w:color w:val="auto"/>
              </w:rPr>
              <w:t>to Wabtec shareholders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104,235</w:t>
            </w:r>
          </w:p>
        </w:tc>
        <w:tc>
          <w:tcPr>
            <w:tcW w:w="120" w:type="dxa"/>
            <w:vAlign w:val="bottom"/>
          </w:tcPr>
          <w:p>
            <w:pPr>
              <w:spacing w:after="0"/>
              <w:rPr>
                <w:sz w:val="23"/>
                <w:szCs w:val="23"/>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84,416</w:t>
            </w:r>
          </w:p>
        </w:tc>
        <w:tc>
          <w:tcPr>
            <w:tcW w:w="0" w:type="dxa"/>
            <w:vAlign w:val="bottom"/>
          </w:tcPr>
          <w:p>
            <w:pPr>
              <w:spacing w:after="0"/>
              <w:rPr>
                <w:sz w:val="1"/>
                <w:szCs w:val="1"/>
                <w:color w:val="auto"/>
              </w:rPr>
            </w:pPr>
          </w:p>
        </w:tc>
      </w:tr>
      <w:tr>
        <w:trPr>
          <w:trHeight w:val="256"/>
        </w:trPr>
        <w:tc>
          <w:tcPr>
            <w:tcW w:w="8380" w:type="dxa"/>
            <w:vAlign w:val="bottom"/>
            <w:gridSpan w:val="2"/>
          </w:tcPr>
          <w:p>
            <w:pPr>
              <w:spacing w:after="0"/>
              <w:rPr>
                <w:sz w:val="20"/>
                <w:szCs w:val="20"/>
                <w:color w:val="auto"/>
              </w:rPr>
            </w:pPr>
            <w:r>
              <w:rPr>
                <w:rFonts w:ascii="Arial" w:cs="Arial" w:eastAsia="Arial" w:hAnsi="Arial"/>
                <w:sz w:val="18"/>
                <w:szCs w:val="18"/>
                <w:color w:val="auto"/>
              </w:rPr>
              <w:t>Less: dividends declared - common shares</w:t>
            </w: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380" w:type="dxa"/>
            <w:vAlign w:val="bottom"/>
            <w:gridSpan w:val="2"/>
          </w:tcPr>
          <w:p>
            <w:pPr>
              <w:ind w:left="140"/>
              <w:spacing w:after="0"/>
              <w:rPr>
                <w:sz w:val="20"/>
                <w:szCs w:val="20"/>
                <w:color w:val="auto"/>
              </w:rPr>
            </w:pPr>
            <w:r>
              <w:rPr>
                <w:rFonts w:ascii="Arial" w:cs="Arial" w:eastAsia="Arial" w:hAnsi="Arial"/>
                <w:sz w:val="18"/>
                <w:szCs w:val="18"/>
                <w:color w:val="auto"/>
              </w:rPr>
              <w:t>and non-vested restricted stock</w:t>
            </w:r>
          </w:p>
        </w:tc>
        <w:tc>
          <w:tcPr>
            <w:tcW w:w="34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(22,576)</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(11,565)</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6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80" w:type="dxa"/>
            <w:vAlign w:val="bottom"/>
            <w:gridSpan w:val="2"/>
          </w:tcPr>
          <w:p>
            <w:pPr>
              <w:spacing w:after="0"/>
              <w:rPr>
                <w:sz w:val="20"/>
                <w:szCs w:val="20"/>
                <w:color w:val="auto"/>
              </w:rPr>
            </w:pPr>
            <w:r>
              <w:rPr>
                <w:rFonts w:ascii="Arial" w:cs="Arial" w:eastAsia="Arial" w:hAnsi="Arial"/>
                <w:sz w:val="18"/>
                <w:szCs w:val="18"/>
                <w:color w:val="auto"/>
              </w:rPr>
              <w:t>Undistributed earnings</w:t>
            </w:r>
          </w:p>
        </w:tc>
        <w:tc>
          <w:tcPr>
            <w:tcW w:w="340" w:type="dxa"/>
            <w:vAlign w:val="bottom"/>
          </w:tcPr>
          <w:p>
            <w:pPr>
              <w:spacing w:after="0"/>
              <w:rPr>
                <w:sz w:val="20"/>
                <w:szCs w:val="20"/>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81,659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72,851</w:t>
            </w:r>
          </w:p>
        </w:tc>
        <w:tc>
          <w:tcPr>
            <w:tcW w:w="0" w:type="dxa"/>
            <w:vAlign w:val="bottom"/>
          </w:tcPr>
          <w:p>
            <w:pPr>
              <w:spacing w:after="0"/>
              <w:rPr>
                <w:sz w:val="1"/>
                <w:szCs w:val="1"/>
                <w:color w:val="auto"/>
              </w:rPr>
            </w:pPr>
          </w:p>
        </w:tc>
      </w:tr>
      <w:tr>
        <w:trPr>
          <w:trHeight w:val="270"/>
        </w:trPr>
        <w:tc>
          <w:tcPr>
            <w:tcW w:w="8380" w:type="dxa"/>
            <w:vAlign w:val="bottom"/>
            <w:gridSpan w:val="2"/>
          </w:tcPr>
          <w:p>
            <w:pPr>
              <w:spacing w:after="0"/>
              <w:rPr>
                <w:sz w:val="20"/>
                <w:szCs w:val="20"/>
                <w:color w:val="auto"/>
              </w:rPr>
            </w:pPr>
            <w:r>
              <w:rPr>
                <w:rFonts w:ascii="Arial" w:cs="Arial" w:eastAsia="Arial" w:hAnsi="Arial"/>
                <w:sz w:val="18"/>
                <w:szCs w:val="18"/>
                <w:color w:val="auto"/>
              </w:rPr>
              <w:t>Percentage allocated to common shareholders (1)</w:t>
            </w: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99.7%</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6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10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81,414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72,632</w:t>
            </w:r>
          </w:p>
        </w:tc>
        <w:tc>
          <w:tcPr>
            <w:tcW w:w="0" w:type="dxa"/>
            <w:vAlign w:val="bottom"/>
          </w:tcPr>
          <w:p>
            <w:pPr>
              <w:spacing w:after="0"/>
              <w:rPr>
                <w:sz w:val="1"/>
                <w:szCs w:val="1"/>
                <w:color w:val="auto"/>
              </w:rPr>
            </w:pPr>
          </w:p>
        </w:tc>
      </w:tr>
      <w:tr>
        <w:trPr>
          <w:trHeight w:val="270"/>
        </w:trPr>
        <w:tc>
          <w:tcPr>
            <w:tcW w:w="8380" w:type="dxa"/>
            <w:vAlign w:val="bottom"/>
            <w:gridSpan w:val="2"/>
          </w:tcPr>
          <w:p>
            <w:pPr>
              <w:spacing w:after="0"/>
              <w:rPr>
                <w:sz w:val="20"/>
                <w:szCs w:val="20"/>
                <w:color w:val="auto"/>
              </w:rPr>
            </w:pPr>
            <w:r>
              <w:rPr>
                <w:rFonts w:ascii="Arial" w:cs="Arial" w:eastAsia="Arial" w:hAnsi="Arial"/>
                <w:sz w:val="18"/>
                <w:szCs w:val="18"/>
                <w:color w:val="auto"/>
              </w:rPr>
              <w:t>Add: dividends declared - common shares</w:t>
            </w:r>
          </w:p>
        </w:tc>
        <w:tc>
          <w:tcPr>
            <w:tcW w:w="340" w:type="dxa"/>
            <w:vAlign w:val="bottom"/>
          </w:tcPr>
          <w:p>
            <w:pPr>
              <w:spacing w:after="0"/>
              <w:rPr>
                <w:sz w:val="23"/>
                <w:szCs w:val="23"/>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22,508</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11,531</w:t>
            </w:r>
          </w:p>
        </w:tc>
        <w:tc>
          <w:tcPr>
            <w:tcW w:w="0" w:type="dxa"/>
            <w:vAlign w:val="bottom"/>
          </w:tcPr>
          <w:p>
            <w:pPr>
              <w:spacing w:after="0"/>
              <w:rPr>
                <w:sz w:val="1"/>
                <w:szCs w:val="1"/>
                <w:color w:val="auto"/>
              </w:rPr>
            </w:pPr>
          </w:p>
        </w:tc>
      </w:tr>
      <w:tr>
        <w:trPr>
          <w:trHeight w:val="270"/>
        </w:trPr>
        <w:tc>
          <w:tcPr>
            <w:tcW w:w="8380" w:type="dxa"/>
            <w:vAlign w:val="bottom"/>
            <w:gridSpan w:val="2"/>
          </w:tcPr>
          <w:p>
            <w:pPr>
              <w:spacing w:after="0"/>
              <w:rPr>
                <w:sz w:val="20"/>
                <w:szCs w:val="20"/>
                <w:color w:val="auto"/>
              </w:rPr>
            </w:pPr>
            <w:r>
              <w:rPr>
                <w:rFonts w:ascii="Arial" w:cs="Arial" w:eastAsia="Arial" w:hAnsi="Arial"/>
                <w:sz w:val="18"/>
                <w:szCs w:val="18"/>
                <w:color w:val="auto"/>
              </w:rPr>
              <w:t>Less: dividends declared - preferred shares</w:t>
            </w:r>
          </w:p>
        </w:tc>
        <w:tc>
          <w:tcPr>
            <w:tcW w:w="340" w:type="dxa"/>
            <w:vAlign w:val="bottom"/>
          </w:tcPr>
          <w:p>
            <w:pPr>
              <w:spacing w:after="0"/>
              <w:rPr>
                <w:sz w:val="23"/>
                <w:szCs w:val="23"/>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(422)</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80" w:type="dxa"/>
            <w:vAlign w:val="bottom"/>
            <w:gridSpan w:val="2"/>
            <w:vMerge w:val="restart"/>
          </w:tcPr>
          <w:p>
            <w:pPr>
              <w:spacing w:after="0"/>
              <w:rPr>
                <w:sz w:val="20"/>
                <w:szCs w:val="20"/>
                <w:color w:val="auto"/>
              </w:rPr>
            </w:pPr>
            <w:r>
              <w:rPr>
                <w:rFonts w:ascii="Arial" w:cs="Arial" w:eastAsia="Arial" w:hAnsi="Arial"/>
                <w:sz w:val="18"/>
                <w:szCs w:val="18"/>
                <w:color w:val="auto"/>
              </w:rPr>
              <w:t>Numerator for basic earnings per</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380" w:type="dxa"/>
            <w:vAlign w:val="bottom"/>
            <w:gridSpan w:val="2"/>
            <w:vMerge w:val="continue"/>
          </w:tcPr>
          <w:p>
            <w:pPr>
              <w:spacing w:after="0"/>
              <w:rPr>
                <w:sz w:val="18"/>
                <w:szCs w:val="18"/>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ind w:right="92"/>
              <w:spacing w:after="0"/>
              <w:rPr>
                <w:sz w:val="20"/>
                <w:szCs w:val="20"/>
                <w:color w:val="auto"/>
              </w:rPr>
            </w:pPr>
            <w:r>
              <w:rPr>
                <w:rFonts w:ascii="Arial" w:cs="Arial" w:eastAsia="Arial" w:hAnsi="Arial"/>
                <w:sz w:val="18"/>
                <w:szCs w:val="18"/>
                <w:color w:val="auto"/>
              </w:rPr>
              <w:t>103,500</w:t>
            </w:r>
          </w:p>
        </w:tc>
        <w:tc>
          <w:tcPr>
            <w:tcW w:w="120" w:type="dxa"/>
            <w:vAlign w:val="bottom"/>
          </w:tcPr>
          <w:p>
            <w:pPr>
              <w:spacing w:after="0"/>
              <w:rPr>
                <w:sz w:val="18"/>
                <w:szCs w:val="18"/>
                <w:color w:val="auto"/>
              </w:rPr>
            </w:pP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ind w:right="91"/>
              <w:spacing w:after="0"/>
              <w:rPr>
                <w:sz w:val="20"/>
                <w:szCs w:val="20"/>
                <w:color w:val="auto"/>
              </w:rPr>
            </w:pPr>
            <w:r>
              <w:rPr>
                <w:rFonts w:ascii="Arial" w:cs="Arial" w:eastAsia="Arial" w:hAnsi="Arial"/>
                <w:sz w:val="18"/>
                <w:szCs w:val="18"/>
                <w:color w:val="auto"/>
              </w:rPr>
              <w:t>84,163</w:t>
            </w:r>
          </w:p>
        </w:tc>
        <w:tc>
          <w:tcPr>
            <w:tcW w:w="0" w:type="dxa"/>
            <w:vAlign w:val="bottom"/>
          </w:tcPr>
          <w:p>
            <w:pPr>
              <w:spacing w:after="0"/>
              <w:rPr>
                <w:sz w:val="1"/>
                <w:szCs w:val="1"/>
                <w:color w:val="auto"/>
              </w:rPr>
            </w:pPr>
          </w:p>
        </w:tc>
      </w:tr>
      <w:tr>
        <w:trPr>
          <w:trHeight w:val="242"/>
        </w:trPr>
        <w:tc>
          <w:tcPr>
            <w:tcW w:w="8380" w:type="dxa"/>
            <w:vAlign w:val="bottom"/>
            <w:gridSpan w:val="2"/>
          </w:tcPr>
          <w:p>
            <w:pPr>
              <w:ind w:left="140"/>
              <w:spacing w:after="0"/>
              <w:rPr>
                <w:sz w:val="20"/>
                <w:szCs w:val="20"/>
                <w:color w:val="auto"/>
              </w:rPr>
            </w:pPr>
            <w:r>
              <w:rPr>
                <w:rFonts w:ascii="Arial" w:cs="Arial" w:eastAsia="Arial" w:hAnsi="Arial"/>
                <w:sz w:val="18"/>
                <w:szCs w:val="18"/>
                <w:color w:val="auto"/>
              </w:rPr>
              <w:t>common share</w:t>
            </w:r>
          </w:p>
        </w:tc>
        <w:tc>
          <w:tcPr>
            <w:tcW w:w="34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80" w:type="dxa"/>
            <w:vAlign w:val="bottom"/>
            <w:gridSpan w:val="2"/>
          </w:tcPr>
          <w:p>
            <w:pPr>
              <w:spacing w:after="0"/>
              <w:rPr>
                <w:sz w:val="20"/>
                <w:szCs w:val="20"/>
                <w:color w:val="auto"/>
              </w:rPr>
            </w:pPr>
            <w:r>
              <w:rPr>
                <w:rFonts w:ascii="Arial" w:cs="Arial" w:eastAsia="Arial" w:hAnsi="Arial"/>
                <w:sz w:val="18"/>
                <w:szCs w:val="18"/>
                <w:color w:val="auto"/>
              </w:rPr>
              <w:t>Add: dividends declared - preferred shares</w:t>
            </w:r>
          </w:p>
        </w:tc>
        <w:tc>
          <w:tcPr>
            <w:tcW w:w="340" w:type="dxa"/>
            <w:vAlign w:val="bottom"/>
          </w:tcPr>
          <w:p>
            <w:pPr>
              <w:spacing w:after="0"/>
              <w:rPr>
                <w:sz w:val="20"/>
                <w:szCs w:val="20"/>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422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80" w:type="dxa"/>
            <w:vAlign w:val="bottom"/>
            <w:gridSpan w:val="2"/>
            <w:vMerge w:val="restart"/>
          </w:tcPr>
          <w:p>
            <w:pPr>
              <w:spacing w:after="0"/>
              <w:rPr>
                <w:sz w:val="20"/>
                <w:szCs w:val="20"/>
                <w:color w:val="auto"/>
              </w:rPr>
            </w:pPr>
            <w:r>
              <w:rPr>
                <w:rFonts w:ascii="Arial" w:cs="Arial" w:eastAsia="Arial" w:hAnsi="Arial"/>
                <w:sz w:val="18"/>
                <w:szCs w:val="18"/>
                <w:color w:val="auto"/>
              </w:rPr>
              <w:t>Numerator for diluted earnings per</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38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vMerge w:val="restart"/>
          </w:tcPr>
          <w:p>
            <w:pPr>
              <w:jc w:val="right"/>
              <w:ind w:right="92"/>
              <w:spacing w:after="0"/>
              <w:rPr>
                <w:sz w:val="20"/>
                <w:szCs w:val="20"/>
                <w:color w:val="auto"/>
              </w:rPr>
            </w:pPr>
            <w:r>
              <w:rPr>
                <w:rFonts w:ascii="Arial" w:cs="Arial" w:eastAsia="Arial" w:hAnsi="Arial"/>
                <w:sz w:val="18"/>
                <w:szCs w:val="18"/>
                <w:color w:val="auto"/>
              </w:rPr>
              <w:t>103,922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vMerge w:val="restart"/>
          </w:tcPr>
          <w:p>
            <w:pPr>
              <w:jc w:val="right"/>
              <w:ind w:right="91"/>
              <w:spacing w:after="0"/>
              <w:rPr>
                <w:sz w:val="20"/>
                <w:szCs w:val="20"/>
                <w:color w:val="auto"/>
              </w:rPr>
            </w:pPr>
            <w:r>
              <w:rPr>
                <w:rFonts w:ascii="Arial" w:cs="Arial" w:eastAsia="Arial" w:hAnsi="Arial"/>
                <w:sz w:val="18"/>
                <w:szCs w:val="18"/>
                <w:color w:val="auto"/>
              </w:rPr>
              <w:t>84,163</w:t>
            </w:r>
          </w:p>
        </w:tc>
        <w:tc>
          <w:tcPr>
            <w:tcW w:w="0" w:type="dxa"/>
            <w:vAlign w:val="bottom"/>
          </w:tcPr>
          <w:p>
            <w:pPr>
              <w:spacing w:after="0"/>
              <w:rPr>
                <w:sz w:val="1"/>
                <w:szCs w:val="1"/>
                <w:color w:val="auto"/>
              </w:rPr>
            </w:pPr>
          </w:p>
        </w:tc>
      </w:tr>
      <w:tr>
        <w:trPr>
          <w:trHeight w:val="237"/>
        </w:trPr>
        <w:tc>
          <w:tcPr>
            <w:tcW w:w="8380" w:type="dxa"/>
            <w:vAlign w:val="bottom"/>
            <w:gridSpan w:val="2"/>
          </w:tcPr>
          <w:p>
            <w:pPr>
              <w:ind w:left="140"/>
              <w:spacing w:after="0"/>
              <w:rPr>
                <w:sz w:val="20"/>
                <w:szCs w:val="20"/>
                <w:color w:val="auto"/>
              </w:rPr>
            </w:pPr>
            <w:r>
              <w:rPr>
                <w:rFonts w:ascii="Arial" w:cs="Arial" w:eastAsia="Arial" w:hAnsi="Arial"/>
                <w:sz w:val="18"/>
                <w:szCs w:val="18"/>
                <w:color w:val="auto"/>
              </w:rPr>
              <w:t>common share</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Denominator</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8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8380" w:type="dxa"/>
            <w:vAlign w:val="bottom"/>
            <w:gridSpan w:val="2"/>
          </w:tcPr>
          <w:p>
            <w:pPr>
              <w:spacing w:after="0"/>
              <w:rPr>
                <w:sz w:val="20"/>
                <w:szCs w:val="20"/>
                <w:color w:val="auto"/>
              </w:rPr>
            </w:pPr>
            <w:r>
              <w:rPr>
                <w:rFonts w:ascii="Arial" w:cs="Arial" w:eastAsia="Arial" w:hAnsi="Arial"/>
                <w:sz w:val="18"/>
                <w:szCs w:val="18"/>
                <w:color w:val="auto"/>
              </w:rPr>
              <w:t>Denominator for basic earnings per common</w:t>
            </w: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380" w:type="dxa"/>
            <w:vAlign w:val="bottom"/>
            <w:gridSpan w:val="2"/>
          </w:tcPr>
          <w:p>
            <w:pPr>
              <w:ind w:left="380"/>
              <w:spacing w:after="0"/>
              <w:rPr>
                <w:sz w:val="20"/>
                <w:szCs w:val="20"/>
                <w:color w:val="auto"/>
              </w:rPr>
            </w:pPr>
            <w:r>
              <w:rPr>
                <w:rFonts w:ascii="Arial" w:cs="Arial" w:eastAsia="Arial" w:hAnsi="Arial"/>
                <w:sz w:val="18"/>
                <w:szCs w:val="18"/>
                <w:color w:val="auto"/>
              </w:rPr>
              <w:t>share - weighted average shares</w:t>
            </w:r>
          </w:p>
        </w:tc>
        <w:tc>
          <w:tcPr>
            <w:tcW w:w="340" w:type="dxa"/>
            <w:vAlign w:val="bottom"/>
          </w:tcPr>
          <w:p>
            <w:pPr>
              <w:spacing w:after="0"/>
              <w:rPr>
                <w:sz w:val="20"/>
                <w:szCs w:val="20"/>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177,348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95,992</w:t>
            </w:r>
          </w:p>
        </w:tc>
        <w:tc>
          <w:tcPr>
            <w:tcW w:w="0" w:type="dxa"/>
            <w:vAlign w:val="bottom"/>
          </w:tcPr>
          <w:p>
            <w:pPr>
              <w:spacing w:after="0"/>
              <w:rPr>
                <w:sz w:val="1"/>
                <w:szCs w:val="1"/>
                <w:color w:val="auto"/>
              </w:rPr>
            </w:pPr>
          </w:p>
        </w:tc>
      </w:tr>
      <w:tr>
        <w:trPr>
          <w:trHeight w:val="270"/>
        </w:trPr>
        <w:tc>
          <w:tcPr>
            <w:tcW w:w="8380" w:type="dxa"/>
            <w:vAlign w:val="bottom"/>
            <w:gridSpan w:val="2"/>
          </w:tcPr>
          <w:p>
            <w:pPr>
              <w:spacing w:after="0"/>
              <w:rPr>
                <w:sz w:val="20"/>
                <w:szCs w:val="20"/>
                <w:color w:val="auto"/>
              </w:rPr>
            </w:pPr>
            <w:r>
              <w:rPr>
                <w:rFonts w:ascii="Arial" w:cs="Arial" w:eastAsia="Arial" w:hAnsi="Arial"/>
                <w:sz w:val="18"/>
                <w:szCs w:val="18"/>
                <w:color w:val="auto"/>
              </w:rPr>
              <w:t>Effect of dilutive securities:</w:t>
            </w: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80" w:type="dxa"/>
            <w:vAlign w:val="bottom"/>
            <w:gridSpan w:val="2"/>
          </w:tcPr>
          <w:p>
            <w:pPr>
              <w:spacing w:after="0"/>
              <w:rPr>
                <w:sz w:val="20"/>
                <w:szCs w:val="20"/>
                <w:color w:val="auto"/>
              </w:rPr>
            </w:pPr>
            <w:r>
              <w:rPr>
                <w:rFonts w:ascii="Arial" w:cs="Arial" w:eastAsia="Arial" w:hAnsi="Arial"/>
                <w:sz w:val="18"/>
                <w:szCs w:val="18"/>
                <w:color w:val="auto"/>
              </w:rPr>
              <w:t>Assumed conversion of preferred shares</w:t>
            </w:r>
          </w:p>
        </w:tc>
        <w:tc>
          <w:tcPr>
            <w:tcW w:w="340" w:type="dxa"/>
            <w:vAlign w:val="bottom"/>
          </w:tcPr>
          <w:p>
            <w:pPr>
              <w:spacing w:after="0"/>
              <w:rPr>
                <w:sz w:val="23"/>
                <w:szCs w:val="23"/>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13,743</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8380" w:type="dxa"/>
            <w:vAlign w:val="bottom"/>
            <w:gridSpan w:val="2"/>
          </w:tcPr>
          <w:p>
            <w:pPr>
              <w:spacing w:after="0"/>
              <w:rPr>
                <w:sz w:val="20"/>
                <w:szCs w:val="20"/>
                <w:color w:val="auto"/>
              </w:rPr>
            </w:pPr>
            <w:r>
              <w:rPr>
                <w:rFonts w:ascii="Arial" w:cs="Arial" w:eastAsia="Arial" w:hAnsi="Arial"/>
                <w:sz w:val="18"/>
                <w:szCs w:val="18"/>
                <w:color w:val="auto"/>
              </w:rPr>
              <w:t>Assumed conversion of dilutive stock-based</w:t>
            </w: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380" w:type="dxa"/>
            <w:vAlign w:val="bottom"/>
            <w:gridSpan w:val="2"/>
          </w:tcPr>
          <w:p>
            <w:pPr>
              <w:ind w:left="140"/>
              <w:spacing w:after="0"/>
              <w:rPr>
                <w:sz w:val="20"/>
                <w:szCs w:val="20"/>
                <w:color w:val="auto"/>
              </w:rPr>
            </w:pPr>
            <w:r>
              <w:rPr>
                <w:rFonts w:ascii="Arial" w:cs="Arial" w:eastAsia="Arial" w:hAnsi="Arial"/>
                <w:sz w:val="18"/>
                <w:szCs w:val="18"/>
                <w:color w:val="auto"/>
              </w:rPr>
              <w:t>compensation plans</w:t>
            </w:r>
          </w:p>
        </w:tc>
        <w:tc>
          <w:tcPr>
            <w:tcW w:w="340" w:type="dxa"/>
            <w:vAlign w:val="bottom"/>
          </w:tcPr>
          <w:p>
            <w:pPr>
              <w:spacing w:after="0"/>
              <w:rPr>
                <w:sz w:val="20"/>
                <w:szCs w:val="20"/>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70"/>
        </w:trPr>
        <w:tc>
          <w:tcPr>
            <w:tcW w:w="8380" w:type="dxa"/>
            <w:vAlign w:val="bottom"/>
            <w:gridSpan w:val="2"/>
          </w:tcPr>
          <w:p>
            <w:pPr>
              <w:spacing w:after="0"/>
              <w:rPr>
                <w:sz w:val="20"/>
                <w:szCs w:val="20"/>
                <w:color w:val="auto"/>
              </w:rPr>
            </w:pPr>
            <w:r>
              <w:rPr>
                <w:rFonts w:ascii="Arial" w:cs="Arial" w:eastAsia="Arial" w:hAnsi="Arial"/>
                <w:sz w:val="18"/>
                <w:szCs w:val="18"/>
                <w:color w:val="auto"/>
              </w:rPr>
              <w:t>Denominator for diluted earnings per common share -</w:t>
            </w: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6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80" w:type="dxa"/>
            <w:vAlign w:val="bottom"/>
            <w:gridSpan w:val="2"/>
          </w:tcPr>
          <w:p>
            <w:pPr>
              <w:ind w:left="240"/>
              <w:spacing w:after="0"/>
              <w:rPr>
                <w:sz w:val="20"/>
                <w:szCs w:val="20"/>
                <w:color w:val="auto"/>
              </w:rPr>
            </w:pPr>
            <w:r>
              <w:rPr>
                <w:rFonts w:ascii="Arial" w:cs="Arial" w:eastAsia="Arial" w:hAnsi="Arial"/>
                <w:sz w:val="18"/>
                <w:szCs w:val="18"/>
                <w:color w:val="auto"/>
              </w:rPr>
              <w:t>adjusted weighted average shares and assumed conversion</w:t>
            </w: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191,453</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96,575</w:t>
            </w:r>
          </w:p>
        </w:tc>
        <w:tc>
          <w:tcPr>
            <w:tcW w:w="0" w:type="dxa"/>
            <w:vAlign w:val="bottom"/>
          </w:tcPr>
          <w:p>
            <w:pPr>
              <w:spacing w:after="0"/>
              <w:rPr>
                <w:sz w:val="1"/>
                <w:szCs w:val="1"/>
                <w:color w:val="auto"/>
              </w:rPr>
            </w:pPr>
          </w:p>
        </w:tc>
      </w:tr>
      <w:tr>
        <w:trPr>
          <w:trHeight w:val="20"/>
        </w:trPr>
        <w:tc>
          <w:tcPr>
            <w:tcW w:w="8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attributable to Wabtec</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83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380" w:type="dxa"/>
            <w:vAlign w:val="bottom"/>
            <w:gridSpan w:val="2"/>
          </w:tcPr>
          <w:p>
            <w:pPr>
              <w:ind w:left="260"/>
              <w:spacing w:after="0"/>
              <w:rPr>
                <w:sz w:val="20"/>
                <w:szCs w:val="20"/>
                <w:color w:val="auto"/>
              </w:rPr>
            </w:pPr>
            <w:r>
              <w:rPr>
                <w:rFonts w:ascii="Arial" w:cs="Arial" w:eastAsia="Arial" w:hAnsi="Arial"/>
                <w:sz w:val="18"/>
                <w:szCs w:val="18"/>
                <w:b w:val="1"/>
                <w:bCs w:val="1"/>
                <w:color w:val="auto"/>
              </w:rPr>
              <w:t>shareholders per common share</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380" w:type="dxa"/>
            <w:vAlign w:val="bottom"/>
            <w:gridSpan w:val="2"/>
          </w:tcPr>
          <w:p>
            <w:pPr>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0.58</w:t>
            </w:r>
          </w:p>
        </w:tc>
        <w:tc>
          <w:tcPr>
            <w:tcW w:w="120" w:type="dxa"/>
            <w:vAlign w:val="bottom"/>
          </w:tcPr>
          <w:p>
            <w:pPr>
              <w:spacing w:after="0"/>
              <w:rPr>
                <w:sz w:val="23"/>
                <w:szCs w:val="23"/>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70"/>
        </w:trPr>
        <w:tc>
          <w:tcPr>
            <w:tcW w:w="8380" w:type="dxa"/>
            <w:vAlign w:val="bottom"/>
            <w:gridSpan w:val="2"/>
          </w:tcPr>
          <w:p>
            <w:pPr>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0.54</w:t>
            </w:r>
          </w:p>
        </w:tc>
        <w:tc>
          <w:tcPr>
            <w:tcW w:w="120" w:type="dxa"/>
            <w:vAlign w:val="bottom"/>
          </w:tcPr>
          <w:p>
            <w:pPr>
              <w:spacing w:after="0"/>
              <w:rPr>
                <w:sz w:val="23"/>
                <w:szCs w:val="23"/>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0.87</w:t>
            </w:r>
          </w:p>
        </w:tc>
        <w:tc>
          <w:tcPr>
            <w:tcW w:w="0" w:type="dxa"/>
            <w:vAlign w:val="bottom"/>
          </w:tcPr>
          <w:p>
            <w:pPr>
              <w:spacing w:after="0"/>
              <w:rPr>
                <w:sz w:val="1"/>
                <w:szCs w:val="1"/>
                <w:color w:val="auto"/>
              </w:rPr>
            </w:pPr>
          </w:p>
        </w:tc>
      </w:tr>
      <w:tr>
        <w:trPr>
          <w:trHeight w:val="513"/>
        </w:trPr>
        <w:tc>
          <w:tcPr>
            <w:tcW w:w="8380" w:type="dxa"/>
            <w:vAlign w:val="bottom"/>
            <w:gridSpan w:val="2"/>
          </w:tcPr>
          <w:p>
            <w:pPr>
              <w:spacing w:after="0"/>
              <w:rPr>
                <w:sz w:val="20"/>
                <w:szCs w:val="20"/>
                <w:color w:val="auto"/>
              </w:rPr>
            </w:pPr>
            <w:r>
              <w:rPr>
                <w:rFonts w:ascii="Arial" w:cs="Arial" w:eastAsia="Arial" w:hAnsi="Arial"/>
                <w:sz w:val="18"/>
                <w:szCs w:val="18"/>
                <w:color w:val="auto"/>
              </w:rPr>
              <w:t>(1) Basic weighted-average common shares outstanding</w:t>
            </w:r>
          </w:p>
        </w:tc>
        <w:tc>
          <w:tcPr>
            <w:tcW w:w="340" w:type="dxa"/>
            <w:vAlign w:val="bottom"/>
          </w:tcPr>
          <w:p>
            <w:pPr>
              <w:spacing w:after="0"/>
              <w:rPr>
                <w:sz w:val="24"/>
                <w:szCs w:val="24"/>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177,348</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95,992</w:t>
            </w:r>
          </w:p>
        </w:tc>
        <w:tc>
          <w:tcPr>
            <w:tcW w:w="0" w:type="dxa"/>
            <w:vAlign w:val="bottom"/>
          </w:tcPr>
          <w:p>
            <w:pPr>
              <w:spacing w:after="0"/>
              <w:rPr>
                <w:sz w:val="1"/>
                <w:szCs w:val="1"/>
                <w:color w:val="auto"/>
              </w:rPr>
            </w:pPr>
          </w:p>
        </w:tc>
      </w:tr>
      <w:tr>
        <w:trPr>
          <w:trHeight w:val="256"/>
        </w:trPr>
        <w:tc>
          <w:tcPr>
            <w:tcW w:w="8380" w:type="dxa"/>
            <w:vAlign w:val="bottom"/>
            <w:gridSpan w:val="2"/>
          </w:tcPr>
          <w:p>
            <w:pPr>
              <w:ind w:left="260"/>
              <w:spacing w:after="0"/>
              <w:rPr>
                <w:sz w:val="20"/>
                <w:szCs w:val="20"/>
                <w:color w:val="auto"/>
              </w:rPr>
            </w:pPr>
            <w:r>
              <w:rPr>
                <w:rFonts w:ascii="Arial" w:cs="Arial" w:eastAsia="Arial" w:hAnsi="Arial"/>
                <w:sz w:val="18"/>
                <w:szCs w:val="18"/>
                <w:color w:val="auto"/>
              </w:rPr>
              <w:t>Basic weighted-average common shares outstanding and</w:t>
            </w: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380" w:type="dxa"/>
            <w:vAlign w:val="bottom"/>
            <w:gridSpan w:val="2"/>
          </w:tcPr>
          <w:p>
            <w:pPr>
              <w:ind w:left="380"/>
              <w:spacing w:after="0"/>
              <w:rPr>
                <w:sz w:val="20"/>
                <w:szCs w:val="20"/>
                <w:color w:val="auto"/>
              </w:rPr>
            </w:pPr>
            <w:r>
              <w:rPr>
                <w:rFonts w:ascii="Arial" w:cs="Arial" w:eastAsia="Arial" w:hAnsi="Arial"/>
                <w:sz w:val="18"/>
                <w:szCs w:val="18"/>
                <w:color w:val="auto"/>
              </w:rPr>
              <w:t>non-vested restricted stock expected to vest</w:t>
            </w:r>
          </w:p>
        </w:tc>
        <w:tc>
          <w:tcPr>
            <w:tcW w:w="340" w:type="dxa"/>
            <w:vAlign w:val="bottom"/>
          </w:tcPr>
          <w:p>
            <w:pPr>
              <w:spacing w:after="0"/>
              <w:rPr>
                <w:sz w:val="20"/>
                <w:szCs w:val="20"/>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177,922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96,276</w:t>
            </w:r>
          </w:p>
        </w:tc>
        <w:tc>
          <w:tcPr>
            <w:tcW w:w="0" w:type="dxa"/>
            <w:vAlign w:val="bottom"/>
          </w:tcPr>
          <w:p>
            <w:pPr>
              <w:spacing w:after="0"/>
              <w:rPr>
                <w:sz w:val="1"/>
                <w:szCs w:val="1"/>
                <w:color w:val="auto"/>
              </w:rPr>
            </w:pPr>
          </w:p>
        </w:tc>
      </w:tr>
      <w:tr>
        <w:trPr>
          <w:trHeight w:val="270"/>
        </w:trPr>
        <w:tc>
          <w:tcPr>
            <w:tcW w:w="8380" w:type="dxa"/>
            <w:vAlign w:val="bottom"/>
            <w:gridSpan w:val="2"/>
          </w:tcPr>
          <w:p>
            <w:pPr>
              <w:spacing w:after="0"/>
              <w:rPr>
                <w:sz w:val="20"/>
                <w:szCs w:val="20"/>
                <w:color w:val="auto"/>
              </w:rPr>
            </w:pPr>
            <w:r>
              <w:rPr>
                <w:rFonts w:ascii="Arial" w:cs="Arial" w:eastAsia="Arial" w:hAnsi="Arial"/>
                <w:sz w:val="18"/>
                <w:szCs w:val="18"/>
                <w:color w:val="auto"/>
              </w:rPr>
              <w:t>Percentage allocated to common shareholders</w:t>
            </w: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99.7%</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364" w:right="239" w:bottom="1440" w:gutter="0" w:footer="0" w:header="0"/>
          <w:type w:val="continuous"/>
        </w:sectPr>
      </w:pPr>
    </w:p>
    <w:bookmarkStart w:id="26" w:name="page27"/>
    <w:bookmarkEnd w:id="26"/>
    <w:tbl>
      <w:tblPr>
        <w:tblLayout w:type="fixed"/>
        <w:tblInd w:w="40" w:type="dxa"/>
        <w:tblCellMar>
          <w:top w:w="0" w:type="dxa"/>
          <w:left w:w="0" w:type="dxa"/>
          <w:bottom w:w="0" w:type="dxa"/>
          <w:right w:w="0" w:type="dxa"/>
        </w:tblCellMar>
      </w:tblPr>
      <w:tr>
        <w:trPr>
          <w:trHeight w:val="161"/>
        </w:trPr>
        <w:tc>
          <w:tcPr>
            <w:tcW w:w="210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40" w:type="dxa"/>
            <w:vAlign w:val="bottom"/>
            <w:gridSpan w:val="4"/>
          </w:tcPr>
          <w:p>
            <w:pPr>
              <w:jc w:val="right"/>
              <w:ind w:right="71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2100" w:type="dxa"/>
            <w:vAlign w:val="bottom"/>
          </w:tcPr>
          <w:p>
            <w:pPr>
              <w:spacing w:after="0"/>
              <w:rPr>
                <w:sz w:val="16"/>
                <w:szCs w:val="16"/>
                <w:color w:val="auto"/>
              </w:rPr>
            </w:pPr>
          </w:p>
        </w:tc>
        <w:tc>
          <w:tcPr>
            <w:tcW w:w="63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4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320" w:type="dxa"/>
            <w:vAlign w:val="bottom"/>
          </w:tcPr>
          <w:p>
            <w:pPr>
              <w:spacing w:after="0"/>
              <w:rPr>
                <w:sz w:val="19"/>
                <w:szCs w:val="19"/>
                <w:color w:val="auto"/>
              </w:rPr>
            </w:pPr>
          </w:p>
        </w:tc>
        <w:tc>
          <w:tcPr>
            <w:tcW w:w="1020" w:type="dxa"/>
            <w:vAlign w:val="bottom"/>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ind w:right="43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
        </w:trPr>
        <w:tc>
          <w:tcPr>
            <w:tcW w:w="210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b w:val="1"/>
                <w:bCs w:val="1"/>
                <w:color w:val="auto"/>
              </w:rPr>
              <w:t>Numerator</w:t>
            </w:r>
          </w:p>
        </w:tc>
        <w:tc>
          <w:tcPr>
            <w:tcW w:w="638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100" w:type="dxa"/>
            <w:vAlign w:val="bottom"/>
            <w:vMerge w:val="continue"/>
          </w:tcPr>
          <w:p>
            <w:pPr>
              <w:spacing w:after="0"/>
              <w:rPr>
                <w:sz w:val="20"/>
                <w:szCs w:val="20"/>
                <w:color w:val="auto"/>
              </w:rPr>
            </w:pPr>
          </w:p>
        </w:tc>
        <w:tc>
          <w:tcPr>
            <w:tcW w:w="638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8480" w:type="dxa"/>
            <w:vAlign w:val="bottom"/>
            <w:gridSpan w:val="2"/>
          </w:tcPr>
          <w:p>
            <w:pPr>
              <w:spacing w:after="0"/>
              <w:rPr>
                <w:sz w:val="20"/>
                <w:szCs w:val="20"/>
                <w:color w:val="auto"/>
              </w:rPr>
            </w:pPr>
            <w:r>
              <w:rPr>
                <w:rFonts w:ascii="Arial" w:cs="Arial" w:eastAsia="Arial" w:hAnsi="Arial"/>
                <w:sz w:val="18"/>
                <w:szCs w:val="18"/>
                <w:color w:val="auto"/>
              </w:rPr>
              <w:t>Numerator for basic and diluted earnings per common</w:t>
            </w: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480" w:type="dxa"/>
            <w:vAlign w:val="bottom"/>
            <w:gridSpan w:val="2"/>
          </w:tcPr>
          <w:p>
            <w:pPr>
              <w:ind w:left="140"/>
              <w:spacing w:after="0"/>
              <w:rPr>
                <w:sz w:val="20"/>
                <w:szCs w:val="20"/>
                <w:color w:val="auto"/>
              </w:rPr>
            </w:pPr>
            <w:r>
              <w:rPr>
                <w:rFonts w:ascii="Arial" w:cs="Arial" w:eastAsia="Arial" w:hAnsi="Arial"/>
                <w:sz w:val="18"/>
                <w:szCs w:val="18"/>
                <w:color w:val="auto"/>
              </w:rPr>
              <w:t>share - net income attributable</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80" w:type="dxa"/>
            <w:vAlign w:val="bottom"/>
            <w:gridSpan w:val="2"/>
          </w:tcPr>
          <w:p>
            <w:pPr>
              <w:ind w:left="240"/>
              <w:spacing w:after="0"/>
              <w:rPr>
                <w:sz w:val="20"/>
                <w:szCs w:val="20"/>
                <w:color w:val="auto"/>
              </w:rPr>
            </w:pPr>
            <w:r>
              <w:rPr>
                <w:rFonts w:ascii="Arial" w:cs="Arial" w:eastAsia="Arial" w:hAnsi="Arial"/>
                <w:sz w:val="18"/>
                <w:szCs w:val="18"/>
                <w:color w:val="auto"/>
              </w:rPr>
              <w:t>to Wabtec shareholders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99,763</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172,782</w:t>
            </w:r>
          </w:p>
        </w:tc>
        <w:tc>
          <w:tcPr>
            <w:tcW w:w="0" w:type="dxa"/>
            <w:vAlign w:val="bottom"/>
          </w:tcPr>
          <w:p>
            <w:pPr>
              <w:spacing w:after="0"/>
              <w:rPr>
                <w:sz w:val="1"/>
                <w:szCs w:val="1"/>
                <w:color w:val="auto"/>
              </w:rPr>
            </w:pPr>
          </w:p>
        </w:tc>
      </w:tr>
      <w:tr>
        <w:trPr>
          <w:trHeight w:val="256"/>
        </w:trPr>
        <w:tc>
          <w:tcPr>
            <w:tcW w:w="8480" w:type="dxa"/>
            <w:vAlign w:val="bottom"/>
            <w:gridSpan w:val="2"/>
          </w:tcPr>
          <w:p>
            <w:pPr>
              <w:spacing w:after="0"/>
              <w:rPr>
                <w:sz w:val="20"/>
                <w:szCs w:val="20"/>
                <w:color w:val="auto"/>
              </w:rPr>
            </w:pPr>
            <w:r>
              <w:rPr>
                <w:rFonts w:ascii="Arial" w:cs="Arial" w:eastAsia="Arial" w:hAnsi="Arial"/>
                <w:sz w:val="18"/>
                <w:szCs w:val="18"/>
                <w:color w:val="auto"/>
              </w:rPr>
              <w:t>Less: dividends declared - common shares</w:t>
            </w: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480" w:type="dxa"/>
            <w:vAlign w:val="bottom"/>
            <w:gridSpan w:val="2"/>
          </w:tcPr>
          <w:p>
            <w:pPr>
              <w:ind w:left="140"/>
              <w:spacing w:after="0"/>
              <w:rPr>
                <w:sz w:val="20"/>
                <w:szCs w:val="20"/>
                <w:color w:val="auto"/>
              </w:rPr>
            </w:pPr>
            <w:r>
              <w:rPr>
                <w:rFonts w:ascii="Arial" w:cs="Arial" w:eastAsia="Arial" w:hAnsi="Arial"/>
                <w:sz w:val="18"/>
                <w:szCs w:val="18"/>
                <w:color w:val="auto"/>
              </w:rPr>
              <w:t>and non-vested restricted stock</w:t>
            </w:r>
          </w:p>
        </w:tc>
        <w:tc>
          <w:tcPr>
            <w:tcW w:w="320" w:type="dxa"/>
            <w:vAlign w:val="bottom"/>
          </w:tcPr>
          <w:p>
            <w:pPr>
              <w:spacing w:after="0"/>
              <w:rPr>
                <w:sz w:val="20"/>
                <w:szCs w:val="20"/>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(34,264)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(23,096)</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63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80" w:type="dxa"/>
            <w:vAlign w:val="bottom"/>
            <w:gridSpan w:val="2"/>
          </w:tcPr>
          <w:p>
            <w:pPr>
              <w:spacing w:after="0"/>
              <w:rPr>
                <w:sz w:val="20"/>
                <w:szCs w:val="20"/>
                <w:color w:val="auto"/>
              </w:rPr>
            </w:pPr>
            <w:r>
              <w:rPr>
                <w:rFonts w:ascii="Arial" w:cs="Arial" w:eastAsia="Arial" w:hAnsi="Arial"/>
                <w:sz w:val="18"/>
                <w:szCs w:val="18"/>
                <w:color w:val="auto"/>
              </w:rPr>
              <w:t>Undistributed earnings</w:t>
            </w:r>
          </w:p>
        </w:tc>
        <w:tc>
          <w:tcPr>
            <w:tcW w:w="320" w:type="dxa"/>
            <w:vAlign w:val="bottom"/>
          </w:tcPr>
          <w:p>
            <w:pPr>
              <w:spacing w:after="0"/>
              <w:rPr>
                <w:sz w:val="20"/>
                <w:szCs w:val="20"/>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65,499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149,686</w:t>
            </w:r>
          </w:p>
        </w:tc>
        <w:tc>
          <w:tcPr>
            <w:tcW w:w="0" w:type="dxa"/>
            <w:vAlign w:val="bottom"/>
          </w:tcPr>
          <w:p>
            <w:pPr>
              <w:spacing w:after="0"/>
              <w:rPr>
                <w:sz w:val="1"/>
                <w:szCs w:val="1"/>
                <w:color w:val="auto"/>
              </w:rPr>
            </w:pPr>
          </w:p>
        </w:tc>
      </w:tr>
      <w:tr>
        <w:trPr>
          <w:trHeight w:val="270"/>
        </w:trPr>
        <w:tc>
          <w:tcPr>
            <w:tcW w:w="8480" w:type="dxa"/>
            <w:vAlign w:val="bottom"/>
            <w:gridSpan w:val="2"/>
          </w:tcPr>
          <w:p>
            <w:pPr>
              <w:spacing w:after="0"/>
              <w:rPr>
                <w:sz w:val="20"/>
                <w:szCs w:val="20"/>
                <w:color w:val="auto"/>
              </w:rPr>
            </w:pPr>
            <w:r>
              <w:rPr>
                <w:rFonts w:ascii="Arial" w:cs="Arial" w:eastAsia="Arial" w:hAnsi="Arial"/>
                <w:sz w:val="18"/>
                <w:szCs w:val="18"/>
                <w:color w:val="auto"/>
              </w:rPr>
              <w:t>Percentage allocated to common shareholders (1)</w:t>
            </w: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63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10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65,303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149,237</w:t>
            </w:r>
          </w:p>
        </w:tc>
        <w:tc>
          <w:tcPr>
            <w:tcW w:w="0" w:type="dxa"/>
            <w:vAlign w:val="bottom"/>
          </w:tcPr>
          <w:p>
            <w:pPr>
              <w:spacing w:after="0"/>
              <w:rPr>
                <w:sz w:val="1"/>
                <w:szCs w:val="1"/>
                <w:color w:val="auto"/>
              </w:rPr>
            </w:pPr>
          </w:p>
        </w:tc>
      </w:tr>
      <w:tr>
        <w:trPr>
          <w:trHeight w:val="270"/>
        </w:trPr>
        <w:tc>
          <w:tcPr>
            <w:tcW w:w="8480" w:type="dxa"/>
            <w:vAlign w:val="bottom"/>
            <w:gridSpan w:val="2"/>
          </w:tcPr>
          <w:p>
            <w:pPr>
              <w:spacing w:after="0"/>
              <w:rPr>
                <w:sz w:val="20"/>
                <w:szCs w:val="20"/>
                <w:color w:val="auto"/>
              </w:rPr>
            </w:pPr>
            <w:r>
              <w:rPr>
                <w:rFonts w:ascii="Arial" w:cs="Arial" w:eastAsia="Arial" w:hAnsi="Arial"/>
                <w:sz w:val="18"/>
                <w:szCs w:val="18"/>
                <w:color w:val="auto"/>
              </w:rPr>
              <w:t>Add: dividends declared - common shares</w:t>
            </w:r>
          </w:p>
        </w:tc>
        <w:tc>
          <w:tcPr>
            <w:tcW w:w="320" w:type="dxa"/>
            <w:vAlign w:val="bottom"/>
          </w:tcPr>
          <w:p>
            <w:pPr>
              <w:spacing w:after="0"/>
              <w:rPr>
                <w:sz w:val="23"/>
                <w:szCs w:val="23"/>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34,154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23,027</w:t>
            </w:r>
          </w:p>
        </w:tc>
        <w:tc>
          <w:tcPr>
            <w:tcW w:w="0" w:type="dxa"/>
            <w:vAlign w:val="bottom"/>
          </w:tcPr>
          <w:p>
            <w:pPr>
              <w:spacing w:after="0"/>
              <w:rPr>
                <w:sz w:val="1"/>
                <w:szCs w:val="1"/>
                <w:color w:val="auto"/>
              </w:rPr>
            </w:pPr>
          </w:p>
        </w:tc>
      </w:tr>
      <w:tr>
        <w:trPr>
          <w:trHeight w:val="270"/>
        </w:trPr>
        <w:tc>
          <w:tcPr>
            <w:tcW w:w="8480" w:type="dxa"/>
            <w:vAlign w:val="bottom"/>
            <w:gridSpan w:val="2"/>
          </w:tcPr>
          <w:p>
            <w:pPr>
              <w:spacing w:after="0"/>
              <w:rPr>
                <w:sz w:val="20"/>
                <w:szCs w:val="20"/>
                <w:color w:val="auto"/>
              </w:rPr>
            </w:pPr>
            <w:r>
              <w:rPr>
                <w:rFonts w:ascii="Arial" w:cs="Arial" w:eastAsia="Arial" w:hAnsi="Arial"/>
                <w:sz w:val="18"/>
                <w:szCs w:val="18"/>
                <w:color w:val="auto"/>
              </w:rPr>
              <w:t>Less: dividends declared - preferred shares</w:t>
            </w:r>
          </w:p>
        </w:tc>
        <w:tc>
          <w:tcPr>
            <w:tcW w:w="320" w:type="dxa"/>
            <w:vAlign w:val="bottom"/>
          </w:tcPr>
          <w:p>
            <w:pPr>
              <w:spacing w:after="0"/>
              <w:rPr>
                <w:sz w:val="23"/>
                <w:szCs w:val="23"/>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480" w:type="dxa"/>
            <w:vAlign w:val="bottom"/>
            <w:gridSpan w:val="2"/>
            <w:vMerge w:val="restart"/>
          </w:tcPr>
          <w:p>
            <w:pPr>
              <w:spacing w:after="0"/>
              <w:rPr>
                <w:sz w:val="20"/>
                <w:szCs w:val="20"/>
                <w:color w:val="auto"/>
              </w:rPr>
            </w:pPr>
            <w:r>
              <w:rPr>
                <w:rFonts w:ascii="Arial" w:cs="Arial" w:eastAsia="Arial" w:hAnsi="Arial"/>
                <w:sz w:val="18"/>
                <w:szCs w:val="18"/>
                <w:color w:val="auto"/>
              </w:rPr>
              <w:t>Numerator for basic earnings per</w:t>
            </w: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480" w:type="dxa"/>
            <w:vAlign w:val="bottom"/>
            <w:gridSpan w:val="2"/>
            <w:vMerge w:val="continue"/>
          </w:tcPr>
          <w:p>
            <w:pPr>
              <w:spacing w:after="0"/>
              <w:rPr>
                <w:sz w:val="18"/>
                <w:szCs w:val="18"/>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ind w:right="112"/>
              <w:spacing w:after="0"/>
              <w:rPr>
                <w:sz w:val="20"/>
                <w:szCs w:val="20"/>
                <w:color w:val="auto"/>
              </w:rPr>
            </w:pPr>
            <w:r>
              <w:rPr>
                <w:rFonts w:ascii="Arial" w:cs="Arial" w:eastAsia="Arial" w:hAnsi="Arial"/>
                <w:sz w:val="18"/>
                <w:szCs w:val="18"/>
                <w:color w:val="auto"/>
              </w:rPr>
              <w:t>99,035</w:t>
            </w:r>
          </w:p>
        </w:tc>
        <w:tc>
          <w:tcPr>
            <w:tcW w:w="100" w:type="dxa"/>
            <w:vAlign w:val="bottom"/>
          </w:tcPr>
          <w:p>
            <w:pPr>
              <w:spacing w:after="0"/>
              <w:rPr>
                <w:sz w:val="18"/>
                <w:szCs w:val="18"/>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ind w:right="91"/>
              <w:spacing w:after="0"/>
              <w:rPr>
                <w:sz w:val="20"/>
                <w:szCs w:val="20"/>
                <w:color w:val="auto"/>
              </w:rPr>
            </w:pPr>
            <w:r>
              <w:rPr>
                <w:rFonts w:ascii="Arial" w:cs="Arial" w:eastAsia="Arial" w:hAnsi="Arial"/>
                <w:sz w:val="18"/>
                <w:szCs w:val="18"/>
                <w:color w:val="auto"/>
              </w:rPr>
              <w:t>172,264</w:t>
            </w:r>
          </w:p>
        </w:tc>
        <w:tc>
          <w:tcPr>
            <w:tcW w:w="0" w:type="dxa"/>
            <w:vAlign w:val="bottom"/>
          </w:tcPr>
          <w:p>
            <w:pPr>
              <w:spacing w:after="0"/>
              <w:rPr>
                <w:sz w:val="1"/>
                <w:szCs w:val="1"/>
                <w:color w:val="auto"/>
              </w:rPr>
            </w:pPr>
          </w:p>
        </w:tc>
      </w:tr>
      <w:tr>
        <w:trPr>
          <w:trHeight w:val="242"/>
        </w:trPr>
        <w:tc>
          <w:tcPr>
            <w:tcW w:w="8480" w:type="dxa"/>
            <w:vAlign w:val="bottom"/>
            <w:gridSpan w:val="2"/>
          </w:tcPr>
          <w:p>
            <w:pPr>
              <w:ind w:left="140"/>
              <w:spacing w:after="0"/>
              <w:rPr>
                <w:sz w:val="20"/>
                <w:szCs w:val="20"/>
                <w:color w:val="auto"/>
              </w:rPr>
            </w:pPr>
            <w:r>
              <w:rPr>
                <w:rFonts w:ascii="Arial" w:cs="Arial" w:eastAsia="Arial" w:hAnsi="Arial"/>
                <w:sz w:val="18"/>
                <w:szCs w:val="18"/>
                <w:color w:val="auto"/>
              </w:rPr>
              <w:t>common share</w:t>
            </w:r>
          </w:p>
        </w:tc>
        <w:tc>
          <w:tcPr>
            <w:tcW w:w="32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480" w:type="dxa"/>
            <w:vAlign w:val="bottom"/>
            <w:gridSpan w:val="2"/>
          </w:tcPr>
          <w:p>
            <w:pPr>
              <w:spacing w:after="0"/>
              <w:rPr>
                <w:sz w:val="20"/>
                <w:szCs w:val="20"/>
                <w:color w:val="auto"/>
              </w:rPr>
            </w:pPr>
            <w:r>
              <w:rPr>
                <w:rFonts w:ascii="Arial" w:cs="Arial" w:eastAsia="Arial" w:hAnsi="Arial"/>
                <w:sz w:val="18"/>
                <w:szCs w:val="18"/>
                <w:color w:val="auto"/>
              </w:rPr>
              <w:t>Add: dividends declared - preferred shares</w:t>
            </w:r>
          </w:p>
        </w:tc>
        <w:tc>
          <w:tcPr>
            <w:tcW w:w="320" w:type="dxa"/>
            <w:vAlign w:val="bottom"/>
          </w:tcPr>
          <w:p>
            <w:pPr>
              <w:spacing w:after="0"/>
              <w:rPr>
                <w:sz w:val="20"/>
                <w:szCs w:val="20"/>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480" w:type="dxa"/>
            <w:vAlign w:val="bottom"/>
            <w:gridSpan w:val="2"/>
            <w:vMerge w:val="restart"/>
          </w:tcPr>
          <w:p>
            <w:pPr>
              <w:spacing w:after="0"/>
              <w:rPr>
                <w:sz w:val="20"/>
                <w:szCs w:val="20"/>
                <w:color w:val="auto"/>
              </w:rPr>
            </w:pPr>
            <w:r>
              <w:rPr>
                <w:rFonts w:ascii="Arial" w:cs="Arial" w:eastAsia="Arial" w:hAnsi="Arial"/>
                <w:sz w:val="18"/>
                <w:szCs w:val="18"/>
                <w:color w:val="auto"/>
              </w:rPr>
              <w:t>Numerator for diluted earnings per</w:t>
            </w: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48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vMerge w:val="restart"/>
          </w:tcPr>
          <w:p>
            <w:pPr>
              <w:jc w:val="right"/>
              <w:ind w:right="112"/>
              <w:spacing w:after="0"/>
              <w:rPr>
                <w:sz w:val="20"/>
                <w:szCs w:val="20"/>
                <w:color w:val="auto"/>
              </w:rPr>
            </w:pPr>
            <w:r>
              <w:rPr>
                <w:rFonts w:ascii="Arial" w:cs="Arial" w:eastAsia="Arial" w:hAnsi="Arial"/>
                <w:sz w:val="18"/>
                <w:szCs w:val="18"/>
                <w:color w:val="auto"/>
              </w:rPr>
              <w:t>99,457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vMerge w:val="restart"/>
          </w:tcPr>
          <w:p>
            <w:pPr>
              <w:jc w:val="right"/>
              <w:ind w:right="91"/>
              <w:spacing w:after="0"/>
              <w:rPr>
                <w:sz w:val="20"/>
                <w:szCs w:val="20"/>
                <w:color w:val="auto"/>
              </w:rPr>
            </w:pPr>
            <w:r>
              <w:rPr>
                <w:rFonts w:ascii="Arial" w:cs="Arial" w:eastAsia="Arial" w:hAnsi="Arial"/>
                <w:sz w:val="18"/>
                <w:szCs w:val="18"/>
                <w:color w:val="auto"/>
              </w:rPr>
              <w:t>172,264</w:t>
            </w:r>
          </w:p>
        </w:tc>
        <w:tc>
          <w:tcPr>
            <w:tcW w:w="0" w:type="dxa"/>
            <w:vAlign w:val="bottom"/>
          </w:tcPr>
          <w:p>
            <w:pPr>
              <w:spacing w:after="0"/>
              <w:rPr>
                <w:sz w:val="1"/>
                <w:szCs w:val="1"/>
                <w:color w:val="auto"/>
              </w:rPr>
            </w:pPr>
          </w:p>
        </w:tc>
      </w:tr>
      <w:tr>
        <w:trPr>
          <w:trHeight w:val="237"/>
        </w:trPr>
        <w:tc>
          <w:tcPr>
            <w:tcW w:w="8480" w:type="dxa"/>
            <w:vAlign w:val="bottom"/>
            <w:gridSpan w:val="2"/>
          </w:tcPr>
          <w:p>
            <w:pPr>
              <w:ind w:left="140"/>
              <w:spacing w:after="0"/>
              <w:rPr>
                <w:sz w:val="20"/>
                <w:szCs w:val="20"/>
                <w:color w:val="auto"/>
              </w:rPr>
            </w:pPr>
            <w:r>
              <w:rPr>
                <w:rFonts w:ascii="Arial" w:cs="Arial" w:eastAsia="Arial" w:hAnsi="Arial"/>
                <w:sz w:val="18"/>
                <w:szCs w:val="18"/>
                <w:color w:val="auto"/>
              </w:rPr>
              <w:t>common share</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Denominator</w:t>
            </w: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48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8480" w:type="dxa"/>
            <w:vAlign w:val="bottom"/>
            <w:gridSpan w:val="2"/>
          </w:tcPr>
          <w:p>
            <w:pPr>
              <w:spacing w:after="0"/>
              <w:rPr>
                <w:sz w:val="20"/>
                <w:szCs w:val="20"/>
                <w:color w:val="auto"/>
              </w:rPr>
            </w:pPr>
            <w:r>
              <w:rPr>
                <w:rFonts w:ascii="Arial" w:cs="Arial" w:eastAsia="Arial" w:hAnsi="Arial"/>
                <w:sz w:val="18"/>
                <w:szCs w:val="18"/>
                <w:color w:val="auto"/>
              </w:rPr>
              <w:t>Denominator for basic earnings per common</w:t>
            </w: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480" w:type="dxa"/>
            <w:vAlign w:val="bottom"/>
            <w:gridSpan w:val="2"/>
          </w:tcPr>
          <w:p>
            <w:pPr>
              <w:ind w:left="380"/>
              <w:spacing w:after="0"/>
              <w:rPr>
                <w:sz w:val="20"/>
                <w:szCs w:val="20"/>
                <w:color w:val="auto"/>
              </w:rPr>
            </w:pPr>
            <w:r>
              <w:rPr>
                <w:rFonts w:ascii="Arial" w:cs="Arial" w:eastAsia="Arial" w:hAnsi="Arial"/>
                <w:sz w:val="18"/>
                <w:szCs w:val="18"/>
                <w:color w:val="auto"/>
              </w:rPr>
              <w:t>share - weighted average shares</w:t>
            </w:r>
          </w:p>
        </w:tc>
        <w:tc>
          <w:tcPr>
            <w:tcW w:w="320" w:type="dxa"/>
            <w:vAlign w:val="bottom"/>
          </w:tcPr>
          <w:p>
            <w:pPr>
              <w:spacing w:after="0"/>
              <w:rPr>
                <w:sz w:val="20"/>
                <w:szCs w:val="20"/>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149,553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95,867</w:t>
            </w:r>
          </w:p>
        </w:tc>
        <w:tc>
          <w:tcPr>
            <w:tcW w:w="0" w:type="dxa"/>
            <w:vAlign w:val="bottom"/>
          </w:tcPr>
          <w:p>
            <w:pPr>
              <w:spacing w:after="0"/>
              <w:rPr>
                <w:sz w:val="1"/>
                <w:szCs w:val="1"/>
                <w:color w:val="auto"/>
              </w:rPr>
            </w:pPr>
          </w:p>
        </w:tc>
      </w:tr>
      <w:tr>
        <w:trPr>
          <w:trHeight w:val="270"/>
        </w:trPr>
        <w:tc>
          <w:tcPr>
            <w:tcW w:w="8480" w:type="dxa"/>
            <w:vAlign w:val="bottom"/>
            <w:gridSpan w:val="2"/>
          </w:tcPr>
          <w:p>
            <w:pPr>
              <w:spacing w:after="0"/>
              <w:rPr>
                <w:sz w:val="20"/>
                <w:szCs w:val="20"/>
                <w:color w:val="auto"/>
              </w:rPr>
            </w:pPr>
            <w:r>
              <w:rPr>
                <w:rFonts w:ascii="Arial" w:cs="Arial" w:eastAsia="Arial" w:hAnsi="Arial"/>
                <w:sz w:val="18"/>
                <w:szCs w:val="18"/>
                <w:color w:val="auto"/>
              </w:rPr>
              <w:t>Effect of dilutive securities:</w:t>
            </w: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480" w:type="dxa"/>
            <w:vAlign w:val="bottom"/>
            <w:gridSpan w:val="2"/>
          </w:tcPr>
          <w:p>
            <w:pPr>
              <w:spacing w:after="0"/>
              <w:rPr>
                <w:sz w:val="20"/>
                <w:szCs w:val="20"/>
                <w:color w:val="auto"/>
              </w:rPr>
            </w:pPr>
            <w:r>
              <w:rPr>
                <w:rFonts w:ascii="Arial" w:cs="Arial" w:eastAsia="Arial" w:hAnsi="Arial"/>
                <w:sz w:val="18"/>
                <w:szCs w:val="18"/>
                <w:color w:val="auto"/>
              </w:rPr>
              <w:t>Assumed conversion of preferred shares</w:t>
            </w:r>
          </w:p>
        </w:tc>
        <w:tc>
          <w:tcPr>
            <w:tcW w:w="320" w:type="dxa"/>
            <w:vAlign w:val="bottom"/>
          </w:tcPr>
          <w:p>
            <w:pPr>
              <w:spacing w:after="0"/>
              <w:rPr>
                <w:sz w:val="23"/>
                <w:szCs w:val="23"/>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12,213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8480" w:type="dxa"/>
            <w:vAlign w:val="bottom"/>
            <w:gridSpan w:val="2"/>
          </w:tcPr>
          <w:p>
            <w:pPr>
              <w:spacing w:after="0"/>
              <w:rPr>
                <w:sz w:val="20"/>
                <w:szCs w:val="20"/>
                <w:color w:val="auto"/>
              </w:rPr>
            </w:pPr>
            <w:r>
              <w:rPr>
                <w:rFonts w:ascii="Arial" w:cs="Arial" w:eastAsia="Arial" w:hAnsi="Arial"/>
                <w:sz w:val="18"/>
                <w:szCs w:val="18"/>
                <w:color w:val="auto"/>
              </w:rPr>
              <w:t>Assumed conversion of dilutive stock-based</w:t>
            </w: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480" w:type="dxa"/>
            <w:vAlign w:val="bottom"/>
            <w:gridSpan w:val="2"/>
          </w:tcPr>
          <w:p>
            <w:pPr>
              <w:ind w:left="140"/>
              <w:spacing w:after="0"/>
              <w:rPr>
                <w:sz w:val="20"/>
                <w:szCs w:val="20"/>
                <w:color w:val="auto"/>
              </w:rPr>
            </w:pPr>
            <w:r>
              <w:rPr>
                <w:rFonts w:ascii="Arial" w:cs="Arial" w:eastAsia="Arial" w:hAnsi="Arial"/>
                <w:sz w:val="18"/>
                <w:szCs w:val="18"/>
                <w:color w:val="auto"/>
              </w:rPr>
              <w:t>compensation plans</w:t>
            </w:r>
          </w:p>
        </w:tc>
        <w:tc>
          <w:tcPr>
            <w:tcW w:w="320" w:type="dxa"/>
            <w:vAlign w:val="bottom"/>
          </w:tcPr>
          <w:p>
            <w:pPr>
              <w:spacing w:after="0"/>
              <w:rPr>
                <w:sz w:val="20"/>
                <w:szCs w:val="20"/>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70"/>
        </w:trPr>
        <w:tc>
          <w:tcPr>
            <w:tcW w:w="8480" w:type="dxa"/>
            <w:vAlign w:val="bottom"/>
            <w:gridSpan w:val="2"/>
          </w:tcPr>
          <w:p>
            <w:pPr>
              <w:spacing w:after="0"/>
              <w:rPr>
                <w:sz w:val="20"/>
                <w:szCs w:val="20"/>
                <w:color w:val="auto"/>
              </w:rPr>
            </w:pPr>
            <w:r>
              <w:rPr>
                <w:rFonts w:ascii="Arial" w:cs="Arial" w:eastAsia="Arial" w:hAnsi="Arial"/>
                <w:sz w:val="18"/>
                <w:szCs w:val="18"/>
                <w:color w:val="auto"/>
              </w:rPr>
              <w:t>Denominator for diluted earnings per common share -</w:t>
            </w: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63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80" w:type="dxa"/>
            <w:vAlign w:val="bottom"/>
            <w:gridSpan w:val="2"/>
          </w:tcPr>
          <w:p>
            <w:pPr>
              <w:ind w:left="240"/>
              <w:spacing w:after="0"/>
              <w:rPr>
                <w:sz w:val="20"/>
                <w:szCs w:val="20"/>
                <w:color w:val="auto"/>
              </w:rPr>
            </w:pPr>
            <w:r>
              <w:rPr>
                <w:rFonts w:ascii="Arial" w:cs="Arial" w:eastAsia="Arial" w:hAnsi="Arial"/>
                <w:sz w:val="18"/>
                <w:szCs w:val="18"/>
                <w:color w:val="auto"/>
              </w:rPr>
              <w:t>adjusted weighted average shares and assumed conversion</w:t>
            </w: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162,155</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96,471</w:t>
            </w:r>
          </w:p>
        </w:tc>
        <w:tc>
          <w:tcPr>
            <w:tcW w:w="0" w:type="dxa"/>
            <w:vAlign w:val="bottom"/>
          </w:tcPr>
          <w:p>
            <w:pPr>
              <w:spacing w:after="0"/>
              <w:rPr>
                <w:sz w:val="1"/>
                <w:szCs w:val="1"/>
                <w:color w:val="auto"/>
              </w:rPr>
            </w:pPr>
          </w:p>
        </w:tc>
      </w:tr>
      <w:tr>
        <w:trPr>
          <w:trHeight w:val="20"/>
        </w:trPr>
        <w:tc>
          <w:tcPr>
            <w:tcW w:w="8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attributable to Wabtec</w:t>
            </w: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84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480" w:type="dxa"/>
            <w:vAlign w:val="bottom"/>
            <w:gridSpan w:val="2"/>
          </w:tcPr>
          <w:p>
            <w:pPr>
              <w:ind w:left="260"/>
              <w:spacing w:after="0"/>
              <w:rPr>
                <w:sz w:val="20"/>
                <w:szCs w:val="20"/>
                <w:color w:val="auto"/>
              </w:rPr>
            </w:pPr>
            <w:r>
              <w:rPr>
                <w:rFonts w:ascii="Arial" w:cs="Arial" w:eastAsia="Arial" w:hAnsi="Arial"/>
                <w:sz w:val="18"/>
                <w:szCs w:val="18"/>
                <w:b w:val="1"/>
                <w:bCs w:val="1"/>
                <w:color w:val="auto"/>
              </w:rPr>
              <w:t>shareholders per common share</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80" w:type="dxa"/>
            <w:vAlign w:val="bottom"/>
            <w:gridSpan w:val="2"/>
          </w:tcPr>
          <w:p>
            <w:pPr>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70"/>
        </w:trPr>
        <w:tc>
          <w:tcPr>
            <w:tcW w:w="8480" w:type="dxa"/>
            <w:vAlign w:val="bottom"/>
            <w:gridSpan w:val="2"/>
          </w:tcPr>
          <w:p>
            <w:pPr>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0.61</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513"/>
        </w:trPr>
        <w:tc>
          <w:tcPr>
            <w:tcW w:w="8480" w:type="dxa"/>
            <w:vAlign w:val="bottom"/>
            <w:gridSpan w:val="2"/>
          </w:tcPr>
          <w:p>
            <w:pPr>
              <w:spacing w:after="0"/>
              <w:rPr>
                <w:sz w:val="20"/>
                <w:szCs w:val="20"/>
                <w:color w:val="auto"/>
              </w:rPr>
            </w:pPr>
            <w:r>
              <w:rPr>
                <w:rFonts w:ascii="Arial" w:cs="Arial" w:eastAsia="Arial" w:hAnsi="Arial"/>
                <w:sz w:val="18"/>
                <w:szCs w:val="18"/>
                <w:color w:val="auto"/>
              </w:rPr>
              <w:t>(1) Basic weighted-average common shares outstanding</w:t>
            </w:r>
          </w:p>
        </w:tc>
        <w:tc>
          <w:tcPr>
            <w:tcW w:w="320" w:type="dxa"/>
            <w:vAlign w:val="bottom"/>
          </w:tcPr>
          <w:p>
            <w:pPr>
              <w:spacing w:after="0"/>
              <w:rPr>
                <w:sz w:val="24"/>
                <w:szCs w:val="24"/>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149,553</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95,867</w:t>
            </w:r>
          </w:p>
        </w:tc>
        <w:tc>
          <w:tcPr>
            <w:tcW w:w="0" w:type="dxa"/>
            <w:vAlign w:val="bottom"/>
          </w:tcPr>
          <w:p>
            <w:pPr>
              <w:spacing w:after="0"/>
              <w:rPr>
                <w:sz w:val="1"/>
                <w:szCs w:val="1"/>
                <w:color w:val="auto"/>
              </w:rPr>
            </w:pPr>
          </w:p>
        </w:tc>
      </w:tr>
      <w:tr>
        <w:trPr>
          <w:trHeight w:val="256"/>
        </w:trPr>
        <w:tc>
          <w:tcPr>
            <w:tcW w:w="8480" w:type="dxa"/>
            <w:vAlign w:val="bottom"/>
            <w:gridSpan w:val="2"/>
          </w:tcPr>
          <w:p>
            <w:pPr>
              <w:ind w:left="240"/>
              <w:spacing w:after="0"/>
              <w:rPr>
                <w:sz w:val="20"/>
                <w:szCs w:val="20"/>
                <w:color w:val="auto"/>
              </w:rPr>
            </w:pPr>
            <w:r>
              <w:rPr>
                <w:rFonts w:ascii="Arial" w:cs="Arial" w:eastAsia="Arial" w:hAnsi="Arial"/>
                <w:sz w:val="18"/>
                <w:szCs w:val="18"/>
                <w:color w:val="auto"/>
              </w:rPr>
              <w:t>Basic weighted-average common shares outstanding and</w:t>
            </w: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480" w:type="dxa"/>
            <w:vAlign w:val="bottom"/>
            <w:gridSpan w:val="2"/>
          </w:tcPr>
          <w:p>
            <w:pPr>
              <w:ind w:left="380"/>
              <w:spacing w:after="0"/>
              <w:rPr>
                <w:sz w:val="20"/>
                <w:szCs w:val="20"/>
                <w:color w:val="auto"/>
              </w:rPr>
            </w:pPr>
            <w:r>
              <w:rPr>
                <w:rFonts w:ascii="Arial" w:cs="Arial" w:eastAsia="Arial" w:hAnsi="Arial"/>
                <w:sz w:val="18"/>
                <w:szCs w:val="18"/>
                <w:color w:val="auto"/>
              </w:rPr>
              <w:t>non-vested restricted stock expected to vest</w:t>
            </w:r>
          </w:p>
        </w:tc>
        <w:tc>
          <w:tcPr>
            <w:tcW w:w="320" w:type="dxa"/>
            <w:vAlign w:val="bottom"/>
          </w:tcPr>
          <w:p>
            <w:pPr>
              <w:spacing w:after="0"/>
              <w:rPr>
                <w:sz w:val="20"/>
                <w:szCs w:val="20"/>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150,013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96,153</w:t>
            </w:r>
          </w:p>
        </w:tc>
        <w:tc>
          <w:tcPr>
            <w:tcW w:w="0" w:type="dxa"/>
            <w:vAlign w:val="bottom"/>
          </w:tcPr>
          <w:p>
            <w:pPr>
              <w:spacing w:after="0"/>
              <w:rPr>
                <w:sz w:val="1"/>
                <w:szCs w:val="1"/>
                <w:color w:val="auto"/>
              </w:rPr>
            </w:pPr>
          </w:p>
        </w:tc>
      </w:tr>
      <w:tr>
        <w:trPr>
          <w:trHeight w:val="270"/>
        </w:trPr>
        <w:tc>
          <w:tcPr>
            <w:tcW w:w="8480" w:type="dxa"/>
            <w:vAlign w:val="bottom"/>
            <w:gridSpan w:val="2"/>
          </w:tcPr>
          <w:p>
            <w:pPr>
              <w:spacing w:after="0"/>
              <w:rPr>
                <w:sz w:val="20"/>
                <w:szCs w:val="20"/>
                <w:color w:val="auto"/>
              </w:rPr>
            </w:pPr>
            <w:r>
              <w:rPr>
                <w:rFonts w:ascii="Arial" w:cs="Arial" w:eastAsia="Arial" w:hAnsi="Arial"/>
                <w:sz w:val="18"/>
                <w:szCs w:val="18"/>
                <w:color w:val="auto"/>
              </w:rPr>
              <w:t>Percentage allocated to common shareholders</w:t>
            </w: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ind w:right="20" w:firstLine="500"/>
        <w:spacing w:after="0" w:line="286" w:lineRule="auto"/>
        <w:rPr>
          <w:sz w:val="20"/>
          <w:szCs w:val="20"/>
          <w:color w:val="auto"/>
        </w:rPr>
      </w:pPr>
      <w:r>
        <w:rPr>
          <w:rFonts w:ascii="Arial" w:cs="Arial" w:eastAsia="Arial" w:hAnsi="Arial"/>
          <w:sz w:val="17"/>
          <w:szCs w:val="17"/>
          <w:color w:val="auto"/>
        </w:rPr>
        <w:t>The Company’s non-vested restricted stock contains rights to receive nonforfeitable dividends, and thus are participating securities requiring the two-class method of computing earnings per share. The calculation of earnings per share for common stock shown above excludes the income attributable to the non-vested restricted stock from the numerator and excludes the dilutive impact of those shares from the denominator.</w:t>
      </w:r>
    </w:p>
    <w:p>
      <w:pPr>
        <w:spacing w:after="0" w:line="200" w:lineRule="exact"/>
        <w:rPr>
          <w:sz w:val="20"/>
          <w:szCs w:val="20"/>
          <w:color w:val="auto"/>
        </w:rPr>
      </w:pPr>
    </w:p>
    <w:p>
      <w:pPr>
        <w:spacing w:after="0" w:line="2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80"/>
          </w:cols>
          <w:pgMar w:left="240" w:top="618" w:right="3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13. WARRANTIES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reconciles the changes in the Company’s product warranty reserve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100330</wp:posOffset>
            </wp:positionV>
            <wp:extent cx="18097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4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3880" w:type="dxa"/>
            <w:vAlign w:val="bottom"/>
            <w:gridSpan w:val="2"/>
          </w:tcPr>
          <w:p>
            <w:pPr>
              <w:spacing w:after="0"/>
              <w:rPr>
                <w:sz w:val="20"/>
                <w:szCs w:val="20"/>
                <w:color w:val="auto"/>
              </w:rPr>
            </w:pPr>
            <w:r>
              <w:rPr>
                <w:rFonts w:ascii="Arial" w:cs="Arial" w:eastAsia="Arial" w:hAnsi="Arial"/>
                <w:sz w:val="18"/>
                <w:szCs w:val="18"/>
                <w:color w:val="auto"/>
              </w:rPr>
              <w:t>Balance at beginning of year</w:t>
            </w:r>
          </w:p>
        </w:tc>
        <w:tc>
          <w:tcPr>
            <w:tcW w:w="4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153,702</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153,063</w:t>
            </w:r>
          </w:p>
        </w:tc>
        <w:tc>
          <w:tcPr>
            <w:tcW w:w="0" w:type="dxa"/>
            <w:vAlign w:val="bottom"/>
          </w:tcPr>
          <w:p>
            <w:pPr>
              <w:spacing w:after="0"/>
              <w:rPr>
                <w:sz w:val="1"/>
                <w:szCs w:val="1"/>
                <w:color w:val="auto"/>
              </w:rPr>
            </w:pPr>
          </w:p>
        </w:tc>
      </w:tr>
      <w:tr>
        <w:trPr>
          <w:trHeight w:val="270"/>
        </w:trPr>
        <w:tc>
          <w:tcPr>
            <w:tcW w:w="3880" w:type="dxa"/>
            <w:vAlign w:val="bottom"/>
            <w:gridSpan w:val="2"/>
          </w:tcPr>
          <w:p>
            <w:pPr>
              <w:spacing w:after="0"/>
              <w:rPr>
                <w:sz w:val="20"/>
                <w:szCs w:val="20"/>
                <w:color w:val="auto"/>
              </w:rPr>
            </w:pPr>
            <w:r>
              <w:rPr>
                <w:rFonts w:ascii="Arial" w:cs="Arial" w:eastAsia="Arial" w:hAnsi="Arial"/>
                <w:sz w:val="18"/>
                <w:szCs w:val="18"/>
                <w:color w:val="auto"/>
              </w:rPr>
              <w:t>Acquisitions</w:t>
            </w:r>
          </w:p>
        </w:tc>
        <w:tc>
          <w:tcPr>
            <w:tcW w:w="46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97,559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70"/>
        </w:trPr>
        <w:tc>
          <w:tcPr>
            <w:tcW w:w="3880" w:type="dxa"/>
            <w:vAlign w:val="bottom"/>
            <w:gridSpan w:val="2"/>
          </w:tcPr>
          <w:p>
            <w:pPr>
              <w:spacing w:after="0"/>
              <w:rPr>
                <w:sz w:val="20"/>
                <w:szCs w:val="20"/>
                <w:color w:val="auto"/>
              </w:rPr>
            </w:pPr>
            <w:r>
              <w:rPr>
                <w:rFonts w:ascii="Arial" w:cs="Arial" w:eastAsia="Arial" w:hAnsi="Arial"/>
                <w:sz w:val="18"/>
                <w:szCs w:val="18"/>
                <w:color w:val="auto"/>
              </w:rPr>
              <w:t>Warranty expense</w:t>
            </w:r>
          </w:p>
        </w:tc>
        <w:tc>
          <w:tcPr>
            <w:tcW w:w="46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65,797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27,475</w:t>
            </w:r>
          </w:p>
        </w:tc>
        <w:tc>
          <w:tcPr>
            <w:tcW w:w="0" w:type="dxa"/>
            <w:vAlign w:val="bottom"/>
          </w:tcPr>
          <w:p>
            <w:pPr>
              <w:spacing w:after="0"/>
              <w:rPr>
                <w:sz w:val="1"/>
                <w:szCs w:val="1"/>
                <w:color w:val="auto"/>
              </w:rPr>
            </w:pPr>
          </w:p>
        </w:tc>
      </w:tr>
      <w:tr>
        <w:trPr>
          <w:trHeight w:val="270"/>
        </w:trPr>
        <w:tc>
          <w:tcPr>
            <w:tcW w:w="3880" w:type="dxa"/>
            <w:vAlign w:val="bottom"/>
            <w:gridSpan w:val="2"/>
          </w:tcPr>
          <w:p>
            <w:pPr>
              <w:spacing w:after="0"/>
              <w:rPr>
                <w:sz w:val="20"/>
                <w:szCs w:val="20"/>
                <w:color w:val="auto"/>
              </w:rPr>
            </w:pPr>
            <w:r>
              <w:rPr>
                <w:rFonts w:ascii="Arial" w:cs="Arial" w:eastAsia="Arial" w:hAnsi="Arial"/>
                <w:sz w:val="18"/>
                <w:szCs w:val="18"/>
                <w:color w:val="auto"/>
              </w:rPr>
              <w:t>Warranty claim payments</w:t>
            </w:r>
          </w:p>
        </w:tc>
        <w:tc>
          <w:tcPr>
            <w:tcW w:w="46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(60,643)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(26,405)</w:t>
            </w:r>
          </w:p>
        </w:tc>
        <w:tc>
          <w:tcPr>
            <w:tcW w:w="0" w:type="dxa"/>
            <w:vAlign w:val="bottom"/>
          </w:tcPr>
          <w:p>
            <w:pPr>
              <w:spacing w:after="0"/>
              <w:rPr>
                <w:sz w:val="1"/>
                <w:szCs w:val="1"/>
                <w:color w:val="auto"/>
              </w:rPr>
            </w:pPr>
          </w:p>
        </w:tc>
      </w:tr>
      <w:tr>
        <w:trPr>
          <w:trHeight w:val="270"/>
        </w:trPr>
        <w:tc>
          <w:tcPr>
            <w:tcW w:w="3880" w:type="dxa"/>
            <w:vAlign w:val="bottom"/>
            <w:gridSpan w:val="2"/>
          </w:tcPr>
          <w:p>
            <w:pPr>
              <w:spacing w:after="0"/>
              <w:rPr>
                <w:sz w:val="20"/>
                <w:szCs w:val="20"/>
                <w:color w:val="auto"/>
              </w:rPr>
            </w:pPr>
            <w:r>
              <w:rPr>
                <w:rFonts w:ascii="Arial" w:cs="Arial" w:eastAsia="Arial" w:hAnsi="Arial"/>
                <w:sz w:val="18"/>
                <w:szCs w:val="18"/>
                <w:color w:val="auto"/>
              </w:rPr>
              <w:t>Foreign currency impact/other</w:t>
            </w:r>
          </w:p>
        </w:tc>
        <w:tc>
          <w:tcPr>
            <w:tcW w:w="46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(1,380)</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80" w:type="dxa"/>
            <w:vAlign w:val="bottom"/>
            <w:gridSpan w:val="2"/>
          </w:tcPr>
          <w:p>
            <w:pPr>
              <w:spacing w:after="0"/>
              <w:rPr>
                <w:sz w:val="20"/>
                <w:szCs w:val="20"/>
                <w:color w:val="auto"/>
              </w:rPr>
            </w:pPr>
            <w:r>
              <w:rPr>
                <w:rFonts w:ascii="Arial" w:cs="Arial" w:eastAsia="Arial" w:hAnsi="Arial"/>
                <w:sz w:val="18"/>
                <w:szCs w:val="18"/>
                <w:color w:val="auto"/>
              </w:rPr>
              <w:t>Balance at June 30</w:t>
            </w:r>
          </w:p>
        </w:tc>
        <w:tc>
          <w:tcPr>
            <w:tcW w:w="4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256,016</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153,842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660" w:type="dxa"/>
            <w:vAlign w:val="bottom"/>
            <w:vMerge w:val="restart"/>
          </w:tcPr>
          <w:p>
            <w:pPr>
              <w:jc w:val="right"/>
              <w:ind w:right="2690"/>
              <w:spacing w:after="0"/>
              <w:rPr>
                <w:sz w:val="20"/>
                <w:szCs w:val="20"/>
                <w:color w:val="auto"/>
              </w:rPr>
            </w:pPr>
            <w:r>
              <w:rPr>
                <w:rFonts w:ascii="Arial" w:cs="Arial" w:eastAsia="Arial" w:hAnsi="Arial"/>
                <w:sz w:val="18"/>
                <w:szCs w:val="18"/>
                <w:color w:val="auto"/>
              </w:rPr>
              <w:t>27</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7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6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14. DERIVATIVE FINANCIAL INSTRUMENTS AND HEDGING</w:t>
      </w:r>
    </w:p>
    <w:p>
      <w:pPr>
        <w:spacing w:after="0" w:line="121" w:lineRule="exact"/>
        <w:rPr>
          <w:sz w:val="20"/>
          <w:szCs w:val="20"/>
          <w:color w:val="auto"/>
        </w:rPr>
      </w:pPr>
    </w:p>
    <w:p>
      <w:pPr>
        <w:ind w:right="20" w:firstLine="500"/>
        <w:spacing w:after="0" w:line="293" w:lineRule="auto"/>
        <w:rPr>
          <w:sz w:val="20"/>
          <w:szCs w:val="20"/>
          <w:color w:val="auto"/>
        </w:rPr>
      </w:pPr>
      <w:r>
        <w:rPr>
          <w:rFonts w:ascii="Arial" w:cs="Arial" w:eastAsia="Arial" w:hAnsi="Arial"/>
          <w:sz w:val="16"/>
          <w:szCs w:val="16"/>
          <w:b w:val="1"/>
          <w:bCs w:val="1"/>
          <w:i w:val="1"/>
          <w:iCs w:val="1"/>
          <w:color w:val="auto"/>
        </w:rPr>
        <w:t xml:space="preserve">Foreign Currency Hedging </w:t>
      </w:r>
      <w:r>
        <w:rPr>
          <w:rFonts w:ascii="Arial" w:cs="Arial" w:eastAsia="Arial" w:hAnsi="Arial"/>
          <w:sz w:val="16"/>
          <w:szCs w:val="16"/>
          <w:color w:val="auto"/>
        </w:rPr>
        <w:t>The Company uses forward contracts to mitigate its foreign currency exchange rate exposure due to forecasted sales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finished goods and future settlement of foreign currency denominated assets and liabilities. Derivatives used to hedge forecasted transactions and specific cash flows associated with foreign currency denominated financial assets and liabilities that meet the criteria for hedge accounting are designated as cash flow hedges. The effective portion of gain and losses is deferred as a component of accumulated other comprehensive income and is recognized in earnings at the time the hedged item affects earnings, in the same line item as the underlying hedged item. The contracts are scheduled to mature within two years. For the three and six months ended June 30, 2019 and June 30, 2018, the amounts reclassified into income were not material.</w:t>
      </w:r>
    </w:p>
    <w:p>
      <w:pPr>
        <w:spacing w:after="0" w:line="57" w:lineRule="exact"/>
        <w:rPr>
          <w:sz w:val="20"/>
          <w:szCs w:val="20"/>
          <w:color w:val="auto"/>
        </w:rPr>
      </w:pPr>
    </w:p>
    <w:p>
      <w:pPr>
        <w:ind w:right="60" w:firstLine="500"/>
        <w:spacing w:after="0" w:line="302" w:lineRule="auto"/>
        <w:rPr>
          <w:sz w:val="20"/>
          <w:szCs w:val="20"/>
          <w:color w:val="auto"/>
        </w:rPr>
      </w:pPr>
      <w:r>
        <w:rPr>
          <w:rFonts w:ascii="Arial" w:cs="Arial" w:eastAsia="Arial" w:hAnsi="Arial"/>
          <w:sz w:val="16"/>
          <w:szCs w:val="16"/>
          <w:b w:val="1"/>
          <w:bCs w:val="1"/>
          <w:i w:val="1"/>
          <w:iCs w:val="1"/>
          <w:color w:val="auto"/>
        </w:rPr>
        <w:t xml:space="preserve">Other Activities </w:t>
      </w:r>
      <w:r>
        <w:rPr>
          <w:rFonts w:ascii="Arial" w:cs="Arial" w:eastAsia="Arial" w:hAnsi="Arial"/>
          <w:sz w:val="16"/>
          <w:szCs w:val="16"/>
          <w:color w:val="auto"/>
        </w:rPr>
        <w:t>The Company enters into certain derivative contracts in accordance with its risk management strategy that do not meet the criteria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hedge accounting but which have the impact of largely mitigating foreign currency exposure. These foreign exchange contracts are accounted for on a full mark to market basis through earnings, with gains and losses recorded as a component of other expense, net. The net unrealized loss related to these contracts was $0.5 million for the six months ended June 30, 2019. These contracts are scheduled to mature within one year.</w:t>
      </w:r>
    </w:p>
    <w:p>
      <w:pPr>
        <w:spacing w:after="0" w:line="46" w:lineRule="exact"/>
        <w:rPr>
          <w:sz w:val="20"/>
          <w:szCs w:val="20"/>
          <w:color w:val="auto"/>
        </w:rPr>
      </w:pPr>
    </w:p>
    <w:p>
      <w:pPr>
        <w:ind w:right="580" w:firstLine="500"/>
        <w:spacing w:after="0" w:line="277" w:lineRule="auto"/>
        <w:rPr>
          <w:sz w:val="20"/>
          <w:szCs w:val="20"/>
          <w:color w:val="auto"/>
        </w:rPr>
      </w:pPr>
      <w:r>
        <w:rPr>
          <w:rFonts w:ascii="Arial" w:cs="Arial" w:eastAsia="Arial" w:hAnsi="Arial"/>
          <w:sz w:val="18"/>
          <w:szCs w:val="18"/>
          <w:color w:val="auto"/>
        </w:rPr>
        <w:t>The following table summarizes the gross notional amounts and fair values of the designated and non-designated hedges discussed in the above sections as of June 30, 2019.</w:t>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70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millions</w:t>
            </w:r>
          </w:p>
        </w:tc>
        <w:tc>
          <w:tcPr>
            <w:tcW w:w="180" w:type="dxa"/>
            <w:vAlign w:val="bottom"/>
          </w:tcPr>
          <w:p>
            <w:pPr>
              <w:spacing w:after="0"/>
              <w:rPr>
                <w:sz w:val="17"/>
                <w:szCs w:val="17"/>
                <w:color w:val="auto"/>
              </w:rPr>
            </w:pPr>
          </w:p>
        </w:tc>
        <w:tc>
          <w:tcPr>
            <w:tcW w:w="1300" w:type="dxa"/>
            <w:vAlign w:val="bottom"/>
            <w:gridSpan w:val="2"/>
          </w:tcPr>
          <w:p>
            <w:pPr>
              <w:ind w:left="80"/>
              <w:spacing w:after="0"/>
              <w:rPr>
                <w:sz w:val="20"/>
                <w:szCs w:val="20"/>
                <w:color w:val="auto"/>
              </w:rPr>
            </w:pPr>
            <w:r>
              <w:rPr>
                <w:rFonts w:ascii="Arial" w:cs="Arial" w:eastAsia="Arial" w:hAnsi="Arial"/>
                <w:sz w:val="18"/>
                <w:szCs w:val="18"/>
                <w:b w:val="1"/>
                <w:bCs w:val="1"/>
                <w:color w:val="auto"/>
              </w:rPr>
              <w:t>Designated</w:t>
            </w:r>
          </w:p>
        </w:tc>
        <w:tc>
          <w:tcPr>
            <w:tcW w:w="1480" w:type="dxa"/>
            <w:vAlign w:val="bottom"/>
            <w:gridSpan w:val="3"/>
          </w:tcPr>
          <w:p>
            <w:pPr>
              <w:ind w:left="80"/>
              <w:spacing w:after="0"/>
              <w:rPr>
                <w:sz w:val="20"/>
                <w:szCs w:val="20"/>
                <w:color w:val="auto"/>
              </w:rPr>
            </w:pPr>
            <w:r>
              <w:rPr>
                <w:rFonts w:ascii="Arial" w:cs="Arial" w:eastAsia="Arial" w:hAnsi="Arial"/>
                <w:sz w:val="18"/>
                <w:szCs w:val="18"/>
                <w:b w:val="1"/>
                <w:bCs w:val="1"/>
                <w:color w:val="auto"/>
                <w:w w:val="99"/>
              </w:rPr>
              <w:t>Non-Designated</w:t>
            </w:r>
          </w:p>
        </w:tc>
        <w:tc>
          <w:tcPr>
            <w:tcW w:w="300" w:type="dxa"/>
            <w:vAlign w:val="bottom"/>
          </w:tcPr>
          <w:p>
            <w:pPr>
              <w:spacing w:after="0"/>
              <w:rPr>
                <w:sz w:val="17"/>
                <w:szCs w:val="17"/>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48"/>
        </w:trPr>
        <w:tc>
          <w:tcPr>
            <w:tcW w:w="820" w:type="dxa"/>
            <w:vAlign w:val="bottom"/>
            <w:tcBorders>
              <w:top w:val="single" w:sz="8" w:color="auto"/>
            </w:tcBorders>
          </w:tcPr>
          <w:p>
            <w:pPr>
              <w:spacing w:after="0"/>
              <w:rPr>
                <w:sz w:val="4"/>
                <w:szCs w:val="4"/>
                <w:color w:val="auto"/>
              </w:rPr>
            </w:pPr>
          </w:p>
        </w:tc>
        <w:tc>
          <w:tcPr>
            <w:tcW w:w="624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37"/>
        </w:trPr>
        <w:tc>
          <w:tcPr>
            <w:tcW w:w="7060" w:type="dxa"/>
            <w:vAlign w:val="bottom"/>
            <w:gridSpan w:val="2"/>
          </w:tcPr>
          <w:p>
            <w:pPr>
              <w:spacing w:after="0"/>
              <w:rPr>
                <w:sz w:val="20"/>
                <w:szCs w:val="20"/>
                <w:color w:val="auto"/>
              </w:rPr>
            </w:pPr>
            <w:r>
              <w:rPr>
                <w:rFonts w:ascii="Arial" w:cs="Arial" w:eastAsia="Arial" w:hAnsi="Arial"/>
                <w:sz w:val="18"/>
                <w:szCs w:val="18"/>
                <w:color w:val="auto"/>
              </w:rPr>
              <w:t>Gross notional amount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2,574.0</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608.0</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3,182.0</w:t>
            </w:r>
          </w:p>
        </w:tc>
      </w:tr>
      <w:tr>
        <w:trPr>
          <w:trHeight w:val="392"/>
        </w:trPr>
        <w:tc>
          <w:tcPr>
            <w:tcW w:w="7060" w:type="dxa"/>
            <w:vAlign w:val="bottom"/>
            <w:gridSpan w:val="2"/>
          </w:tcPr>
          <w:p>
            <w:pPr>
              <w:spacing w:after="0"/>
              <w:rPr>
                <w:sz w:val="20"/>
                <w:szCs w:val="20"/>
                <w:color w:val="auto"/>
              </w:rPr>
            </w:pPr>
            <w:r>
              <w:rPr>
                <w:rFonts w:ascii="Arial" w:cs="Arial" w:eastAsia="Arial" w:hAnsi="Arial"/>
                <w:sz w:val="18"/>
                <w:szCs w:val="18"/>
                <w:color w:val="auto"/>
              </w:rPr>
              <w:t>Fair Value:</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
        </w:trPr>
        <w:tc>
          <w:tcPr>
            <w:tcW w:w="82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706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3.2</w:t>
            </w:r>
          </w:p>
        </w:tc>
      </w:tr>
      <w:tr>
        <w:trPr>
          <w:trHeight w:val="270"/>
        </w:trPr>
        <w:tc>
          <w:tcPr>
            <w:tcW w:w="7060" w:type="dxa"/>
            <w:vAlign w:val="bottom"/>
            <w:gridSpan w:val="2"/>
          </w:tcPr>
          <w:p>
            <w:pPr>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82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70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2"/>
                <w:szCs w:val="22"/>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8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580" w:firstLine="500"/>
        <w:spacing w:after="0" w:line="277" w:lineRule="auto"/>
        <w:rPr>
          <w:sz w:val="20"/>
          <w:szCs w:val="20"/>
          <w:color w:val="auto"/>
        </w:rPr>
      </w:pPr>
      <w:r>
        <w:rPr>
          <w:rFonts w:ascii="Arial" w:cs="Arial" w:eastAsia="Arial" w:hAnsi="Arial"/>
          <w:sz w:val="18"/>
          <w:szCs w:val="18"/>
          <w:color w:val="auto"/>
        </w:rPr>
        <w:t>The following table summarizes the gross notional amounts and fair values of the designated and non-designated hedges discussed in the above sections as of December 31, 2018.</w:t>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70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millions</w:t>
            </w:r>
          </w:p>
        </w:tc>
        <w:tc>
          <w:tcPr>
            <w:tcW w:w="180" w:type="dxa"/>
            <w:vAlign w:val="bottom"/>
          </w:tcPr>
          <w:p>
            <w:pPr>
              <w:spacing w:after="0"/>
              <w:rPr>
                <w:sz w:val="17"/>
                <w:szCs w:val="17"/>
                <w:color w:val="auto"/>
              </w:rPr>
            </w:pPr>
          </w:p>
        </w:tc>
        <w:tc>
          <w:tcPr>
            <w:tcW w:w="1300" w:type="dxa"/>
            <w:vAlign w:val="bottom"/>
            <w:gridSpan w:val="2"/>
          </w:tcPr>
          <w:p>
            <w:pPr>
              <w:ind w:left="80"/>
              <w:spacing w:after="0"/>
              <w:rPr>
                <w:sz w:val="20"/>
                <w:szCs w:val="20"/>
                <w:color w:val="auto"/>
              </w:rPr>
            </w:pPr>
            <w:r>
              <w:rPr>
                <w:rFonts w:ascii="Arial" w:cs="Arial" w:eastAsia="Arial" w:hAnsi="Arial"/>
                <w:sz w:val="18"/>
                <w:szCs w:val="18"/>
                <w:b w:val="1"/>
                <w:bCs w:val="1"/>
                <w:color w:val="auto"/>
              </w:rPr>
              <w:t>Designated</w:t>
            </w:r>
          </w:p>
        </w:tc>
        <w:tc>
          <w:tcPr>
            <w:tcW w:w="1480" w:type="dxa"/>
            <w:vAlign w:val="bottom"/>
            <w:gridSpan w:val="3"/>
          </w:tcPr>
          <w:p>
            <w:pPr>
              <w:ind w:left="80"/>
              <w:spacing w:after="0"/>
              <w:rPr>
                <w:sz w:val="20"/>
                <w:szCs w:val="20"/>
                <w:color w:val="auto"/>
              </w:rPr>
            </w:pPr>
            <w:r>
              <w:rPr>
                <w:rFonts w:ascii="Arial" w:cs="Arial" w:eastAsia="Arial" w:hAnsi="Arial"/>
                <w:sz w:val="18"/>
                <w:szCs w:val="18"/>
                <w:b w:val="1"/>
                <w:bCs w:val="1"/>
                <w:color w:val="auto"/>
                <w:w w:val="99"/>
              </w:rPr>
              <w:t>Non-Designated</w:t>
            </w:r>
          </w:p>
        </w:tc>
        <w:tc>
          <w:tcPr>
            <w:tcW w:w="300" w:type="dxa"/>
            <w:vAlign w:val="bottom"/>
          </w:tcPr>
          <w:p>
            <w:pPr>
              <w:spacing w:after="0"/>
              <w:rPr>
                <w:sz w:val="17"/>
                <w:szCs w:val="17"/>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48"/>
        </w:trPr>
        <w:tc>
          <w:tcPr>
            <w:tcW w:w="820" w:type="dxa"/>
            <w:vAlign w:val="bottom"/>
            <w:tcBorders>
              <w:top w:val="single" w:sz="8" w:color="auto"/>
            </w:tcBorders>
          </w:tcPr>
          <w:p>
            <w:pPr>
              <w:spacing w:after="0"/>
              <w:rPr>
                <w:sz w:val="4"/>
                <w:szCs w:val="4"/>
                <w:color w:val="auto"/>
              </w:rPr>
            </w:pPr>
          </w:p>
        </w:tc>
        <w:tc>
          <w:tcPr>
            <w:tcW w:w="624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37"/>
        </w:trPr>
        <w:tc>
          <w:tcPr>
            <w:tcW w:w="7060" w:type="dxa"/>
            <w:vAlign w:val="bottom"/>
            <w:gridSpan w:val="2"/>
          </w:tcPr>
          <w:p>
            <w:pPr>
              <w:spacing w:after="0"/>
              <w:rPr>
                <w:sz w:val="20"/>
                <w:szCs w:val="20"/>
                <w:color w:val="auto"/>
              </w:rPr>
            </w:pPr>
            <w:r>
              <w:rPr>
                <w:rFonts w:ascii="Arial" w:cs="Arial" w:eastAsia="Arial" w:hAnsi="Arial"/>
                <w:sz w:val="18"/>
                <w:szCs w:val="18"/>
                <w:color w:val="auto"/>
              </w:rPr>
              <w:t>Gross notional amount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863.0</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834.0</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1,697.0</w:t>
            </w:r>
          </w:p>
        </w:tc>
      </w:tr>
      <w:tr>
        <w:trPr>
          <w:trHeight w:val="392"/>
        </w:trPr>
        <w:tc>
          <w:tcPr>
            <w:tcW w:w="7060" w:type="dxa"/>
            <w:vAlign w:val="bottom"/>
            <w:gridSpan w:val="2"/>
          </w:tcPr>
          <w:p>
            <w:pPr>
              <w:spacing w:after="0"/>
              <w:rPr>
                <w:sz w:val="20"/>
                <w:szCs w:val="20"/>
                <w:color w:val="auto"/>
              </w:rPr>
            </w:pPr>
            <w:r>
              <w:rPr>
                <w:rFonts w:ascii="Arial" w:cs="Arial" w:eastAsia="Arial" w:hAnsi="Arial"/>
                <w:sz w:val="18"/>
                <w:szCs w:val="18"/>
                <w:color w:val="auto"/>
              </w:rPr>
              <w:t>Fair Value:</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
        </w:trPr>
        <w:tc>
          <w:tcPr>
            <w:tcW w:w="82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706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0"/>
        </w:trPr>
        <w:tc>
          <w:tcPr>
            <w:tcW w:w="7060" w:type="dxa"/>
            <w:vAlign w:val="bottom"/>
            <w:gridSpan w:val="2"/>
          </w:tcPr>
          <w:p>
            <w:pPr>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82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70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2"/>
                <w:szCs w:val="22"/>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8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60" w:firstLine="500"/>
        <w:spacing w:after="0" w:line="257" w:lineRule="auto"/>
        <w:rPr>
          <w:sz w:val="20"/>
          <w:szCs w:val="20"/>
          <w:color w:val="auto"/>
        </w:rPr>
      </w:pPr>
      <w:r>
        <w:rPr>
          <w:rFonts w:ascii="Arial" w:cs="Arial" w:eastAsia="Arial" w:hAnsi="Arial"/>
          <w:sz w:val="18"/>
          <w:szCs w:val="18"/>
          <w:b w:val="1"/>
          <w:bCs w:val="1"/>
          <w:i w:val="1"/>
          <w:iCs w:val="1"/>
          <w:color w:val="auto"/>
        </w:rPr>
        <w:t xml:space="preserve">Interest Rate Hedging </w:t>
      </w:r>
      <w:r>
        <w:rPr>
          <w:rFonts w:ascii="Arial" w:cs="Arial" w:eastAsia="Arial" w:hAnsi="Arial"/>
          <w:sz w:val="18"/>
          <w:szCs w:val="18"/>
          <w:color w:val="auto"/>
        </w:rPr>
        <w:t>The Company has historically used interest rate swaps to manage interest rate exposures. The Company is exposed to interest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rate volatility with regard to existing floating rate debt. Primary exposure includes the London Interbank Offered Rates (LIBOR). Derivatives used to hedge risk associated with changes in the fair value of certain variable-rate debt were primarily designated as fair value hedges. Consequently, changes in the fair value of these derivatives, along with changes in the fair value of debt obligations were recognized in current period earnings. Refer to footnote 15 for further information on interest rate swaps.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FAIR VALUE MEASUREMENT AND FAIR VALUE OF FINANCIAL INSTRUMENTS</w:t>
      </w:r>
    </w:p>
    <w:p>
      <w:pPr>
        <w:spacing w:after="0" w:line="121" w:lineRule="exact"/>
        <w:rPr>
          <w:sz w:val="20"/>
          <w:szCs w:val="20"/>
          <w:color w:val="auto"/>
        </w:rPr>
      </w:pPr>
    </w:p>
    <w:p>
      <w:pPr>
        <w:ind w:right="180" w:firstLine="500"/>
        <w:spacing w:after="0" w:line="259" w:lineRule="auto"/>
        <w:rPr>
          <w:sz w:val="20"/>
          <w:szCs w:val="20"/>
          <w:color w:val="auto"/>
        </w:rPr>
      </w:pPr>
      <w:r>
        <w:rPr>
          <w:rFonts w:ascii="Arial" w:cs="Arial" w:eastAsia="Arial" w:hAnsi="Arial"/>
          <w:sz w:val="18"/>
          <w:szCs w:val="18"/>
          <w:color w:val="auto"/>
        </w:rPr>
        <w:t>ASC 820 “Fair Value Measurements and Disclosures” ("ASC 820") defines fair value, establishes a framework for measuring fair value and explains the related disclosure requirements. ASC 820 indicates, among other things, that a fair value measurement assumes that the transaction to sell an asset or transfer a liability occurs in the principal market for the asset or liability or, in the absence of a principal market, the most advantageous market for the asset or liability and defines fair value based upon an exit price model.</w:t>
      </w:r>
    </w:p>
    <w:p>
      <w:pPr>
        <w:spacing w:after="0" w:line="79" w:lineRule="exact"/>
        <w:rPr>
          <w:sz w:val="20"/>
          <w:szCs w:val="20"/>
          <w:color w:val="auto"/>
        </w:rPr>
      </w:pPr>
    </w:p>
    <w:p>
      <w:pPr>
        <w:ind w:right="100" w:firstLine="500"/>
        <w:spacing w:after="0" w:line="255" w:lineRule="auto"/>
        <w:rPr>
          <w:sz w:val="20"/>
          <w:szCs w:val="20"/>
          <w:color w:val="auto"/>
        </w:rPr>
      </w:pPr>
      <w:r>
        <w:rPr>
          <w:rFonts w:ascii="Arial" w:cs="Arial" w:eastAsia="Arial" w:hAnsi="Arial"/>
          <w:sz w:val="18"/>
          <w:szCs w:val="18"/>
          <w:b w:val="1"/>
          <w:bCs w:val="1"/>
          <w:i w:val="1"/>
          <w:iCs w:val="1"/>
          <w:color w:val="auto"/>
        </w:rPr>
        <w:t xml:space="preserve">Valuation Hierarchy </w:t>
      </w:r>
      <w:r>
        <w:rPr>
          <w:rFonts w:ascii="Arial" w:cs="Arial" w:eastAsia="Arial" w:hAnsi="Arial"/>
          <w:sz w:val="18"/>
          <w:szCs w:val="18"/>
          <w:color w:val="auto"/>
        </w:rPr>
        <w:t>ASC 820 establishes a valuation hierarchy for disclosure of the inputs to valuation used to measure fair value. This hierarchy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prioritizes the inputs into three broad levels as follows.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Company’s assumptions used to measure assets and liabilities at fair value. A financial asset or liability’s classification within the hierarchy is determined based on the lowest level input that is significant to the fair value measurement.</w:t>
      </w:r>
    </w:p>
    <w:p>
      <w:pPr>
        <w:spacing w:after="0" w:line="85" w:lineRule="exact"/>
        <w:rPr>
          <w:sz w:val="20"/>
          <w:szCs w:val="20"/>
          <w:color w:val="auto"/>
        </w:rPr>
      </w:pPr>
    </w:p>
    <w:p>
      <w:pPr>
        <w:ind w:firstLine="500"/>
        <w:spacing w:after="0" w:line="302" w:lineRule="auto"/>
        <w:rPr>
          <w:sz w:val="20"/>
          <w:szCs w:val="20"/>
          <w:color w:val="auto"/>
        </w:rPr>
      </w:pPr>
      <w:r>
        <w:rPr>
          <w:rFonts w:ascii="Arial" w:cs="Arial" w:eastAsia="Arial" w:hAnsi="Arial"/>
          <w:sz w:val="16"/>
          <w:szCs w:val="16"/>
          <w:color w:val="auto"/>
        </w:rPr>
        <w:t>To reduce the impact of interest rate changes on a portion of its variable-rate debt, the Company historically entered into interest rate swaps which effectively converted a portion of the debt from variable to fixed-rate borrowings during the term of the swap contracts. For certain derivative contracts whose fair values are based upon trades in liquid markets, such as interest rate swaps, valuation model inputs can generally be verified and valuation techniques do not involve significant management judgment. The fair values of such financial instruments are generally classified within Level 2 of the fair value hierarchy.</w:t>
      </w:r>
    </w:p>
    <w:p>
      <w:pPr>
        <w:spacing w:after="0" w:line="46" w:lineRule="exact"/>
        <w:rPr>
          <w:sz w:val="20"/>
          <w:szCs w:val="20"/>
          <w:color w:val="auto"/>
        </w:rPr>
      </w:pPr>
    </w:p>
    <w:p>
      <w:pPr>
        <w:ind w:right="160" w:firstLine="500"/>
        <w:spacing w:after="0" w:line="259" w:lineRule="auto"/>
        <w:rPr>
          <w:sz w:val="20"/>
          <w:szCs w:val="20"/>
          <w:color w:val="auto"/>
        </w:rPr>
      </w:pPr>
      <w:r>
        <w:rPr>
          <w:rFonts w:ascii="Arial" w:cs="Arial" w:eastAsia="Arial" w:hAnsi="Arial"/>
          <w:sz w:val="18"/>
          <w:szCs w:val="18"/>
          <w:color w:val="auto"/>
        </w:rPr>
        <w:t>As a result of our global operating activities the Company is exposed to market risks from changes in foreign currency exchange rates, which may adversely affect our operating results and financial position. When deemed appropriate, the Company mitigates these risks through entering into foreign currency forward contracts. The foreign currency forward contracts are valued using broker quotations, or market transactions in either the listed or over-the counter markets. As such, these derivative instruments are classified within Level 2.</w:t>
      </w:r>
    </w:p>
    <w:p>
      <w:pPr>
        <w:spacing w:after="0" w:line="79" w:lineRule="exact"/>
        <w:rPr>
          <w:sz w:val="20"/>
          <w:szCs w:val="20"/>
          <w:color w:val="auto"/>
        </w:rPr>
      </w:pPr>
    </w:p>
    <w:p>
      <w:pPr>
        <w:ind w:right="40" w:firstLine="500"/>
        <w:spacing w:after="0" w:line="285" w:lineRule="auto"/>
        <w:rPr>
          <w:sz w:val="20"/>
          <w:szCs w:val="20"/>
          <w:color w:val="auto"/>
        </w:rPr>
      </w:pPr>
      <w:r>
        <w:rPr>
          <w:rFonts w:ascii="Arial" w:cs="Arial" w:eastAsia="Arial" w:hAnsi="Arial"/>
          <w:sz w:val="16"/>
          <w:szCs w:val="16"/>
          <w:color w:val="auto"/>
        </w:rPr>
        <w:t>The Company’s cash and cash equivalents are highly liquid investments purchased with an original maturity of three months or less and are considered Level 1 on the fair value valuation hierarchy. The fair value of cash and cash equivalents approximated the carrying value at June 30, 2019 and December 31, 2018. The Company’s defined benefit pension plan assets consist primarily of equity security funds, debt security funds and temporary cash and cash equivalent investments. Generally, all plan assets are considered Level 2 based on the fair value valuation hierarchy. These investments are comprised of a number of investment funds that invest in a diverse portfolio of assets including equity securities, corporate and governmental bonds, and money</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markets. Trusts are valued at the net asset value (“NAV”) as determined by their custodian. NAV represent the accumulation of the unadjusted quoted close prices on the reporting date for the underlying investments divided by the total shares outstanding at the reporting dates. The 2013 Notes, 2016 Notes, and the Senior Notes are considered Level 2 based on the fair value valuation hierarchy.</w:t>
      </w:r>
    </w:p>
    <w:p>
      <w:pPr>
        <w:spacing w:after="0" w:line="8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estimated fair values and related carrying values of the Company’s financial instruments are as follows:</w:t>
      </w:r>
    </w:p>
    <w:p>
      <w:pPr>
        <w:sectPr>
          <w:pgSz w:w="11900" w:h="16838" w:orient="portrait"/>
          <w:cols w:equalWidth="0" w:num="1">
            <w:col w:w="11420"/>
          </w:cols>
          <w:pgMar w:left="240" w:top="364" w:right="239" w:bottom="0" w:gutter="0" w:footer="0" w:header="0"/>
        </w:sectPr>
      </w:pPr>
    </w:p>
    <w:bookmarkStart w:id="29" w:name="page30"/>
    <w:bookmarkEnd w:id="29"/>
    <w:tbl>
      <w:tblPr>
        <w:tblLayout w:type="fixed"/>
        <w:tblInd w:w="40" w:type="dxa"/>
        <w:tblCellMar>
          <w:top w:w="0" w:type="dxa"/>
          <w:left w:w="0" w:type="dxa"/>
          <w:bottom w:w="0" w:type="dxa"/>
          <w:right w:w="0" w:type="dxa"/>
        </w:tblCellMar>
      </w:tblPr>
      <w:tr>
        <w:trPr>
          <w:trHeight w:val="192"/>
        </w:trPr>
        <w:tc>
          <w:tcPr>
            <w:tcW w:w="78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2019</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735"/>
              <w:spacing w:after="0"/>
              <w:rPr>
                <w:sz w:val="20"/>
                <w:szCs w:val="20"/>
                <w:color w:val="auto"/>
              </w:rPr>
            </w:pPr>
            <w:r>
              <w:rPr>
                <w:rFonts w:ascii="Arial" w:cs="Arial" w:eastAsia="Arial" w:hAnsi="Arial"/>
                <w:sz w:val="14"/>
                <w:szCs w:val="14"/>
                <w:b w:val="1"/>
                <w:bCs w:val="1"/>
                <w:color w:val="auto"/>
              </w:rPr>
              <w:t>December 31, 2018</w:t>
            </w:r>
          </w:p>
        </w:tc>
      </w:tr>
      <w:tr>
        <w:trPr>
          <w:trHeight w:val="152"/>
        </w:trPr>
        <w:tc>
          <w:tcPr>
            <w:tcW w:w="78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7"/>
              </w:rPr>
              <w:t>Carrying</w:t>
            </w:r>
          </w:p>
        </w:tc>
        <w:tc>
          <w:tcPr>
            <w:tcW w:w="440" w:type="dxa"/>
            <w:vAlign w:val="bottom"/>
          </w:tcPr>
          <w:p>
            <w:pPr>
              <w:spacing w:after="0"/>
              <w:rPr>
                <w:sz w:val="13"/>
                <w:szCs w:val="13"/>
                <w:color w:val="auto"/>
              </w:rPr>
            </w:pPr>
          </w:p>
        </w:tc>
        <w:tc>
          <w:tcPr>
            <w:tcW w:w="1020" w:type="dxa"/>
            <w:vAlign w:val="bottom"/>
            <w:gridSpan w:val="2"/>
          </w:tcPr>
          <w:p>
            <w:pPr>
              <w:jc w:val="center"/>
              <w:ind w:right="540"/>
              <w:spacing w:after="0" w:line="153" w:lineRule="exact"/>
              <w:rPr>
                <w:sz w:val="20"/>
                <w:szCs w:val="20"/>
                <w:color w:val="auto"/>
              </w:rPr>
            </w:pPr>
            <w:r>
              <w:rPr>
                <w:rFonts w:ascii="Arial" w:cs="Arial" w:eastAsia="Arial" w:hAnsi="Arial"/>
                <w:sz w:val="14"/>
                <w:szCs w:val="14"/>
                <w:b w:val="1"/>
                <w:bCs w:val="1"/>
                <w:color w:val="auto"/>
              </w:rPr>
              <w:t>Fair</w:t>
            </w:r>
          </w:p>
        </w:tc>
        <w:tc>
          <w:tcPr>
            <w:tcW w:w="260" w:type="dxa"/>
            <w:vAlign w:val="bottom"/>
          </w:tcPr>
          <w:p>
            <w:pPr>
              <w:spacing w:after="0"/>
              <w:rPr>
                <w:sz w:val="13"/>
                <w:szCs w:val="13"/>
                <w:color w:val="auto"/>
              </w:rPr>
            </w:pPr>
          </w:p>
        </w:tc>
        <w:tc>
          <w:tcPr>
            <w:tcW w:w="12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3"/>
                <w:szCs w:val="13"/>
                <w:color w:val="auto"/>
              </w:rPr>
            </w:pPr>
          </w:p>
        </w:tc>
        <w:tc>
          <w:tcPr>
            <w:tcW w:w="1040" w:type="dxa"/>
            <w:vAlign w:val="bottom"/>
          </w:tcPr>
          <w:p>
            <w:pPr>
              <w:jc w:val="right"/>
              <w:ind w:right="455"/>
              <w:spacing w:after="0" w:line="153" w:lineRule="exact"/>
              <w:rPr>
                <w:sz w:val="20"/>
                <w:szCs w:val="20"/>
                <w:color w:val="auto"/>
              </w:rPr>
            </w:pPr>
            <w:r>
              <w:rPr>
                <w:rFonts w:ascii="Arial" w:cs="Arial" w:eastAsia="Arial" w:hAnsi="Arial"/>
                <w:sz w:val="14"/>
                <w:szCs w:val="14"/>
                <w:b w:val="1"/>
                <w:bCs w:val="1"/>
                <w:color w:val="auto"/>
              </w:rPr>
              <w:t>Fair</w:t>
            </w:r>
          </w:p>
        </w:tc>
      </w:tr>
      <w:tr>
        <w:trPr>
          <w:trHeight w:val="158"/>
        </w:trPr>
        <w:tc>
          <w:tcPr>
            <w:tcW w:w="558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260" w:type="dxa"/>
            <w:vAlign w:val="bottom"/>
          </w:tcPr>
          <w:p>
            <w:pPr>
              <w:spacing w:after="0"/>
              <w:rPr>
                <w:sz w:val="13"/>
                <w:szCs w:val="13"/>
                <w:color w:val="auto"/>
              </w:rPr>
            </w:pPr>
          </w:p>
        </w:tc>
        <w:tc>
          <w:tcPr>
            <w:tcW w:w="124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0"/>
              </w:rPr>
              <w:t>Value</w:t>
            </w:r>
          </w:p>
        </w:tc>
        <w:tc>
          <w:tcPr>
            <w:tcW w:w="440" w:type="dxa"/>
            <w:vAlign w:val="bottom"/>
          </w:tcPr>
          <w:p>
            <w:pPr>
              <w:spacing w:after="0"/>
              <w:rPr>
                <w:sz w:val="13"/>
                <w:szCs w:val="13"/>
                <w:color w:val="auto"/>
              </w:rPr>
            </w:pPr>
          </w:p>
        </w:tc>
        <w:tc>
          <w:tcPr>
            <w:tcW w:w="1020" w:type="dxa"/>
            <w:vAlign w:val="bottom"/>
            <w:gridSpan w:val="2"/>
          </w:tcPr>
          <w:p>
            <w:pPr>
              <w:jc w:val="center"/>
              <w:ind w:right="540"/>
              <w:spacing w:after="0" w:line="158" w:lineRule="exact"/>
              <w:rPr>
                <w:sz w:val="20"/>
                <w:szCs w:val="20"/>
                <w:color w:val="auto"/>
              </w:rPr>
            </w:pPr>
            <w:r>
              <w:rPr>
                <w:rFonts w:ascii="Arial" w:cs="Arial" w:eastAsia="Arial" w:hAnsi="Arial"/>
                <w:sz w:val="14"/>
                <w:szCs w:val="14"/>
                <w:b w:val="1"/>
                <w:bCs w:val="1"/>
                <w:color w:val="auto"/>
                <w:w w:val="96"/>
              </w:rPr>
              <w:t>Value</w:t>
            </w:r>
          </w:p>
        </w:tc>
        <w:tc>
          <w:tcPr>
            <w:tcW w:w="260" w:type="dxa"/>
            <w:vAlign w:val="bottom"/>
          </w:tcPr>
          <w:p>
            <w:pPr>
              <w:spacing w:after="0"/>
              <w:rPr>
                <w:sz w:val="13"/>
                <w:szCs w:val="13"/>
                <w:color w:val="auto"/>
              </w:rPr>
            </w:pPr>
          </w:p>
        </w:tc>
        <w:tc>
          <w:tcPr>
            <w:tcW w:w="12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0"/>
              </w:rPr>
              <w:t>Value</w:t>
            </w:r>
          </w:p>
        </w:tc>
        <w:tc>
          <w:tcPr>
            <w:tcW w:w="320" w:type="dxa"/>
            <w:vAlign w:val="bottom"/>
          </w:tcPr>
          <w:p>
            <w:pPr>
              <w:spacing w:after="0"/>
              <w:rPr>
                <w:sz w:val="13"/>
                <w:szCs w:val="13"/>
                <w:color w:val="auto"/>
              </w:rPr>
            </w:pPr>
          </w:p>
        </w:tc>
        <w:tc>
          <w:tcPr>
            <w:tcW w:w="1040" w:type="dxa"/>
            <w:vAlign w:val="bottom"/>
          </w:tcPr>
          <w:p>
            <w:pPr>
              <w:jc w:val="right"/>
              <w:ind w:right="415"/>
              <w:spacing w:after="0" w:line="158" w:lineRule="exact"/>
              <w:rPr>
                <w:sz w:val="20"/>
                <w:szCs w:val="20"/>
                <w:color w:val="auto"/>
              </w:rPr>
            </w:pPr>
            <w:r>
              <w:rPr>
                <w:rFonts w:ascii="Arial" w:cs="Arial" w:eastAsia="Arial" w:hAnsi="Arial"/>
                <w:sz w:val="14"/>
                <w:szCs w:val="14"/>
                <w:b w:val="1"/>
                <w:bCs w:val="1"/>
                <w:color w:val="auto"/>
              </w:rPr>
              <w:t>Value</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5580" w:type="dxa"/>
            <w:vAlign w:val="bottom"/>
            <w:gridSpan w:val="2"/>
          </w:tcPr>
          <w:p>
            <w:pPr>
              <w:spacing w:after="0"/>
              <w:rPr>
                <w:sz w:val="20"/>
                <w:szCs w:val="20"/>
                <w:color w:val="auto"/>
              </w:rPr>
            </w:pPr>
            <w:r>
              <w:rPr>
                <w:rFonts w:ascii="Arial" w:cs="Arial" w:eastAsia="Arial" w:hAnsi="Arial"/>
                <w:sz w:val="18"/>
                <w:szCs w:val="18"/>
                <w:color w:val="auto"/>
              </w:rPr>
              <w:t>4.375% Senior Notes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248,952</w:t>
            </w:r>
          </w:p>
        </w:tc>
        <w:tc>
          <w:tcPr>
            <w:tcW w:w="12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259,010</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248,823</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254,218</w:t>
            </w:r>
          </w:p>
        </w:tc>
      </w:tr>
      <w:tr>
        <w:trPr>
          <w:trHeight w:val="270"/>
        </w:trPr>
        <w:tc>
          <w:tcPr>
            <w:tcW w:w="5580" w:type="dxa"/>
            <w:vAlign w:val="bottom"/>
            <w:gridSpan w:val="2"/>
          </w:tcPr>
          <w:p>
            <w:pPr>
              <w:spacing w:after="0"/>
              <w:rPr>
                <w:sz w:val="20"/>
                <w:szCs w:val="20"/>
                <w:color w:val="auto"/>
              </w:rPr>
            </w:pPr>
            <w:r>
              <w:rPr>
                <w:rFonts w:ascii="Arial" w:cs="Arial" w:eastAsia="Arial" w:hAnsi="Arial"/>
                <w:sz w:val="18"/>
                <w:szCs w:val="18"/>
                <w:color w:val="auto"/>
              </w:rPr>
              <w:t>3.45% Senior Notes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748,396</w:t>
            </w:r>
          </w:p>
        </w:tc>
        <w:tc>
          <w:tcPr>
            <w:tcW w:w="120" w:type="dxa"/>
            <w:vAlign w:val="bottom"/>
          </w:tcPr>
          <w:p>
            <w:pPr>
              <w:spacing w:after="0"/>
              <w:rPr>
                <w:sz w:val="23"/>
                <w:szCs w:val="23"/>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737,123</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748,282</w:t>
            </w:r>
          </w:p>
        </w:tc>
        <w:tc>
          <w:tcPr>
            <w:tcW w:w="12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675,075</w:t>
            </w:r>
          </w:p>
        </w:tc>
      </w:tr>
      <w:tr>
        <w:trPr>
          <w:trHeight w:val="270"/>
        </w:trPr>
        <w:tc>
          <w:tcPr>
            <w:tcW w:w="5580" w:type="dxa"/>
            <w:vAlign w:val="bottom"/>
            <w:gridSpan w:val="2"/>
          </w:tcPr>
          <w:p>
            <w:pPr>
              <w:spacing w:after="0"/>
              <w:rPr>
                <w:sz w:val="20"/>
                <w:szCs w:val="20"/>
                <w:color w:val="auto"/>
              </w:rPr>
            </w:pPr>
            <w:r>
              <w:rPr>
                <w:rFonts w:ascii="Arial" w:cs="Arial" w:eastAsia="Arial" w:hAnsi="Arial"/>
                <w:sz w:val="18"/>
                <w:szCs w:val="18"/>
                <w:color w:val="auto"/>
              </w:rPr>
              <w:t>Floating Rate Notes 2021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497,396</w:t>
            </w:r>
          </w:p>
        </w:tc>
        <w:tc>
          <w:tcPr>
            <w:tcW w:w="120" w:type="dxa"/>
            <w:vAlign w:val="bottom"/>
          </w:tcPr>
          <w:p>
            <w:pPr>
              <w:spacing w:after="0"/>
              <w:rPr>
                <w:sz w:val="23"/>
                <w:szCs w:val="23"/>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496,830</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496,796</w:t>
            </w:r>
          </w:p>
        </w:tc>
        <w:tc>
          <w:tcPr>
            <w:tcW w:w="12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497,425</w:t>
            </w:r>
          </w:p>
        </w:tc>
      </w:tr>
      <w:tr>
        <w:trPr>
          <w:trHeight w:val="270"/>
        </w:trPr>
        <w:tc>
          <w:tcPr>
            <w:tcW w:w="5580" w:type="dxa"/>
            <w:vAlign w:val="bottom"/>
            <w:gridSpan w:val="2"/>
          </w:tcPr>
          <w:p>
            <w:pPr>
              <w:spacing w:after="0"/>
              <w:rPr>
                <w:sz w:val="20"/>
                <w:szCs w:val="20"/>
                <w:color w:val="auto"/>
              </w:rPr>
            </w:pPr>
            <w:r>
              <w:rPr>
                <w:rFonts w:ascii="Arial" w:cs="Arial" w:eastAsia="Arial" w:hAnsi="Arial"/>
                <w:sz w:val="18"/>
                <w:szCs w:val="18"/>
                <w:color w:val="auto"/>
              </w:rPr>
              <w:t>4.15% Senior Notes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743,638</w:t>
            </w:r>
          </w:p>
        </w:tc>
        <w:tc>
          <w:tcPr>
            <w:tcW w:w="120" w:type="dxa"/>
            <w:vAlign w:val="bottom"/>
          </w:tcPr>
          <w:p>
            <w:pPr>
              <w:spacing w:after="0"/>
              <w:rPr>
                <w:sz w:val="23"/>
                <w:szCs w:val="23"/>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792,390</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742,957</w:t>
            </w:r>
          </w:p>
        </w:tc>
        <w:tc>
          <w:tcPr>
            <w:tcW w:w="12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729,350</w:t>
            </w:r>
          </w:p>
        </w:tc>
      </w:tr>
      <w:tr>
        <w:trPr>
          <w:trHeight w:val="270"/>
        </w:trPr>
        <w:tc>
          <w:tcPr>
            <w:tcW w:w="5580" w:type="dxa"/>
            <w:vAlign w:val="bottom"/>
            <w:gridSpan w:val="2"/>
          </w:tcPr>
          <w:p>
            <w:pPr>
              <w:spacing w:after="0"/>
              <w:rPr>
                <w:sz w:val="20"/>
                <w:szCs w:val="20"/>
                <w:color w:val="auto"/>
              </w:rPr>
            </w:pPr>
            <w:r>
              <w:rPr>
                <w:rFonts w:ascii="Arial" w:cs="Arial" w:eastAsia="Arial" w:hAnsi="Arial"/>
                <w:sz w:val="18"/>
                <w:szCs w:val="18"/>
                <w:color w:val="auto"/>
              </w:rPr>
              <w:t>4.7% Senior Notes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1,240,191</w:t>
            </w:r>
          </w:p>
        </w:tc>
        <w:tc>
          <w:tcPr>
            <w:tcW w:w="120" w:type="dxa"/>
            <w:vAlign w:val="bottom"/>
          </w:tcPr>
          <w:p>
            <w:pPr>
              <w:spacing w:after="0"/>
              <w:rPr>
                <w:sz w:val="23"/>
                <w:szCs w:val="23"/>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5"/>
              <w:spacing w:after="0"/>
              <w:rPr>
                <w:sz w:val="20"/>
                <w:szCs w:val="20"/>
                <w:color w:val="auto"/>
              </w:rPr>
            </w:pPr>
            <w:r>
              <w:rPr>
                <w:rFonts w:ascii="Arial" w:cs="Arial" w:eastAsia="Arial" w:hAnsi="Arial"/>
                <w:sz w:val="18"/>
                <w:szCs w:val="18"/>
                <w:color w:val="auto"/>
                <w:w w:val="97"/>
              </w:rPr>
              <w:t>1,349,025</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1,239,657</w:t>
            </w:r>
          </w:p>
        </w:tc>
        <w:tc>
          <w:tcPr>
            <w:tcW w:w="12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1,179,625</w:t>
            </w:r>
          </w:p>
        </w:tc>
      </w:tr>
    </w:tbl>
    <w:p>
      <w:pPr>
        <w:spacing w:after="0" w:line="337" w:lineRule="exact"/>
        <w:rPr>
          <w:sz w:val="20"/>
          <w:szCs w:val="20"/>
          <w:color w:val="auto"/>
        </w:rPr>
      </w:pPr>
    </w:p>
    <w:p>
      <w:pPr>
        <w:ind w:right="180" w:firstLine="500"/>
        <w:spacing w:after="0" w:line="277" w:lineRule="auto"/>
        <w:rPr>
          <w:sz w:val="20"/>
          <w:szCs w:val="20"/>
          <w:color w:val="auto"/>
        </w:rPr>
      </w:pPr>
      <w:r>
        <w:rPr>
          <w:rFonts w:ascii="Arial" w:cs="Arial" w:eastAsia="Arial" w:hAnsi="Arial"/>
          <w:sz w:val="18"/>
          <w:szCs w:val="18"/>
          <w:color w:val="auto"/>
        </w:rPr>
        <w:t>The fair value of the Company’s interest rate swap agreements and the 2013 and 2016 Notes were based on dealer quotes and represent the estimated amount the Company would pay to the counterparty to terminate the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121" w:lineRule="exact"/>
        <w:rPr>
          <w:sz w:val="20"/>
          <w:szCs w:val="20"/>
          <w:color w:val="auto"/>
        </w:rPr>
      </w:pPr>
    </w:p>
    <w:p>
      <w:pPr>
        <w:ind w:right="40" w:firstLine="500"/>
        <w:spacing w:after="0" w:line="279" w:lineRule="auto"/>
        <w:rPr>
          <w:sz w:val="20"/>
          <w:szCs w:val="20"/>
          <w:color w:val="auto"/>
        </w:rPr>
      </w:pPr>
      <w:r>
        <w:rPr>
          <w:rFonts w:ascii="Arial" w:cs="Arial" w:eastAsia="Arial" w:hAnsi="Arial"/>
          <w:sz w:val="17"/>
          <w:szCs w:val="17"/>
          <w:color w:val="auto"/>
        </w:rPr>
        <w:t>Claims have been filed against the Company and certain of its affiliates in various jurisdictions across the United States by persons alleging bodily injury as a result of exposure to asbestos-containing products. Further information and detail on these claims is described in the Company’s Annual Report on Form 10-K for the year ended December 31, 2018, in Note 21 therein, filed on February 27, 2019. During the first six months of 2019, there were no material changes to the information described in the Form 10-K related to claims arising from asbestos exposure.</w:t>
      </w:r>
    </w:p>
    <w:p>
      <w:pPr>
        <w:spacing w:after="0" w:line="63" w:lineRule="exact"/>
        <w:rPr>
          <w:sz w:val="20"/>
          <w:szCs w:val="20"/>
          <w:color w:val="auto"/>
        </w:rPr>
      </w:pPr>
    </w:p>
    <w:p>
      <w:pPr>
        <w:ind w:right="180" w:firstLine="500"/>
        <w:spacing w:after="0" w:line="257" w:lineRule="auto"/>
        <w:rPr>
          <w:sz w:val="20"/>
          <w:szCs w:val="20"/>
          <w:color w:val="auto"/>
        </w:rPr>
      </w:pPr>
      <w:r>
        <w:rPr>
          <w:rFonts w:ascii="Arial" w:cs="Arial" w:eastAsia="Arial" w:hAnsi="Arial"/>
          <w:sz w:val="18"/>
          <w:szCs w:val="18"/>
          <w:color w:val="auto"/>
        </w:rPr>
        <w:t>From time to time, the Company is involved in litigation related to claims arising out of the Company's operations in the ordinary course of business, including claims based on product liability, contracts, intellectual property, or other causes of action. Further information and detail on any potentially material litigation is as described in the Company’s Annual Report on Form 10-K for the year ended December 31, 2018, in Note 21 therein, filed on February 27, 2019. Except as described below, there have been no material changes to the information described in the Form 10-K related to claims arising from Company's ordinary operations.</w:t>
      </w:r>
    </w:p>
    <w:p>
      <w:pPr>
        <w:spacing w:after="0" w:line="80" w:lineRule="exact"/>
        <w:rPr>
          <w:sz w:val="20"/>
          <w:szCs w:val="20"/>
          <w:color w:val="auto"/>
        </w:rPr>
      </w:pPr>
    </w:p>
    <w:p>
      <w:pPr>
        <w:ind w:right="160" w:firstLine="500"/>
        <w:spacing w:after="0" w:line="286" w:lineRule="auto"/>
        <w:rPr>
          <w:sz w:val="20"/>
          <w:szCs w:val="20"/>
          <w:color w:val="auto"/>
        </w:rPr>
      </w:pPr>
      <w:r>
        <w:rPr>
          <w:rFonts w:ascii="Arial" w:cs="Arial" w:eastAsia="Arial" w:hAnsi="Arial"/>
          <w:sz w:val="16"/>
          <w:szCs w:val="16"/>
          <w:color w:val="auto"/>
        </w:rPr>
        <w:t>On April 21, 2016, Siemens Industry, Inc. filed a lawsuit against the Company in federal district court in Delaware alleging that the Company has infringed seven patents owned by Siemens related to the Company's Positive Train Control (PTC) technology. On November 2, 2016, Siemens amended its complaint to add six additional patents they also claim are infringed by the Company's PTC Products or End of Train (EOT) Products (Siemen Patent Case). The Company has filed Answers, and asserted counterclaims, in response to Siemens’ complaints. Additionally, after filings by the Company, the US Patent</w:t>
      </w:r>
    </w:p>
    <w:p>
      <w:pPr>
        <w:spacing w:after="0" w:line="2" w:lineRule="exact"/>
        <w:rPr>
          <w:sz w:val="20"/>
          <w:szCs w:val="20"/>
          <w:color w:val="auto"/>
        </w:rPr>
      </w:pPr>
    </w:p>
    <w:p>
      <w:pPr>
        <w:ind w:left="200" w:hanging="192"/>
        <w:spacing w:after="0"/>
        <w:tabs>
          <w:tab w:leader="none" w:pos="2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Trademark Office’s Patent Trail and Appeal Board (PTAB) has granted Inter-Parties Review (IPR) proceedings on eight (8) of the patents asserted by</w:t>
      </w:r>
    </w:p>
    <w:p>
      <w:pPr>
        <w:spacing w:after="0" w:line="20" w:lineRule="exact"/>
        <w:rPr>
          <w:rFonts w:ascii="Arial" w:cs="Arial" w:eastAsia="Arial" w:hAnsi="Arial"/>
          <w:sz w:val="17"/>
          <w:szCs w:val="17"/>
          <w:color w:val="auto"/>
        </w:rPr>
      </w:pPr>
    </w:p>
    <w:p>
      <w:pPr>
        <w:ind w:right="80"/>
        <w:spacing w:after="0" w:line="288" w:lineRule="auto"/>
        <w:rPr>
          <w:rFonts w:ascii="Arial" w:cs="Arial" w:eastAsia="Arial" w:hAnsi="Arial"/>
          <w:sz w:val="17"/>
          <w:szCs w:val="17"/>
          <w:color w:val="auto"/>
        </w:rPr>
      </w:pPr>
      <w:r>
        <w:rPr>
          <w:rFonts w:ascii="Arial" w:cs="Arial" w:eastAsia="Arial" w:hAnsi="Arial"/>
          <w:sz w:val="16"/>
          <w:szCs w:val="16"/>
          <w:color w:val="auto"/>
        </w:rPr>
        <w:t>Siemens to contest their validity. Following pre-trial rulings that greatly reduced Siemens’ alleged damages, a jury trial was held in federal district court in Delaware in January 2019 on eight patents, two of which were still subject to an IPR decision on validity from the PTAB. At the conclusion of the trial, the jury awarded Siemens damages of $5.6 million related to PTC patents and $1.1 million related to EOT patents. Since the jury’s verdict was issued, one of the PTC patents found to be infringed was held to be invalid by the PTAB. All PTAB proceedings have been now been completed, pending appeals; five (5) of the (8) Siemens patents reviewed by the PTAB were found to be invalid. On February 26, 2019, the Court entered a Judgment on the verdict, subject to post-trial motions. On May 28, 2019, the Court held a hearing on both parties' post-trial motions, any of which, if granted, could potentially affect the final Judgment. After the Court's ruling on the post-trial motions, a final Judgment will be entered and either party may file appeals to the Federal Circuit.</w:t>
      </w:r>
    </w:p>
    <w:p>
      <w:pPr>
        <w:spacing w:after="0" w:line="61"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On March 20, 2019, Siemens filed a new action in federal district court in Delaware alleging violations of federal antitrust and state trade practices laws since before 2008, related to Wabtec’s PTC sales, including on-board, back-office, wayside and aftermarket support systems (Siemens originally raised these antitrust claims as counterclaims in a separate Delaware patent case filed by Wabtec alleging that Siemens has violated three (3) of Wabtec’s patents; the antitrust claims were ultimately severed from that case in January, 2019, resulting in Siemens re-filing them as another separate proceeding in Delaware.) Wabtec believes Siemens’ antitrust claims are without merit and will vigorously defend itself against these claims.</w:t>
      </w:r>
    </w:p>
    <w:p>
      <w:pPr>
        <w:spacing w:after="0" w:line="64"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Xorail, Inc., a wholly owned subsidiary of the Company (“Xorail”), has received notices from Denver Transit Constructors (“DTC”) alleging breach of contract related to the operating of constant warning wireless crossings, and late delivery of the Train Management &amp; Dispatch System (“TMDS”) for the Denver Eagle P3 Project, which is owned by the Denver Regional Transit District ("RTD"). No damages have been asserted for the alleged late delivery of the TMDS, and no formal claim has been filed. Xorail is in the final stages of successfully implementing a recovery plan concerning the TMDS issues. With regard to the wireless crossing issue, as of September 8, 2017, DTC alleged that total damages were $36.8 million through July 31, 2017 and are continuing to accumulate. The majority of the damages stems from a delay in approval of the wireless crossing system by the Federal Railway Administration ("FRA") and the Public Utility Commission ("PUC"), resulting in the use of flaggers at all of the crossings pending approval of the wireless crossing system and certification of the crossings. DTC has alleged that the delay is due to Xorail's failure to achieve constant warning times for the crossings in accordance with the approval requirements imposed by the FRA and PUC. Xorail has denied DTC's assertions, stating that its system satisfied the contractual requirements. Xorail has worked with DTC to modify its system and implement the FRA's and PUC's previously undefined approval requirements; the FRA and PUC have both approved modified wireless crossing system, and as of August 2018, DTC completed the process of certifying the crossings and eliminated the use of flaggers. On September 21, 2018, DTC filed a complaint against RTD in Colorado state court for breach of contract related to non-payments and the costs for the flaggers, asserting a change-in-law arising from the FRA/PUC’s new certification requirements; a jury trial is scheduled to begin in May 2020. DTC’s complaint generally supports Xorail’s position and does not name or implicate Xorail; DTC has not updated its notices against Xorail, nor have they filed any formal claim against Xorail.</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52"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17. SEGMENT INFORMATION</w:t>
      </w:r>
    </w:p>
    <w:p>
      <w:pPr>
        <w:spacing w:after="0" w:line="121" w:lineRule="exact"/>
        <w:rPr>
          <w:sz w:val="20"/>
          <w:szCs w:val="20"/>
          <w:color w:val="auto"/>
        </w:rPr>
      </w:pPr>
    </w:p>
    <w:p>
      <w:pPr>
        <w:ind w:right="40" w:firstLine="500"/>
        <w:spacing w:after="0" w:line="342" w:lineRule="auto"/>
        <w:rPr>
          <w:sz w:val="20"/>
          <w:szCs w:val="20"/>
          <w:color w:val="auto"/>
        </w:rPr>
      </w:pPr>
      <w:r>
        <w:rPr>
          <w:rFonts w:ascii="Arial" w:cs="Arial" w:eastAsia="Arial" w:hAnsi="Arial"/>
          <w:sz w:val="16"/>
          <w:szCs w:val="16"/>
          <w:color w:val="auto"/>
        </w:rPr>
        <w:t>Wabtec has two reportable segments—the Freight Segment and the Transit Segment. The key factors used to identify these reportable segments are the organization and alignment of the Company’s internal operations, the nature of the products and services, and customer type. The business segments are:</w:t>
      </w:r>
    </w:p>
    <w:p>
      <w:pPr>
        <w:spacing w:after="0" w:line="12" w:lineRule="exact"/>
        <w:rPr>
          <w:sz w:val="20"/>
          <w:szCs w:val="20"/>
          <w:color w:val="auto"/>
        </w:rPr>
      </w:pPr>
    </w:p>
    <w:p>
      <w:pPr>
        <w:ind w:right="60" w:firstLine="500"/>
        <w:spacing w:after="0" w:line="261" w:lineRule="auto"/>
        <w:rPr>
          <w:sz w:val="20"/>
          <w:szCs w:val="20"/>
          <w:color w:val="auto"/>
        </w:rPr>
      </w:pPr>
      <w:r>
        <w:rPr>
          <w:rFonts w:ascii="Arial" w:cs="Arial" w:eastAsia="Arial" w:hAnsi="Arial"/>
          <w:sz w:val="18"/>
          <w:szCs w:val="18"/>
          <w:b w:val="1"/>
          <w:bCs w:val="1"/>
          <w:color w:val="auto"/>
        </w:rPr>
        <w:t xml:space="preserve">Freight Segment </w:t>
      </w:r>
      <w:r>
        <w:rPr>
          <w:rFonts w:ascii="Arial" w:cs="Arial" w:eastAsia="Arial" w:hAnsi="Arial"/>
          <w:sz w:val="18"/>
          <w:szCs w:val="18"/>
          <w:color w:val="auto"/>
        </w:rPr>
        <w:t>primarily manufactures and services components for new and existing freight cars and locomotives, builds new switcher</w:t>
      </w:r>
      <w:r>
        <w:rPr>
          <w:rFonts w:ascii="Arial" w:cs="Arial" w:eastAsia="Arial" w:hAnsi="Arial"/>
          <w:sz w:val="18"/>
          <w:szCs w:val="18"/>
          <w:b w:val="1"/>
          <w:bCs w:val="1"/>
          <w:color w:val="auto"/>
        </w:rPr>
        <w:t xml:space="preserve"> </w:t>
      </w:r>
      <w:r>
        <w:rPr>
          <w:rFonts w:ascii="Arial" w:cs="Arial" w:eastAsia="Arial" w:hAnsi="Arial"/>
          <w:sz w:val="18"/>
          <w:szCs w:val="18"/>
          <w:color w:val="auto"/>
        </w:rPr>
        <w:t>locomotives, rebuilds freight locomotives, supplies railway electronics, positive train control equipment, signal design and engineering services, and provides related heat exchange and cooling systems. Customers include large, publicly traded railroads, leasing companies, manufacturers of original equipment such as locomotives and freight cars, and utilities.</w:t>
      </w:r>
    </w:p>
    <w:p>
      <w:pPr>
        <w:spacing w:after="0" w:line="72" w:lineRule="exact"/>
        <w:rPr>
          <w:sz w:val="20"/>
          <w:szCs w:val="20"/>
          <w:color w:val="auto"/>
        </w:rPr>
      </w:pPr>
    </w:p>
    <w:p>
      <w:pPr>
        <w:ind w:firstLine="500"/>
        <w:spacing w:after="0" w:line="261" w:lineRule="auto"/>
        <w:rPr>
          <w:sz w:val="20"/>
          <w:szCs w:val="20"/>
          <w:color w:val="auto"/>
        </w:rPr>
      </w:pPr>
      <w:r>
        <w:rPr>
          <w:rFonts w:ascii="Arial" w:cs="Arial" w:eastAsia="Arial" w:hAnsi="Arial"/>
          <w:sz w:val="18"/>
          <w:szCs w:val="18"/>
          <w:b w:val="1"/>
          <w:bCs w:val="1"/>
          <w:color w:val="auto"/>
        </w:rPr>
        <w:t xml:space="preserve">Transit Segment </w:t>
      </w:r>
      <w:r>
        <w:rPr>
          <w:rFonts w:ascii="Arial" w:cs="Arial" w:eastAsia="Arial" w:hAnsi="Arial"/>
          <w:sz w:val="18"/>
          <w:szCs w:val="18"/>
          <w:color w:val="auto"/>
        </w:rPr>
        <w:t>primarily manufactures and services components for new and existing passenger transit vehicles, typically regional trains, high speed</w:t>
      </w:r>
      <w:r>
        <w:rPr>
          <w:rFonts w:ascii="Arial" w:cs="Arial" w:eastAsia="Arial" w:hAnsi="Arial"/>
          <w:sz w:val="18"/>
          <w:szCs w:val="18"/>
          <w:b w:val="1"/>
          <w:bCs w:val="1"/>
          <w:color w:val="auto"/>
        </w:rPr>
        <w:t xml:space="preserve"> </w:t>
      </w:r>
      <w:r>
        <w:rPr>
          <w:rFonts w:ascii="Arial" w:cs="Arial" w:eastAsia="Arial" w:hAnsi="Arial"/>
          <w:sz w:val="18"/>
          <w:szCs w:val="18"/>
          <w:color w:val="auto"/>
        </w:rPr>
        <w:t>trains, subway cars, light-rail vehicles and buses, builds new commuter locomotives, refurbishes subway cars, provides heating, ventilation, and air conditioning equipment, and doors for buses and subways. Customers include public transit authorities and municipalities, leasing companies, and manufacturers of subway cars and buses around the world.</w:t>
      </w:r>
    </w:p>
    <w:p>
      <w:pPr>
        <w:spacing w:after="0" w:line="76" w:lineRule="exact"/>
        <w:rPr>
          <w:sz w:val="20"/>
          <w:szCs w:val="20"/>
          <w:color w:val="auto"/>
        </w:rPr>
      </w:pPr>
    </w:p>
    <w:p>
      <w:pPr>
        <w:ind w:right="60" w:firstLine="500"/>
        <w:spacing w:after="0" w:line="276" w:lineRule="auto"/>
        <w:rPr>
          <w:sz w:val="20"/>
          <w:szCs w:val="20"/>
          <w:color w:val="auto"/>
        </w:rPr>
      </w:pPr>
      <w:r>
        <w:rPr>
          <w:rFonts w:ascii="Arial" w:cs="Arial" w:eastAsia="Arial" w:hAnsi="Arial"/>
          <w:sz w:val="17"/>
          <w:szCs w:val="17"/>
          <w:color w:val="auto"/>
        </w:rPr>
        <w:t>The Company evaluates its business segments’ operating results based on income from operations. Intersegment sales are accounted for at prices that are generally established by reference to similar transactions with unaffiliated customers. Corporate activities include general corporate expenses, elimination of intersegment transactions, interest income and expense and other unallocated charges. Since certain administrative and other operating expenses have not been allocated to business segments, the results in the following tables are not necessarily a measure computed in accordance with generally accepted accounting principles and may not be comparable to other companies.</w:t>
      </w:r>
    </w:p>
    <w:p>
      <w:pPr>
        <w:spacing w:after="0" w:line="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Segment financial information for the three months ended June 30, 2019 is as follows:</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Freight</w:t>
            </w:r>
          </w:p>
        </w:tc>
        <w:tc>
          <w:tcPr>
            <w:tcW w:w="280" w:type="dxa"/>
            <w:vAlign w:val="bottom"/>
          </w:tcPr>
          <w:p>
            <w:pPr>
              <w:spacing w:after="0"/>
              <w:rPr>
                <w:sz w:val="14"/>
                <w:szCs w:val="14"/>
                <w:color w:val="auto"/>
              </w:rPr>
            </w:pPr>
          </w:p>
        </w:tc>
        <w:tc>
          <w:tcPr>
            <w:tcW w:w="12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Transit</w:t>
            </w:r>
          </w:p>
        </w:tc>
        <w:tc>
          <w:tcPr>
            <w:tcW w:w="1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Corporate</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Activities and</w:t>
            </w:r>
          </w:p>
        </w:tc>
        <w:tc>
          <w:tcPr>
            <w:tcW w:w="340" w:type="dxa"/>
            <w:vAlign w:val="bottom"/>
          </w:tcPr>
          <w:p>
            <w:pPr>
              <w:spacing w:after="0"/>
              <w:rPr>
                <w:sz w:val="12"/>
                <w:szCs w:val="12"/>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556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280" w:type="dxa"/>
            <w:vAlign w:val="bottom"/>
          </w:tcPr>
          <w:p>
            <w:pPr>
              <w:spacing w:after="0"/>
              <w:rPr>
                <w:sz w:val="13"/>
                <w:szCs w:val="13"/>
                <w:color w:val="auto"/>
              </w:rPr>
            </w:pPr>
          </w:p>
        </w:tc>
        <w:tc>
          <w:tcPr>
            <w:tcW w:w="120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87"/>
              </w:rPr>
              <w:t>Segment</w:t>
            </w:r>
          </w:p>
        </w:tc>
        <w:tc>
          <w:tcPr>
            <w:tcW w:w="280" w:type="dxa"/>
            <w:vAlign w:val="bottom"/>
          </w:tcPr>
          <w:p>
            <w:pPr>
              <w:spacing w:after="0"/>
              <w:rPr>
                <w:sz w:val="13"/>
                <w:szCs w:val="13"/>
                <w:color w:val="auto"/>
              </w:rPr>
            </w:pPr>
          </w:p>
        </w:tc>
        <w:tc>
          <w:tcPr>
            <w:tcW w:w="120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1"/>
              </w:rPr>
              <w:t>Segment</w:t>
            </w:r>
          </w:p>
        </w:tc>
        <w:tc>
          <w:tcPr>
            <w:tcW w:w="180" w:type="dxa"/>
            <w:vAlign w:val="bottom"/>
          </w:tcPr>
          <w:p>
            <w:pPr>
              <w:spacing w:after="0"/>
              <w:rPr>
                <w:sz w:val="13"/>
                <w:szCs w:val="13"/>
                <w:color w:val="auto"/>
              </w:rPr>
            </w:pPr>
          </w:p>
        </w:tc>
        <w:tc>
          <w:tcPr>
            <w:tcW w:w="128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5"/>
              </w:rPr>
              <w:t>Elimination</w:t>
            </w:r>
          </w:p>
        </w:tc>
        <w:tc>
          <w:tcPr>
            <w:tcW w:w="34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5560" w:type="dxa"/>
            <w:vAlign w:val="bottom"/>
            <w:gridSpan w:val="2"/>
          </w:tcPr>
          <w:p>
            <w:pPr>
              <w:spacing w:after="0"/>
              <w:rPr>
                <w:sz w:val="20"/>
                <w:szCs w:val="20"/>
                <w:color w:val="auto"/>
              </w:rPr>
            </w:pPr>
            <w:r>
              <w:rPr>
                <w:rFonts w:ascii="Arial" w:cs="Arial" w:eastAsia="Arial" w:hAnsi="Arial"/>
                <w:sz w:val="18"/>
                <w:szCs w:val="18"/>
                <w:color w:val="auto"/>
              </w:rPr>
              <w:t>Sales to external customers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1,493,949</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742,335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2,236,284</w:t>
            </w:r>
          </w:p>
        </w:tc>
        <w:tc>
          <w:tcPr>
            <w:tcW w:w="0" w:type="dxa"/>
            <w:vAlign w:val="bottom"/>
          </w:tcPr>
          <w:p>
            <w:pPr>
              <w:spacing w:after="0"/>
              <w:rPr>
                <w:sz w:val="1"/>
                <w:szCs w:val="1"/>
                <w:color w:val="auto"/>
              </w:rPr>
            </w:pPr>
          </w:p>
        </w:tc>
      </w:tr>
      <w:tr>
        <w:trPr>
          <w:trHeight w:val="270"/>
        </w:trPr>
        <w:tc>
          <w:tcPr>
            <w:tcW w:w="5560" w:type="dxa"/>
            <w:vAlign w:val="bottom"/>
            <w:gridSpan w:val="2"/>
          </w:tcPr>
          <w:p>
            <w:pPr>
              <w:spacing w:after="0"/>
              <w:rPr>
                <w:sz w:val="20"/>
                <w:szCs w:val="20"/>
                <w:color w:val="auto"/>
              </w:rPr>
            </w:pPr>
            <w:r>
              <w:rPr>
                <w:rFonts w:ascii="Arial" w:cs="Arial" w:eastAsia="Arial" w:hAnsi="Arial"/>
                <w:sz w:val="18"/>
                <w:szCs w:val="18"/>
                <w:color w:val="auto"/>
              </w:rPr>
              <w:t>Intersegment sales/(elimination)</w:t>
            </w:r>
          </w:p>
        </w:tc>
        <w:tc>
          <w:tcPr>
            <w:tcW w:w="280" w:type="dxa"/>
            <w:vAlign w:val="bottom"/>
          </w:tcPr>
          <w:p>
            <w:pPr>
              <w:spacing w:after="0"/>
              <w:rPr>
                <w:sz w:val="23"/>
                <w:szCs w:val="23"/>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13,709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7,383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(21,092)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60" w:type="dxa"/>
            <w:vAlign w:val="bottom"/>
            <w:gridSpan w:val="2"/>
          </w:tcPr>
          <w:p>
            <w:pPr>
              <w:ind w:left="480"/>
              <w:spacing w:after="0"/>
              <w:rPr>
                <w:sz w:val="20"/>
                <w:szCs w:val="20"/>
                <w:color w:val="auto"/>
              </w:rPr>
            </w:pPr>
            <w:r>
              <w:rPr>
                <w:rFonts w:ascii="Arial" w:cs="Arial" w:eastAsia="Arial" w:hAnsi="Arial"/>
                <w:sz w:val="18"/>
                <w:szCs w:val="18"/>
                <w:color w:val="auto"/>
              </w:rPr>
              <w:t>Total sales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1,507,658</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749,718</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(21,092)</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2,236,284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6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151,978</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71,211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(22,552)</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200,637</w:t>
            </w:r>
          </w:p>
        </w:tc>
        <w:tc>
          <w:tcPr>
            <w:tcW w:w="0" w:type="dxa"/>
            <w:vAlign w:val="bottom"/>
          </w:tcPr>
          <w:p>
            <w:pPr>
              <w:spacing w:after="0"/>
              <w:rPr>
                <w:sz w:val="1"/>
                <w:szCs w:val="1"/>
                <w:color w:val="auto"/>
              </w:rPr>
            </w:pPr>
          </w:p>
        </w:tc>
      </w:tr>
      <w:tr>
        <w:trPr>
          <w:trHeight w:val="270"/>
        </w:trPr>
        <w:tc>
          <w:tcPr>
            <w:tcW w:w="5560" w:type="dxa"/>
            <w:vAlign w:val="bottom"/>
            <w:gridSpan w:val="2"/>
          </w:tcPr>
          <w:p>
            <w:pPr>
              <w:spacing w:after="0"/>
              <w:rPr>
                <w:sz w:val="20"/>
                <w:szCs w:val="20"/>
                <w:color w:val="auto"/>
              </w:rPr>
            </w:pPr>
            <w:r>
              <w:rPr>
                <w:rFonts w:ascii="Arial" w:cs="Arial" w:eastAsia="Arial" w:hAnsi="Arial"/>
                <w:sz w:val="18"/>
                <w:szCs w:val="18"/>
                <w:color w:val="auto"/>
              </w:rPr>
              <w:t>Interest expense and other, net</w:t>
            </w:r>
          </w:p>
        </w:tc>
        <w:tc>
          <w:tcPr>
            <w:tcW w:w="2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(56,383)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(56,383)</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60" w:type="dxa"/>
            <w:vAlign w:val="bottom"/>
            <w:gridSpan w:val="2"/>
          </w:tcPr>
          <w:p>
            <w:pPr>
              <w:ind w:left="480"/>
              <w:spacing w:after="0"/>
              <w:rPr>
                <w:sz w:val="20"/>
                <w:szCs w:val="20"/>
                <w:color w:val="auto"/>
              </w:rPr>
            </w:pPr>
            <w:r>
              <w:rPr>
                <w:rFonts w:ascii="Arial" w:cs="Arial" w:eastAsia="Arial" w:hAnsi="Arial"/>
                <w:sz w:val="18"/>
                <w:szCs w:val="18"/>
                <w:color w:val="auto"/>
              </w:rPr>
              <w:t>Income (loss) from operations before income taxes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151,978</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71,211</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(78,935)</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144,254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040" w:type="dxa"/>
            <w:vAlign w:val="bottom"/>
            <w:gridSpan w:val="5"/>
          </w:tcPr>
          <w:p>
            <w:pPr>
              <w:ind w:left="620"/>
              <w:spacing w:after="0"/>
              <w:rPr>
                <w:sz w:val="20"/>
                <w:szCs w:val="20"/>
                <w:color w:val="auto"/>
              </w:rPr>
            </w:pPr>
            <w:r>
              <w:rPr>
                <w:rFonts w:ascii="Arial" w:cs="Arial" w:eastAsia="Arial" w:hAnsi="Arial"/>
                <w:sz w:val="18"/>
                <w:szCs w:val="18"/>
                <w:color w:val="auto"/>
                <w:w w:val="93"/>
              </w:rPr>
              <w:t>Segment financial information for the three months ended June 30, 2018 is as follows:</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Freight</w:t>
            </w:r>
          </w:p>
        </w:tc>
        <w:tc>
          <w:tcPr>
            <w:tcW w:w="280" w:type="dxa"/>
            <w:vAlign w:val="bottom"/>
          </w:tcPr>
          <w:p>
            <w:pPr>
              <w:spacing w:after="0"/>
              <w:rPr>
                <w:sz w:val="24"/>
                <w:szCs w:val="24"/>
                <w:color w:val="auto"/>
              </w:rPr>
            </w:pPr>
          </w:p>
        </w:tc>
        <w:tc>
          <w:tcPr>
            <w:tcW w:w="12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Transit</w:t>
            </w:r>
          </w:p>
        </w:tc>
        <w:tc>
          <w:tcPr>
            <w:tcW w:w="180" w:type="dxa"/>
            <w:vAlign w:val="bottom"/>
          </w:tcPr>
          <w:p>
            <w:pPr>
              <w:spacing w:after="0"/>
              <w:rPr>
                <w:sz w:val="24"/>
                <w:szCs w:val="2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Corporate</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Activities and</w:t>
            </w:r>
          </w:p>
        </w:tc>
        <w:tc>
          <w:tcPr>
            <w:tcW w:w="340" w:type="dxa"/>
            <w:vAlign w:val="bottom"/>
          </w:tcPr>
          <w:p>
            <w:pPr>
              <w:spacing w:after="0"/>
              <w:rPr>
                <w:sz w:val="12"/>
                <w:szCs w:val="12"/>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556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280" w:type="dxa"/>
            <w:vAlign w:val="bottom"/>
          </w:tcPr>
          <w:p>
            <w:pPr>
              <w:spacing w:after="0"/>
              <w:rPr>
                <w:sz w:val="13"/>
                <w:szCs w:val="13"/>
                <w:color w:val="auto"/>
              </w:rPr>
            </w:pPr>
          </w:p>
        </w:tc>
        <w:tc>
          <w:tcPr>
            <w:tcW w:w="120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87"/>
              </w:rPr>
              <w:t>Segment</w:t>
            </w:r>
          </w:p>
        </w:tc>
        <w:tc>
          <w:tcPr>
            <w:tcW w:w="280" w:type="dxa"/>
            <w:vAlign w:val="bottom"/>
          </w:tcPr>
          <w:p>
            <w:pPr>
              <w:spacing w:after="0"/>
              <w:rPr>
                <w:sz w:val="13"/>
                <w:szCs w:val="13"/>
                <w:color w:val="auto"/>
              </w:rPr>
            </w:pPr>
          </w:p>
        </w:tc>
        <w:tc>
          <w:tcPr>
            <w:tcW w:w="120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1"/>
              </w:rPr>
              <w:t>Segment</w:t>
            </w:r>
          </w:p>
        </w:tc>
        <w:tc>
          <w:tcPr>
            <w:tcW w:w="180" w:type="dxa"/>
            <w:vAlign w:val="bottom"/>
          </w:tcPr>
          <w:p>
            <w:pPr>
              <w:spacing w:after="0"/>
              <w:rPr>
                <w:sz w:val="13"/>
                <w:szCs w:val="13"/>
                <w:color w:val="auto"/>
              </w:rPr>
            </w:pPr>
          </w:p>
        </w:tc>
        <w:tc>
          <w:tcPr>
            <w:tcW w:w="128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5"/>
              </w:rPr>
              <w:t>Elimination</w:t>
            </w:r>
          </w:p>
        </w:tc>
        <w:tc>
          <w:tcPr>
            <w:tcW w:w="34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5560" w:type="dxa"/>
            <w:vAlign w:val="bottom"/>
            <w:gridSpan w:val="2"/>
          </w:tcPr>
          <w:p>
            <w:pPr>
              <w:spacing w:after="0"/>
              <w:rPr>
                <w:sz w:val="20"/>
                <w:szCs w:val="20"/>
                <w:color w:val="auto"/>
              </w:rPr>
            </w:pPr>
            <w:r>
              <w:rPr>
                <w:rFonts w:ascii="Arial" w:cs="Arial" w:eastAsia="Arial" w:hAnsi="Arial"/>
                <w:sz w:val="18"/>
                <w:szCs w:val="18"/>
                <w:color w:val="auto"/>
              </w:rPr>
              <w:t>Sales to external customers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412,258</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699,422</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1,111,680</w:t>
            </w:r>
          </w:p>
        </w:tc>
        <w:tc>
          <w:tcPr>
            <w:tcW w:w="0" w:type="dxa"/>
            <w:vAlign w:val="bottom"/>
          </w:tcPr>
          <w:p>
            <w:pPr>
              <w:spacing w:after="0"/>
              <w:rPr>
                <w:sz w:val="1"/>
                <w:szCs w:val="1"/>
                <w:color w:val="auto"/>
              </w:rPr>
            </w:pPr>
          </w:p>
        </w:tc>
      </w:tr>
      <w:tr>
        <w:trPr>
          <w:trHeight w:val="270"/>
        </w:trPr>
        <w:tc>
          <w:tcPr>
            <w:tcW w:w="5560" w:type="dxa"/>
            <w:vAlign w:val="bottom"/>
            <w:gridSpan w:val="2"/>
          </w:tcPr>
          <w:p>
            <w:pPr>
              <w:spacing w:after="0"/>
              <w:rPr>
                <w:sz w:val="20"/>
                <w:szCs w:val="20"/>
                <w:color w:val="auto"/>
              </w:rPr>
            </w:pPr>
            <w:r>
              <w:rPr>
                <w:rFonts w:ascii="Arial" w:cs="Arial" w:eastAsia="Arial" w:hAnsi="Arial"/>
                <w:sz w:val="18"/>
                <w:szCs w:val="18"/>
                <w:color w:val="auto"/>
              </w:rPr>
              <w:t>Intersegment sales/(elimination)</w:t>
            </w:r>
          </w:p>
        </w:tc>
        <w:tc>
          <w:tcPr>
            <w:tcW w:w="280" w:type="dxa"/>
            <w:vAlign w:val="bottom"/>
          </w:tcPr>
          <w:p>
            <w:pPr>
              <w:spacing w:after="0"/>
              <w:rPr>
                <w:sz w:val="23"/>
                <w:szCs w:val="23"/>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18,699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2,984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(21,683)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60" w:type="dxa"/>
            <w:vAlign w:val="bottom"/>
            <w:gridSpan w:val="2"/>
          </w:tcPr>
          <w:p>
            <w:pPr>
              <w:ind w:left="480"/>
              <w:spacing w:after="0"/>
              <w:rPr>
                <w:sz w:val="20"/>
                <w:szCs w:val="20"/>
                <w:color w:val="auto"/>
              </w:rPr>
            </w:pPr>
            <w:r>
              <w:rPr>
                <w:rFonts w:ascii="Arial" w:cs="Arial" w:eastAsia="Arial" w:hAnsi="Arial"/>
                <w:sz w:val="18"/>
                <w:szCs w:val="18"/>
                <w:color w:val="auto"/>
              </w:rPr>
              <w:t>Total sales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430,957</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702,406</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(21,683)</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1,111,680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6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84,347</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57,975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(18,799)</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123,523</w:t>
            </w:r>
          </w:p>
        </w:tc>
        <w:tc>
          <w:tcPr>
            <w:tcW w:w="0" w:type="dxa"/>
            <w:vAlign w:val="bottom"/>
          </w:tcPr>
          <w:p>
            <w:pPr>
              <w:spacing w:after="0"/>
              <w:rPr>
                <w:sz w:val="1"/>
                <w:szCs w:val="1"/>
                <w:color w:val="auto"/>
              </w:rPr>
            </w:pPr>
          </w:p>
        </w:tc>
      </w:tr>
      <w:tr>
        <w:trPr>
          <w:trHeight w:val="270"/>
        </w:trPr>
        <w:tc>
          <w:tcPr>
            <w:tcW w:w="5560" w:type="dxa"/>
            <w:vAlign w:val="bottom"/>
            <w:gridSpan w:val="2"/>
          </w:tcPr>
          <w:p>
            <w:pPr>
              <w:spacing w:after="0"/>
              <w:rPr>
                <w:sz w:val="20"/>
                <w:szCs w:val="20"/>
                <w:color w:val="auto"/>
              </w:rPr>
            </w:pPr>
            <w:r>
              <w:rPr>
                <w:rFonts w:ascii="Arial" w:cs="Arial" w:eastAsia="Arial" w:hAnsi="Arial"/>
                <w:sz w:val="18"/>
                <w:szCs w:val="18"/>
                <w:color w:val="auto"/>
              </w:rPr>
              <w:t>Interest expense and other, net</w:t>
            </w:r>
          </w:p>
        </w:tc>
        <w:tc>
          <w:tcPr>
            <w:tcW w:w="2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(29,749)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(29,749)</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60" w:type="dxa"/>
            <w:vAlign w:val="bottom"/>
            <w:gridSpan w:val="2"/>
          </w:tcPr>
          <w:p>
            <w:pPr>
              <w:ind w:left="480"/>
              <w:spacing w:after="0"/>
              <w:rPr>
                <w:sz w:val="20"/>
                <w:szCs w:val="20"/>
                <w:color w:val="auto"/>
              </w:rPr>
            </w:pPr>
            <w:r>
              <w:rPr>
                <w:rFonts w:ascii="Arial" w:cs="Arial" w:eastAsia="Arial" w:hAnsi="Arial"/>
                <w:sz w:val="18"/>
                <w:szCs w:val="18"/>
                <w:color w:val="auto"/>
              </w:rPr>
              <w:t>Income (loss) from operations before income taxes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84,347</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57,975</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(48,548)</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93,774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Segment financial information for the six months ended June 30, 2019 is as follows:</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6"/>
              </w:rPr>
              <w:t>Freight</w:t>
            </w:r>
          </w:p>
        </w:tc>
        <w:tc>
          <w:tcPr>
            <w:tcW w:w="280" w:type="dxa"/>
            <w:vAlign w:val="bottom"/>
          </w:tcPr>
          <w:p>
            <w:pPr>
              <w:spacing w:after="0"/>
              <w:rPr>
                <w:sz w:val="14"/>
                <w:szCs w:val="14"/>
                <w:color w:val="auto"/>
              </w:rPr>
            </w:pPr>
          </w:p>
        </w:tc>
        <w:tc>
          <w:tcPr>
            <w:tcW w:w="12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Transit</w:t>
            </w:r>
          </w:p>
        </w:tc>
        <w:tc>
          <w:tcPr>
            <w:tcW w:w="1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Corporate</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Activities and</w:t>
            </w:r>
          </w:p>
        </w:tc>
        <w:tc>
          <w:tcPr>
            <w:tcW w:w="340" w:type="dxa"/>
            <w:vAlign w:val="bottom"/>
          </w:tcPr>
          <w:p>
            <w:pPr>
              <w:spacing w:after="0"/>
              <w:rPr>
                <w:sz w:val="12"/>
                <w:szCs w:val="12"/>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556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Pr>
          <w:p>
            <w:pPr>
              <w:spacing w:after="0"/>
              <w:rPr>
                <w:sz w:val="13"/>
                <w:szCs w:val="13"/>
                <w:color w:val="auto"/>
              </w:rPr>
            </w:pPr>
          </w:p>
        </w:tc>
        <w:tc>
          <w:tcPr>
            <w:tcW w:w="116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87"/>
              </w:rPr>
              <w:t>Segment</w:t>
            </w:r>
          </w:p>
        </w:tc>
        <w:tc>
          <w:tcPr>
            <w:tcW w:w="280" w:type="dxa"/>
            <w:vAlign w:val="bottom"/>
          </w:tcPr>
          <w:p>
            <w:pPr>
              <w:spacing w:after="0"/>
              <w:rPr>
                <w:sz w:val="13"/>
                <w:szCs w:val="13"/>
                <w:color w:val="auto"/>
              </w:rPr>
            </w:pPr>
          </w:p>
        </w:tc>
        <w:tc>
          <w:tcPr>
            <w:tcW w:w="120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1"/>
              </w:rPr>
              <w:t>Segment</w:t>
            </w:r>
          </w:p>
        </w:tc>
        <w:tc>
          <w:tcPr>
            <w:tcW w:w="180" w:type="dxa"/>
            <w:vAlign w:val="bottom"/>
          </w:tcPr>
          <w:p>
            <w:pPr>
              <w:spacing w:after="0"/>
              <w:rPr>
                <w:sz w:val="13"/>
                <w:szCs w:val="13"/>
                <w:color w:val="auto"/>
              </w:rPr>
            </w:pPr>
          </w:p>
        </w:tc>
        <w:tc>
          <w:tcPr>
            <w:tcW w:w="128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5"/>
              </w:rPr>
              <w:t>Elimination</w:t>
            </w:r>
          </w:p>
        </w:tc>
        <w:tc>
          <w:tcPr>
            <w:tcW w:w="34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5560" w:type="dxa"/>
            <w:vAlign w:val="bottom"/>
            <w:gridSpan w:val="2"/>
          </w:tcPr>
          <w:p>
            <w:pPr>
              <w:spacing w:after="0"/>
              <w:rPr>
                <w:sz w:val="20"/>
                <w:szCs w:val="20"/>
                <w:color w:val="auto"/>
              </w:rPr>
            </w:pPr>
            <w:r>
              <w:rPr>
                <w:rFonts w:ascii="Arial" w:cs="Arial" w:eastAsia="Arial" w:hAnsi="Arial"/>
                <w:sz w:val="18"/>
                <w:szCs w:val="18"/>
                <w:color w:val="auto"/>
              </w:rPr>
              <w:t>Sales to external customers</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2,370,383</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1,459,518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3,829,901</w:t>
            </w:r>
          </w:p>
        </w:tc>
        <w:tc>
          <w:tcPr>
            <w:tcW w:w="0" w:type="dxa"/>
            <w:vAlign w:val="bottom"/>
          </w:tcPr>
          <w:p>
            <w:pPr>
              <w:spacing w:after="0"/>
              <w:rPr>
                <w:sz w:val="1"/>
                <w:szCs w:val="1"/>
                <w:color w:val="auto"/>
              </w:rPr>
            </w:pPr>
          </w:p>
        </w:tc>
      </w:tr>
      <w:tr>
        <w:trPr>
          <w:trHeight w:val="270"/>
        </w:trPr>
        <w:tc>
          <w:tcPr>
            <w:tcW w:w="5560" w:type="dxa"/>
            <w:vAlign w:val="bottom"/>
            <w:gridSpan w:val="2"/>
          </w:tcPr>
          <w:p>
            <w:pPr>
              <w:spacing w:after="0"/>
              <w:rPr>
                <w:sz w:val="20"/>
                <w:szCs w:val="20"/>
                <w:color w:val="auto"/>
              </w:rPr>
            </w:pPr>
            <w:r>
              <w:rPr>
                <w:rFonts w:ascii="Arial" w:cs="Arial" w:eastAsia="Arial" w:hAnsi="Arial"/>
                <w:sz w:val="18"/>
                <w:szCs w:val="18"/>
                <w:color w:val="auto"/>
              </w:rPr>
              <w:t>Intersegment sales/(elimination)</w:t>
            </w:r>
          </w:p>
        </w:tc>
        <w:tc>
          <w:tcPr>
            <w:tcW w:w="320" w:type="dxa"/>
            <w:vAlign w:val="bottom"/>
          </w:tcPr>
          <w:p>
            <w:pPr>
              <w:spacing w:after="0"/>
              <w:rPr>
                <w:sz w:val="23"/>
                <w:szCs w:val="23"/>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30,413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13,505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(43,918)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47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60" w:type="dxa"/>
            <w:vAlign w:val="bottom"/>
            <w:gridSpan w:val="2"/>
          </w:tcPr>
          <w:p>
            <w:pPr>
              <w:ind w:left="480"/>
              <w:spacing w:after="0"/>
              <w:rPr>
                <w:sz w:val="20"/>
                <w:szCs w:val="20"/>
                <w:color w:val="auto"/>
              </w:rPr>
            </w:pPr>
            <w:r>
              <w:rPr>
                <w:rFonts w:ascii="Arial" w:cs="Arial" w:eastAsia="Arial" w:hAnsi="Arial"/>
                <w:sz w:val="18"/>
                <w:szCs w:val="18"/>
                <w:color w:val="auto"/>
              </w:rPr>
              <w:t>Total sales</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2,400,796</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1,473,023</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(43,918)</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3,829,901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6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227,188</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130,144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(89,388)</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267,944</w:t>
            </w:r>
          </w:p>
        </w:tc>
        <w:tc>
          <w:tcPr>
            <w:tcW w:w="0" w:type="dxa"/>
            <w:vAlign w:val="bottom"/>
          </w:tcPr>
          <w:p>
            <w:pPr>
              <w:spacing w:after="0"/>
              <w:rPr>
                <w:sz w:val="1"/>
                <w:szCs w:val="1"/>
                <w:color w:val="auto"/>
              </w:rPr>
            </w:pPr>
          </w:p>
        </w:tc>
      </w:tr>
      <w:tr>
        <w:trPr>
          <w:trHeight w:val="270"/>
        </w:trPr>
        <w:tc>
          <w:tcPr>
            <w:tcW w:w="5560" w:type="dxa"/>
            <w:vAlign w:val="bottom"/>
            <w:gridSpan w:val="2"/>
          </w:tcPr>
          <w:p>
            <w:pPr>
              <w:spacing w:after="0"/>
              <w:rPr>
                <w:sz w:val="20"/>
                <w:szCs w:val="20"/>
                <w:color w:val="auto"/>
              </w:rPr>
            </w:pPr>
            <w:r>
              <w:rPr>
                <w:rFonts w:ascii="Arial" w:cs="Arial" w:eastAsia="Arial" w:hAnsi="Arial"/>
                <w:sz w:val="18"/>
                <w:szCs w:val="18"/>
                <w:color w:val="auto"/>
              </w:rPr>
              <w:t>Interest expense and other, net</w:t>
            </w:r>
          </w:p>
        </w:tc>
        <w:tc>
          <w:tcPr>
            <w:tcW w:w="32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(109,180)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(109,180)</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47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60" w:type="dxa"/>
            <w:vAlign w:val="bottom"/>
            <w:gridSpan w:val="2"/>
          </w:tcPr>
          <w:p>
            <w:pPr>
              <w:ind w:left="480"/>
              <w:spacing w:after="0"/>
              <w:rPr>
                <w:sz w:val="20"/>
                <w:szCs w:val="20"/>
                <w:color w:val="auto"/>
              </w:rPr>
            </w:pPr>
            <w:r>
              <w:rPr>
                <w:rFonts w:ascii="Arial" w:cs="Arial" w:eastAsia="Arial" w:hAnsi="Arial"/>
                <w:sz w:val="18"/>
                <w:szCs w:val="18"/>
                <w:color w:val="auto"/>
              </w:rPr>
              <w:t>Income (loss) from operations before income taxes</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227,188</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130,144</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(198,568)</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158,764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7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29</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31" w:name="page32"/>
    <w:bookmarkEnd w:id="31"/>
    <w:p>
      <w:pPr>
        <w:ind w:left="620"/>
        <w:spacing w:after="0"/>
        <w:rPr>
          <w:sz w:val="20"/>
          <w:szCs w:val="20"/>
          <w:color w:val="auto"/>
        </w:rPr>
      </w:pPr>
      <w:r>
        <w:rPr>
          <w:rFonts w:ascii="Arial" w:cs="Arial" w:eastAsia="Arial" w:hAnsi="Arial"/>
          <w:sz w:val="18"/>
          <w:szCs w:val="18"/>
          <w:color w:val="auto"/>
        </w:rPr>
        <w:t>Segment financial information for the six months ended June 30, 2018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6"/>
              </w:rPr>
              <w:t>Freight</w:t>
            </w:r>
          </w:p>
        </w:tc>
        <w:tc>
          <w:tcPr>
            <w:tcW w:w="280" w:type="dxa"/>
            <w:vAlign w:val="bottom"/>
          </w:tcPr>
          <w:p>
            <w:pPr>
              <w:spacing w:after="0"/>
              <w:rPr>
                <w:sz w:val="14"/>
                <w:szCs w:val="14"/>
                <w:color w:val="auto"/>
              </w:rPr>
            </w:pPr>
          </w:p>
        </w:tc>
        <w:tc>
          <w:tcPr>
            <w:tcW w:w="108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Transit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Corporate</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Activities and</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5560" w:type="dxa"/>
            <w:vAlign w:val="bottom"/>
            <w:gridSpan w:val="4"/>
          </w:tcPr>
          <w:p>
            <w:pPr>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Pr>
          <w:p>
            <w:pPr>
              <w:spacing w:after="0"/>
              <w:rPr>
                <w:sz w:val="13"/>
                <w:szCs w:val="13"/>
                <w:color w:val="auto"/>
              </w:rPr>
            </w:pPr>
          </w:p>
        </w:tc>
        <w:tc>
          <w:tcPr>
            <w:tcW w:w="116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87"/>
              </w:rPr>
              <w:t>Segment</w:t>
            </w:r>
          </w:p>
        </w:tc>
        <w:tc>
          <w:tcPr>
            <w:tcW w:w="280" w:type="dxa"/>
            <w:vAlign w:val="bottom"/>
          </w:tcPr>
          <w:p>
            <w:pPr>
              <w:spacing w:after="0"/>
              <w:rPr>
                <w:sz w:val="13"/>
                <w:szCs w:val="13"/>
                <w:color w:val="auto"/>
              </w:rPr>
            </w:pPr>
          </w:p>
        </w:tc>
        <w:tc>
          <w:tcPr>
            <w:tcW w:w="1080" w:type="dxa"/>
            <w:vAlign w:val="bottom"/>
          </w:tcPr>
          <w:p>
            <w:pPr>
              <w:jc w:val="right"/>
              <w:ind w:right="314"/>
              <w:spacing w:after="0" w:line="158" w:lineRule="exact"/>
              <w:rPr>
                <w:sz w:val="20"/>
                <w:szCs w:val="20"/>
                <w:color w:val="auto"/>
              </w:rPr>
            </w:pPr>
            <w:r>
              <w:rPr>
                <w:rFonts w:ascii="Arial" w:cs="Arial" w:eastAsia="Arial" w:hAnsi="Arial"/>
                <w:sz w:val="14"/>
                <w:szCs w:val="14"/>
                <w:b w:val="1"/>
                <w:bCs w:val="1"/>
                <w:color w:val="auto"/>
              </w:rPr>
              <w:t>Segment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5"/>
              </w:rPr>
              <w:t>Elimination</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5560" w:type="dxa"/>
            <w:vAlign w:val="bottom"/>
            <w:gridSpan w:val="4"/>
          </w:tcPr>
          <w:p>
            <w:pPr>
              <w:spacing w:after="0"/>
              <w:rPr>
                <w:sz w:val="20"/>
                <w:szCs w:val="20"/>
                <w:color w:val="auto"/>
              </w:rPr>
            </w:pPr>
            <w:r>
              <w:rPr>
                <w:rFonts w:ascii="Arial" w:cs="Arial" w:eastAsia="Arial" w:hAnsi="Arial"/>
                <w:sz w:val="18"/>
                <w:szCs w:val="18"/>
                <w:color w:val="auto"/>
              </w:rPr>
              <w:t>Sales to external customers</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791,812</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1,376,045</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ind w:right="27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4"/>
              </w:rPr>
              <w:t>2,167,857</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560" w:type="dxa"/>
            <w:vAlign w:val="bottom"/>
            <w:gridSpan w:val="4"/>
          </w:tcPr>
          <w:p>
            <w:pPr>
              <w:spacing w:after="0"/>
              <w:rPr>
                <w:sz w:val="20"/>
                <w:szCs w:val="20"/>
                <w:color w:val="auto"/>
              </w:rPr>
            </w:pPr>
            <w:r>
              <w:rPr>
                <w:rFonts w:ascii="Arial" w:cs="Arial" w:eastAsia="Arial" w:hAnsi="Arial"/>
                <w:sz w:val="18"/>
                <w:szCs w:val="18"/>
                <w:color w:val="auto"/>
              </w:rPr>
              <w:t>Intersegment sales/(elimination)</w:t>
            </w:r>
          </w:p>
        </w:tc>
        <w:tc>
          <w:tcPr>
            <w:tcW w:w="320" w:type="dxa"/>
            <w:vAlign w:val="bottom"/>
          </w:tcPr>
          <w:p>
            <w:pPr>
              <w:spacing w:after="0"/>
              <w:rPr>
                <w:sz w:val="23"/>
                <w:szCs w:val="23"/>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30,701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6,873</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(37,574)</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520" w:type="dxa"/>
            <w:vAlign w:val="bottom"/>
            <w:gridSpan w:val="3"/>
          </w:tcPr>
          <w:p>
            <w:pPr>
              <w:ind w:left="440"/>
              <w:spacing w:after="0"/>
              <w:rPr>
                <w:sz w:val="20"/>
                <w:szCs w:val="20"/>
                <w:color w:val="auto"/>
              </w:rPr>
            </w:pPr>
            <w:r>
              <w:rPr>
                <w:rFonts w:ascii="Arial" w:cs="Arial" w:eastAsia="Arial" w:hAnsi="Arial"/>
                <w:sz w:val="18"/>
                <w:szCs w:val="18"/>
                <w:color w:val="auto"/>
              </w:rPr>
              <w:t>Total sales</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822,513</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1,382,918</w:t>
            </w:r>
          </w:p>
        </w:tc>
        <w:tc>
          <w:tcPr>
            <w:tcW w:w="120" w:type="dxa"/>
            <w:vAlign w:val="bottom"/>
            <w:gridSpan w:val="2"/>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(37,574)</w:t>
            </w:r>
          </w:p>
        </w:tc>
        <w:tc>
          <w:tcPr>
            <w:tcW w:w="100" w:type="dxa"/>
            <w:vAlign w:val="bottom"/>
            <w:gridSpan w:val="2"/>
          </w:tcPr>
          <w:p>
            <w:pPr>
              <w:spacing w:after="0"/>
              <w:rPr>
                <w:sz w:val="22"/>
                <w:szCs w:val="22"/>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2,167,857</w:t>
            </w: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60" w:type="dxa"/>
            <w:vAlign w:val="bottom"/>
            <w:gridSpan w:val="4"/>
          </w:tcPr>
          <w:p>
            <w:pPr>
              <w:spacing w:after="0"/>
              <w:rPr>
                <w:sz w:val="20"/>
                <w:szCs w:val="20"/>
                <w:color w:val="auto"/>
              </w:rPr>
            </w:pPr>
            <w:r>
              <w:rPr>
                <w:rFonts w:ascii="Arial" w:cs="Arial" w:eastAsia="Arial" w:hAnsi="Arial"/>
                <w:sz w:val="18"/>
                <w:szCs w:val="18"/>
                <w:color w:val="auto"/>
              </w:rPr>
              <w:t>Income (loss) from operations</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153,969</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126,059</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(25,226)</w:t>
            </w:r>
          </w:p>
        </w:tc>
        <w:tc>
          <w:tcPr>
            <w:tcW w:w="580" w:type="dxa"/>
            <w:vAlign w:val="bottom"/>
            <w:gridSpan w:val="3"/>
          </w:tcPr>
          <w:p>
            <w:pPr>
              <w:jc w:val="right"/>
              <w:ind w:right="27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254,802</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560" w:type="dxa"/>
            <w:vAlign w:val="bottom"/>
            <w:gridSpan w:val="4"/>
          </w:tcPr>
          <w:p>
            <w:pPr>
              <w:spacing w:after="0"/>
              <w:rPr>
                <w:sz w:val="20"/>
                <w:szCs w:val="20"/>
                <w:color w:val="auto"/>
              </w:rPr>
            </w:pPr>
            <w:r>
              <w:rPr>
                <w:rFonts w:ascii="Arial" w:cs="Arial" w:eastAsia="Arial" w:hAnsi="Arial"/>
                <w:sz w:val="18"/>
                <w:szCs w:val="18"/>
                <w:color w:val="auto"/>
              </w:rPr>
              <w:t>Interest expense and other, net</w:t>
            </w:r>
          </w:p>
        </w:tc>
        <w:tc>
          <w:tcPr>
            <w:tcW w:w="32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(47,447)</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(47,447)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520" w:type="dxa"/>
            <w:vAlign w:val="bottom"/>
            <w:gridSpan w:val="3"/>
          </w:tcPr>
          <w:p>
            <w:pPr>
              <w:ind w:left="440"/>
              <w:spacing w:after="0"/>
              <w:rPr>
                <w:sz w:val="20"/>
                <w:szCs w:val="20"/>
                <w:color w:val="auto"/>
              </w:rPr>
            </w:pPr>
            <w:r>
              <w:rPr>
                <w:rFonts w:ascii="Arial" w:cs="Arial" w:eastAsia="Arial" w:hAnsi="Arial"/>
                <w:sz w:val="18"/>
                <w:szCs w:val="18"/>
                <w:color w:val="auto"/>
              </w:rPr>
              <w:t>Income (loss) from operations before income taxes</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153,969</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126,059</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(72,673)</w:t>
            </w:r>
          </w:p>
        </w:tc>
        <w:tc>
          <w:tcPr>
            <w:tcW w:w="580" w:type="dxa"/>
            <w:vAlign w:val="bottom"/>
            <w:gridSpan w:val="3"/>
          </w:tcPr>
          <w:p>
            <w:pPr>
              <w:jc w:val="right"/>
              <w:ind w:right="27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207,355</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520" w:type="dxa"/>
            <w:vAlign w:val="bottom"/>
            <w:gridSpan w:val="3"/>
            <w:vMerge w:val="restart"/>
          </w:tcPr>
          <w:p>
            <w:pPr>
              <w:ind w:left="580"/>
              <w:spacing w:after="0"/>
              <w:rPr>
                <w:sz w:val="20"/>
                <w:szCs w:val="20"/>
                <w:color w:val="auto"/>
              </w:rPr>
            </w:pPr>
            <w:r>
              <w:rPr>
                <w:rFonts w:ascii="Arial" w:cs="Arial" w:eastAsia="Arial" w:hAnsi="Arial"/>
                <w:sz w:val="18"/>
                <w:szCs w:val="18"/>
                <w:color w:val="auto"/>
              </w:rPr>
              <w:t>Sales by product line are as follows: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40" w:type="dxa"/>
            <w:vAlign w:val="bottom"/>
          </w:tcPr>
          <w:p>
            <w:pPr>
              <w:spacing w:after="0"/>
              <w:rPr>
                <w:sz w:val="24"/>
                <w:szCs w:val="24"/>
                <w:color w:val="auto"/>
              </w:rPr>
            </w:pPr>
          </w:p>
        </w:tc>
        <w:tc>
          <w:tcPr>
            <w:tcW w:w="552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60" w:type="dxa"/>
            <w:vAlign w:val="bottom"/>
            <w:gridSpan w:val="8"/>
          </w:tcPr>
          <w:p>
            <w:pPr>
              <w:ind w:left="5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5"/>
          </w:tcPr>
          <w:p>
            <w:pPr>
              <w:jc w:val="right"/>
              <w:ind w:right="17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52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center"/>
              <w:ind w:right="56"/>
              <w:spacing w:after="0"/>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ind w:left="60"/>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520" w:type="dxa"/>
            <w:vAlign w:val="bottom"/>
            <w:gridSpan w:val="3"/>
          </w:tcPr>
          <w:p>
            <w:pPr>
              <w:spacing w:after="0"/>
              <w:rPr>
                <w:sz w:val="20"/>
                <w:szCs w:val="20"/>
                <w:color w:val="auto"/>
              </w:rPr>
            </w:pPr>
            <w:r>
              <w:rPr>
                <w:rFonts w:ascii="Arial" w:cs="Arial" w:eastAsia="Arial" w:hAnsi="Arial"/>
                <w:sz w:val="18"/>
                <w:szCs w:val="18"/>
                <w:color w:val="auto"/>
              </w:rPr>
              <w:t>Remanufacturing, Overhaul &amp; Build</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1,171,147</w:t>
            </w:r>
          </w:p>
        </w:tc>
        <w:tc>
          <w:tcPr>
            <w:tcW w:w="60" w:type="dxa"/>
            <w:vAlign w:val="bottom"/>
          </w:tcPr>
          <w:p>
            <w:pPr>
              <w:spacing w:after="0"/>
              <w:rPr>
                <w:sz w:val="20"/>
                <w:szCs w:val="20"/>
                <w:color w:val="auto"/>
              </w:rPr>
            </w:pPr>
          </w:p>
        </w:tc>
        <w:tc>
          <w:tcPr>
            <w:tcW w:w="580" w:type="dxa"/>
            <w:vAlign w:val="bottom"/>
            <w:gridSpan w:val="3"/>
          </w:tcPr>
          <w:p>
            <w:pPr>
              <w:jc w:val="right"/>
              <w:ind w:right="27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127,202</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520" w:type="dxa"/>
            <w:vAlign w:val="bottom"/>
            <w:gridSpan w:val="3"/>
          </w:tcPr>
          <w:p>
            <w:pPr>
              <w:spacing w:after="0"/>
              <w:rPr>
                <w:sz w:val="20"/>
                <w:szCs w:val="20"/>
                <w:color w:val="auto"/>
              </w:rPr>
            </w:pPr>
            <w:r>
              <w:rPr>
                <w:rFonts w:ascii="Arial" w:cs="Arial" w:eastAsia="Arial" w:hAnsi="Arial"/>
                <w:sz w:val="18"/>
                <w:szCs w:val="18"/>
                <w:color w:val="auto"/>
              </w:rPr>
              <w:t>Specialty Products &amp; Electronics</w:t>
            </w: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443,333</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434,399</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520" w:type="dxa"/>
            <w:vAlign w:val="bottom"/>
            <w:gridSpan w:val="3"/>
          </w:tcPr>
          <w:p>
            <w:pPr>
              <w:spacing w:after="0"/>
              <w:rPr>
                <w:sz w:val="20"/>
                <w:szCs w:val="20"/>
                <w:color w:val="auto"/>
              </w:rPr>
            </w:pPr>
            <w:r>
              <w:rPr>
                <w:rFonts w:ascii="Arial" w:cs="Arial" w:eastAsia="Arial" w:hAnsi="Arial"/>
                <w:sz w:val="18"/>
                <w:szCs w:val="18"/>
                <w:color w:val="auto"/>
              </w:rPr>
              <w:t>Transit Products</w:t>
            </w: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310,839</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282,130</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520" w:type="dxa"/>
            <w:vAlign w:val="bottom"/>
            <w:gridSpan w:val="3"/>
          </w:tcPr>
          <w:p>
            <w:pPr>
              <w:spacing w:after="0"/>
              <w:rPr>
                <w:sz w:val="20"/>
                <w:szCs w:val="20"/>
                <w:color w:val="auto"/>
              </w:rPr>
            </w:pPr>
            <w:r>
              <w:rPr>
                <w:rFonts w:ascii="Arial" w:cs="Arial" w:eastAsia="Arial" w:hAnsi="Arial"/>
                <w:sz w:val="18"/>
                <w:szCs w:val="18"/>
                <w:color w:val="auto"/>
              </w:rPr>
              <w:t>Brake Products</w:t>
            </w: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254,260</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217,574</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520" w:type="dxa"/>
            <w:vAlign w:val="bottom"/>
            <w:gridSpan w:val="3"/>
          </w:tcPr>
          <w:p>
            <w:pPr>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56,705</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50,375</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520" w:type="dxa"/>
            <w:vAlign w:val="bottom"/>
            <w:gridSpan w:val="3"/>
          </w:tcPr>
          <w:p>
            <w:pPr>
              <w:ind w:left="240"/>
              <w:spacing w:after="0"/>
              <w:rPr>
                <w:sz w:val="20"/>
                <w:szCs w:val="20"/>
                <w:color w:val="auto"/>
              </w:rPr>
            </w:pPr>
            <w:r>
              <w:rPr>
                <w:rFonts w:ascii="Arial" w:cs="Arial" w:eastAsia="Arial" w:hAnsi="Arial"/>
                <w:sz w:val="18"/>
                <w:szCs w:val="18"/>
                <w:color w:val="auto"/>
              </w:rPr>
              <w:t>Total sales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gridSpan w:val="2"/>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2,236,284</w:t>
            </w:r>
          </w:p>
        </w:tc>
        <w:tc>
          <w:tcPr>
            <w:tcW w:w="60" w:type="dxa"/>
            <w:vAlign w:val="bottom"/>
            <w:tcBorders>
              <w:bottom w:val="single" w:sz="8" w:color="auto"/>
            </w:tcBorders>
          </w:tcPr>
          <w:p>
            <w:pPr>
              <w:spacing w:after="0"/>
              <w:rPr>
                <w:sz w:val="22"/>
                <w:szCs w:val="22"/>
                <w:color w:val="auto"/>
              </w:rPr>
            </w:pPr>
          </w:p>
        </w:tc>
        <w:tc>
          <w:tcPr>
            <w:tcW w:w="100" w:type="dxa"/>
            <w:vAlign w:val="bottom"/>
            <w:gridSpan w:val="2"/>
          </w:tcPr>
          <w:p>
            <w:pPr>
              <w:spacing w:after="0"/>
              <w:rPr>
                <w:sz w:val="22"/>
                <w:szCs w:val="22"/>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1,111,680</w:t>
            </w:r>
          </w:p>
        </w:tc>
        <w:tc>
          <w:tcPr>
            <w:tcW w:w="6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7"/>
        </w:trPr>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gridSpan w:val="5"/>
          </w:tcPr>
          <w:p>
            <w:pPr>
              <w:jc w:val="right"/>
              <w:spacing w:after="0"/>
              <w:rPr>
                <w:sz w:val="20"/>
                <w:szCs w:val="20"/>
                <w:color w:val="auto"/>
              </w:rPr>
            </w:pPr>
            <w:r>
              <w:rPr>
                <w:rFonts w:ascii="Arial" w:cs="Arial" w:eastAsia="Arial" w:hAnsi="Arial"/>
                <w:sz w:val="14"/>
                <w:szCs w:val="14"/>
                <w:b w:val="1"/>
                <w:bCs w:val="1"/>
                <w:color w:val="auto"/>
              </w:rPr>
              <w:t>Six Months Ended</w:t>
            </w: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5"/>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56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ind w:right="456"/>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ind w:right="433"/>
              <w:spacing w:after="0"/>
              <w:rPr>
                <w:sz w:val="20"/>
                <w:szCs w:val="20"/>
                <w:color w:val="auto"/>
              </w:rPr>
            </w:pPr>
            <w:r>
              <w:rPr>
                <w:rFonts w:ascii="Arial" w:cs="Arial" w:eastAsia="Arial" w:hAnsi="Arial"/>
                <w:sz w:val="14"/>
                <w:szCs w:val="14"/>
                <w:b w:val="1"/>
                <w:bCs w:val="1"/>
                <w:color w:val="auto"/>
                <w:w w:val="89"/>
              </w:rPr>
              <w:t>2018</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5560" w:type="dxa"/>
            <w:vAlign w:val="bottom"/>
            <w:gridSpan w:val="4"/>
          </w:tcPr>
          <w:p>
            <w:pPr>
              <w:spacing w:after="0"/>
              <w:rPr>
                <w:sz w:val="20"/>
                <w:szCs w:val="20"/>
                <w:color w:val="auto"/>
              </w:rPr>
            </w:pPr>
            <w:r>
              <w:rPr>
                <w:rFonts w:ascii="Arial" w:cs="Arial" w:eastAsia="Arial" w:hAnsi="Arial"/>
                <w:sz w:val="18"/>
                <w:szCs w:val="18"/>
                <w:color w:val="auto"/>
              </w:rPr>
              <w:t>Remanufacturing, Overhaul &amp; Build</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1,753,324</w:t>
            </w:r>
          </w:p>
        </w:tc>
        <w:tc>
          <w:tcPr>
            <w:tcW w:w="60" w:type="dxa"/>
            <w:vAlign w:val="bottom"/>
          </w:tcPr>
          <w:p>
            <w:pPr>
              <w:spacing w:after="0"/>
              <w:rPr>
                <w:sz w:val="20"/>
                <w:szCs w:val="20"/>
                <w:color w:val="auto"/>
              </w:rPr>
            </w:pPr>
          </w:p>
        </w:tc>
        <w:tc>
          <w:tcPr>
            <w:tcW w:w="580" w:type="dxa"/>
            <w:vAlign w:val="bottom"/>
            <w:gridSpan w:val="3"/>
          </w:tcPr>
          <w:p>
            <w:pPr>
              <w:jc w:val="right"/>
              <w:ind w:right="3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262,900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560" w:type="dxa"/>
            <w:vAlign w:val="bottom"/>
            <w:gridSpan w:val="4"/>
          </w:tcPr>
          <w:p>
            <w:pPr>
              <w:spacing w:after="0"/>
              <w:rPr>
                <w:sz w:val="20"/>
                <w:szCs w:val="20"/>
                <w:color w:val="auto"/>
              </w:rPr>
            </w:pPr>
            <w:r>
              <w:rPr>
                <w:rFonts w:ascii="Arial" w:cs="Arial" w:eastAsia="Arial" w:hAnsi="Arial"/>
                <w:sz w:val="18"/>
                <w:szCs w:val="18"/>
                <w:color w:val="auto"/>
              </w:rPr>
              <w:t>Specialty Products &amp; Electronics</w:t>
            </w: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861,447</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820,947</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60" w:type="dxa"/>
            <w:vAlign w:val="bottom"/>
            <w:gridSpan w:val="4"/>
          </w:tcPr>
          <w:p>
            <w:pPr>
              <w:spacing w:after="0"/>
              <w:rPr>
                <w:sz w:val="20"/>
                <w:szCs w:val="20"/>
                <w:color w:val="auto"/>
              </w:rPr>
            </w:pPr>
            <w:r>
              <w:rPr>
                <w:rFonts w:ascii="Arial" w:cs="Arial" w:eastAsia="Arial" w:hAnsi="Arial"/>
                <w:sz w:val="18"/>
                <w:szCs w:val="18"/>
                <w:color w:val="auto"/>
              </w:rPr>
              <w:t>Transit Products</w:t>
            </w: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605,656</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556,409</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60" w:type="dxa"/>
            <w:vAlign w:val="bottom"/>
            <w:gridSpan w:val="4"/>
          </w:tcPr>
          <w:p>
            <w:pPr>
              <w:spacing w:after="0"/>
              <w:rPr>
                <w:sz w:val="20"/>
                <w:szCs w:val="20"/>
                <w:color w:val="auto"/>
              </w:rPr>
            </w:pPr>
            <w:r>
              <w:rPr>
                <w:rFonts w:ascii="Arial" w:cs="Arial" w:eastAsia="Arial" w:hAnsi="Arial"/>
                <w:sz w:val="18"/>
                <w:szCs w:val="18"/>
                <w:color w:val="auto"/>
              </w:rPr>
              <w:t>Brake Products</w:t>
            </w: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496,482</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433,192</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60" w:type="dxa"/>
            <w:vAlign w:val="bottom"/>
            <w:gridSpan w:val="4"/>
          </w:tcPr>
          <w:p>
            <w:pPr>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112,992</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94,409</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520" w:type="dxa"/>
            <w:vAlign w:val="bottom"/>
            <w:gridSpan w:val="3"/>
          </w:tcPr>
          <w:p>
            <w:pPr>
              <w:ind w:left="200"/>
              <w:spacing w:after="0"/>
              <w:rPr>
                <w:sz w:val="20"/>
                <w:szCs w:val="20"/>
                <w:color w:val="auto"/>
              </w:rPr>
            </w:pPr>
            <w:r>
              <w:rPr>
                <w:rFonts w:ascii="Arial" w:cs="Arial" w:eastAsia="Arial" w:hAnsi="Arial"/>
                <w:sz w:val="18"/>
                <w:szCs w:val="18"/>
                <w:color w:val="auto"/>
              </w:rPr>
              <w:t>Total sales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3,829,901</w:t>
            </w:r>
          </w:p>
        </w:tc>
        <w:tc>
          <w:tcPr>
            <w:tcW w:w="60" w:type="dxa"/>
            <w:vAlign w:val="bottom"/>
          </w:tcPr>
          <w:p>
            <w:pPr>
              <w:spacing w:after="0"/>
              <w:rPr>
                <w:sz w:val="22"/>
                <w:szCs w:val="22"/>
                <w:color w:val="auto"/>
              </w:rPr>
            </w:pPr>
          </w:p>
        </w:tc>
        <w:tc>
          <w:tcPr>
            <w:tcW w:w="580" w:type="dxa"/>
            <w:vAlign w:val="bottom"/>
            <w:gridSpan w:val="3"/>
          </w:tcPr>
          <w:p>
            <w:pPr>
              <w:jc w:val="right"/>
              <w:ind w:right="3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w w:val="87"/>
              </w:rPr>
              <w:t>2,167,857</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20" w:type="dxa"/>
            <w:vAlign w:val="bottom"/>
            <w:vMerge w:val="restart"/>
          </w:tcPr>
          <w:p>
            <w:pPr>
              <w:ind w:left="20"/>
              <w:spacing w:after="0"/>
              <w:rPr>
                <w:sz w:val="20"/>
                <w:szCs w:val="20"/>
                <w:color w:val="auto"/>
              </w:rPr>
            </w:pPr>
            <w:r>
              <w:rPr>
                <w:rFonts w:ascii="Arial" w:cs="Arial" w:eastAsia="Arial" w:hAnsi="Arial"/>
                <w:sz w:val="18"/>
                <w:szCs w:val="18"/>
                <w:color w:val="auto"/>
              </w:rPr>
              <w:t>30</w:t>
            </w: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32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80" w:top="476" w:right="2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18. GUARANTOR SUBSIDIARIES FINANCIAL INFORMATION</w:t>
      </w:r>
    </w:p>
    <w:p>
      <w:pPr>
        <w:spacing w:after="0" w:line="121" w:lineRule="exact"/>
        <w:rPr>
          <w:sz w:val="20"/>
          <w:szCs w:val="20"/>
          <w:color w:val="auto"/>
        </w:rPr>
      </w:pPr>
    </w:p>
    <w:p>
      <w:pPr>
        <w:ind w:right="140" w:firstLine="500"/>
        <w:spacing w:after="0" w:line="302" w:lineRule="auto"/>
        <w:rPr>
          <w:sz w:val="20"/>
          <w:szCs w:val="20"/>
          <w:color w:val="auto"/>
        </w:rPr>
      </w:pPr>
      <w:r>
        <w:rPr>
          <w:rFonts w:ascii="Arial" w:cs="Arial" w:eastAsia="Arial" w:hAnsi="Arial"/>
          <w:sz w:val="16"/>
          <w:szCs w:val="16"/>
          <w:color w:val="auto"/>
        </w:rPr>
        <w:t>The obligations under the Company's 2016 Notes, 2013 Notes and Revolving Credit Facility and Term Loan are fully and unconditionally guaranteed by all U.S. subsidiaries as guarantors. Each guarantor is 100% owned by the parent company. In accordance with positions established by the Securities and Exchange Commission, the following shows separate financial information with respect to the parent, the guarantor subsidiaries and the non-guarantor subsidiaries. The principal elimination entries eliminate investment in subsidiaries and certain intercompany balances and transactions.</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Balance Sheet for June 30, 2019:</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Guarantors</w:t>
            </w: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Non-Guarantors</w:t>
            </w:r>
          </w:p>
        </w:tc>
        <w:tc>
          <w:tcPr>
            <w:tcW w:w="14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w:t>
            </w:r>
          </w:p>
        </w:tc>
        <w:tc>
          <w:tcPr>
            <w:tcW w:w="12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w w:val="92"/>
              </w:rPr>
              <w:t>Consolidated</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8"/>
        </w:trPr>
        <w:tc>
          <w:tcPr>
            <w:tcW w:w="5220" w:type="dxa"/>
            <w:vAlign w:val="bottom"/>
            <w:gridSpan w:val="2"/>
          </w:tcPr>
          <w:p>
            <w:pPr>
              <w:spacing w:after="0"/>
              <w:rPr>
                <w:sz w:val="20"/>
                <w:szCs w:val="20"/>
                <w:color w:val="auto"/>
              </w:rPr>
            </w:pPr>
            <w:r>
              <w:rPr>
                <w:rFonts w:ascii="Arial" w:cs="Arial" w:eastAsia="Arial" w:hAnsi="Arial"/>
                <w:sz w:val="14"/>
                <w:szCs w:val="14"/>
                <w:color w:val="auto"/>
              </w:rPr>
              <w:t>Cash and cash equivalents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7,011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9,820</w:t>
            </w:r>
          </w:p>
        </w:tc>
        <w:tc>
          <w:tcPr>
            <w:tcW w:w="120" w:type="dxa"/>
            <w:vAlign w:val="bottom"/>
          </w:tcPr>
          <w:p>
            <w:pPr>
              <w:spacing w:after="0"/>
              <w:rPr>
                <w:sz w:val="20"/>
                <w:szCs w:val="20"/>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444,540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461,371</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Receivables, net</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134,298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252,077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1,321,034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1,707,409</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Inventories</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141,400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662,717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1,077,674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1,881,791</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Current assets - other</w:t>
            </w: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15,094</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30,484</w:t>
            </w: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132,991</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178,569</w:t>
            </w:r>
          </w:p>
        </w:tc>
      </w:tr>
      <w:tr>
        <w:trPr>
          <w:trHeight w:val="245"/>
        </w:trPr>
        <w:tc>
          <w:tcPr>
            <w:tcW w:w="522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 current assets</w:t>
            </w:r>
          </w:p>
        </w:tc>
        <w:tc>
          <w:tcPr>
            <w:tcW w:w="24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297,803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955,098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2,976,239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4,229,140</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Property, plant and equipment, net</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57,966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36,879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1,551,252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1,646,097</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Goodwill</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504,818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283,241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7,362,612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8,150,671</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Investment in subsidiaries</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16,878,245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6,134,117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(23,012,362)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Other intangibles, net</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28,594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77,301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4,258,461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4,364,356</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Other long-term assets</w:t>
            </w:r>
          </w:p>
        </w:tc>
        <w:tc>
          <w:tcPr>
            <w:tcW w:w="240" w:type="dxa"/>
            <w:vAlign w:val="bottom"/>
          </w:tcPr>
          <w:p>
            <w:pPr>
              <w:spacing w:after="0"/>
              <w:rPr>
                <w:sz w:val="24"/>
                <w:szCs w:val="2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27,223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166,012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359,094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552,329</w:t>
            </w:r>
          </w:p>
        </w:tc>
      </w:tr>
      <w:tr>
        <w:trPr>
          <w:trHeight w:val="243"/>
        </w:trPr>
        <w:tc>
          <w:tcPr>
            <w:tcW w:w="522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 assets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17,794,649</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7,652,648</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16,507,658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(23,012,362)</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18,942,593</w:t>
            </w:r>
          </w:p>
        </w:tc>
      </w:tr>
      <w:tr>
        <w:trPr>
          <w:trHeight w:val="20"/>
        </w:trPr>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2"/>
        </w:trPr>
        <w:tc>
          <w:tcPr>
            <w:tcW w:w="5220" w:type="dxa"/>
            <w:vAlign w:val="bottom"/>
            <w:gridSpan w:val="2"/>
          </w:tcPr>
          <w:p>
            <w:pPr>
              <w:spacing w:after="0"/>
              <w:rPr>
                <w:sz w:val="20"/>
                <w:szCs w:val="20"/>
                <w:color w:val="auto"/>
              </w:rPr>
            </w:pPr>
            <w:r>
              <w:rPr>
                <w:rFonts w:ascii="Arial" w:cs="Arial" w:eastAsia="Arial" w:hAnsi="Arial"/>
                <w:sz w:val="14"/>
                <w:szCs w:val="14"/>
                <w:color w:val="auto"/>
              </w:rPr>
              <w:t>Current liabilities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472,747</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1,036,279</w:t>
            </w:r>
          </w:p>
        </w:tc>
        <w:tc>
          <w:tcPr>
            <w:tcW w:w="120" w:type="dxa"/>
            <w:vAlign w:val="bottom"/>
          </w:tcPr>
          <w:p>
            <w:pPr>
              <w:spacing w:after="0"/>
              <w:rPr>
                <w:sz w:val="18"/>
                <w:szCs w:val="18"/>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1,702,289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3,211,315</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Inter-company</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2,858,761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(1,606,278)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(1,252,483)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Long-term debt</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4,274,718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254,050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4,528,768</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Long-term liabilities - other</w:t>
            </w: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386,662</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135,254</w:t>
            </w: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845,437</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1,367,353</w:t>
            </w:r>
          </w:p>
        </w:tc>
      </w:tr>
      <w:tr>
        <w:trPr>
          <w:trHeight w:val="245"/>
        </w:trPr>
        <w:tc>
          <w:tcPr>
            <w:tcW w:w="522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 liabilities</w:t>
            </w:r>
          </w:p>
        </w:tc>
        <w:tc>
          <w:tcPr>
            <w:tcW w:w="24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7,992,888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(434,745)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1,549,293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9,107,436</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Shareholders' equity</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9,786,761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8,087,393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14,939,968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(23,012,362)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9,801,760</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Non-controlling interest</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15,000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18,397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33,397</w:t>
            </w:r>
          </w:p>
        </w:tc>
      </w:tr>
      <w:tr>
        <w:trPr>
          <w:trHeight w:val="251"/>
        </w:trPr>
        <w:tc>
          <w:tcPr>
            <w:tcW w:w="522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 shareholders' equity</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9,801,761</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8,087,393</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14,958,365</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(23,012,362)</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9,835,157</w:t>
            </w:r>
          </w:p>
        </w:tc>
      </w:tr>
      <w:tr>
        <w:trPr>
          <w:trHeight w:val="243"/>
        </w:trPr>
        <w:tc>
          <w:tcPr>
            <w:tcW w:w="522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 Liabilities and Shareholders' Equity</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17,794,649</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7,652,648</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16,507,658</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(23,012,362)</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18,942,593</w:t>
            </w:r>
          </w:p>
        </w:tc>
      </w:tr>
      <w:tr>
        <w:trPr>
          <w:trHeight w:val="20"/>
        </w:trPr>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64" w:right="239" w:bottom="1440" w:gutter="0" w:footer="0" w:header="0"/>
        </w:sectPr>
      </w:pPr>
    </w:p>
    <w:bookmarkStart w:id="33" w:name="page34"/>
    <w:bookmarkEnd w:id="33"/>
    <w:p>
      <w:pPr>
        <w:ind w:left="620"/>
        <w:spacing w:after="0"/>
        <w:rPr>
          <w:sz w:val="20"/>
          <w:szCs w:val="20"/>
          <w:color w:val="auto"/>
        </w:rPr>
      </w:pPr>
      <w:r>
        <w:rPr>
          <w:rFonts w:ascii="Arial" w:cs="Arial" w:eastAsia="Arial" w:hAnsi="Arial"/>
          <w:sz w:val="18"/>
          <w:szCs w:val="18"/>
          <w:color w:val="auto"/>
        </w:rPr>
        <w:t>Balance Sheet for December 31, 2018:</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Guarantors</w:t>
            </w: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Non-Guarantors</w:t>
            </w:r>
          </w:p>
        </w:tc>
        <w:tc>
          <w:tcPr>
            <w:tcW w:w="14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w:t>
            </w:r>
          </w:p>
        </w:tc>
        <w:tc>
          <w:tcPr>
            <w:tcW w:w="12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w w:val="92"/>
              </w:rPr>
              <w:t>Consolidated</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8"/>
        </w:trPr>
        <w:tc>
          <w:tcPr>
            <w:tcW w:w="5220" w:type="dxa"/>
            <w:vAlign w:val="bottom"/>
            <w:gridSpan w:val="2"/>
          </w:tcPr>
          <w:p>
            <w:pPr>
              <w:spacing w:after="0"/>
              <w:rPr>
                <w:sz w:val="20"/>
                <w:szCs w:val="20"/>
                <w:color w:val="auto"/>
              </w:rPr>
            </w:pPr>
            <w:r>
              <w:rPr>
                <w:rFonts w:ascii="Arial" w:cs="Arial" w:eastAsia="Arial" w:hAnsi="Arial"/>
                <w:sz w:val="14"/>
                <w:szCs w:val="14"/>
                <w:color w:val="auto"/>
              </w:rPr>
              <w:t>Cash and cash equivalents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1,782,682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(119)</w:t>
            </w:r>
          </w:p>
        </w:tc>
        <w:tc>
          <w:tcPr>
            <w:tcW w:w="120" w:type="dxa"/>
            <w:vAlign w:val="bottom"/>
          </w:tcPr>
          <w:p>
            <w:pPr>
              <w:spacing w:after="0"/>
              <w:rPr>
                <w:sz w:val="20"/>
                <w:szCs w:val="20"/>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559,791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2,342,354</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Receivables, net</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106,815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61,513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978,450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1,146,778</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Inventories</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149,622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69,116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626,148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844,886</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Current assets - other</w:t>
            </w: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11,884</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690</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103,075</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115,649</w:t>
            </w:r>
          </w:p>
        </w:tc>
      </w:tr>
      <w:tr>
        <w:trPr>
          <w:trHeight w:val="245"/>
        </w:trPr>
        <w:tc>
          <w:tcPr>
            <w:tcW w:w="522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 current assets</w:t>
            </w:r>
          </w:p>
        </w:tc>
        <w:tc>
          <w:tcPr>
            <w:tcW w:w="24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2,051,003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131,200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2,267,464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4,449,667</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Property, plant and equipment, net</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51,551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24,755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487,431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563,737</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Goodwill</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25,275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283,241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2,088,028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2,396,544</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Investment in subsidiaries</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6,707,979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4,022,107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(10,730,086)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Other intangibles, net</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29,254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78,547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1,022,079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1,129,880</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Other long-term assets</w:t>
            </w:r>
          </w:p>
        </w:tc>
        <w:tc>
          <w:tcPr>
            <w:tcW w:w="240" w:type="dxa"/>
            <w:vAlign w:val="bottom"/>
          </w:tcPr>
          <w:p>
            <w:pPr>
              <w:spacing w:after="0"/>
              <w:rPr>
                <w:sz w:val="24"/>
                <w:szCs w:val="2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8,775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149</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100,482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109,406</w:t>
            </w:r>
          </w:p>
        </w:tc>
      </w:tr>
      <w:tr>
        <w:trPr>
          <w:trHeight w:val="243"/>
        </w:trPr>
        <w:tc>
          <w:tcPr>
            <w:tcW w:w="522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 assets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8,873,837</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4,539,999</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5,965,484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(10,730,086)</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8,649,234</w:t>
            </w:r>
          </w:p>
        </w:tc>
      </w:tr>
      <w:tr>
        <w:trPr>
          <w:trHeight w:val="20"/>
        </w:trPr>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2"/>
        </w:trPr>
        <w:tc>
          <w:tcPr>
            <w:tcW w:w="5220" w:type="dxa"/>
            <w:vAlign w:val="bottom"/>
            <w:gridSpan w:val="2"/>
          </w:tcPr>
          <w:p>
            <w:pPr>
              <w:spacing w:after="0"/>
              <w:rPr>
                <w:sz w:val="20"/>
                <w:szCs w:val="20"/>
                <w:color w:val="auto"/>
              </w:rPr>
            </w:pPr>
            <w:r>
              <w:rPr>
                <w:rFonts w:ascii="Arial" w:cs="Arial" w:eastAsia="Arial" w:hAnsi="Arial"/>
                <w:sz w:val="14"/>
                <w:szCs w:val="14"/>
                <w:color w:val="auto"/>
              </w:rPr>
              <w:t>Current liabilities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264,630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91,004</w:t>
            </w:r>
          </w:p>
        </w:tc>
        <w:tc>
          <w:tcPr>
            <w:tcW w:w="12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1,291,056</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1,646,690</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Inter-company</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1,947,504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(1,436,222)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(511,282)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Long-term debt</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3,779,627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13,147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3,792,774</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Long-term liabilities - other</w:t>
            </w: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16,945</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48,714</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275,036</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340,695</w:t>
            </w:r>
          </w:p>
        </w:tc>
      </w:tr>
      <w:tr>
        <w:trPr>
          <w:trHeight w:val="245"/>
        </w:trPr>
        <w:tc>
          <w:tcPr>
            <w:tcW w:w="522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 liabilities</w:t>
            </w:r>
          </w:p>
        </w:tc>
        <w:tc>
          <w:tcPr>
            <w:tcW w:w="24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6,008,706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(1,296,504)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1,067,957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5,780,159</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Shareholders' equity</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2,865,131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5,836,503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4,893,583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(10,730,086)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2,865,131</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Non-controlling interest</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3,944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3,944</w:t>
            </w:r>
          </w:p>
        </w:tc>
      </w:tr>
      <w:tr>
        <w:trPr>
          <w:trHeight w:val="251"/>
        </w:trPr>
        <w:tc>
          <w:tcPr>
            <w:tcW w:w="522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 shareholders' equity</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2,865,131</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5,836,503</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4,897,527</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(10,730,086)</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2,869,075</w:t>
            </w:r>
          </w:p>
        </w:tc>
      </w:tr>
      <w:tr>
        <w:trPr>
          <w:trHeight w:val="243"/>
        </w:trPr>
        <w:tc>
          <w:tcPr>
            <w:tcW w:w="522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 Liabilities and Shareholders' Equity</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8,873,837</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4,539,999</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5,965,484</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(10,730,086)</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8,649,234</w:t>
            </w:r>
          </w:p>
        </w:tc>
      </w:tr>
      <w:tr>
        <w:trPr>
          <w:trHeight w:val="20"/>
        </w:trPr>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Income Statement for the Three Months Ended June 30, 2019:</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Guarantors</w:t>
            </w: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Non-Guarantors</w:t>
            </w:r>
          </w:p>
        </w:tc>
        <w:tc>
          <w:tcPr>
            <w:tcW w:w="14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w:t>
            </w:r>
          </w:p>
        </w:tc>
        <w:tc>
          <w:tcPr>
            <w:tcW w:w="12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w w:val="92"/>
              </w:rPr>
              <w:t>Consolidated</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8"/>
        </w:trPr>
        <w:tc>
          <w:tcPr>
            <w:tcW w:w="5220" w:type="dxa"/>
            <w:vAlign w:val="bottom"/>
            <w:gridSpan w:val="2"/>
          </w:tcPr>
          <w:p>
            <w:pPr>
              <w:spacing w:after="0"/>
              <w:rPr>
                <w:sz w:val="20"/>
                <w:szCs w:val="20"/>
                <w:color w:val="auto"/>
              </w:rPr>
            </w:pPr>
            <w:r>
              <w:rPr>
                <w:rFonts w:ascii="Arial" w:cs="Arial" w:eastAsia="Arial" w:hAnsi="Arial"/>
                <w:sz w:val="14"/>
                <w:szCs w:val="14"/>
                <w:color w:val="auto"/>
              </w:rPr>
              <w:t>Net Sales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185,695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1,104,741</w:t>
            </w:r>
          </w:p>
        </w:tc>
        <w:tc>
          <w:tcPr>
            <w:tcW w:w="120" w:type="dxa"/>
            <w:vAlign w:val="bottom"/>
          </w:tcPr>
          <w:p>
            <w:pPr>
              <w:spacing w:after="0"/>
              <w:rPr>
                <w:sz w:val="20"/>
                <w:szCs w:val="20"/>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1,432,790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(486,942)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2,236,284</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Cost of sales</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(144,237)</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(820,294)</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(1,037,244)</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380,167</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(1,621,608)</w:t>
            </w:r>
          </w:p>
        </w:tc>
      </w:tr>
      <w:tr>
        <w:trPr>
          <w:trHeight w:val="244"/>
        </w:trPr>
        <w:tc>
          <w:tcPr>
            <w:tcW w:w="5220" w:type="dxa"/>
            <w:vAlign w:val="bottom"/>
            <w:gridSpan w:val="2"/>
          </w:tcPr>
          <w:p>
            <w:pPr>
              <w:spacing w:after="0"/>
              <w:rPr>
                <w:sz w:val="20"/>
                <w:szCs w:val="20"/>
                <w:color w:val="auto"/>
              </w:rPr>
            </w:pPr>
            <w:r>
              <w:rPr>
                <w:rFonts w:ascii="Arial" w:cs="Arial" w:eastAsia="Arial" w:hAnsi="Arial"/>
                <w:sz w:val="14"/>
                <w:szCs w:val="14"/>
                <w:color w:val="auto"/>
              </w:rPr>
              <w:t>Gross profit</w:t>
            </w:r>
          </w:p>
        </w:tc>
        <w:tc>
          <w:tcPr>
            <w:tcW w:w="24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41,458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284,447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395,546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(106,775)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614,676</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Total operating expenses</w:t>
            </w: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(67,447)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(81,933)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(264,659)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(414,039)</w:t>
            </w:r>
          </w:p>
        </w:tc>
      </w:tr>
      <w:tr>
        <w:trPr>
          <w:trHeight w:val="245"/>
        </w:trPr>
        <w:tc>
          <w:tcPr>
            <w:tcW w:w="5220" w:type="dxa"/>
            <w:vAlign w:val="bottom"/>
            <w:gridSpan w:val="2"/>
          </w:tcPr>
          <w:p>
            <w:pPr>
              <w:ind w:left="140"/>
              <w:spacing w:after="0"/>
              <w:rPr>
                <w:sz w:val="20"/>
                <w:szCs w:val="20"/>
                <w:color w:val="auto"/>
              </w:rPr>
            </w:pPr>
            <w:r>
              <w:rPr>
                <w:rFonts w:ascii="Arial" w:cs="Arial" w:eastAsia="Arial" w:hAnsi="Arial"/>
                <w:sz w:val="14"/>
                <w:szCs w:val="14"/>
                <w:b w:val="1"/>
                <w:bCs w:val="1"/>
                <w:color w:val="auto"/>
              </w:rPr>
              <w:t>Income from operations</w:t>
            </w: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(25,989)</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202,514</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130,887</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(106,775)</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200,637</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Interest (expense) income, net</w:t>
            </w: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(59,365)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3,116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(2,311)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(58,560)</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Other income (expense), net</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1,237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(4,217)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5,157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2,177</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Equity earnings (loss)</w:t>
            </w:r>
          </w:p>
        </w:tc>
        <w:tc>
          <w:tcPr>
            <w:tcW w:w="240" w:type="dxa"/>
            <w:vAlign w:val="bottom"/>
          </w:tcPr>
          <w:p>
            <w:pPr>
              <w:spacing w:after="0"/>
              <w:rPr>
                <w:sz w:val="24"/>
                <w:szCs w:val="2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185,813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83,926</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(269,739)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44"/>
        </w:trPr>
        <w:tc>
          <w:tcPr>
            <w:tcW w:w="5220" w:type="dxa"/>
            <w:vAlign w:val="bottom"/>
            <w:gridSpan w:val="2"/>
          </w:tcPr>
          <w:p>
            <w:pPr>
              <w:ind w:left="140"/>
              <w:spacing w:after="0"/>
              <w:rPr>
                <w:sz w:val="20"/>
                <w:szCs w:val="20"/>
                <w:color w:val="auto"/>
              </w:rPr>
            </w:pPr>
            <w:r>
              <w:rPr>
                <w:rFonts w:ascii="Arial" w:cs="Arial" w:eastAsia="Arial" w:hAnsi="Arial"/>
                <w:sz w:val="14"/>
                <w:szCs w:val="14"/>
                <w:color w:val="auto"/>
              </w:rPr>
              <w:t>Pretax income (loss)</w:t>
            </w: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101,696</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285,339</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133,733</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(376,514)</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144,254</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Income tax benefit (expense)</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2,538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(42,556)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(1,382)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(41,400)</w:t>
            </w:r>
          </w:p>
        </w:tc>
      </w:tr>
      <w:tr>
        <w:trPr>
          <w:trHeight w:val="245"/>
        </w:trPr>
        <w:tc>
          <w:tcPr>
            <w:tcW w:w="5220" w:type="dxa"/>
            <w:vAlign w:val="bottom"/>
            <w:gridSpan w:val="2"/>
          </w:tcPr>
          <w:p>
            <w:pPr>
              <w:ind w:left="240"/>
              <w:spacing w:after="0"/>
              <w:rPr>
                <w:sz w:val="20"/>
                <w:szCs w:val="20"/>
                <w:color w:val="auto"/>
              </w:rPr>
            </w:pPr>
            <w:r>
              <w:rPr>
                <w:rFonts w:ascii="Arial" w:cs="Arial" w:eastAsia="Arial" w:hAnsi="Arial"/>
                <w:sz w:val="14"/>
                <w:szCs w:val="14"/>
                <w:b w:val="1"/>
                <w:bCs w:val="1"/>
                <w:color w:val="auto"/>
              </w:rPr>
              <w:t>Net income</w:t>
            </w: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104,234</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242,783</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132,351</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(376,514)</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102,854</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Less: Net loss attributable to noncontrolling interest</w:t>
            </w:r>
          </w:p>
        </w:tc>
        <w:tc>
          <w:tcPr>
            <w:tcW w:w="240" w:type="dxa"/>
            <w:vAlign w:val="bottom"/>
          </w:tcPr>
          <w:p>
            <w:pPr>
              <w:spacing w:after="0"/>
              <w:rPr>
                <w:sz w:val="24"/>
                <w:szCs w:val="2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1,381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1,381</w:t>
            </w:r>
          </w:p>
        </w:tc>
      </w:tr>
      <w:tr>
        <w:trPr>
          <w:trHeight w:val="243"/>
        </w:trPr>
        <w:tc>
          <w:tcPr>
            <w:tcW w:w="5220" w:type="dxa"/>
            <w:vAlign w:val="bottom"/>
            <w:gridSpan w:val="2"/>
          </w:tcPr>
          <w:p>
            <w:pPr>
              <w:spacing w:after="0"/>
              <w:rPr>
                <w:sz w:val="20"/>
                <w:szCs w:val="20"/>
                <w:color w:val="auto"/>
              </w:rPr>
            </w:pPr>
            <w:r>
              <w:rPr>
                <w:rFonts w:ascii="Arial" w:cs="Arial" w:eastAsia="Arial" w:hAnsi="Arial"/>
                <w:sz w:val="14"/>
                <w:szCs w:val="14"/>
                <w:color w:val="auto"/>
              </w:rPr>
              <w:t>Net income (loss) attributable to Wabtec shareholders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104,234</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242,783</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133,732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(376,514)</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104,235</w:t>
            </w:r>
          </w:p>
        </w:tc>
      </w:tr>
      <w:tr>
        <w:trPr>
          <w:trHeight w:val="20"/>
        </w:trPr>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561"/>
        </w:trPr>
        <w:tc>
          <w:tcPr>
            <w:tcW w:w="5220" w:type="dxa"/>
            <w:vAlign w:val="bottom"/>
            <w:gridSpan w:val="2"/>
          </w:tcPr>
          <w:p>
            <w:pPr>
              <w:spacing w:after="0"/>
              <w:rPr>
                <w:sz w:val="20"/>
                <w:szCs w:val="20"/>
                <w:color w:val="auto"/>
              </w:rPr>
            </w:pPr>
            <w:r>
              <w:rPr>
                <w:rFonts w:ascii="Arial" w:cs="Arial" w:eastAsia="Arial" w:hAnsi="Arial"/>
                <w:sz w:val="14"/>
                <w:szCs w:val="14"/>
                <w:color w:val="auto"/>
              </w:rPr>
              <w:t>Comprehensive income (loss) attributable to Wabtec shareholders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104,234</w:t>
            </w:r>
          </w:p>
        </w:tc>
        <w:tc>
          <w:tcPr>
            <w:tcW w:w="12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242,783</w:t>
            </w:r>
          </w:p>
        </w:tc>
        <w:tc>
          <w:tcPr>
            <w:tcW w:w="120" w:type="dxa"/>
            <w:vAlign w:val="bottom"/>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153,552</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(376,514)</w:t>
            </w:r>
          </w:p>
        </w:tc>
        <w:tc>
          <w:tcPr>
            <w:tcW w:w="1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124,055</w:t>
            </w:r>
          </w:p>
        </w:tc>
      </w:tr>
      <w:tr>
        <w:trPr>
          <w:trHeight w:val="20"/>
        </w:trPr>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80" w:top="476" w:right="239" w:bottom="1440" w:gutter="0" w:footer="0" w:header="0"/>
        </w:sectPr>
      </w:pPr>
    </w:p>
    <w:bookmarkStart w:id="34" w:name="page35"/>
    <w:bookmarkEnd w:id="34"/>
    <w:p>
      <w:pPr>
        <w:ind w:left="620"/>
        <w:spacing w:after="0"/>
        <w:rPr>
          <w:sz w:val="20"/>
          <w:szCs w:val="20"/>
          <w:color w:val="auto"/>
        </w:rPr>
      </w:pPr>
      <w:r>
        <w:rPr>
          <w:rFonts w:ascii="Arial" w:cs="Arial" w:eastAsia="Arial" w:hAnsi="Arial"/>
          <w:sz w:val="18"/>
          <w:szCs w:val="18"/>
          <w:color w:val="auto"/>
        </w:rPr>
        <w:t>Income Statement for the Three Months Ended June 30, 2018:</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Guarantors</w:t>
            </w: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Non-Guarantors</w:t>
            </w:r>
          </w:p>
        </w:tc>
        <w:tc>
          <w:tcPr>
            <w:tcW w:w="14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w:t>
            </w:r>
          </w:p>
        </w:tc>
        <w:tc>
          <w:tcPr>
            <w:tcW w:w="12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w w:val="92"/>
              </w:rPr>
              <w:t>Consolidated</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8"/>
        </w:trPr>
        <w:tc>
          <w:tcPr>
            <w:tcW w:w="5220" w:type="dxa"/>
            <w:vAlign w:val="bottom"/>
            <w:gridSpan w:val="2"/>
          </w:tcPr>
          <w:p>
            <w:pPr>
              <w:spacing w:after="0"/>
              <w:rPr>
                <w:sz w:val="20"/>
                <w:szCs w:val="20"/>
                <w:color w:val="auto"/>
              </w:rPr>
            </w:pPr>
            <w:r>
              <w:rPr>
                <w:rFonts w:ascii="Arial" w:cs="Arial" w:eastAsia="Arial" w:hAnsi="Arial"/>
                <w:sz w:val="14"/>
                <w:szCs w:val="14"/>
                <w:color w:val="auto"/>
              </w:rPr>
              <w:t>Net Sales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168,426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137,966</w:t>
            </w:r>
          </w:p>
        </w:tc>
        <w:tc>
          <w:tcPr>
            <w:tcW w:w="120" w:type="dxa"/>
            <w:vAlign w:val="bottom"/>
          </w:tcPr>
          <w:p>
            <w:pPr>
              <w:spacing w:after="0"/>
              <w:rPr>
                <w:sz w:val="20"/>
                <w:szCs w:val="20"/>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873,375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(68,087)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1,111,680</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Cost of sales</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(122,919)</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(88,688)</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(614,861)</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38,755</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(787,713)</w:t>
            </w:r>
          </w:p>
        </w:tc>
      </w:tr>
      <w:tr>
        <w:trPr>
          <w:trHeight w:val="244"/>
        </w:trPr>
        <w:tc>
          <w:tcPr>
            <w:tcW w:w="5220" w:type="dxa"/>
            <w:vAlign w:val="bottom"/>
            <w:gridSpan w:val="2"/>
          </w:tcPr>
          <w:p>
            <w:pPr>
              <w:spacing w:after="0"/>
              <w:rPr>
                <w:sz w:val="20"/>
                <w:szCs w:val="20"/>
                <w:color w:val="auto"/>
              </w:rPr>
            </w:pPr>
            <w:r>
              <w:rPr>
                <w:rFonts w:ascii="Arial" w:cs="Arial" w:eastAsia="Arial" w:hAnsi="Arial"/>
                <w:sz w:val="14"/>
                <w:szCs w:val="14"/>
                <w:color w:val="auto"/>
              </w:rPr>
              <w:t>Gross profit</w:t>
            </w:r>
          </w:p>
        </w:tc>
        <w:tc>
          <w:tcPr>
            <w:tcW w:w="24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45,507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49,278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258,514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(29,332)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323,967</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Total operating expenses</w:t>
            </w: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(49,780)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(12,267)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(138,397)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(200,444)</w:t>
            </w:r>
          </w:p>
        </w:tc>
      </w:tr>
      <w:tr>
        <w:trPr>
          <w:trHeight w:val="245"/>
        </w:trPr>
        <w:tc>
          <w:tcPr>
            <w:tcW w:w="5220" w:type="dxa"/>
            <w:vAlign w:val="bottom"/>
            <w:gridSpan w:val="2"/>
          </w:tcPr>
          <w:p>
            <w:pPr>
              <w:ind w:left="140"/>
              <w:spacing w:after="0"/>
              <w:rPr>
                <w:sz w:val="20"/>
                <w:szCs w:val="20"/>
                <w:color w:val="auto"/>
              </w:rPr>
            </w:pPr>
            <w:r>
              <w:rPr>
                <w:rFonts w:ascii="Arial" w:cs="Arial" w:eastAsia="Arial" w:hAnsi="Arial"/>
                <w:sz w:val="14"/>
                <w:szCs w:val="14"/>
                <w:b w:val="1"/>
                <w:bCs w:val="1"/>
                <w:color w:val="auto"/>
              </w:rPr>
              <w:t>Income from operations</w:t>
            </w: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(4,273)</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37,011</w:t>
            </w: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120,117</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(29,332)</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123,523</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Interest (expense) income, net</w:t>
            </w: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(31,734)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3,137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(3,323)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(31,920)</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Other income (expense), net</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483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1,688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2,171</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Equity earnings (loss)</w:t>
            </w:r>
          </w:p>
        </w:tc>
        <w:tc>
          <w:tcPr>
            <w:tcW w:w="240" w:type="dxa"/>
            <w:vAlign w:val="bottom"/>
          </w:tcPr>
          <w:p>
            <w:pPr>
              <w:spacing w:after="0"/>
              <w:rPr>
                <w:sz w:val="24"/>
                <w:szCs w:val="2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128,744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118,771</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(247,515)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44"/>
        </w:trPr>
        <w:tc>
          <w:tcPr>
            <w:tcW w:w="5220" w:type="dxa"/>
            <w:vAlign w:val="bottom"/>
            <w:gridSpan w:val="2"/>
          </w:tcPr>
          <w:p>
            <w:pPr>
              <w:ind w:left="140"/>
              <w:spacing w:after="0"/>
              <w:rPr>
                <w:sz w:val="20"/>
                <w:szCs w:val="20"/>
                <w:color w:val="auto"/>
              </w:rPr>
            </w:pPr>
            <w:r>
              <w:rPr>
                <w:rFonts w:ascii="Arial" w:cs="Arial" w:eastAsia="Arial" w:hAnsi="Arial"/>
                <w:sz w:val="14"/>
                <w:szCs w:val="14"/>
                <w:color w:val="auto"/>
              </w:rPr>
              <w:t>Pretax income (loss)</w:t>
            </w: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93,220</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158,919</w:t>
            </w: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118,482</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(276,847)</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93,774</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Income tax expense</w:t>
            </w: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(7,213)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(3,290)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(10,503)</w:t>
            </w:r>
          </w:p>
        </w:tc>
      </w:tr>
      <w:tr>
        <w:trPr>
          <w:trHeight w:val="245"/>
        </w:trPr>
        <w:tc>
          <w:tcPr>
            <w:tcW w:w="5220" w:type="dxa"/>
            <w:vAlign w:val="bottom"/>
            <w:gridSpan w:val="2"/>
          </w:tcPr>
          <w:p>
            <w:pPr>
              <w:ind w:left="240"/>
              <w:spacing w:after="0"/>
              <w:rPr>
                <w:sz w:val="20"/>
                <w:szCs w:val="20"/>
                <w:color w:val="auto"/>
              </w:rPr>
            </w:pPr>
            <w:r>
              <w:rPr>
                <w:rFonts w:ascii="Arial" w:cs="Arial" w:eastAsia="Arial" w:hAnsi="Arial"/>
                <w:sz w:val="14"/>
                <w:szCs w:val="14"/>
                <w:b w:val="1"/>
                <w:bCs w:val="1"/>
                <w:color w:val="auto"/>
              </w:rPr>
              <w:t>Net income</w:t>
            </w: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86,007</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158,919</w:t>
            </w: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115,192</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(276,847)</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83,271</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Less: Net loss attributable to noncontrolling interest</w:t>
            </w:r>
          </w:p>
        </w:tc>
        <w:tc>
          <w:tcPr>
            <w:tcW w:w="240" w:type="dxa"/>
            <w:vAlign w:val="bottom"/>
          </w:tcPr>
          <w:p>
            <w:pPr>
              <w:spacing w:after="0"/>
              <w:rPr>
                <w:sz w:val="24"/>
                <w:szCs w:val="2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1,145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1,145</w:t>
            </w:r>
          </w:p>
        </w:tc>
      </w:tr>
      <w:tr>
        <w:trPr>
          <w:trHeight w:val="243"/>
        </w:trPr>
        <w:tc>
          <w:tcPr>
            <w:tcW w:w="5220" w:type="dxa"/>
            <w:vAlign w:val="bottom"/>
            <w:gridSpan w:val="2"/>
          </w:tcPr>
          <w:p>
            <w:pPr>
              <w:spacing w:after="0"/>
              <w:rPr>
                <w:sz w:val="20"/>
                <w:szCs w:val="20"/>
                <w:color w:val="auto"/>
              </w:rPr>
            </w:pPr>
            <w:r>
              <w:rPr>
                <w:rFonts w:ascii="Arial" w:cs="Arial" w:eastAsia="Arial" w:hAnsi="Arial"/>
                <w:sz w:val="14"/>
                <w:szCs w:val="14"/>
                <w:color w:val="auto"/>
              </w:rPr>
              <w:t>Net income (loss) attributable to Wabtec shareholders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86,007</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158,919</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116,337</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(276,847)</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84,416</w:t>
            </w:r>
          </w:p>
        </w:tc>
      </w:tr>
      <w:tr>
        <w:trPr>
          <w:trHeight w:val="20"/>
        </w:trPr>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561"/>
        </w:trPr>
        <w:tc>
          <w:tcPr>
            <w:tcW w:w="5220" w:type="dxa"/>
            <w:vAlign w:val="bottom"/>
            <w:gridSpan w:val="2"/>
          </w:tcPr>
          <w:p>
            <w:pPr>
              <w:spacing w:after="0"/>
              <w:rPr>
                <w:sz w:val="20"/>
                <w:szCs w:val="20"/>
                <w:color w:val="auto"/>
              </w:rPr>
            </w:pPr>
            <w:r>
              <w:rPr>
                <w:rFonts w:ascii="Arial" w:cs="Arial" w:eastAsia="Arial" w:hAnsi="Arial"/>
                <w:sz w:val="14"/>
                <w:szCs w:val="14"/>
                <w:color w:val="auto"/>
              </w:rPr>
              <w:t>Comprehensive income (loss) attributable to Wabtec shareholders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86,231</w:t>
            </w:r>
          </w:p>
        </w:tc>
        <w:tc>
          <w:tcPr>
            <w:tcW w:w="12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158,919</w:t>
            </w:r>
          </w:p>
        </w:tc>
        <w:tc>
          <w:tcPr>
            <w:tcW w:w="120" w:type="dxa"/>
            <w:vAlign w:val="bottom"/>
          </w:tcPr>
          <w:p>
            <w:pPr>
              <w:spacing w:after="0"/>
              <w:rPr>
                <w:sz w:val="24"/>
                <w:szCs w:val="24"/>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(74,104)</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(276,847)</w:t>
            </w:r>
          </w:p>
        </w:tc>
        <w:tc>
          <w:tcPr>
            <w:tcW w:w="1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(105,801)</w:t>
            </w:r>
          </w:p>
        </w:tc>
      </w:tr>
      <w:tr>
        <w:trPr>
          <w:trHeight w:val="20"/>
        </w:trPr>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Income Statement for the Six Months Ended June 30, 2019:</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Guarantors</w:t>
            </w: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Non-Guarantors</w:t>
            </w:r>
          </w:p>
        </w:tc>
        <w:tc>
          <w:tcPr>
            <w:tcW w:w="14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w:t>
            </w:r>
          </w:p>
        </w:tc>
        <w:tc>
          <w:tcPr>
            <w:tcW w:w="12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w w:val="92"/>
              </w:rPr>
              <w:t>Consolidated</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8"/>
        </w:trPr>
        <w:tc>
          <w:tcPr>
            <w:tcW w:w="5220" w:type="dxa"/>
            <w:vAlign w:val="bottom"/>
            <w:gridSpan w:val="2"/>
          </w:tcPr>
          <w:p>
            <w:pPr>
              <w:spacing w:after="0"/>
              <w:rPr>
                <w:sz w:val="20"/>
                <w:szCs w:val="20"/>
                <w:color w:val="auto"/>
              </w:rPr>
            </w:pPr>
            <w:r>
              <w:rPr>
                <w:rFonts w:ascii="Arial" w:cs="Arial" w:eastAsia="Arial" w:hAnsi="Arial"/>
                <w:sz w:val="14"/>
                <w:szCs w:val="14"/>
                <w:color w:val="auto"/>
              </w:rPr>
              <w:t>Net Sales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378,761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1,233,544</w:t>
            </w:r>
          </w:p>
        </w:tc>
        <w:tc>
          <w:tcPr>
            <w:tcW w:w="120" w:type="dxa"/>
            <w:vAlign w:val="bottom"/>
          </w:tcPr>
          <w:p>
            <w:pPr>
              <w:spacing w:after="0"/>
              <w:rPr>
                <w:sz w:val="20"/>
                <w:szCs w:val="20"/>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2,760,039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(542,443)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3,829,901</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Cost of sales</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(301,887)</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(902,309)</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(2,035,263)</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413,251</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(2,826,208)</w:t>
            </w:r>
          </w:p>
        </w:tc>
      </w:tr>
      <w:tr>
        <w:trPr>
          <w:trHeight w:val="244"/>
        </w:trPr>
        <w:tc>
          <w:tcPr>
            <w:tcW w:w="5220" w:type="dxa"/>
            <w:vAlign w:val="bottom"/>
            <w:gridSpan w:val="2"/>
          </w:tcPr>
          <w:p>
            <w:pPr>
              <w:spacing w:after="0"/>
              <w:rPr>
                <w:sz w:val="20"/>
                <w:szCs w:val="20"/>
                <w:color w:val="auto"/>
              </w:rPr>
            </w:pPr>
            <w:r>
              <w:rPr>
                <w:rFonts w:ascii="Arial" w:cs="Arial" w:eastAsia="Arial" w:hAnsi="Arial"/>
                <w:sz w:val="14"/>
                <w:szCs w:val="14"/>
                <w:color w:val="auto"/>
              </w:rPr>
              <w:t>Gross profit</w:t>
            </w:r>
          </w:p>
        </w:tc>
        <w:tc>
          <w:tcPr>
            <w:tcW w:w="24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76,874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331,235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724,776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(129,192)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1,003,693</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Total operating expenses</w:t>
            </w: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(164,987)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(97,254)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(473,508)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(735,749)</w:t>
            </w:r>
          </w:p>
        </w:tc>
      </w:tr>
      <w:tr>
        <w:trPr>
          <w:trHeight w:val="245"/>
        </w:trPr>
        <w:tc>
          <w:tcPr>
            <w:tcW w:w="5220" w:type="dxa"/>
            <w:vAlign w:val="bottom"/>
            <w:gridSpan w:val="2"/>
          </w:tcPr>
          <w:p>
            <w:pPr>
              <w:ind w:left="140"/>
              <w:spacing w:after="0"/>
              <w:rPr>
                <w:sz w:val="20"/>
                <w:szCs w:val="20"/>
                <w:color w:val="auto"/>
              </w:rPr>
            </w:pPr>
            <w:r>
              <w:rPr>
                <w:rFonts w:ascii="Arial" w:cs="Arial" w:eastAsia="Arial" w:hAnsi="Arial"/>
                <w:sz w:val="14"/>
                <w:szCs w:val="14"/>
                <w:b w:val="1"/>
                <w:bCs w:val="1"/>
                <w:color w:val="auto"/>
              </w:rPr>
              <w:t>Income from operations</w:t>
            </w: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(88,113)</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233,981</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251,268</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(129,192)</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267,944</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Interest (expense) income, net</w:t>
            </w: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(101,011)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6,594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(8,712)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(103,129)</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Other income (expense), net</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21,570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(6,702)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(20,919)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(6,051)</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Equity earnings (loss)</w:t>
            </w:r>
          </w:p>
        </w:tc>
        <w:tc>
          <w:tcPr>
            <w:tcW w:w="240" w:type="dxa"/>
            <w:vAlign w:val="bottom"/>
          </w:tcPr>
          <w:p>
            <w:pPr>
              <w:spacing w:after="0"/>
              <w:rPr>
                <w:sz w:val="24"/>
                <w:szCs w:val="2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277,295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163,685</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(440,980)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44"/>
        </w:trPr>
        <w:tc>
          <w:tcPr>
            <w:tcW w:w="5220" w:type="dxa"/>
            <w:vAlign w:val="bottom"/>
            <w:gridSpan w:val="2"/>
          </w:tcPr>
          <w:p>
            <w:pPr>
              <w:ind w:left="140"/>
              <w:spacing w:after="0"/>
              <w:rPr>
                <w:sz w:val="20"/>
                <w:szCs w:val="20"/>
                <w:color w:val="auto"/>
              </w:rPr>
            </w:pPr>
            <w:r>
              <w:rPr>
                <w:rFonts w:ascii="Arial" w:cs="Arial" w:eastAsia="Arial" w:hAnsi="Arial"/>
                <w:sz w:val="14"/>
                <w:szCs w:val="14"/>
                <w:color w:val="auto"/>
              </w:rPr>
              <w:t>Pretax income (loss)</w:t>
            </w: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109,741</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397,558</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221,637</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(570,172)</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158,764</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Income tax expense</w:t>
            </w: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(9,979)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(42,556)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(7,388)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(59,923)</w:t>
            </w:r>
          </w:p>
        </w:tc>
      </w:tr>
      <w:tr>
        <w:trPr>
          <w:trHeight w:val="245"/>
        </w:trPr>
        <w:tc>
          <w:tcPr>
            <w:tcW w:w="5220" w:type="dxa"/>
            <w:vAlign w:val="bottom"/>
            <w:gridSpan w:val="2"/>
          </w:tcPr>
          <w:p>
            <w:pPr>
              <w:ind w:left="240"/>
              <w:spacing w:after="0"/>
              <w:rPr>
                <w:sz w:val="20"/>
                <w:szCs w:val="20"/>
                <w:color w:val="auto"/>
              </w:rPr>
            </w:pPr>
            <w:r>
              <w:rPr>
                <w:rFonts w:ascii="Arial" w:cs="Arial" w:eastAsia="Arial" w:hAnsi="Arial"/>
                <w:sz w:val="14"/>
                <w:szCs w:val="14"/>
                <w:b w:val="1"/>
                <w:bCs w:val="1"/>
                <w:color w:val="auto"/>
              </w:rPr>
              <w:t>Net income</w:t>
            </w: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99,762</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355,002</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214,249</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(570,172)</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98,841</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Less: Net loss attributable to noncontrolling interest</w:t>
            </w:r>
          </w:p>
        </w:tc>
        <w:tc>
          <w:tcPr>
            <w:tcW w:w="240" w:type="dxa"/>
            <w:vAlign w:val="bottom"/>
          </w:tcPr>
          <w:p>
            <w:pPr>
              <w:spacing w:after="0"/>
              <w:rPr>
                <w:sz w:val="24"/>
                <w:szCs w:val="2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922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922</w:t>
            </w:r>
          </w:p>
        </w:tc>
      </w:tr>
      <w:tr>
        <w:trPr>
          <w:trHeight w:val="243"/>
        </w:trPr>
        <w:tc>
          <w:tcPr>
            <w:tcW w:w="5220" w:type="dxa"/>
            <w:vAlign w:val="bottom"/>
            <w:gridSpan w:val="2"/>
          </w:tcPr>
          <w:p>
            <w:pPr>
              <w:spacing w:after="0"/>
              <w:rPr>
                <w:sz w:val="20"/>
                <w:szCs w:val="20"/>
                <w:color w:val="auto"/>
              </w:rPr>
            </w:pPr>
            <w:r>
              <w:rPr>
                <w:rFonts w:ascii="Arial" w:cs="Arial" w:eastAsia="Arial" w:hAnsi="Arial"/>
                <w:sz w:val="14"/>
                <w:szCs w:val="14"/>
                <w:color w:val="auto"/>
              </w:rPr>
              <w:t>Net income (loss) attributable to Wabtec shareholders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99,762</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355,002</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215,171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(570,172)</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99,763</w:t>
            </w:r>
          </w:p>
        </w:tc>
      </w:tr>
      <w:tr>
        <w:trPr>
          <w:trHeight w:val="20"/>
        </w:trPr>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561"/>
        </w:trPr>
        <w:tc>
          <w:tcPr>
            <w:tcW w:w="5220" w:type="dxa"/>
            <w:vAlign w:val="bottom"/>
            <w:gridSpan w:val="2"/>
          </w:tcPr>
          <w:p>
            <w:pPr>
              <w:spacing w:after="0"/>
              <w:rPr>
                <w:sz w:val="20"/>
                <w:szCs w:val="20"/>
                <w:color w:val="auto"/>
              </w:rPr>
            </w:pPr>
            <w:r>
              <w:rPr>
                <w:rFonts w:ascii="Arial" w:cs="Arial" w:eastAsia="Arial" w:hAnsi="Arial"/>
                <w:sz w:val="14"/>
                <w:szCs w:val="14"/>
                <w:color w:val="auto"/>
              </w:rPr>
              <w:t>Comprehensive income (loss) attributable to Wabtec shareholders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99,762</w:t>
            </w:r>
          </w:p>
        </w:tc>
        <w:tc>
          <w:tcPr>
            <w:tcW w:w="12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355,002</w:t>
            </w:r>
          </w:p>
        </w:tc>
        <w:tc>
          <w:tcPr>
            <w:tcW w:w="120" w:type="dxa"/>
            <w:vAlign w:val="bottom"/>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182,574</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(570,172)</w:t>
            </w:r>
          </w:p>
        </w:tc>
        <w:tc>
          <w:tcPr>
            <w:tcW w:w="1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67,166</w:t>
            </w:r>
          </w:p>
        </w:tc>
      </w:tr>
      <w:tr>
        <w:trPr>
          <w:trHeight w:val="20"/>
        </w:trPr>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80" w:top="476" w:right="239" w:bottom="1440" w:gutter="0" w:footer="0" w:header="0"/>
        </w:sectPr>
      </w:pPr>
    </w:p>
    <w:bookmarkStart w:id="35" w:name="page36"/>
    <w:bookmarkEnd w:id="35"/>
    <w:p>
      <w:pPr>
        <w:ind w:left="620"/>
        <w:spacing w:after="0"/>
        <w:rPr>
          <w:sz w:val="20"/>
          <w:szCs w:val="20"/>
          <w:color w:val="auto"/>
        </w:rPr>
      </w:pPr>
      <w:r>
        <w:rPr>
          <w:rFonts w:ascii="Arial" w:cs="Arial" w:eastAsia="Arial" w:hAnsi="Arial"/>
          <w:sz w:val="18"/>
          <w:szCs w:val="18"/>
          <w:color w:val="auto"/>
        </w:rPr>
        <w:t>Income Statement for the Six Months Ended June 30, 2018:</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Guarantors</w:t>
            </w: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Non-Guarantors</w:t>
            </w:r>
          </w:p>
        </w:tc>
        <w:tc>
          <w:tcPr>
            <w:tcW w:w="14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w:t>
            </w:r>
          </w:p>
        </w:tc>
        <w:tc>
          <w:tcPr>
            <w:tcW w:w="12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5220" w:type="dxa"/>
            <w:vAlign w:val="bottom"/>
            <w:gridSpan w:val="2"/>
          </w:tcPr>
          <w:p>
            <w:pPr>
              <w:spacing w:after="0"/>
              <w:rPr>
                <w:sz w:val="20"/>
                <w:szCs w:val="20"/>
                <w:color w:val="auto"/>
              </w:rPr>
            </w:pPr>
            <w:r>
              <w:rPr>
                <w:rFonts w:ascii="Arial" w:cs="Arial" w:eastAsia="Arial" w:hAnsi="Arial"/>
                <w:sz w:val="14"/>
                <w:szCs w:val="14"/>
                <w:color w:val="auto"/>
              </w:rPr>
              <w:t>Net Sales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7"/>
              <w:spacing w:after="0"/>
              <w:rPr>
                <w:sz w:val="20"/>
                <w:szCs w:val="20"/>
                <w:color w:val="auto"/>
              </w:rPr>
            </w:pPr>
            <w:r>
              <w:rPr>
                <w:rFonts w:ascii="Arial" w:cs="Arial" w:eastAsia="Arial" w:hAnsi="Arial"/>
                <w:sz w:val="14"/>
                <w:szCs w:val="14"/>
                <w:color w:val="auto"/>
              </w:rPr>
              <w:t>329,727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256,083</w:t>
            </w:r>
          </w:p>
        </w:tc>
        <w:tc>
          <w:tcPr>
            <w:tcW w:w="120" w:type="dxa"/>
            <w:vAlign w:val="bottom"/>
          </w:tcPr>
          <w:p>
            <w:pPr>
              <w:spacing w:after="0"/>
              <w:rPr>
                <w:sz w:val="20"/>
                <w:szCs w:val="20"/>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1,700,594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(118,547)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2,167,857</w:t>
            </w:r>
          </w:p>
        </w:tc>
        <w:tc>
          <w:tcPr>
            <w:tcW w:w="0" w:type="dxa"/>
            <w:vAlign w:val="bottom"/>
          </w:tcPr>
          <w:p>
            <w:pPr>
              <w:spacing w:after="0"/>
              <w:rPr>
                <w:sz w:val="1"/>
                <w:szCs w:val="1"/>
                <w:color w:val="auto"/>
              </w:rPr>
            </w:pP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Cost of sales</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(241,577)</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(161,678)</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(1,200,588)</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70,834</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(1,533,009)</w:t>
            </w:r>
          </w:p>
        </w:tc>
        <w:tc>
          <w:tcPr>
            <w:tcW w:w="0" w:type="dxa"/>
            <w:vAlign w:val="bottom"/>
          </w:tcPr>
          <w:p>
            <w:pPr>
              <w:spacing w:after="0"/>
              <w:rPr>
                <w:sz w:val="1"/>
                <w:szCs w:val="1"/>
                <w:color w:val="auto"/>
              </w:rPr>
            </w:pPr>
          </w:p>
        </w:tc>
      </w:tr>
      <w:tr>
        <w:trPr>
          <w:trHeight w:val="244"/>
        </w:trPr>
        <w:tc>
          <w:tcPr>
            <w:tcW w:w="5220" w:type="dxa"/>
            <w:vAlign w:val="bottom"/>
            <w:gridSpan w:val="2"/>
          </w:tcPr>
          <w:p>
            <w:pPr>
              <w:spacing w:after="0"/>
              <w:rPr>
                <w:sz w:val="20"/>
                <w:szCs w:val="20"/>
                <w:color w:val="auto"/>
              </w:rPr>
            </w:pPr>
            <w:r>
              <w:rPr>
                <w:rFonts w:ascii="Arial" w:cs="Arial" w:eastAsia="Arial" w:hAnsi="Arial"/>
                <w:sz w:val="14"/>
                <w:szCs w:val="14"/>
                <w:color w:val="auto"/>
              </w:rPr>
              <w:t>Gross profit (loss)</w:t>
            </w:r>
          </w:p>
        </w:tc>
        <w:tc>
          <w:tcPr>
            <w:tcW w:w="240" w:type="dxa"/>
            <w:vAlign w:val="bottom"/>
          </w:tcPr>
          <w:p>
            <w:pPr>
              <w:spacing w:after="0"/>
              <w:rPr>
                <w:sz w:val="21"/>
                <w:szCs w:val="21"/>
                <w:color w:val="auto"/>
              </w:rPr>
            </w:pPr>
          </w:p>
        </w:tc>
        <w:tc>
          <w:tcPr>
            <w:tcW w:w="920" w:type="dxa"/>
            <w:vAlign w:val="bottom"/>
          </w:tcPr>
          <w:p>
            <w:pPr>
              <w:jc w:val="right"/>
              <w:ind w:right="47"/>
              <w:spacing w:after="0"/>
              <w:rPr>
                <w:sz w:val="20"/>
                <w:szCs w:val="20"/>
                <w:color w:val="auto"/>
              </w:rPr>
            </w:pPr>
            <w:r>
              <w:rPr>
                <w:rFonts w:ascii="Arial" w:cs="Arial" w:eastAsia="Arial" w:hAnsi="Arial"/>
                <w:sz w:val="14"/>
                <w:szCs w:val="14"/>
                <w:color w:val="auto"/>
              </w:rPr>
              <w:t>88,150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94,405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500,006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(47,713)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634,848</w:t>
            </w:r>
          </w:p>
        </w:tc>
        <w:tc>
          <w:tcPr>
            <w:tcW w:w="0" w:type="dxa"/>
            <w:vAlign w:val="bottom"/>
          </w:tcPr>
          <w:p>
            <w:pPr>
              <w:spacing w:after="0"/>
              <w:rPr>
                <w:sz w:val="1"/>
                <w:szCs w:val="1"/>
                <w:color w:val="auto"/>
              </w:rPr>
            </w:pP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Total operating expenses</w:t>
            </w:r>
          </w:p>
        </w:tc>
        <w:tc>
          <w:tcPr>
            <w:tcW w:w="240" w:type="dxa"/>
            <w:vAlign w:val="bottom"/>
          </w:tcPr>
          <w:p>
            <w:pPr>
              <w:spacing w:after="0"/>
              <w:rPr>
                <w:sz w:val="23"/>
                <w:szCs w:val="23"/>
                <w:color w:val="auto"/>
              </w:rPr>
            </w:pPr>
          </w:p>
        </w:tc>
        <w:tc>
          <w:tcPr>
            <w:tcW w:w="920" w:type="dxa"/>
            <w:vAlign w:val="bottom"/>
          </w:tcPr>
          <w:p>
            <w:pPr>
              <w:jc w:val="right"/>
              <w:ind w:right="7"/>
              <w:spacing w:after="0"/>
              <w:rPr>
                <w:sz w:val="20"/>
                <w:szCs w:val="20"/>
                <w:color w:val="auto"/>
              </w:rPr>
            </w:pPr>
            <w:r>
              <w:rPr>
                <w:rFonts w:ascii="Arial" w:cs="Arial" w:eastAsia="Arial" w:hAnsi="Arial"/>
                <w:sz w:val="14"/>
                <w:szCs w:val="14"/>
                <w:color w:val="auto"/>
              </w:rPr>
              <w:t>(85,407)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(25,941)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(268,698)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(380,046)</w:t>
            </w:r>
          </w:p>
        </w:tc>
        <w:tc>
          <w:tcPr>
            <w:tcW w:w="0" w:type="dxa"/>
            <w:vAlign w:val="bottom"/>
          </w:tcPr>
          <w:p>
            <w:pPr>
              <w:spacing w:after="0"/>
              <w:rPr>
                <w:sz w:val="1"/>
                <w:szCs w:val="1"/>
                <w:color w:val="auto"/>
              </w:rPr>
            </w:pPr>
          </w:p>
        </w:tc>
      </w:tr>
      <w:tr>
        <w:trPr>
          <w:trHeight w:val="245"/>
        </w:trPr>
        <w:tc>
          <w:tcPr>
            <w:tcW w:w="5220" w:type="dxa"/>
            <w:vAlign w:val="bottom"/>
            <w:gridSpan w:val="2"/>
          </w:tcPr>
          <w:p>
            <w:pPr>
              <w:ind w:left="140"/>
              <w:spacing w:after="0"/>
              <w:rPr>
                <w:sz w:val="20"/>
                <w:szCs w:val="20"/>
                <w:color w:val="auto"/>
              </w:rPr>
            </w:pPr>
            <w:r>
              <w:rPr>
                <w:rFonts w:ascii="Arial" w:cs="Arial" w:eastAsia="Arial" w:hAnsi="Arial"/>
                <w:sz w:val="14"/>
                <w:szCs w:val="14"/>
                <w:b w:val="1"/>
                <w:bCs w:val="1"/>
                <w:color w:val="auto"/>
              </w:rPr>
              <w:t>Income (loss) from operations</w:t>
            </w: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47"/>
              <w:spacing w:after="0"/>
              <w:rPr>
                <w:sz w:val="20"/>
                <w:szCs w:val="20"/>
                <w:color w:val="auto"/>
              </w:rPr>
            </w:pPr>
            <w:r>
              <w:rPr>
                <w:rFonts w:ascii="Arial" w:cs="Arial" w:eastAsia="Arial" w:hAnsi="Arial"/>
                <w:sz w:val="14"/>
                <w:szCs w:val="14"/>
                <w:color w:val="auto"/>
              </w:rPr>
              <w:t>2,743</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68,464</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231,308</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(47,713)</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254,802</w:t>
            </w:r>
          </w:p>
        </w:tc>
        <w:tc>
          <w:tcPr>
            <w:tcW w:w="0" w:type="dxa"/>
            <w:vAlign w:val="bottom"/>
          </w:tcPr>
          <w:p>
            <w:pPr>
              <w:spacing w:after="0"/>
              <w:rPr>
                <w:sz w:val="1"/>
                <w:szCs w:val="1"/>
                <w:color w:val="auto"/>
              </w:rPr>
            </w:pP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Interest (expense) income, net</w:t>
            </w:r>
          </w:p>
        </w:tc>
        <w:tc>
          <w:tcPr>
            <w:tcW w:w="240" w:type="dxa"/>
            <w:vAlign w:val="bottom"/>
          </w:tcPr>
          <w:p>
            <w:pPr>
              <w:spacing w:after="0"/>
              <w:rPr>
                <w:sz w:val="23"/>
                <w:szCs w:val="23"/>
                <w:color w:val="auto"/>
              </w:rPr>
            </w:pPr>
          </w:p>
        </w:tc>
        <w:tc>
          <w:tcPr>
            <w:tcW w:w="920" w:type="dxa"/>
            <w:vAlign w:val="bottom"/>
          </w:tcPr>
          <w:p>
            <w:pPr>
              <w:jc w:val="right"/>
              <w:ind w:right="7"/>
              <w:spacing w:after="0"/>
              <w:rPr>
                <w:sz w:val="20"/>
                <w:szCs w:val="20"/>
                <w:color w:val="auto"/>
              </w:rPr>
            </w:pPr>
            <w:r>
              <w:rPr>
                <w:rFonts w:ascii="Arial" w:cs="Arial" w:eastAsia="Arial" w:hAnsi="Arial"/>
                <w:sz w:val="14"/>
                <w:szCs w:val="14"/>
                <w:color w:val="auto"/>
              </w:rPr>
              <w:t>(52,128)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6,079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(6,155)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(52,204)</w:t>
            </w:r>
          </w:p>
        </w:tc>
        <w:tc>
          <w:tcPr>
            <w:tcW w:w="0" w:type="dxa"/>
            <w:vAlign w:val="bottom"/>
          </w:tcPr>
          <w:p>
            <w:pPr>
              <w:spacing w:after="0"/>
              <w:rPr>
                <w:sz w:val="1"/>
                <w:szCs w:val="1"/>
                <w:color w:val="auto"/>
              </w:rPr>
            </w:pP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Other income (expense), net</w:t>
            </w:r>
          </w:p>
        </w:tc>
        <w:tc>
          <w:tcPr>
            <w:tcW w:w="240" w:type="dxa"/>
            <w:vAlign w:val="bottom"/>
          </w:tcPr>
          <w:p>
            <w:pPr>
              <w:spacing w:after="0"/>
              <w:rPr>
                <w:sz w:val="23"/>
                <w:szCs w:val="23"/>
                <w:color w:val="auto"/>
              </w:rPr>
            </w:pPr>
          </w:p>
        </w:tc>
        <w:tc>
          <w:tcPr>
            <w:tcW w:w="920" w:type="dxa"/>
            <w:vAlign w:val="bottom"/>
          </w:tcPr>
          <w:p>
            <w:pPr>
              <w:jc w:val="right"/>
              <w:ind w:right="47"/>
              <w:spacing w:after="0"/>
              <w:rPr>
                <w:sz w:val="20"/>
                <w:szCs w:val="20"/>
                <w:color w:val="auto"/>
              </w:rPr>
            </w:pPr>
            <w:r>
              <w:rPr>
                <w:rFonts w:ascii="Arial" w:cs="Arial" w:eastAsia="Arial" w:hAnsi="Arial"/>
                <w:sz w:val="14"/>
                <w:szCs w:val="14"/>
                <w:color w:val="auto"/>
              </w:rPr>
              <w:t>9,212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(679)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(3,776)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4,757</w:t>
            </w:r>
          </w:p>
        </w:tc>
        <w:tc>
          <w:tcPr>
            <w:tcW w:w="0" w:type="dxa"/>
            <w:vAlign w:val="bottom"/>
          </w:tcPr>
          <w:p>
            <w:pPr>
              <w:spacing w:after="0"/>
              <w:rPr>
                <w:sz w:val="1"/>
                <w:szCs w:val="1"/>
                <w:color w:val="auto"/>
              </w:rPr>
            </w:pP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Equity earnings (loss)</w:t>
            </w:r>
          </w:p>
        </w:tc>
        <w:tc>
          <w:tcPr>
            <w:tcW w:w="240" w:type="dxa"/>
            <w:vAlign w:val="bottom"/>
          </w:tcPr>
          <w:p>
            <w:pPr>
              <w:spacing w:after="0"/>
              <w:rPr>
                <w:sz w:val="24"/>
                <w:szCs w:val="24"/>
                <w:color w:val="auto"/>
              </w:rPr>
            </w:pPr>
          </w:p>
        </w:tc>
        <w:tc>
          <w:tcPr>
            <w:tcW w:w="920" w:type="dxa"/>
            <w:vAlign w:val="bottom"/>
          </w:tcPr>
          <w:p>
            <w:pPr>
              <w:jc w:val="right"/>
              <w:ind w:right="47"/>
              <w:spacing w:after="0"/>
              <w:rPr>
                <w:sz w:val="20"/>
                <w:szCs w:val="20"/>
                <w:color w:val="auto"/>
              </w:rPr>
            </w:pPr>
            <w:r>
              <w:rPr>
                <w:rFonts w:ascii="Arial" w:cs="Arial" w:eastAsia="Arial" w:hAnsi="Arial"/>
                <w:sz w:val="14"/>
                <w:szCs w:val="14"/>
                <w:color w:val="auto"/>
              </w:rPr>
              <w:t>235,442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210,877</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(446,319)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5220" w:type="dxa"/>
            <w:vAlign w:val="bottom"/>
            <w:gridSpan w:val="2"/>
          </w:tcPr>
          <w:p>
            <w:pPr>
              <w:ind w:left="140"/>
              <w:spacing w:after="0"/>
              <w:rPr>
                <w:sz w:val="20"/>
                <w:szCs w:val="20"/>
                <w:color w:val="auto"/>
              </w:rPr>
            </w:pPr>
            <w:r>
              <w:rPr>
                <w:rFonts w:ascii="Arial" w:cs="Arial" w:eastAsia="Arial" w:hAnsi="Arial"/>
                <w:sz w:val="14"/>
                <w:szCs w:val="14"/>
                <w:color w:val="auto"/>
              </w:rPr>
              <w:t>Pretax income (loss)</w:t>
            </w: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47"/>
              <w:spacing w:after="0"/>
              <w:rPr>
                <w:sz w:val="20"/>
                <w:szCs w:val="20"/>
                <w:color w:val="auto"/>
              </w:rPr>
            </w:pPr>
            <w:r>
              <w:rPr>
                <w:rFonts w:ascii="Arial" w:cs="Arial" w:eastAsia="Arial" w:hAnsi="Arial"/>
                <w:sz w:val="14"/>
                <w:szCs w:val="14"/>
                <w:color w:val="auto"/>
              </w:rPr>
              <w:t>195,269</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284,741</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221,377</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(494,032)</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207,355</w:t>
            </w:r>
          </w:p>
        </w:tc>
        <w:tc>
          <w:tcPr>
            <w:tcW w:w="0" w:type="dxa"/>
            <w:vAlign w:val="bottom"/>
          </w:tcPr>
          <w:p>
            <w:pPr>
              <w:spacing w:after="0"/>
              <w:rPr>
                <w:sz w:val="1"/>
                <w:szCs w:val="1"/>
                <w:color w:val="auto"/>
              </w:rPr>
            </w:pP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Income tax expense</w:t>
            </w:r>
          </w:p>
        </w:tc>
        <w:tc>
          <w:tcPr>
            <w:tcW w:w="240" w:type="dxa"/>
            <w:vAlign w:val="bottom"/>
          </w:tcPr>
          <w:p>
            <w:pPr>
              <w:spacing w:after="0"/>
              <w:rPr>
                <w:sz w:val="23"/>
                <w:szCs w:val="23"/>
                <w:color w:val="auto"/>
              </w:rPr>
            </w:pPr>
          </w:p>
        </w:tc>
        <w:tc>
          <w:tcPr>
            <w:tcW w:w="920" w:type="dxa"/>
            <w:vAlign w:val="bottom"/>
          </w:tcPr>
          <w:p>
            <w:pPr>
              <w:jc w:val="right"/>
              <w:ind w:right="7"/>
              <w:spacing w:after="0"/>
              <w:rPr>
                <w:sz w:val="20"/>
                <w:szCs w:val="20"/>
                <w:color w:val="auto"/>
              </w:rPr>
            </w:pPr>
            <w:r>
              <w:rPr>
                <w:rFonts w:ascii="Arial" w:cs="Arial" w:eastAsia="Arial" w:hAnsi="Arial"/>
                <w:sz w:val="14"/>
                <w:szCs w:val="14"/>
                <w:color w:val="auto"/>
              </w:rPr>
              <w:t>(20,895)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(15,732)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(36,627)</w:t>
            </w:r>
          </w:p>
        </w:tc>
        <w:tc>
          <w:tcPr>
            <w:tcW w:w="0" w:type="dxa"/>
            <w:vAlign w:val="bottom"/>
          </w:tcPr>
          <w:p>
            <w:pPr>
              <w:spacing w:after="0"/>
              <w:rPr>
                <w:sz w:val="1"/>
                <w:szCs w:val="1"/>
                <w:color w:val="auto"/>
              </w:rPr>
            </w:pPr>
          </w:p>
        </w:tc>
      </w:tr>
      <w:tr>
        <w:trPr>
          <w:trHeight w:val="245"/>
        </w:trPr>
        <w:tc>
          <w:tcPr>
            <w:tcW w:w="5220" w:type="dxa"/>
            <w:vAlign w:val="bottom"/>
            <w:gridSpan w:val="2"/>
          </w:tcPr>
          <w:p>
            <w:pPr>
              <w:ind w:left="240"/>
              <w:spacing w:after="0"/>
              <w:rPr>
                <w:sz w:val="20"/>
                <w:szCs w:val="20"/>
                <w:color w:val="auto"/>
              </w:rPr>
            </w:pPr>
            <w:r>
              <w:rPr>
                <w:rFonts w:ascii="Arial" w:cs="Arial" w:eastAsia="Arial" w:hAnsi="Arial"/>
                <w:sz w:val="14"/>
                <w:szCs w:val="14"/>
                <w:b w:val="1"/>
                <w:bCs w:val="1"/>
                <w:color w:val="auto"/>
              </w:rPr>
              <w:t>Net income (loss)</w:t>
            </w: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47"/>
              <w:spacing w:after="0"/>
              <w:rPr>
                <w:sz w:val="20"/>
                <w:szCs w:val="20"/>
                <w:color w:val="auto"/>
              </w:rPr>
            </w:pPr>
            <w:r>
              <w:rPr>
                <w:rFonts w:ascii="Arial" w:cs="Arial" w:eastAsia="Arial" w:hAnsi="Arial"/>
                <w:sz w:val="14"/>
                <w:szCs w:val="14"/>
                <w:color w:val="auto"/>
              </w:rPr>
              <w:t>174,374</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284,741</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205,645</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(494,032)</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170,728</w:t>
            </w:r>
          </w:p>
        </w:tc>
        <w:tc>
          <w:tcPr>
            <w:tcW w:w="0" w:type="dxa"/>
            <w:vAlign w:val="bottom"/>
          </w:tcPr>
          <w:p>
            <w:pPr>
              <w:spacing w:after="0"/>
              <w:rPr>
                <w:sz w:val="1"/>
                <w:szCs w:val="1"/>
                <w:color w:val="auto"/>
              </w:rPr>
            </w:pP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Less: Net loss attributable to noncontrolling interest</w:t>
            </w:r>
          </w:p>
        </w:tc>
        <w:tc>
          <w:tcPr>
            <w:tcW w:w="240" w:type="dxa"/>
            <w:vAlign w:val="bottom"/>
          </w:tcPr>
          <w:p>
            <w:pPr>
              <w:spacing w:after="0"/>
              <w:rPr>
                <w:sz w:val="24"/>
                <w:szCs w:val="2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2,054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2,054</w:t>
            </w:r>
          </w:p>
        </w:tc>
        <w:tc>
          <w:tcPr>
            <w:tcW w:w="0" w:type="dxa"/>
            <w:vAlign w:val="bottom"/>
          </w:tcPr>
          <w:p>
            <w:pPr>
              <w:spacing w:after="0"/>
              <w:rPr>
                <w:sz w:val="1"/>
                <w:szCs w:val="1"/>
                <w:color w:val="auto"/>
              </w:rPr>
            </w:pPr>
          </w:p>
        </w:tc>
      </w:tr>
      <w:tr>
        <w:trPr>
          <w:trHeight w:val="243"/>
        </w:trPr>
        <w:tc>
          <w:tcPr>
            <w:tcW w:w="5220" w:type="dxa"/>
            <w:vAlign w:val="bottom"/>
            <w:gridSpan w:val="2"/>
          </w:tcPr>
          <w:p>
            <w:pPr>
              <w:spacing w:after="0"/>
              <w:rPr>
                <w:sz w:val="20"/>
                <w:szCs w:val="20"/>
                <w:color w:val="auto"/>
              </w:rPr>
            </w:pPr>
            <w:r>
              <w:rPr>
                <w:rFonts w:ascii="Arial" w:cs="Arial" w:eastAsia="Arial" w:hAnsi="Arial"/>
                <w:sz w:val="14"/>
                <w:szCs w:val="14"/>
                <w:color w:val="auto"/>
              </w:rPr>
              <w:t>Net income (loss) attributable to Wabtec shareholders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4"/>
                <w:szCs w:val="14"/>
                <w:color w:val="auto"/>
              </w:rPr>
              <w:t>174,374</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284,741</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207,699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(494,032)</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172,782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5220" w:type="dxa"/>
            <w:vAlign w:val="bottom"/>
            <w:gridSpan w:val="2"/>
          </w:tcPr>
          <w:p>
            <w:pPr>
              <w:spacing w:after="0"/>
              <w:rPr>
                <w:sz w:val="20"/>
                <w:szCs w:val="20"/>
                <w:color w:val="auto"/>
              </w:rPr>
            </w:pPr>
            <w:r>
              <w:rPr>
                <w:rFonts w:ascii="Arial" w:cs="Arial" w:eastAsia="Arial" w:hAnsi="Arial"/>
                <w:sz w:val="14"/>
                <w:szCs w:val="14"/>
                <w:color w:val="auto"/>
              </w:rPr>
              <w:t>Comprehensive income (loss) attributable to Wabtec shareholders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174,881</w:t>
            </w:r>
          </w:p>
        </w:tc>
        <w:tc>
          <w:tcPr>
            <w:tcW w:w="12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284,741</w:t>
            </w:r>
          </w:p>
        </w:tc>
        <w:tc>
          <w:tcPr>
            <w:tcW w:w="120" w:type="dxa"/>
            <w:vAlign w:val="bottom"/>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95,983</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(494,032)</w:t>
            </w:r>
          </w:p>
        </w:tc>
        <w:tc>
          <w:tcPr>
            <w:tcW w:w="1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61,573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500" w:type="dxa"/>
            <w:vAlign w:val="bottom"/>
            <w:gridSpan w:val="5"/>
          </w:tcPr>
          <w:p>
            <w:pPr>
              <w:ind w:left="620"/>
              <w:spacing w:after="0"/>
              <w:rPr>
                <w:sz w:val="20"/>
                <w:szCs w:val="20"/>
                <w:color w:val="auto"/>
              </w:rPr>
            </w:pPr>
            <w:r>
              <w:rPr>
                <w:rFonts w:ascii="Arial" w:cs="Arial" w:eastAsia="Arial" w:hAnsi="Arial"/>
                <w:sz w:val="18"/>
                <w:szCs w:val="18"/>
                <w:color w:val="auto"/>
                <w:w w:val="93"/>
              </w:rPr>
              <w:t>Condensed Statement of Cash Flows for the Six Months Ended June 30, 2019:</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5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24"/>
                <w:szCs w:val="2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Guarantors</w:t>
            </w: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Non-Guarantors</w:t>
            </w:r>
          </w:p>
        </w:tc>
        <w:tc>
          <w:tcPr>
            <w:tcW w:w="140" w:type="dxa"/>
            <w:vAlign w:val="bottom"/>
          </w:tcPr>
          <w:p>
            <w:pPr>
              <w:spacing w:after="0"/>
              <w:rPr>
                <w:sz w:val="24"/>
                <w:szCs w:val="2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w:t>
            </w:r>
          </w:p>
        </w:tc>
        <w:tc>
          <w:tcPr>
            <w:tcW w:w="120" w:type="dxa"/>
            <w:vAlign w:val="bottom"/>
          </w:tcPr>
          <w:p>
            <w:pPr>
              <w:spacing w:after="0"/>
              <w:rPr>
                <w:sz w:val="24"/>
                <w:szCs w:val="2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5220" w:type="dxa"/>
            <w:vAlign w:val="bottom"/>
            <w:gridSpan w:val="2"/>
          </w:tcPr>
          <w:p>
            <w:pPr>
              <w:spacing w:after="0"/>
              <w:rPr>
                <w:sz w:val="20"/>
                <w:szCs w:val="20"/>
                <w:color w:val="auto"/>
              </w:rPr>
            </w:pPr>
            <w:r>
              <w:rPr>
                <w:rFonts w:ascii="Arial" w:cs="Arial" w:eastAsia="Arial" w:hAnsi="Arial"/>
                <w:sz w:val="14"/>
                <w:szCs w:val="14"/>
                <w:color w:val="auto"/>
              </w:rPr>
              <w:t>Net cash (used for) provided by operating activities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7"/>
              <w:spacing w:after="0"/>
              <w:rPr>
                <w:sz w:val="20"/>
                <w:szCs w:val="20"/>
                <w:color w:val="auto"/>
              </w:rPr>
            </w:pPr>
            <w:r>
              <w:rPr>
                <w:rFonts w:ascii="Arial" w:cs="Arial" w:eastAsia="Arial" w:hAnsi="Arial"/>
                <w:sz w:val="14"/>
                <w:szCs w:val="14"/>
                <w:color w:val="auto"/>
              </w:rPr>
              <w:t>(99,188)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215,772</w:t>
            </w:r>
          </w:p>
        </w:tc>
        <w:tc>
          <w:tcPr>
            <w:tcW w:w="120" w:type="dxa"/>
            <w:vAlign w:val="bottom"/>
          </w:tcPr>
          <w:p>
            <w:pPr>
              <w:spacing w:after="0"/>
              <w:rPr>
                <w:sz w:val="20"/>
                <w:szCs w:val="20"/>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456,532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(129,192)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443,924</w:t>
            </w:r>
          </w:p>
        </w:tc>
        <w:tc>
          <w:tcPr>
            <w:tcW w:w="0" w:type="dxa"/>
            <w:vAlign w:val="bottom"/>
          </w:tcPr>
          <w:p>
            <w:pPr>
              <w:spacing w:after="0"/>
              <w:rPr>
                <w:sz w:val="1"/>
                <w:szCs w:val="1"/>
                <w:color w:val="auto"/>
              </w:rPr>
            </w:pP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Net cash provided by (used for) investing activities</w:t>
            </w:r>
          </w:p>
        </w:tc>
        <w:tc>
          <w:tcPr>
            <w:tcW w:w="240" w:type="dxa"/>
            <w:vAlign w:val="bottom"/>
          </w:tcPr>
          <w:p>
            <w:pPr>
              <w:spacing w:after="0"/>
              <w:rPr>
                <w:sz w:val="23"/>
                <w:szCs w:val="23"/>
                <w:color w:val="auto"/>
              </w:rPr>
            </w:pPr>
          </w:p>
        </w:tc>
        <w:tc>
          <w:tcPr>
            <w:tcW w:w="920" w:type="dxa"/>
            <w:vAlign w:val="bottom"/>
          </w:tcPr>
          <w:p>
            <w:pPr>
              <w:jc w:val="right"/>
              <w:ind w:right="47"/>
              <w:spacing w:after="0"/>
              <w:rPr>
                <w:sz w:val="20"/>
                <w:szCs w:val="20"/>
                <w:color w:val="auto"/>
              </w:rPr>
            </w:pPr>
            <w:r>
              <w:rPr>
                <w:rFonts w:ascii="Arial" w:cs="Arial" w:eastAsia="Arial" w:hAnsi="Arial"/>
                <w:sz w:val="14"/>
                <w:szCs w:val="14"/>
                <w:color w:val="auto"/>
              </w:rPr>
              <w:t>6,854,818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(476,597)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(9,418,585)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(3,040,364)</w:t>
            </w:r>
          </w:p>
        </w:tc>
        <w:tc>
          <w:tcPr>
            <w:tcW w:w="0" w:type="dxa"/>
            <w:vAlign w:val="bottom"/>
          </w:tcPr>
          <w:p>
            <w:pPr>
              <w:spacing w:after="0"/>
              <w:rPr>
                <w:sz w:val="1"/>
                <w:szCs w:val="1"/>
                <w:color w:val="auto"/>
              </w:rPr>
            </w:pP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Net cash (used for) provided by financing activities</w:t>
            </w:r>
          </w:p>
        </w:tc>
        <w:tc>
          <w:tcPr>
            <w:tcW w:w="240" w:type="dxa"/>
            <w:vAlign w:val="bottom"/>
          </w:tcPr>
          <w:p>
            <w:pPr>
              <w:spacing w:after="0"/>
              <w:rPr>
                <w:sz w:val="23"/>
                <w:szCs w:val="23"/>
                <w:color w:val="auto"/>
              </w:rPr>
            </w:pPr>
          </w:p>
        </w:tc>
        <w:tc>
          <w:tcPr>
            <w:tcW w:w="920" w:type="dxa"/>
            <w:vAlign w:val="bottom"/>
          </w:tcPr>
          <w:p>
            <w:pPr>
              <w:jc w:val="right"/>
              <w:ind w:right="7"/>
              <w:spacing w:after="0"/>
              <w:rPr>
                <w:sz w:val="20"/>
                <w:szCs w:val="20"/>
                <w:color w:val="auto"/>
              </w:rPr>
            </w:pPr>
            <w:r>
              <w:rPr>
                <w:rFonts w:ascii="Arial" w:cs="Arial" w:eastAsia="Arial" w:hAnsi="Arial"/>
                <w:sz w:val="14"/>
                <w:szCs w:val="14"/>
                <w:color w:val="auto"/>
              </w:rPr>
              <w:t>(8,531,301)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270,764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8,857,453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129,192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726,108</w:t>
            </w:r>
          </w:p>
        </w:tc>
        <w:tc>
          <w:tcPr>
            <w:tcW w:w="0" w:type="dxa"/>
            <w:vAlign w:val="bottom"/>
          </w:tcPr>
          <w:p>
            <w:pPr>
              <w:spacing w:after="0"/>
              <w:rPr>
                <w:sz w:val="1"/>
                <w:szCs w:val="1"/>
                <w:color w:val="auto"/>
              </w:rPr>
            </w:pP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Effect of changes in currency exchange rates</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(10,651)</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(10,651)</w:t>
            </w:r>
          </w:p>
        </w:tc>
        <w:tc>
          <w:tcPr>
            <w:tcW w:w="0" w:type="dxa"/>
            <w:vAlign w:val="bottom"/>
          </w:tcPr>
          <w:p>
            <w:pPr>
              <w:spacing w:after="0"/>
              <w:rPr>
                <w:sz w:val="1"/>
                <w:szCs w:val="1"/>
                <w:color w:val="auto"/>
              </w:rPr>
            </w:pPr>
          </w:p>
        </w:tc>
      </w:tr>
      <w:tr>
        <w:trPr>
          <w:trHeight w:val="244"/>
        </w:trPr>
        <w:tc>
          <w:tcPr>
            <w:tcW w:w="5220" w:type="dxa"/>
            <w:vAlign w:val="bottom"/>
            <w:gridSpan w:val="2"/>
          </w:tcPr>
          <w:p>
            <w:pPr>
              <w:spacing w:after="0"/>
              <w:rPr>
                <w:sz w:val="20"/>
                <w:szCs w:val="20"/>
                <w:color w:val="auto"/>
              </w:rPr>
            </w:pPr>
            <w:r>
              <w:rPr>
                <w:rFonts w:ascii="Arial" w:cs="Arial" w:eastAsia="Arial" w:hAnsi="Arial"/>
                <w:sz w:val="14"/>
                <w:szCs w:val="14"/>
                <w:color w:val="auto"/>
              </w:rPr>
              <w:t>(Decrease) increase in cash</w:t>
            </w:r>
          </w:p>
        </w:tc>
        <w:tc>
          <w:tcPr>
            <w:tcW w:w="240" w:type="dxa"/>
            <w:vAlign w:val="bottom"/>
          </w:tcPr>
          <w:p>
            <w:pPr>
              <w:spacing w:after="0"/>
              <w:rPr>
                <w:sz w:val="21"/>
                <w:szCs w:val="21"/>
                <w:color w:val="auto"/>
              </w:rPr>
            </w:pPr>
          </w:p>
        </w:tc>
        <w:tc>
          <w:tcPr>
            <w:tcW w:w="920" w:type="dxa"/>
            <w:vAlign w:val="bottom"/>
          </w:tcPr>
          <w:p>
            <w:pPr>
              <w:jc w:val="right"/>
              <w:ind w:right="7"/>
              <w:spacing w:after="0"/>
              <w:rPr>
                <w:sz w:val="20"/>
                <w:szCs w:val="20"/>
                <w:color w:val="auto"/>
              </w:rPr>
            </w:pPr>
            <w:r>
              <w:rPr>
                <w:rFonts w:ascii="Arial" w:cs="Arial" w:eastAsia="Arial" w:hAnsi="Arial"/>
                <w:sz w:val="14"/>
                <w:szCs w:val="14"/>
                <w:color w:val="auto"/>
              </w:rPr>
              <w:t>(1,775,671)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9,939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(115,251)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(1,880,983)</w:t>
            </w:r>
          </w:p>
        </w:tc>
        <w:tc>
          <w:tcPr>
            <w:tcW w:w="0" w:type="dxa"/>
            <w:vAlign w:val="bottom"/>
          </w:tcPr>
          <w:p>
            <w:pPr>
              <w:spacing w:after="0"/>
              <w:rPr>
                <w:sz w:val="1"/>
                <w:szCs w:val="1"/>
                <w:color w:val="auto"/>
              </w:rPr>
            </w:pP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Cash, cash equivalents, and restricted cash beginning of period</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1,782,682</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559,791</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2,342,354</w:t>
            </w:r>
          </w:p>
        </w:tc>
        <w:tc>
          <w:tcPr>
            <w:tcW w:w="0" w:type="dxa"/>
            <w:vAlign w:val="bottom"/>
          </w:tcPr>
          <w:p>
            <w:pPr>
              <w:spacing w:after="0"/>
              <w:rPr>
                <w:sz w:val="1"/>
                <w:szCs w:val="1"/>
                <w:color w:val="auto"/>
              </w:rPr>
            </w:pPr>
          </w:p>
        </w:tc>
      </w:tr>
      <w:tr>
        <w:trPr>
          <w:trHeight w:val="243"/>
        </w:trPr>
        <w:tc>
          <w:tcPr>
            <w:tcW w:w="5220" w:type="dxa"/>
            <w:vAlign w:val="bottom"/>
            <w:gridSpan w:val="2"/>
          </w:tcPr>
          <w:p>
            <w:pPr>
              <w:spacing w:after="0"/>
              <w:rPr>
                <w:sz w:val="20"/>
                <w:szCs w:val="20"/>
                <w:color w:val="auto"/>
              </w:rPr>
            </w:pPr>
            <w:r>
              <w:rPr>
                <w:rFonts w:ascii="Arial" w:cs="Arial" w:eastAsia="Arial" w:hAnsi="Arial"/>
                <w:sz w:val="14"/>
                <w:szCs w:val="14"/>
                <w:color w:val="auto"/>
              </w:rPr>
              <w:t>Cash and cash equivalents, end of period</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7,011</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9,820</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444,540</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461,371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500" w:type="dxa"/>
            <w:vAlign w:val="bottom"/>
            <w:gridSpan w:val="5"/>
          </w:tcPr>
          <w:p>
            <w:pPr>
              <w:ind w:left="620"/>
              <w:spacing w:after="0"/>
              <w:rPr>
                <w:sz w:val="20"/>
                <w:szCs w:val="20"/>
                <w:color w:val="auto"/>
              </w:rPr>
            </w:pPr>
            <w:r>
              <w:rPr>
                <w:rFonts w:ascii="Arial" w:cs="Arial" w:eastAsia="Arial" w:hAnsi="Arial"/>
                <w:sz w:val="18"/>
                <w:szCs w:val="18"/>
                <w:color w:val="auto"/>
                <w:w w:val="93"/>
              </w:rPr>
              <w:t>Condensed Statement of Cash Flows for the Six Months Ended June 30, 2018:</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5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24"/>
                <w:szCs w:val="2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Guarantors</w:t>
            </w: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Non-Guarantors</w:t>
            </w:r>
          </w:p>
        </w:tc>
        <w:tc>
          <w:tcPr>
            <w:tcW w:w="140" w:type="dxa"/>
            <w:vAlign w:val="bottom"/>
          </w:tcPr>
          <w:p>
            <w:pPr>
              <w:spacing w:after="0"/>
              <w:rPr>
                <w:sz w:val="24"/>
                <w:szCs w:val="2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w:t>
            </w:r>
          </w:p>
        </w:tc>
        <w:tc>
          <w:tcPr>
            <w:tcW w:w="120" w:type="dxa"/>
            <w:vAlign w:val="bottom"/>
          </w:tcPr>
          <w:p>
            <w:pPr>
              <w:spacing w:after="0"/>
              <w:rPr>
                <w:sz w:val="24"/>
                <w:szCs w:val="2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5220" w:type="dxa"/>
            <w:vAlign w:val="bottom"/>
            <w:gridSpan w:val="2"/>
          </w:tcPr>
          <w:p>
            <w:pPr>
              <w:spacing w:after="0"/>
              <w:rPr>
                <w:sz w:val="20"/>
                <w:szCs w:val="20"/>
                <w:color w:val="auto"/>
              </w:rPr>
            </w:pPr>
            <w:r>
              <w:rPr>
                <w:rFonts w:ascii="Arial" w:cs="Arial" w:eastAsia="Arial" w:hAnsi="Arial"/>
                <w:sz w:val="14"/>
                <w:szCs w:val="14"/>
                <w:color w:val="auto"/>
              </w:rPr>
              <w:t>Net cash (used for) provided by operating activities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7"/>
              <w:spacing w:after="0"/>
              <w:rPr>
                <w:sz w:val="20"/>
                <w:szCs w:val="20"/>
                <w:color w:val="auto"/>
              </w:rPr>
            </w:pPr>
            <w:r>
              <w:rPr>
                <w:rFonts w:ascii="Arial" w:cs="Arial" w:eastAsia="Arial" w:hAnsi="Arial"/>
                <w:sz w:val="14"/>
                <w:szCs w:val="14"/>
                <w:color w:val="auto"/>
              </w:rPr>
              <w:t>(116,378)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72,206</w:t>
            </w:r>
          </w:p>
        </w:tc>
        <w:tc>
          <w:tcPr>
            <w:tcW w:w="120" w:type="dxa"/>
            <w:vAlign w:val="bottom"/>
          </w:tcPr>
          <w:p>
            <w:pPr>
              <w:spacing w:after="0"/>
              <w:rPr>
                <w:sz w:val="20"/>
                <w:szCs w:val="20"/>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159,789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(47,713)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67,904</w:t>
            </w:r>
          </w:p>
        </w:tc>
        <w:tc>
          <w:tcPr>
            <w:tcW w:w="0" w:type="dxa"/>
            <w:vAlign w:val="bottom"/>
          </w:tcPr>
          <w:p>
            <w:pPr>
              <w:spacing w:after="0"/>
              <w:rPr>
                <w:sz w:val="1"/>
                <w:szCs w:val="1"/>
                <w:color w:val="auto"/>
              </w:rPr>
            </w:pP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Net cash (used for) provided by investing activities</w:t>
            </w:r>
          </w:p>
        </w:tc>
        <w:tc>
          <w:tcPr>
            <w:tcW w:w="240" w:type="dxa"/>
            <w:vAlign w:val="bottom"/>
          </w:tcPr>
          <w:p>
            <w:pPr>
              <w:spacing w:after="0"/>
              <w:rPr>
                <w:sz w:val="23"/>
                <w:szCs w:val="23"/>
                <w:color w:val="auto"/>
              </w:rPr>
            </w:pPr>
          </w:p>
        </w:tc>
        <w:tc>
          <w:tcPr>
            <w:tcW w:w="920" w:type="dxa"/>
            <w:vAlign w:val="bottom"/>
          </w:tcPr>
          <w:p>
            <w:pPr>
              <w:jc w:val="right"/>
              <w:ind w:right="7"/>
              <w:spacing w:after="0"/>
              <w:rPr>
                <w:sz w:val="20"/>
                <w:szCs w:val="20"/>
                <w:color w:val="auto"/>
              </w:rPr>
            </w:pPr>
            <w:r>
              <w:rPr>
                <w:rFonts w:ascii="Arial" w:cs="Arial" w:eastAsia="Arial" w:hAnsi="Arial"/>
                <w:sz w:val="14"/>
                <w:szCs w:val="14"/>
                <w:color w:val="auto"/>
              </w:rPr>
              <w:t>(9,669)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(249)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(59,182)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(69,100)</w:t>
            </w:r>
          </w:p>
        </w:tc>
        <w:tc>
          <w:tcPr>
            <w:tcW w:w="0" w:type="dxa"/>
            <w:vAlign w:val="bottom"/>
          </w:tcPr>
          <w:p>
            <w:pPr>
              <w:spacing w:after="0"/>
              <w:rPr>
                <w:sz w:val="1"/>
                <w:szCs w:val="1"/>
                <w:color w:val="auto"/>
              </w:rPr>
            </w:pP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Net cash provided by (used for) financing activities</w:t>
            </w:r>
          </w:p>
        </w:tc>
        <w:tc>
          <w:tcPr>
            <w:tcW w:w="240" w:type="dxa"/>
            <w:vAlign w:val="bottom"/>
          </w:tcPr>
          <w:p>
            <w:pPr>
              <w:spacing w:after="0"/>
              <w:rPr>
                <w:sz w:val="23"/>
                <w:szCs w:val="23"/>
                <w:color w:val="auto"/>
              </w:rPr>
            </w:pPr>
          </w:p>
        </w:tc>
        <w:tc>
          <w:tcPr>
            <w:tcW w:w="920" w:type="dxa"/>
            <w:vAlign w:val="bottom"/>
          </w:tcPr>
          <w:p>
            <w:pPr>
              <w:jc w:val="right"/>
              <w:ind w:right="47"/>
              <w:spacing w:after="0"/>
              <w:rPr>
                <w:sz w:val="20"/>
                <w:szCs w:val="20"/>
                <w:color w:val="auto"/>
              </w:rPr>
            </w:pPr>
            <w:r>
              <w:rPr>
                <w:rFonts w:ascii="Arial" w:cs="Arial" w:eastAsia="Arial" w:hAnsi="Arial"/>
                <w:sz w:val="14"/>
                <w:szCs w:val="14"/>
                <w:color w:val="auto"/>
              </w:rPr>
              <w:t>125,855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(72,009)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(78,795)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47,713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22,764</w:t>
            </w:r>
          </w:p>
        </w:tc>
        <w:tc>
          <w:tcPr>
            <w:tcW w:w="0" w:type="dxa"/>
            <w:vAlign w:val="bottom"/>
          </w:tcPr>
          <w:p>
            <w:pPr>
              <w:spacing w:after="0"/>
              <w:rPr>
                <w:sz w:val="1"/>
                <w:szCs w:val="1"/>
                <w:color w:val="auto"/>
              </w:rPr>
            </w:pP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Effect of changes in currency exchange rates</w:t>
            </w: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(9,395)</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(9,395)</w:t>
            </w:r>
          </w:p>
        </w:tc>
        <w:tc>
          <w:tcPr>
            <w:tcW w:w="0" w:type="dxa"/>
            <w:vAlign w:val="bottom"/>
          </w:tcPr>
          <w:p>
            <w:pPr>
              <w:spacing w:after="0"/>
              <w:rPr>
                <w:sz w:val="1"/>
                <w:szCs w:val="1"/>
                <w:color w:val="auto"/>
              </w:rPr>
            </w:pPr>
          </w:p>
        </w:tc>
      </w:tr>
      <w:tr>
        <w:trPr>
          <w:trHeight w:val="177"/>
        </w:trPr>
        <w:tc>
          <w:tcPr>
            <w:tcW w:w="5220" w:type="dxa"/>
            <w:vAlign w:val="bottom"/>
            <w:gridSpan w:val="2"/>
          </w:tcPr>
          <w:p>
            <w:pPr>
              <w:spacing w:after="0"/>
              <w:rPr>
                <w:sz w:val="20"/>
                <w:szCs w:val="20"/>
                <w:color w:val="auto"/>
              </w:rPr>
            </w:pPr>
            <w:r>
              <w:rPr>
                <w:rFonts w:ascii="Arial" w:cs="Arial" w:eastAsia="Arial" w:hAnsi="Arial"/>
                <w:sz w:val="14"/>
                <w:szCs w:val="14"/>
                <w:color w:val="auto"/>
              </w:rPr>
              <w:t>(Decrease) increase in cash</w:t>
            </w:r>
          </w:p>
        </w:tc>
        <w:tc>
          <w:tcPr>
            <w:tcW w:w="240" w:type="dxa"/>
            <w:vAlign w:val="bottom"/>
          </w:tcPr>
          <w:p>
            <w:pPr>
              <w:spacing w:after="0"/>
              <w:rPr>
                <w:sz w:val="15"/>
                <w:szCs w:val="15"/>
                <w:color w:val="auto"/>
              </w:rPr>
            </w:pPr>
          </w:p>
        </w:tc>
        <w:tc>
          <w:tcPr>
            <w:tcW w:w="920" w:type="dxa"/>
            <w:vAlign w:val="bottom"/>
            <w:vMerge w:val="restart"/>
          </w:tcPr>
          <w:p>
            <w:pPr>
              <w:jc w:val="right"/>
              <w:ind w:right="7"/>
              <w:spacing w:after="0"/>
              <w:rPr>
                <w:sz w:val="20"/>
                <w:szCs w:val="20"/>
                <w:color w:val="auto"/>
              </w:rPr>
            </w:pPr>
            <w:r>
              <w:rPr>
                <w:rFonts w:ascii="Arial" w:cs="Arial" w:eastAsia="Arial" w:hAnsi="Arial"/>
                <w:sz w:val="14"/>
                <w:szCs w:val="14"/>
                <w:color w:val="auto"/>
              </w:rPr>
              <w:t>(192)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12,417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12,173</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Cash and cash equivalents, beginning of period</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933</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625</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231,843</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233,401</w:t>
            </w:r>
          </w:p>
        </w:tc>
        <w:tc>
          <w:tcPr>
            <w:tcW w:w="0" w:type="dxa"/>
            <w:vAlign w:val="bottom"/>
          </w:tcPr>
          <w:p>
            <w:pPr>
              <w:spacing w:after="0"/>
              <w:rPr>
                <w:sz w:val="1"/>
                <w:szCs w:val="1"/>
                <w:color w:val="auto"/>
              </w:rPr>
            </w:pPr>
          </w:p>
        </w:tc>
      </w:tr>
      <w:tr>
        <w:trPr>
          <w:trHeight w:val="243"/>
        </w:trPr>
        <w:tc>
          <w:tcPr>
            <w:tcW w:w="5220" w:type="dxa"/>
            <w:vAlign w:val="bottom"/>
            <w:gridSpan w:val="2"/>
          </w:tcPr>
          <w:p>
            <w:pPr>
              <w:spacing w:after="0"/>
              <w:rPr>
                <w:sz w:val="20"/>
                <w:szCs w:val="20"/>
                <w:color w:val="auto"/>
              </w:rPr>
            </w:pPr>
            <w:r>
              <w:rPr>
                <w:rFonts w:ascii="Arial" w:cs="Arial" w:eastAsia="Arial" w:hAnsi="Arial"/>
                <w:sz w:val="14"/>
                <w:szCs w:val="14"/>
                <w:color w:val="auto"/>
              </w:rPr>
              <w:t>Cash and cash equivalents, end of period</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7"/>
              <w:spacing w:after="0"/>
              <w:rPr>
                <w:sz w:val="20"/>
                <w:szCs w:val="20"/>
                <w:color w:val="auto"/>
              </w:rPr>
            </w:pPr>
            <w:r>
              <w:rPr>
                <w:rFonts w:ascii="Arial" w:cs="Arial" w:eastAsia="Arial" w:hAnsi="Arial"/>
                <w:sz w:val="14"/>
                <w:szCs w:val="14"/>
                <w:color w:val="auto"/>
              </w:rPr>
              <w:t>741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573</w:t>
            </w:r>
          </w:p>
        </w:tc>
        <w:tc>
          <w:tcPr>
            <w:tcW w:w="12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244,260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245,574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7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ind w:left="12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80" w:top="476"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19. OTHER INCOME (EXPENSE), NET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other income (expense) are as follows:</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4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20" w:type="dxa"/>
            <w:vAlign w:val="bottom"/>
            <w:gridSpan w:val="4"/>
          </w:tcPr>
          <w:p>
            <w:pPr>
              <w:jc w:val="right"/>
              <w:ind w:right="63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78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4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37"/>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ind w:right="41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97"/>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480" w:type="dxa"/>
            <w:vAlign w:val="bottom"/>
            <w:gridSpan w:val="2"/>
          </w:tcPr>
          <w:p>
            <w:pPr>
              <w:spacing w:after="0"/>
              <w:rPr>
                <w:sz w:val="20"/>
                <w:szCs w:val="20"/>
                <w:color w:val="auto"/>
              </w:rPr>
            </w:pPr>
            <w:r>
              <w:rPr>
                <w:rFonts w:ascii="Arial" w:cs="Arial" w:eastAsia="Arial" w:hAnsi="Arial"/>
                <w:sz w:val="18"/>
                <w:szCs w:val="18"/>
                <w:color w:val="auto"/>
              </w:rPr>
              <w:t>Foreign currency (loss) gain</w:t>
            </w:r>
          </w:p>
        </w:tc>
        <w:tc>
          <w:tcPr>
            <w:tcW w:w="1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(1,120)</w:t>
            </w:r>
          </w:p>
        </w:tc>
        <w:tc>
          <w:tcPr>
            <w:tcW w:w="12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(2,277)</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(13,802)</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(3,309)</w:t>
            </w:r>
          </w:p>
        </w:tc>
        <w:tc>
          <w:tcPr>
            <w:tcW w:w="0" w:type="dxa"/>
            <w:vAlign w:val="bottom"/>
          </w:tcPr>
          <w:p>
            <w:pPr>
              <w:spacing w:after="0"/>
              <w:rPr>
                <w:sz w:val="1"/>
                <w:szCs w:val="1"/>
                <w:color w:val="auto"/>
              </w:rPr>
            </w:pPr>
          </w:p>
        </w:tc>
      </w:tr>
      <w:tr>
        <w:trPr>
          <w:trHeight w:val="270"/>
        </w:trPr>
        <w:tc>
          <w:tcPr>
            <w:tcW w:w="4480" w:type="dxa"/>
            <w:vAlign w:val="bottom"/>
            <w:gridSpan w:val="2"/>
          </w:tcPr>
          <w:p>
            <w:pPr>
              <w:spacing w:after="0"/>
              <w:rPr>
                <w:sz w:val="20"/>
                <w:szCs w:val="20"/>
                <w:color w:val="auto"/>
              </w:rPr>
            </w:pPr>
            <w:r>
              <w:rPr>
                <w:rFonts w:ascii="Arial" w:cs="Arial" w:eastAsia="Arial" w:hAnsi="Arial"/>
                <w:sz w:val="18"/>
                <w:szCs w:val="18"/>
                <w:color w:val="auto"/>
              </w:rPr>
              <w:t>Equity income</w:t>
            </w:r>
          </w:p>
        </w:tc>
        <w:tc>
          <w:tcPr>
            <w:tcW w:w="1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1,021</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1,594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1,950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2,223</w:t>
            </w:r>
          </w:p>
        </w:tc>
        <w:tc>
          <w:tcPr>
            <w:tcW w:w="0" w:type="dxa"/>
            <w:vAlign w:val="bottom"/>
          </w:tcPr>
          <w:p>
            <w:pPr>
              <w:spacing w:after="0"/>
              <w:rPr>
                <w:sz w:val="1"/>
                <w:szCs w:val="1"/>
                <w:color w:val="auto"/>
              </w:rPr>
            </w:pPr>
          </w:p>
        </w:tc>
      </w:tr>
      <w:tr>
        <w:trPr>
          <w:trHeight w:val="270"/>
        </w:trPr>
        <w:tc>
          <w:tcPr>
            <w:tcW w:w="4480" w:type="dxa"/>
            <w:vAlign w:val="bottom"/>
            <w:gridSpan w:val="2"/>
          </w:tcPr>
          <w:p>
            <w:pPr>
              <w:spacing w:after="0"/>
              <w:rPr>
                <w:sz w:val="20"/>
                <w:szCs w:val="20"/>
                <w:color w:val="auto"/>
              </w:rPr>
            </w:pPr>
            <w:r>
              <w:rPr>
                <w:rFonts w:ascii="Arial" w:cs="Arial" w:eastAsia="Arial" w:hAnsi="Arial"/>
                <w:sz w:val="18"/>
                <w:szCs w:val="18"/>
                <w:color w:val="auto"/>
              </w:rPr>
              <w:t>Expected return on pension assets/amortization</w:t>
            </w:r>
          </w:p>
        </w:tc>
        <w:tc>
          <w:tcPr>
            <w:tcW w:w="1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1,789</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3,027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5,165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6,050</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80" w:type="dxa"/>
            <w:vAlign w:val="bottom"/>
            <w:gridSpan w:val="2"/>
          </w:tcPr>
          <w:p>
            <w:pPr>
              <w:spacing w:after="0"/>
              <w:rPr>
                <w:sz w:val="20"/>
                <w:szCs w:val="20"/>
                <w:color w:val="auto"/>
              </w:rPr>
            </w:pPr>
            <w:r>
              <w:rPr>
                <w:rFonts w:ascii="Arial" w:cs="Arial" w:eastAsia="Arial" w:hAnsi="Arial"/>
                <w:sz w:val="18"/>
                <w:szCs w:val="18"/>
                <w:color w:val="auto"/>
              </w:rPr>
              <w:t>Other miscellaneous expense (income)</w:t>
            </w:r>
          </w:p>
        </w:tc>
        <w:tc>
          <w:tcPr>
            <w:tcW w:w="1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487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80" w:type="dxa"/>
            <w:vAlign w:val="bottom"/>
            <w:gridSpan w:val="2"/>
          </w:tcPr>
          <w:p>
            <w:pPr>
              <w:ind w:left="240"/>
              <w:spacing w:after="0"/>
              <w:rPr>
                <w:sz w:val="20"/>
                <w:szCs w:val="20"/>
                <w:color w:val="auto"/>
              </w:rPr>
            </w:pPr>
            <w:r>
              <w:rPr>
                <w:rFonts w:ascii="Arial" w:cs="Arial" w:eastAsia="Arial" w:hAnsi="Arial"/>
                <w:sz w:val="18"/>
                <w:szCs w:val="18"/>
                <w:color w:val="auto"/>
              </w:rPr>
              <w:t>Total other (expense) income, net</w:t>
            </w:r>
          </w:p>
        </w:tc>
        <w:tc>
          <w:tcPr>
            <w:tcW w:w="1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2,177</w:t>
            </w:r>
          </w:p>
        </w:tc>
        <w:tc>
          <w:tcPr>
            <w:tcW w:w="12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2,171</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(6,051)</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4,757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660" w:type="dxa"/>
            <w:vAlign w:val="bottom"/>
            <w:vMerge w:val="restart"/>
          </w:tcPr>
          <w:p>
            <w:pPr>
              <w:jc w:val="right"/>
              <w:ind w:right="290"/>
              <w:spacing w:after="0"/>
              <w:rPr>
                <w:sz w:val="20"/>
                <w:szCs w:val="20"/>
                <w:color w:val="auto"/>
              </w:rPr>
            </w:pPr>
            <w:r>
              <w:rPr>
                <w:rFonts w:ascii="Arial" w:cs="Arial" w:eastAsia="Arial" w:hAnsi="Arial"/>
                <w:sz w:val="18"/>
                <w:szCs w:val="18"/>
                <w:color w:val="auto"/>
              </w:rPr>
              <w:t>35</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7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6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37" w:name="page38"/>
    <w:bookmarkEnd w:id="37"/>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6" w:lineRule="exact"/>
        <w:rPr>
          <w:sz w:val="20"/>
          <w:szCs w:val="20"/>
          <w:color w:val="auto"/>
        </w:rPr>
      </w:pPr>
    </w:p>
    <w:p>
      <w:pPr>
        <w:ind w:right="180" w:firstLine="500"/>
        <w:spacing w:after="0" w:line="315" w:lineRule="auto"/>
        <w:rPr>
          <w:sz w:val="20"/>
          <w:szCs w:val="20"/>
          <w:color w:val="auto"/>
        </w:rPr>
      </w:pPr>
      <w:r>
        <w:rPr>
          <w:rFonts w:ascii="Arial" w:cs="Arial" w:eastAsia="Arial" w:hAnsi="Arial"/>
          <w:sz w:val="14"/>
          <w:szCs w:val="14"/>
          <w:i w:val="1"/>
          <w:iCs w:val="1"/>
          <w:color w:val="auto"/>
        </w:rPr>
        <w:t>The following discussion should be read in conjunction with the information in the unaudited condensed consolidated financial statements and notes thereto included herein and Westinghouse Air Brake Technologies Corporation’s Financial Statements and Management’s Discussion and Analysis of Financial Condition and Results of Operations included in its Annual Report on Form 10-K for the year ended December 31, 2018, filed with the Securities and Exchange Commission on February 27, 2019.</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40" w:firstLine="486"/>
        <w:spacing w:after="0" w:line="255" w:lineRule="auto"/>
        <w:rPr>
          <w:sz w:val="20"/>
          <w:szCs w:val="20"/>
          <w:color w:val="auto"/>
        </w:rPr>
      </w:pPr>
      <w:r>
        <w:rPr>
          <w:rFonts w:ascii="Arial" w:cs="Arial" w:eastAsia="Arial" w:hAnsi="Arial"/>
          <w:sz w:val="18"/>
          <w:szCs w:val="18"/>
          <w:color w:val="auto"/>
        </w:rPr>
        <w:t>Wabtec is one of the world’s largest providers of value-added, technology-based equipment, systems and services for the global freight rail and passenger transit industries. Our highly engineered products enhance safety, improve productivity and reduce maintenance costs for customers and can be found on most locomotives, freight cars, passenger transit cars and buses around the world. Many of our core products and services are essential in the safe and efficient operation of freight rail and passenger transit vehicles. Wabtec is a global company with operations in 50 countries and our products can be found in more than 100 countries throughout the world. In the six months ended June 30, 2019, approximately 59% of the Company’s revenues came from customers outside the United States.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Review and Future Outlook</w:t>
      </w:r>
    </w:p>
    <w:p>
      <w:pPr>
        <w:spacing w:after="0" w:line="117"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Wabtec’s long-term financial goals are to generate cash flow from operations in excess of net income, maintain a strong credit profile while minimizing our overall cost of capital, increase margins through strict attention to cost controls and implementation of the Wabtec Excellence Program, and increase revenues through a focused growth strategy, including product innovation and new technologies, global and market expansion, aftermarket products and services, and acquisitions. In addition, Management evaluates the Company’s current operational performance through measures such as quality and on-time delivery.</w:t>
      </w:r>
    </w:p>
    <w:p>
      <w:pPr>
        <w:spacing w:after="0" w:line="80" w:lineRule="exact"/>
        <w:rPr>
          <w:sz w:val="20"/>
          <w:szCs w:val="20"/>
          <w:color w:val="auto"/>
        </w:rPr>
      </w:pPr>
    </w:p>
    <w:p>
      <w:pPr>
        <w:ind w:right="120" w:firstLine="486"/>
        <w:spacing w:after="0" w:line="293" w:lineRule="auto"/>
        <w:rPr>
          <w:sz w:val="20"/>
          <w:szCs w:val="20"/>
          <w:color w:val="auto"/>
        </w:rPr>
      </w:pPr>
      <w:r>
        <w:rPr>
          <w:rFonts w:ascii="Arial" w:cs="Arial" w:eastAsia="Arial" w:hAnsi="Arial"/>
          <w:sz w:val="16"/>
          <w:szCs w:val="16"/>
          <w:color w:val="auto"/>
        </w:rPr>
        <w:t>The Company primarily serves the global freight rail and passenger transit industries. As such, our operating results are largely dependent on the level of activity, financial condition and capital spending plans of freight railroads and passenger transit agencies around the world, and transportation equipment manufacturers who serve those markets. Many factors influence these industries, including general economic conditions; traffic volumes, as measured by freight carloadings and passenger ridership; government spending on public transportation; and investment in new technologies. In general, trends such as increasing urbanization and growth in developing markets, a focus on sustainability and environmental awareness, increasing investment in technology solutions, an aging equipment fleet, and growth in global trade are expected to drive continued investment in freight rail and passenger transit.</w:t>
      </w:r>
    </w:p>
    <w:p>
      <w:pPr>
        <w:spacing w:after="0" w:line="57" w:lineRule="exact"/>
        <w:rPr>
          <w:sz w:val="20"/>
          <w:szCs w:val="20"/>
          <w:color w:val="auto"/>
        </w:rPr>
      </w:pPr>
    </w:p>
    <w:p>
      <w:pPr>
        <w:ind w:right="20" w:firstLine="486"/>
        <w:spacing w:after="0" w:line="286" w:lineRule="auto"/>
        <w:rPr>
          <w:sz w:val="20"/>
          <w:szCs w:val="20"/>
          <w:color w:val="auto"/>
        </w:rPr>
      </w:pPr>
      <w:r>
        <w:rPr>
          <w:rFonts w:ascii="Arial" w:cs="Arial" w:eastAsia="Arial" w:hAnsi="Arial"/>
          <w:sz w:val="16"/>
          <w:szCs w:val="16"/>
          <w:color w:val="auto"/>
        </w:rPr>
        <w:t>According to the 2018 bi-annual edition of a market study by UNIFE, the Association of the European Rail Industry, the accessible global market for railway products and services was more than $100 billion and was expected to grow at a compounded annual growth rate of 2.6% through 2023. The three largest geographic markets, which represented about 80% of the total accessible market, were Europe, North America and Asia Pacific. UNIFE projected above-average growth rates in North America, Latin America and Africa/Middle East, with Asia Pacific and Europe growing at about the industry average. UNIFE said trends such as urbanization and increasing mobility, deregulation, investments in new technologies, energy and environmental issues, and increasing government support continue to drive investment. The largest product segments of the market were rolling stock, services and infrastructure, which represent almost 90% of the accessible market. UNIFE projected spending on turnkey management projects and infrastructure to grow at above-average rates. UNIFE estimated that the global installed base of locomotives was about 114,000 units, with about 33% in Asia Pacific, about 26% in North America and about 18% in Russia-CIS (Commonwealth of Independent States). Wabtec estimates that about 2,500 new locomotives were delivered worldwide in 2018, and we expect deliveries of about 2,900 in 2019. UNIFE estimated the global installed base of freight cars was about 5.1 million, with about 33% in North America, about 26% in Asia Pacific and about 24% in Russia-CIS. Wabtec estimates that about 175,000 new freight cars were delivered worldwide in 2018, and we expect deliveries of about 174,000 in 2019. UNIFE estimated the global installed base of passenger transit vehicles to be about 600,000 units, with about 45% in Asia Pacific, about 33% in Europe and about 12% in Russia-CIS. Wabtec estimates that about 30,000 new passenger transit vehicles were ordered worldwide in 2018, and we expect orders of about the same number in 2019.</w:t>
      </w:r>
    </w:p>
    <w:p>
      <w:pPr>
        <w:spacing w:after="0" w:line="64"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In Europe, the majority of the rail system serves the passenger transit market, which is expected to continue growing as energy and environmental factors encourage continued investment in public mass transit. According to UNIFE, France, Germany and the United Kingdom were the largest Western European transit markets, representing almost two-thirds of industry spending in the European Union. UNIFE projected the accessible Western European rail market to grow at about 2.3% annually, led by investments in new rolling stock in France and Germany. About 75% of freight traffic in Europe is hauled by truck, while rail accounts for about 20%. The largest freight markets in Europe are Germany, Poland and the United Kingdom. In recent years, the European Commission has adopted a series of measures designed to increase the efficiency of the European rail network by standardizing operating rules and certification requirements. UNIFE believes that adoption of these measures should have a positive effect on ridership and investment in public transportation over time.</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64" w:right="239" w:bottom="1440" w:gutter="0" w:footer="0" w:header="0"/>
        </w:sectPr>
      </w:pPr>
    </w:p>
    <w:bookmarkStart w:id="38" w:name="page39"/>
    <w:bookmarkEnd w:id="38"/>
    <w:p>
      <w:pPr>
        <w:ind w:firstLine="486"/>
        <w:spacing w:after="0" w:line="269" w:lineRule="auto"/>
        <w:rPr>
          <w:sz w:val="20"/>
          <w:szCs w:val="20"/>
          <w:color w:val="auto"/>
        </w:rPr>
      </w:pPr>
      <w:r>
        <w:rPr>
          <w:rFonts w:ascii="Arial" w:cs="Arial" w:eastAsia="Arial" w:hAnsi="Arial"/>
          <w:sz w:val="17"/>
          <w:szCs w:val="17"/>
          <w:color w:val="auto"/>
        </w:rPr>
        <w:t>In North America, railroads carry about 40% of intercity freight, as measured by ton-miles, which is more than any other mode of transportation. Through direct ownership and operating partnerships, U.S. railroads are part of an integrated network that includes railroads in Canada and Mexico, forming what is regarded as the world’s most-efficient and lowest-cost freight rail service. There are more than 500 railroads operating in North America, with the largest railroads, referred to as “Class I,” accounting for more than 90% of the industry’s revenues. The railroads carry a wide variety of commodities and goods, including coal, metals, minerals, chemicals, grain, and petroleum. These commodities represent about 50% of total rail carloadings, with intermodal carloads accounting for the rest. Railroads operate in a competitive environment, especially with the trucking industry, and are always seeking ways to improve safety, cost and reliability. New technologies offered by Wabtec and others in the industry can provide some of these benefits. Demand for our freight related products and services in North America is driven by a number of factors, including rail traffic, and production of new locomotives and new freight cars. In the U.S., the passenger transit industry is dependent largely on funding from federal, state and local governments, and from fare box revenues. Demand for North American passenger transit products is driven by a number of factors, including government funding, deliveries of new subway cars and buses, and ridership. The U.S. federal government provides money to local transit authorities, primarily to fund the purchase of new equipment and infrastructure for their transit systems.</w:t>
      </w:r>
    </w:p>
    <w:p>
      <w:pPr>
        <w:spacing w:after="0" w:line="72" w:lineRule="exact"/>
        <w:rPr>
          <w:sz w:val="20"/>
          <w:szCs w:val="20"/>
          <w:color w:val="auto"/>
        </w:rPr>
      </w:pPr>
    </w:p>
    <w:p>
      <w:pPr>
        <w:ind w:right="160" w:firstLine="486"/>
        <w:spacing w:after="0" w:line="312" w:lineRule="auto"/>
        <w:rPr>
          <w:sz w:val="20"/>
          <w:szCs w:val="20"/>
          <w:color w:val="auto"/>
        </w:rPr>
      </w:pPr>
      <w:r>
        <w:rPr>
          <w:rFonts w:ascii="Arial" w:cs="Arial" w:eastAsia="Arial" w:hAnsi="Arial"/>
          <w:sz w:val="16"/>
          <w:szCs w:val="16"/>
          <w:color w:val="auto"/>
        </w:rPr>
        <w:t>Growth in the Asia Pacific market has been driven mainly by the continued urbanization of China and India, and by investments in freight rail rolling stock and infrastructure in Australia to serve its mining and natural resources markets. India is making significant investments in rolling stock and infrastructure to modernize its rail system; for example, the country has awarded a 1,000-unit locomotive order to GE Transportation, now part of Wabtec.</w:t>
      </w:r>
    </w:p>
    <w:p>
      <w:pPr>
        <w:spacing w:after="0" w:line="39" w:lineRule="exact"/>
        <w:rPr>
          <w:sz w:val="20"/>
          <w:szCs w:val="20"/>
          <w:color w:val="auto"/>
        </w:rPr>
      </w:pPr>
    </w:p>
    <w:p>
      <w:pPr>
        <w:ind w:right="100" w:firstLine="486"/>
        <w:spacing w:after="0" w:line="297" w:lineRule="auto"/>
        <w:rPr>
          <w:sz w:val="20"/>
          <w:szCs w:val="20"/>
          <w:color w:val="auto"/>
        </w:rPr>
      </w:pPr>
      <w:r>
        <w:rPr>
          <w:rFonts w:ascii="Arial" w:cs="Arial" w:eastAsia="Arial" w:hAnsi="Arial"/>
          <w:sz w:val="16"/>
          <w:szCs w:val="16"/>
          <w:color w:val="auto"/>
        </w:rPr>
        <w:t>Other key geographic markets include Russia-CIS and Africa-Middle East. With about 1.2 million freight cars and about 20,000 locomotives, Russia-CIS is among the largest freight rail markets in the world, and it’s expected to invest in both freight and transit rolling stock. PRASA, the Passenger Rail Agency of South Africa, is expected to continue to invest in new transit cars and new locomotives. According to UNIFE, emerging markets were expected to grow at above-average rates as global trade led to increased freight volumes and urbanization led to increased demand for efficient mass-transportation systems. As this growth occurs, Wabtec expects to have additional opportunities to provide products and services in these markets.</w:t>
      </w:r>
    </w:p>
    <w:p>
      <w:pPr>
        <w:spacing w:after="0" w:line="50" w:lineRule="exact"/>
        <w:rPr>
          <w:sz w:val="20"/>
          <w:szCs w:val="20"/>
          <w:color w:val="auto"/>
        </w:rPr>
      </w:pPr>
    </w:p>
    <w:p>
      <w:pPr>
        <w:ind w:right="180" w:firstLine="486"/>
        <w:spacing w:after="0" w:line="302" w:lineRule="auto"/>
        <w:rPr>
          <w:sz w:val="20"/>
          <w:szCs w:val="20"/>
          <w:color w:val="auto"/>
        </w:rPr>
      </w:pPr>
      <w:r>
        <w:rPr>
          <w:rFonts w:ascii="Arial" w:cs="Arial" w:eastAsia="Arial" w:hAnsi="Arial"/>
          <w:sz w:val="16"/>
          <w:szCs w:val="16"/>
          <w:color w:val="auto"/>
        </w:rPr>
        <w:t>In its study, UNIFE also said it expected increased investment in digital tools for data and asset management, and in rail control technologies, both of which would improve efficiency in the global rail industry. UNIFE said data-driven asset management tools have the potential to reduce equipment maintenance costs and improve asset utilization, while rail control technologies have been focused on increasing track capacity, improving operational efficiency and ensuring safer railway traffic. Wabtec offers products and services to help customers make ongoing investments in these initiatives.</w:t>
      </w:r>
    </w:p>
    <w:p>
      <w:pPr>
        <w:spacing w:after="0" w:line="46" w:lineRule="exact"/>
        <w:rPr>
          <w:sz w:val="20"/>
          <w:szCs w:val="20"/>
          <w:color w:val="auto"/>
        </w:rPr>
      </w:pPr>
    </w:p>
    <w:p>
      <w:pPr>
        <w:ind w:right="140" w:firstLine="486"/>
        <w:spacing w:after="0" w:line="255" w:lineRule="auto"/>
        <w:rPr>
          <w:sz w:val="20"/>
          <w:szCs w:val="20"/>
          <w:color w:val="auto"/>
        </w:rPr>
      </w:pPr>
      <w:r>
        <w:rPr>
          <w:rFonts w:ascii="Arial" w:cs="Arial" w:eastAsia="Arial" w:hAnsi="Arial"/>
          <w:sz w:val="18"/>
          <w:szCs w:val="18"/>
          <w:color w:val="auto"/>
        </w:rPr>
        <w:t>In 2019 and beyond, general global economic and market conditions will have an impact on our sales and operations. To the extent that these factors cause instability of capital markets, shortages of raw materials or component parts, longer sales cycles, deferral or delay of customer orders or an inability to market our products effectively, our business and results of operations could be materially adversely affected. In addition, we face risks associated with our four-point growth strategy including the level of investment that customers are willing to make in new technologies developed by the industry and the Company and risks inherent in global expansion. When necessary, we will modify our financial and operating strategies to reflect changes in market conditions and risks.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OF WABTEC WITH GE TRANSPORTATION</w:t>
      </w:r>
    </w:p>
    <w:p>
      <w:pPr>
        <w:spacing w:after="0" w:line="67"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Wabtec, General Electric Company ("GE"), GE Transportation, a Wabtec Company formerly known as Transportation System Holdings Inc. ("SpinCo"), which was a newly formed wholly owned subsidiary of GE, and Wabtec US Rail Holdings, Inc. ("Merger Sub"), which was a newly formed wholly owned subsidiary of the Company, entered into the Original Merger Agreement on May 20, 2018, and GE, SpinCo, Wabtec and Wabtec US Rail, Inc. ("Direct Sale Purchaser") entered into the Original Separation Agreement on May 20, 2018, which together provided for the combination of Wabtec and GE Transportation. The Original Merger Agreement and Original Separation Agreement were subsequently amended on January 25, 2019 and the merger was completed on February 25, 2019.</w:t>
      </w:r>
    </w:p>
    <w:p>
      <w:pPr>
        <w:spacing w:after="0" w:line="31"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As part of the Merger, certain assets of GE Transportation ("GET"), including the equity interests of certain pre-Transaction subsidiaries of GE that compose part of GE Transportation, were sold to Direct Sale Purchaser for a cash payment of $2.875 billion, and Direct Sale Purchaser assumed certain liabilities of GE Transportation in connection with this purchase (the "Direct Sale"). Thereafter, GE transferred the SpinCo business to SpinCo and its subsidiaries (to the extent not already held by SpinCo and its subsidiaries), and SpinCo issued to GE shares of SpinCo Class A preferred stock, SpinCo Class B preferred stock, SpinCo Class C preferred stock and additional shares of SpinCo common stock in the SpinCo Transfer. Following this issuance of additional SpinCo common stock to GE, and immediately prior to the Distribution (as defined below), GE owned 8,700,000,000 shares of SpinCo common stock, 15,000 shares of SpinCo Class A preferred stock, 10,000 shares of SpinCo Class B preferred stock and one share of SpinCo Class C preferred stock, which constituted all of the outstanding stock of SpinCo.</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76" w:right="239" w:bottom="1440" w:gutter="0" w:footer="0" w:header="0"/>
        </w:sectPr>
      </w:pPr>
    </w:p>
    <w:bookmarkStart w:id="39" w:name="page40"/>
    <w:bookmarkEnd w:id="39"/>
    <w:p>
      <w:pPr>
        <w:ind w:right="60" w:firstLine="648"/>
        <w:spacing w:after="0" w:line="271" w:lineRule="auto"/>
        <w:rPr>
          <w:sz w:val="20"/>
          <w:szCs w:val="20"/>
          <w:color w:val="auto"/>
        </w:rPr>
      </w:pPr>
      <w:r>
        <w:rPr>
          <w:rFonts w:ascii="Arial" w:cs="Arial" w:eastAsia="Arial" w:hAnsi="Arial"/>
          <w:sz w:val="17"/>
          <w:szCs w:val="17"/>
          <w:color w:val="auto"/>
        </w:rPr>
        <w:t>Following the Direct Sale, GE distributed the distribution shares of SpinCo in a spin-off transaction to its stockholder (the "Distribution"). Immediately after the Distribution, Merger Sub merged with and into SpinCo (the "Merger"), whereby the separate corporate existence of Merger Sub ceased and SpinCo continued as the surviving company and a wholly owned subsidiary of Wabtec (except with respect to shares of SpinCo Class A preferred stock held by GE). In the Merger, subject to adjustment in accordance with the Merger Agreement, each share of SpinCo common stock converted into the right to receive a number of shares of Wabtec common stock based on the common stock exchange ratio set forth in the Merger Agreement and the share of SpinCo Class C preferred stock was converted into the right to receive (a) 10,000 shares of Wabtec convertible preferred stock and (b) a number of shares of Wabtec common stock equal to 9.9% of the fully-diluted pro forma Wabtec shares. Immediately prior to the Merger, Wabtec paid $10.0 million in cash to GE in exchange for all of the shares of SpinCo Class B preferred stock.</w:t>
      </w:r>
    </w:p>
    <w:p>
      <w:pPr>
        <w:spacing w:after="0" w:line="17"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Upon consummation of the Merger, Wabtec issued 46,763,975 shares of common stock to the holders of GE common stock, 19,018,207 shares of common stock to GE and 10,000 shares of preferred stock to GE and made a cash payment to GE of $2.885 billion. As a result and calculated based on Wabtec’s outstanding common stock on a fully-diluted, as-converted and as-exercised basis, as of December 31, 2018, approximately 49.2% of the outstanding shares of Wabtec common stock was held collectively by GE and holders of GE common stock (with 9.9% to be held by GE directly in shares of Wabtec common stock and 15% underlying the shares of Wabtec convertible preferred stock to be held by GE) and approximately 50.8% of the outstanding shares of Wabtec common stock would be held by pre-Merger Wabtec stockholders, in each case calculated on a fully-diluted, as-converted and as-exercised basis. Following the Merger, GE also retained 15,000 shares of SpinCo Class A non-voting preferred stock, and Wabtec held 10,000 shares of SpinCo Class B non-voting preferred stock. The shares of Wabtec common stock and Wabtec convertible preferred stock held by GE are subject to GE’s obligations under the Shareholders Agreement, including, among other things, and in each case subject to certain exceptions, (i) restrictions on the ability to sell, transfer or otherwise divest such shares for a period of 30 days and (ii) an obligation to sell, transfer or otherwise divest (A) by no later than 120 days following the closing date of the Merger, GE’s (and its affiliates’) ownership of Wabtec common stock and/or Wabtec convertible preferred stock so that GE (together with its affiliates) beneficially owns not less than 14.9% and not more than 19.9% of the number of shares of Wabtec common stock that were outstanding immediately after the closing of the Merger, (B) by no later than one year following the closing date of the Merger, GE’s (and its affiliates’) ownership of Wabtec common stock and/or Wabtec convertible preferred stock so that GE (together with its affiliates) beneficially owns not more than 18.5% of the number of shares of Wabtec common stock that were outstanding immediately after the closing of the Merger, in each case of clauses (A) and (B) treating the Wabtec convertible preferred stock as the Wabtec common stock into which it is convertible both for purposes of determining the number of shares of Wabtec common stock owned and for purposes of determining the number of shares of Wabtec common stock outstanding and (C) by no later than the third anniversary of the closing date of the Merger, all of the subject shares that GE (together with its affiliates) beneficially owns, and (iii) an obligation to vote all of such shares of Wabtec common stock in the proportion required under the Shareholders Agreement.</w:t>
      </w:r>
    </w:p>
    <w:p>
      <w:pPr>
        <w:spacing w:after="0" w:line="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After the Merger, SpinCo, which is Wabtec’s wholly owned subsidiary (except with respect to shares of SpinCo Class A preferred stock held by GE), holds the SpinCo business and Direct Sale Purchaser, which also is Wabtec’s wholly owned subsidiary, holds the assets purchased and the liabilities assumed in connection with the Direct Sale. Together, SpinCo and Direct Sale Purchaser own and operate the post-transaction GE Transportation. All shares of the Company’s common stock, including those issued in the Merger, are listed on the NYSE under the Company’s current trading symbol “WAB.” On the date of the Distribution, GE or its subsidiaries and SpinCo or the SpinCo Transferred Subsidiaries entered into additional agreements relating to, among other things, intellectual property, employee matters, tax matters, research and development and transition services.</w:t>
      </w:r>
    </w:p>
    <w:p>
      <w:pPr>
        <w:spacing w:after="0" w:line="16" w:lineRule="exact"/>
        <w:rPr>
          <w:sz w:val="20"/>
          <w:szCs w:val="20"/>
          <w:color w:val="auto"/>
        </w:rPr>
      </w:pPr>
    </w:p>
    <w:p>
      <w:pPr>
        <w:ind w:right="180" w:firstLine="648"/>
        <w:spacing w:after="0" w:line="288" w:lineRule="auto"/>
        <w:rPr>
          <w:sz w:val="20"/>
          <w:szCs w:val="20"/>
          <w:color w:val="auto"/>
        </w:rPr>
      </w:pPr>
      <w:r>
        <w:rPr>
          <w:rFonts w:ascii="Arial" w:cs="Arial" w:eastAsia="Arial" w:hAnsi="Arial"/>
          <w:sz w:val="16"/>
          <w:szCs w:val="16"/>
          <w:color w:val="auto"/>
        </w:rPr>
        <w:t>On May 6, 2019, GE completed the sale of approximately 8,780 shares of Wabtec's Series A Preferred stock which converted upon the sale to 25,300,000 shares of Wabtec's common stock. After the sale Wabtec had approximately 1,220 shares of Series A Preferred Stock outstanding convertible to approximately 3,515,500 shares of common stock and GE's aggregate beneficial ownership percentage of the Company was reduced from approximately</w:t>
      </w:r>
    </w:p>
    <w:p>
      <w:pPr>
        <w:jc w:val="both"/>
        <w:ind w:right="160"/>
        <w:spacing w:after="0" w:line="255" w:lineRule="auto"/>
        <w:rPr>
          <w:sz w:val="20"/>
          <w:szCs w:val="20"/>
          <w:color w:val="auto"/>
        </w:rPr>
      </w:pPr>
      <w:r>
        <w:rPr>
          <w:rFonts w:ascii="Arial" w:cs="Arial" w:eastAsia="Arial" w:hAnsi="Arial"/>
          <w:sz w:val="18"/>
          <w:szCs w:val="18"/>
          <w:color w:val="auto"/>
        </w:rPr>
        <w:t>24.9% to approximately 11.7% on a fully-diluted, as-converted and as-exercised basis. In conjunction with this secondary offering the Company waived the requirement under the shareholders agreement for GE to maintain ownership of at least 14.9% of Wabtec's stock for 120 days following the closing date of the Merger. The Company did not receive any proceeds from the sale of these shares.</w:t>
      </w:r>
    </w:p>
    <w:p>
      <w:pPr>
        <w:spacing w:after="0" w:line="28"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Total future consideration to be paid by Wabtec to GE includes a fixed payment of $470.0 million, which is directly related to the timing of tax benefits expected to be realized by Wabtec as a result of the merger. This payment is considered contingent consideration because the timing of cash payments to GE is directly related to the future timing of tax benefits received by the Company as a result of the merger. The estimated total value of the consideration to be paid by Wabtec in the Transactions is approximately $10.3 billion, including the cash paid for the Direct Sales Assets, equity transferred for SpinCo, contingent consideration, assumed debt and net of cash acquired. The estimated consideration is based on the Company’s closing share price of $73.36 on February 22, 2019 and the preliminary fair value of the contingent consideration. The value of the preliminary purchase price consideration could change when the Company has completed the detailed valuation of the contingent consideration and other necessary calculations.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22" w:right="2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2019 COMPARED TO SECOND QUARTER 2018</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our Consolidated Statements of Operations for the periods indicated.</w:t>
      </w:r>
    </w:p>
    <w:p>
      <w:pPr>
        <w:spacing w:after="0" w:line="150"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3"/>
              </w:rPr>
              <w:t>Three Months Ended</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40" w:type="dxa"/>
            <w:vAlign w:val="bottom"/>
          </w:tcPr>
          <w:p>
            <w:pPr>
              <w:spacing w:after="0"/>
              <w:rPr>
                <w:sz w:val="16"/>
                <w:szCs w:val="16"/>
                <w:color w:val="auto"/>
              </w:rPr>
            </w:pPr>
          </w:p>
        </w:tc>
        <w:tc>
          <w:tcPr>
            <w:tcW w:w="6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w w:val="89"/>
              </w:rPr>
              <w:t>June 30,</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82"/>
              </w:rPr>
              <w:t>In thousands</w:t>
            </w:r>
          </w:p>
        </w:tc>
        <w:tc>
          <w:tcPr>
            <w:tcW w:w="6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ind w:right="43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w w:val="93"/>
              </w:rPr>
              <w:t>Percent Change</w:t>
            </w:r>
          </w:p>
        </w:tc>
        <w:tc>
          <w:tcPr>
            <w:tcW w:w="0" w:type="dxa"/>
            <w:vAlign w:val="bottom"/>
          </w:tcPr>
          <w:p>
            <w:pPr>
              <w:spacing w:after="0"/>
              <w:rPr>
                <w:sz w:val="1"/>
                <w:szCs w:val="1"/>
                <w:color w:val="auto"/>
              </w:rPr>
            </w:pPr>
          </w:p>
        </w:tc>
      </w:tr>
      <w:tr>
        <w:trPr>
          <w:trHeight w:val="21"/>
        </w:trPr>
        <w:tc>
          <w:tcPr>
            <w:tcW w:w="7140" w:type="dxa"/>
            <w:vAlign w:val="bottom"/>
            <w:gridSpan w:val="2"/>
            <w:vMerge w:val="restart"/>
          </w:tcPr>
          <w:p>
            <w:pPr>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714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140" w:type="dxa"/>
            <w:vAlign w:val="bottom"/>
            <w:gridSpan w:val="2"/>
          </w:tcPr>
          <w:p>
            <w:pPr>
              <w:ind w:left="360"/>
              <w:spacing w:after="0"/>
              <w:rPr>
                <w:sz w:val="20"/>
                <w:szCs w:val="20"/>
                <w:color w:val="auto"/>
              </w:rPr>
            </w:pPr>
            <w:r>
              <w:rPr>
                <w:rFonts w:ascii="Arial" w:cs="Arial" w:eastAsia="Arial" w:hAnsi="Arial"/>
                <w:sz w:val="18"/>
                <w:szCs w:val="18"/>
                <w:color w:val="auto"/>
              </w:rPr>
              <w:t>Sales of goods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1,892,508</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1,065,893</w:t>
            </w:r>
          </w:p>
        </w:tc>
        <w:tc>
          <w:tcPr>
            <w:tcW w:w="1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70"/>
        </w:trPr>
        <w:tc>
          <w:tcPr>
            <w:tcW w:w="7140" w:type="dxa"/>
            <w:vAlign w:val="bottom"/>
            <w:gridSpan w:val="2"/>
          </w:tcPr>
          <w:p>
            <w:pPr>
              <w:ind w:left="360"/>
              <w:spacing w:after="0"/>
              <w:rPr>
                <w:sz w:val="20"/>
                <w:szCs w:val="20"/>
                <w:color w:val="auto"/>
              </w:rPr>
            </w:pPr>
            <w:r>
              <w:rPr>
                <w:rFonts w:ascii="Arial" w:cs="Arial" w:eastAsia="Arial" w:hAnsi="Arial"/>
                <w:sz w:val="18"/>
                <w:szCs w:val="18"/>
                <w:color w:val="auto"/>
              </w:rPr>
              <w:t>Sales of services</w:t>
            </w:r>
          </w:p>
        </w:tc>
        <w:tc>
          <w:tcPr>
            <w:tcW w:w="28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343,776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45,787</w:t>
            </w:r>
          </w:p>
        </w:tc>
        <w:tc>
          <w:tcPr>
            <w:tcW w:w="1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650.8%</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6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140" w:type="dxa"/>
            <w:vAlign w:val="bottom"/>
            <w:gridSpan w:val="2"/>
          </w:tcPr>
          <w:p>
            <w:pPr>
              <w:ind w:left="460"/>
              <w:spacing w:after="0"/>
              <w:rPr>
                <w:sz w:val="20"/>
                <w:szCs w:val="20"/>
                <w:color w:val="auto"/>
              </w:rPr>
            </w:pPr>
            <w:r>
              <w:rPr>
                <w:rFonts w:ascii="Arial" w:cs="Arial" w:eastAsia="Arial" w:hAnsi="Arial"/>
                <w:sz w:val="18"/>
                <w:szCs w:val="18"/>
                <w:color w:val="auto"/>
              </w:rPr>
              <w:t>Total net sales</w:t>
            </w:r>
          </w:p>
        </w:tc>
        <w:tc>
          <w:tcPr>
            <w:tcW w:w="28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2,236,284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1,111,680</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70"/>
        </w:trPr>
        <w:tc>
          <w:tcPr>
            <w:tcW w:w="714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140" w:type="dxa"/>
            <w:vAlign w:val="bottom"/>
            <w:gridSpan w:val="2"/>
          </w:tcPr>
          <w:p>
            <w:pPr>
              <w:ind w:left="360"/>
              <w:spacing w:after="0"/>
              <w:rPr>
                <w:sz w:val="20"/>
                <w:szCs w:val="20"/>
                <w:color w:val="auto"/>
              </w:rPr>
            </w:pPr>
            <w:r>
              <w:rPr>
                <w:rFonts w:ascii="Arial" w:cs="Arial" w:eastAsia="Arial" w:hAnsi="Arial"/>
                <w:sz w:val="18"/>
                <w:szCs w:val="18"/>
                <w:color w:val="auto"/>
              </w:rPr>
              <w:t>Cost of goods</w:t>
            </w: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(1,377,758)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(749,097)</w:t>
            </w:r>
          </w:p>
        </w:tc>
        <w:tc>
          <w:tcPr>
            <w:tcW w:w="1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70"/>
        </w:trPr>
        <w:tc>
          <w:tcPr>
            <w:tcW w:w="7140" w:type="dxa"/>
            <w:vAlign w:val="bottom"/>
            <w:gridSpan w:val="2"/>
          </w:tcPr>
          <w:p>
            <w:pPr>
              <w:ind w:left="360"/>
              <w:spacing w:after="0"/>
              <w:rPr>
                <w:sz w:val="20"/>
                <w:szCs w:val="20"/>
                <w:color w:val="auto"/>
              </w:rPr>
            </w:pPr>
            <w:r>
              <w:rPr>
                <w:rFonts w:ascii="Arial" w:cs="Arial" w:eastAsia="Arial" w:hAnsi="Arial"/>
                <w:sz w:val="18"/>
                <w:szCs w:val="18"/>
                <w:color w:val="auto"/>
              </w:rPr>
              <w:t>Cost of services</w:t>
            </w: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(243,850)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(38,616)</w:t>
            </w:r>
          </w:p>
        </w:tc>
        <w:tc>
          <w:tcPr>
            <w:tcW w:w="1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531.5%</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6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140" w:type="dxa"/>
            <w:vAlign w:val="bottom"/>
            <w:gridSpan w:val="2"/>
          </w:tcPr>
          <w:p>
            <w:pPr>
              <w:ind w:left="460"/>
              <w:spacing w:after="0"/>
              <w:rPr>
                <w:sz w:val="20"/>
                <w:szCs w:val="20"/>
                <w:color w:val="auto"/>
              </w:rPr>
            </w:pPr>
            <w:r>
              <w:rPr>
                <w:rFonts w:ascii="Arial" w:cs="Arial" w:eastAsia="Arial" w:hAnsi="Arial"/>
                <w:sz w:val="18"/>
                <w:szCs w:val="18"/>
                <w:color w:val="auto"/>
              </w:rPr>
              <w:t>Total cost of sales</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(1,621,608)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(787,713)</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105.9%</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6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140" w:type="dxa"/>
            <w:vAlign w:val="bottom"/>
            <w:gridSpan w:val="2"/>
          </w:tcPr>
          <w:p>
            <w:pPr>
              <w:ind w:left="14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614,676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323,967</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r>
        <w:trPr>
          <w:trHeight w:val="270"/>
        </w:trPr>
        <w:tc>
          <w:tcPr>
            <w:tcW w:w="71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140" w:type="dxa"/>
            <w:vAlign w:val="bottom"/>
            <w:gridSpan w:val="2"/>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(290,959)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(171,157)</w:t>
            </w:r>
          </w:p>
        </w:tc>
        <w:tc>
          <w:tcPr>
            <w:tcW w:w="1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70"/>
        </w:trPr>
        <w:tc>
          <w:tcPr>
            <w:tcW w:w="7140" w:type="dxa"/>
            <w:vAlign w:val="bottom"/>
            <w:gridSpan w:val="2"/>
          </w:tcPr>
          <w:p>
            <w:pPr>
              <w:ind w:left="360"/>
              <w:spacing w:after="0"/>
              <w:rPr>
                <w:sz w:val="20"/>
                <w:szCs w:val="20"/>
                <w:color w:val="auto"/>
              </w:rPr>
            </w:pPr>
            <w:r>
              <w:rPr>
                <w:rFonts w:ascii="Arial" w:cs="Arial" w:eastAsia="Arial" w:hAnsi="Arial"/>
                <w:sz w:val="18"/>
                <w:szCs w:val="18"/>
                <w:color w:val="auto"/>
              </w:rPr>
              <w:t>Engineering expenses</w:t>
            </w: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(57,120)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(19,388)</w:t>
            </w:r>
          </w:p>
        </w:tc>
        <w:tc>
          <w:tcPr>
            <w:tcW w:w="1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194.6%</w:t>
            </w:r>
          </w:p>
        </w:tc>
        <w:tc>
          <w:tcPr>
            <w:tcW w:w="0" w:type="dxa"/>
            <w:vAlign w:val="bottom"/>
          </w:tcPr>
          <w:p>
            <w:pPr>
              <w:spacing w:after="0"/>
              <w:rPr>
                <w:sz w:val="1"/>
                <w:szCs w:val="1"/>
                <w:color w:val="auto"/>
              </w:rPr>
            </w:pPr>
          </w:p>
        </w:tc>
      </w:tr>
      <w:tr>
        <w:trPr>
          <w:trHeight w:val="270"/>
        </w:trPr>
        <w:tc>
          <w:tcPr>
            <w:tcW w:w="7140" w:type="dxa"/>
            <w:vAlign w:val="bottom"/>
            <w:gridSpan w:val="2"/>
          </w:tcPr>
          <w:p>
            <w:pPr>
              <w:ind w:left="360"/>
              <w:spacing w:after="0"/>
              <w:rPr>
                <w:sz w:val="20"/>
                <w:szCs w:val="20"/>
                <w:color w:val="auto"/>
              </w:rPr>
            </w:pPr>
            <w:r>
              <w:rPr>
                <w:rFonts w:ascii="Arial" w:cs="Arial" w:eastAsia="Arial" w:hAnsi="Arial"/>
                <w:sz w:val="18"/>
                <w:szCs w:val="18"/>
                <w:color w:val="auto"/>
              </w:rPr>
              <w:t>Amortization expense</w:t>
            </w: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(65,960)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(9,899)</w:t>
            </w:r>
          </w:p>
        </w:tc>
        <w:tc>
          <w:tcPr>
            <w:tcW w:w="1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566.3%</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6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140" w:type="dxa"/>
            <w:vAlign w:val="bottom"/>
            <w:gridSpan w:val="2"/>
          </w:tcPr>
          <w:p>
            <w:pPr>
              <w:ind w:left="460"/>
              <w:spacing w:after="0"/>
              <w:rPr>
                <w:sz w:val="20"/>
                <w:szCs w:val="20"/>
                <w:color w:val="auto"/>
              </w:rPr>
            </w:pPr>
            <w:r>
              <w:rPr>
                <w:rFonts w:ascii="Arial" w:cs="Arial" w:eastAsia="Arial" w:hAnsi="Arial"/>
                <w:sz w:val="18"/>
                <w:szCs w:val="18"/>
                <w:color w:val="auto"/>
              </w:rPr>
              <w:t>Total operating expenses</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(414,039)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(200,444)</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6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140" w:type="dxa"/>
            <w:vAlign w:val="bottom"/>
            <w:gridSpan w:val="2"/>
          </w:tcPr>
          <w:p>
            <w:pPr>
              <w:ind w:left="140"/>
              <w:spacing w:after="0"/>
              <w:rPr>
                <w:sz w:val="20"/>
                <w:szCs w:val="20"/>
                <w:color w:val="auto"/>
              </w:rPr>
            </w:pPr>
            <w:r>
              <w:rPr>
                <w:rFonts w:ascii="Arial" w:cs="Arial" w:eastAsia="Arial" w:hAnsi="Arial"/>
                <w:sz w:val="18"/>
                <w:szCs w:val="18"/>
                <w:color w:val="auto"/>
              </w:rPr>
              <w:t>Income from operations</w:t>
            </w:r>
          </w:p>
        </w:tc>
        <w:tc>
          <w:tcPr>
            <w:tcW w:w="28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200,637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123,523</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70"/>
        </w:trPr>
        <w:tc>
          <w:tcPr>
            <w:tcW w:w="7140" w:type="dxa"/>
            <w:vAlign w:val="bottom"/>
            <w:gridSpan w:val="2"/>
          </w:tcPr>
          <w:p>
            <w:pPr>
              <w:spacing w:after="0"/>
              <w:rPr>
                <w:sz w:val="20"/>
                <w:szCs w:val="20"/>
                <w:color w:val="auto"/>
              </w:rPr>
            </w:pPr>
            <w:r>
              <w:rPr>
                <w:rFonts w:ascii="Arial" w:cs="Arial" w:eastAsia="Arial" w:hAnsi="Arial"/>
                <w:sz w:val="18"/>
                <w:szCs w:val="18"/>
                <w:color w:val="auto"/>
              </w:rPr>
              <w:t>Other income and expenses:</w:t>
            </w: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140" w:type="dxa"/>
            <w:vAlign w:val="bottom"/>
            <w:gridSpan w:val="2"/>
          </w:tcPr>
          <w:p>
            <w:pPr>
              <w:ind w:left="36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(58,560)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(31,920)</w:t>
            </w:r>
          </w:p>
        </w:tc>
        <w:tc>
          <w:tcPr>
            <w:tcW w:w="1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70"/>
        </w:trPr>
        <w:tc>
          <w:tcPr>
            <w:tcW w:w="7140" w:type="dxa"/>
            <w:vAlign w:val="bottom"/>
            <w:gridSpan w:val="2"/>
          </w:tcPr>
          <w:p>
            <w:pPr>
              <w:ind w:left="360"/>
              <w:spacing w:after="0"/>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2,177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2,171</w:t>
            </w:r>
          </w:p>
        </w:tc>
        <w:tc>
          <w:tcPr>
            <w:tcW w:w="1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6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140" w:type="dxa"/>
            <w:vAlign w:val="bottom"/>
            <w:gridSpan w:val="2"/>
          </w:tcPr>
          <w:p>
            <w:pPr>
              <w:ind w:left="140"/>
              <w:spacing w:after="0"/>
              <w:rPr>
                <w:sz w:val="20"/>
                <w:szCs w:val="20"/>
                <w:color w:val="auto"/>
              </w:rPr>
            </w:pPr>
            <w:r>
              <w:rPr>
                <w:rFonts w:ascii="Arial" w:cs="Arial" w:eastAsia="Arial" w:hAnsi="Arial"/>
                <w:sz w:val="18"/>
                <w:szCs w:val="18"/>
                <w:color w:val="auto"/>
              </w:rPr>
              <w:t>Income from operations before income taxes</w:t>
            </w:r>
          </w:p>
        </w:tc>
        <w:tc>
          <w:tcPr>
            <w:tcW w:w="28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144,254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93,774</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70"/>
        </w:trPr>
        <w:tc>
          <w:tcPr>
            <w:tcW w:w="7140" w:type="dxa"/>
            <w:vAlign w:val="bottom"/>
            <w:gridSpan w:val="2"/>
          </w:tcPr>
          <w:p>
            <w:pPr>
              <w:ind w:left="36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(41,400)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(10,503)</w:t>
            </w:r>
          </w:p>
        </w:tc>
        <w:tc>
          <w:tcPr>
            <w:tcW w:w="1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294.2%</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6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140" w:type="dxa"/>
            <w:vAlign w:val="bottom"/>
            <w:gridSpan w:val="2"/>
          </w:tcPr>
          <w:p>
            <w:pPr>
              <w:ind w:left="140"/>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102,854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83,271</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70"/>
        </w:trPr>
        <w:tc>
          <w:tcPr>
            <w:tcW w:w="7140" w:type="dxa"/>
            <w:vAlign w:val="bottom"/>
            <w:gridSpan w:val="2"/>
          </w:tcPr>
          <w:p>
            <w:pPr>
              <w:ind w:left="360"/>
              <w:spacing w:after="0"/>
              <w:rPr>
                <w:sz w:val="20"/>
                <w:szCs w:val="20"/>
                <w:color w:val="auto"/>
              </w:rPr>
            </w:pPr>
            <w:r>
              <w:rPr>
                <w:rFonts w:ascii="Arial" w:cs="Arial" w:eastAsia="Arial" w:hAnsi="Arial"/>
                <w:sz w:val="18"/>
                <w:szCs w:val="18"/>
                <w:color w:val="auto"/>
              </w:rPr>
              <w:t>Less: Net loss attributable to noncontrolling interest</w:t>
            </w:r>
          </w:p>
        </w:tc>
        <w:tc>
          <w:tcPr>
            <w:tcW w:w="28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1,381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1,145</w:t>
            </w:r>
          </w:p>
        </w:tc>
        <w:tc>
          <w:tcPr>
            <w:tcW w:w="1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6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140" w:type="dxa"/>
            <w:vAlign w:val="bottom"/>
            <w:gridSpan w:val="2"/>
          </w:tcPr>
          <w:p>
            <w:pPr>
              <w:ind w:left="140"/>
              <w:spacing w:after="0"/>
              <w:rPr>
                <w:sz w:val="20"/>
                <w:szCs w:val="20"/>
                <w:color w:val="auto"/>
              </w:rPr>
            </w:pPr>
            <w:r>
              <w:rPr>
                <w:rFonts w:ascii="Arial" w:cs="Arial" w:eastAsia="Arial" w:hAnsi="Arial"/>
                <w:sz w:val="18"/>
                <w:szCs w:val="18"/>
                <w:color w:val="auto"/>
              </w:rPr>
              <w:t>Net income attributable to Wabtec shareholders</w:t>
            </w: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104,235</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84,416</w:t>
            </w:r>
          </w:p>
        </w:tc>
        <w:tc>
          <w:tcPr>
            <w:tcW w:w="100" w:type="dxa"/>
            <w:vAlign w:val="bottom"/>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major components of the change in sales in the second quarter of 2019 from the second quarter of 2018:</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Freight</w:t>
            </w:r>
          </w:p>
        </w:tc>
        <w:tc>
          <w:tcPr>
            <w:tcW w:w="420" w:type="dxa"/>
            <w:vAlign w:val="bottom"/>
          </w:tcPr>
          <w:p>
            <w:pPr>
              <w:spacing w:after="0"/>
              <w:rPr>
                <w:sz w:val="14"/>
                <w:szCs w:val="14"/>
                <w:color w:val="auto"/>
              </w:rPr>
            </w:pPr>
          </w:p>
        </w:tc>
        <w:tc>
          <w:tcPr>
            <w:tcW w:w="16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Transit</w:t>
            </w:r>
          </w:p>
        </w:tc>
        <w:tc>
          <w:tcPr>
            <w:tcW w:w="480" w:type="dxa"/>
            <w:vAlign w:val="bottom"/>
          </w:tcPr>
          <w:p>
            <w:pPr>
              <w:spacing w:after="0"/>
              <w:rPr>
                <w:sz w:val="14"/>
                <w:szCs w:val="14"/>
                <w:color w:val="auto"/>
              </w:rPr>
            </w:pPr>
          </w:p>
        </w:tc>
        <w:tc>
          <w:tcPr>
            <w:tcW w:w="1460" w:type="dxa"/>
            <w:vAlign w:val="bottom"/>
            <w:vMerge w:val="restart"/>
          </w:tcPr>
          <w:p>
            <w:pPr>
              <w:jc w:val="right"/>
              <w:ind w:right="7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534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180" w:type="dxa"/>
            <w:vAlign w:val="bottom"/>
          </w:tcPr>
          <w:p>
            <w:pPr>
              <w:spacing w:after="0"/>
              <w:rPr>
                <w:sz w:val="13"/>
                <w:szCs w:val="13"/>
                <w:color w:val="auto"/>
              </w:rPr>
            </w:pPr>
          </w:p>
        </w:tc>
        <w:tc>
          <w:tcPr>
            <w:tcW w:w="18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1"/>
              </w:rPr>
              <w:t>Segment</w:t>
            </w:r>
          </w:p>
        </w:tc>
        <w:tc>
          <w:tcPr>
            <w:tcW w:w="420" w:type="dxa"/>
            <w:vAlign w:val="bottom"/>
          </w:tcPr>
          <w:p>
            <w:pPr>
              <w:spacing w:after="0"/>
              <w:rPr>
                <w:sz w:val="13"/>
                <w:szCs w:val="13"/>
                <w:color w:val="auto"/>
              </w:rPr>
            </w:pPr>
          </w:p>
        </w:tc>
        <w:tc>
          <w:tcPr>
            <w:tcW w:w="1620" w:type="dxa"/>
            <w:vAlign w:val="bottom"/>
            <w:gridSpan w:val="2"/>
          </w:tcPr>
          <w:p>
            <w:pPr>
              <w:jc w:val="center"/>
              <w:ind w:right="500"/>
              <w:spacing w:after="0" w:line="158" w:lineRule="exact"/>
              <w:rPr>
                <w:sz w:val="20"/>
                <w:szCs w:val="20"/>
                <w:color w:val="auto"/>
              </w:rPr>
            </w:pPr>
            <w:r>
              <w:rPr>
                <w:rFonts w:ascii="Arial" w:cs="Arial" w:eastAsia="Arial" w:hAnsi="Arial"/>
                <w:sz w:val="14"/>
                <w:szCs w:val="14"/>
                <w:b w:val="1"/>
                <w:bCs w:val="1"/>
                <w:color w:val="auto"/>
                <w:w w:val="87"/>
              </w:rPr>
              <w:t>Segment</w:t>
            </w:r>
          </w:p>
        </w:tc>
        <w:tc>
          <w:tcPr>
            <w:tcW w:w="48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5340" w:type="dxa"/>
            <w:vAlign w:val="bottom"/>
            <w:gridSpan w:val="2"/>
          </w:tcPr>
          <w:p>
            <w:pPr>
              <w:spacing w:after="0"/>
              <w:rPr>
                <w:sz w:val="20"/>
                <w:szCs w:val="20"/>
                <w:color w:val="auto"/>
              </w:rPr>
            </w:pPr>
            <w:r>
              <w:rPr>
                <w:rFonts w:ascii="Arial" w:cs="Arial" w:eastAsia="Arial" w:hAnsi="Arial"/>
                <w:sz w:val="18"/>
                <w:szCs w:val="18"/>
                <w:color w:val="auto"/>
              </w:rPr>
              <w:t>Second Quarter 2018 Net Sales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3"/>
              <w:spacing w:after="0"/>
              <w:rPr>
                <w:sz w:val="20"/>
                <w:szCs w:val="20"/>
                <w:color w:val="auto"/>
              </w:rPr>
            </w:pPr>
            <w:r>
              <w:rPr>
                <w:rFonts w:ascii="Arial" w:cs="Arial" w:eastAsia="Arial" w:hAnsi="Arial"/>
                <w:sz w:val="18"/>
                <w:szCs w:val="18"/>
                <w:color w:val="auto"/>
              </w:rPr>
              <w:t>412,258</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699,422</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1,111,680</w:t>
            </w:r>
          </w:p>
        </w:tc>
        <w:tc>
          <w:tcPr>
            <w:tcW w:w="0" w:type="dxa"/>
            <w:vAlign w:val="bottom"/>
          </w:tcPr>
          <w:p>
            <w:pPr>
              <w:spacing w:after="0"/>
              <w:rPr>
                <w:sz w:val="1"/>
                <w:szCs w:val="1"/>
                <w:color w:val="auto"/>
              </w:rPr>
            </w:pPr>
          </w:p>
        </w:tc>
      </w:tr>
      <w:tr>
        <w:trPr>
          <w:trHeight w:val="270"/>
        </w:trPr>
        <w:tc>
          <w:tcPr>
            <w:tcW w:w="5340" w:type="dxa"/>
            <w:vAlign w:val="bottom"/>
            <w:gridSpan w:val="2"/>
          </w:tcPr>
          <w:p>
            <w:pPr>
              <w:spacing w:after="0"/>
              <w:rPr>
                <w:sz w:val="20"/>
                <w:szCs w:val="20"/>
                <w:color w:val="auto"/>
              </w:rPr>
            </w:pPr>
            <w:r>
              <w:rPr>
                <w:rFonts w:ascii="Arial" w:cs="Arial" w:eastAsia="Arial" w:hAnsi="Arial"/>
                <w:sz w:val="18"/>
                <w:szCs w:val="18"/>
                <w:color w:val="auto"/>
              </w:rPr>
              <w:t>Acquisitions</w:t>
            </w:r>
          </w:p>
        </w:tc>
        <w:tc>
          <w:tcPr>
            <w:tcW w:w="180" w:type="dxa"/>
            <w:vAlign w:val="bottom"/>
          </w:tcPr>
          <w:p>
            <w:pPr>
              <w:spacing w:after="0"/>
              <w:rPr>
                <w:sz w:val="23"/>
                <w:szCs w:val="23"/>
                <w:color w:val="auto"/>
              </w:rPr>
            </w:pPr>
          </w:p>
        </w:tc>
        <w:tc>
          <w:tcPr>
            <w:tcW w:w="1780" w:type="dxa"/>
            <w:vAlign w:val="bottom"/>
          </w:tcPr>
          <w:p>
            <w:pPr>
              <w:jc w:val="right"/>
              <w:ind w:right="13"/>
              <w:spacing w:after="0"/>
              <w:rPr>
                <w:sz w:val="20"/>
                <w:szCs w:val="20"/>
                <w:color w:val="auto"/>
              </w:rPr>
            </w:pPr>
            <w:r>
              <w:rPr>
                <w:rFonts w:ascii="Arial" w:cs="Arial" w:eastAsia="Arial" w:hAnsi="Arial"/>
                <w:sz w:val="18"/>
                <w:szCs w:val="18"/>
                <w:color w:val="auto"/>
              </w:rPr>
              <w:t>1,122,134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2,842</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1,124,976</w:t>
            </w:r>
          </w:p>
        </w:tc>
        <w:tc>
          <w:tcPr>
            <w:tcW w:w="0" w:type="dxa"/>
            <w:vAlign w:val="bottom"/>
          </w:tcPr>
          <w:p>
            <w:pPr>
              <w:spacing w:after="0"/>
              <w:rPr>
                <w:sz w:val="1"/>
                <w:szCs w:val="1"/>
                <w:color w:val="auto"/>
              </w:rPr>
            </w:pPr>
          </w:p>
        </w:tc>
      </w:tr>
      <w:tr>
        <w:trPr>
          <w:trHeight w:val="270"/>
        </w:trPr>
        <w:tc>
          <w:tcPr>
            <w:tcW w:w="5340" w:type="dxa"/>
            <w:vAlign w:val="bottom"/>
            <w:gridSpan w:val="2"/>
          </w:tcPr>
          <w:p>
            <w:pPr>
              <w:spacing w:after="0"/>
              <w:rPr>
                <w:sz w:val="20"/>
                <w:szCs w:val="20"/>
                <w:color w:val="auto"/>
              </w:rPr>
            </w:pPr>
            <w:r>
              <w:rPr>
                <w:rFonts w:ascii="Arial" w:cs="Arial" w:eastAsia="Arial" w:hAnsi="Arial"/>
                <w:sz w:val="18"/>
                <w:szCs w:val="18"/>
                <w:color w:val="auto"/>
              </w:rPr>
              <w:t>Change in Sales by Product Line:</w:t>
            </w:r>
          </w:p>
        </w:tc>
        <w:tc>
          <w:tcPr>
            <w:tcW w:w="1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340" w:type="dxa"/>
            <w:vAlign w:val="bottom"/>
            <w:gridSpan w:val="2"/>
          </w:tcPr>
          <w:p>
            <w:pPr>
              <w:ind w:left="240"/>
              <w:spacing w:after="0"/>
              <w:rPr>
                <w:sz w:val="20"/>
                <w:szCs w:val="20"/>
                <w:color w:val="auto"/>
              </w:rPr>
            </w:pPr>
            <w:r>
              <w:rPr>
                <w:rFonts w:ascii="Arial" w:cs="Arial" w:eastAsia="Arial" w:hAnsi="Arial"/>
                <w:sz w:val="18"/>
                <w:szCs w:val="18"/>
                <w:color w:val="auto"/>
              </w:rPr>
              <w:t>Transit Products</w:t>
            </w:r>
          </w:p>
        </w:tc>
        <w:tc>
          <w:tcPr>
            <w:tcW w:w="180" w:type="dxa"/>
            <w:vAlign w:val="bottom"/>
          </w:tcPr>
          <w:p>
            <w:pPr>
              <w:spacing w:after="0"/>
              <w:rPr>
                <w:sz w:val="23"/>
                <w:szCs w:val="23"/>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57,885</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57,885</w:t>
            </w:r>
          </w:p>
        </w:tc>
        <w:tc>
          <w:tcPr>
            <w:tcW w:w="0" w:type="dxa"/>
            <w:vAlign w:val="bottom"/>
          </w:tcPr>
          <w:p>
            <w:pPr>
              <w:spacing w:after="0"/>
              <w:rPr>
                <w:sz w:val="1"/>
                <w:szCs w:val="1"/>
                <w:color w:val="auto"/>
              </w:rPr>
            </w:pPr>
          </w:p>
        </w:tc>
      </w:tr>
      <w:tr>
        <w:trPr>
          <w:trHeight w:val="270"/>
        </w:trPr>
        <w:tc>
          <w:tcPr>
            <w:tcW w:w="5340" w:type="dxa"/>
            <w:vAlign w:val="bottom"/>
            <w:gridSpan w:val="2"/>
          </w:tcPr>
          <w:p>
            <w:pPr>
              <w:ind w:left="240"/>
              <w:spacing w:after="0"/>
              <w:rPr>
                <w:sz w:val="20"/>
                <w:szCs w:val="20"/>
                <w:color w:val="auto"/>
              </w:rPr>
            </w:pPr>
            <w:r>
              <w:rPr>
                <w:rFonts w:ascii="Arial" w:cs="Arial" w:eastAsia="Arial" w:hAnsi="Arial"/>
                <w:sz w:val="18"/>
                <w:szCs w:val="18"/>
                <w:color w:val="auto"/>
              </w:rPr>
              <w:t>Brake Products</w:t>
            </w:r>
          </w:p>
        </w:tc>
        <w:tc>
          <w:tcPr>
            <w:tcW w:w="180" w:type="dxa"/>
            <w:vAlign w:val="bottom"/>
          </w:tcPr>
          <w:p>
            <w:pPr>
              <w:spacing w:after="0"/>
              <w:rPr>
                <w:sz w:val="23"/>
                <w:szCs w:val="23"/>
                <w:color w:val="auto"/>
              </w:rPr>
            </w:pPr>
          </w:p>
        </w:tc>
        <w:tc>
          <w:tcPr>
            <w:tcW w:w="1780" w:type="dxa"/>
            <w:vAlign w:val="bottom"/>
          </w:tcPr>
          <w:p>
            <w:pPr>
              <w:jc w:val="right"/>
              <w:ind w:right="13"/>
              <w:spacing w:after="0"/>
              <w:rPr>
                <w:sz w:val="20"/>
                <w:szCs w:val="20"/>
                <w:color w:val="auto"/>
              </w:rPr>
            </w:pPr>
            <w:r>
              <w:rPr>
                <w:rFonts w:ascii="Arial" w:cs="Arial" w:eastAsia="Arial" w:hAnsi="Arial"/>
                <w:sz w:val="18"/>
                <w:szCs w:val="18"/>
                <w:color w:val="auto"/>
              </w:rPr>
              <w:t>4,153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30,470</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34,623</w:t>
            </w:r>
          </w:p>
        </w:tc>
        <w:tc>
          <w:tcPr>
            <w:tcW w:w="0" w:type="dxa"/>
            <w:vAlign w:val="bottom"/>
          </w:tcPr>
          <w:p>
            <w:pPr>
              <w:spacing w:after="0"/>
              <w:rPr>
                <w:sz w:val="1"/>
                <w:szCs w:val="1"/>
                <w:color w:val="auto"/>
              </w:rPr>
            </w:pPr>
          </w:p>
        </w:tc>
      </w:tr>
      <w:tr>
        <w:trPr>
          <w:trHeight w:val="270"/>
        </w:trPr>
        <w:tc>
          <w:tcPr>
            <w:tcW w:w="5340" w:type="dxa"/>
            <w:vAlign w:val="bottom"/>
            <w:gridSpan w:val="2"/>
          </w:tcPr>
          <w:p>
            <w:pPr>
              <w:ind w:left="240"/>
              <w:spacing w:after="0"/>
              <w:rPr>
                <w:sz w:val="20"/>
                <w:szCs w:val="20"/>
                <w:color w:val="auto"/>
              </w:rPr>
            </w:pPr>
            <w:r>
              <w:rPr>
                <w:rFonts w:ascii="Arial" w:cs="Arial" w:eastAsia="Arial" w:hAnsi="Arial"/>
                <w:sz w:val="18"/>
                <w:szCs w:val="18"/>
                <w:color w:val="auto"/>
              </w:rPr>
              <w:t>Remanufacturing, Overhaul &amp; Build</w:t>
            </w:r>
          </w:p>
        </w:tc>
        <w:tc>
          <w:tcPr>
            <w:tcW w:w="18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(3,872)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9,699</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5,827</w:t>
            </w:r>
          </w:p>
        </w:tc>
        <w:tc>
          <w:tcPr>
            <w:tcW w:w="0" w:type="dxa"/>
            <w:vAlign w:val="bottom"/>
          </w:tcPr>
          <w:p>
            <w:pPr>
              <w:spacing w:after="0"/>
              <w:rPr>
                <w:sz w:val="1"/>
                <w:szCs w:val="1"/>
                <w:color w:val="auto"/>
              </w:rPr>
            </w:pPr>
          </w:p>
        </w:tc>
      </w:tr>
      <w:tr>
        <w:trPr>
          <w:trHeight w:val="270"/>
        </w:trPr>
        <w:tc>
          <w:tcPr>
            <w:tcW w:w="5340" w:type="dxa"/>
            <w:vAlign w:val="bottom"/>
            <w:gridSpan w:val="2"/>
          </w:tcPr>
          <w:p>
            <w:pPr>
              <w:ind w:left="240"/>
              <w:spacing w:after="0"/>
              <w:rPr>
                <w:sz w:val="20"/>
                <w:szCs w:val="20"/>
                <w:color w:val="auto"/>
              </w:rPr>
            </w:pPr>
            <w:r>
              <w:rPr>
                <w:rFonts w:ascii="Arial" w:cs="Arial" w:eastAsia="Arial" w:hAnsi="Arial"/>
                <w:sz w:val="18"/>
                <w:szCs w:val="18"/>
                <w:color w:val="auto"/>
              </w:rPr>
              <w:t>Specialty Products &amp; Electronics</w:t>
            </w:r>
          </w:p>
        </w:tc>
        <w:tc>
          <w:tcPr>
            <w:tcW w:w="18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(35,891)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(16,685)</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(52,576)</w:t>
            </w:r>
          </w:p>
        </w:tc>
        <w:tc>
          <w:tcPr>
            <w:tcW w:w="0" w:type="dxa"/>
            <w:vAlign w:val="bottom"/>
          </w:tcPr>
          <w:p>
            <w:pPr>
              <w:spacing w:after="0"/>
              <w:rPr>
                <w:sz w:val="1"/>
                <w:szCs w:val="1"/>
                <w:color w:val="auto"/>
              </w:rPr>
            </w:pPr>
          </w:p>
        </w:tc>
      </w:tr>
      <w:tr>
        <w:trPr>
          <w:trHeight w:val="270"/>
        </w:trPr>
        <w:tc>
          <w:tcPr>
            <w:tcW w:w="5340" w:type="dxa"/>
            <w:vAlign w:val="bottom"/>
            <w:gridSpan w:val="2"/>
          </w:tcPr>
          <w:p>
            <w:pPr>
              <w:ind w:left="2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3"/>
                <w:szCs w:val="23"/>
                <w:color w:val="auto"/>
              </w:rPr>
            </w:pPr>
          </w:p>
        </w:tc>
        <w:tc>
          <w:tcPr>
            <w:tcW w:w="1780" w:type="dxa"/>
            <w:vAlign w:val="bottom"/>
          </w:tcPr>
          <w:p>
            <w:pPr>
              <w:jc w:val="right"/>
              <w:ind w:right="13"/>
              <w:spacing w:after="0"/>
              <w:rPr>
                <w:sz w:val="20"/>
                <w:szCs w:val="20"/>
                <w:color w:val="auto"/>
              </w:rPr>
            </w:pPr>
            <w:r>
              <w:rPr>
                <w:rFonts w:ascii="Arial" w:cs="Arial" w:eastAsia="Arial" w:hAnsi="Arial"/>
                <w:sz w:val="18"/>
                <w:szCs w:val="18"/>
                <w:color w:val="auto"/>
              </w:rPr>
              <w:t>1,581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1,489</w:t>
            </w:r>
          </w:p>
        </w:tc>
        <w:tc>
          <w:tcPr>
            <w:tcW w:w="0" w:type="dxa"/>
            <w:vAlign w:val="bottom"/>
          </w:tcPr>
          <w:p>
            <w:pPr>
              <w:spacing w:after="0"/>
              <w:rPr>
                <w:sz w:val="1"/>
                <w:szCs w:val="1"/>
                <w:color w:val="auto"/>
              </w:rPr>
            </w:pPr>
          </w:p>
        </w:tc>
      </w:tr>
      <w:tr>
        <w:trPr>
          <w:trHeight w:val="270"/>
        </w:trPr>
        <w:tc>
          <w:tcPr>
            <w:tcW w:w="5340" w:type="dxa"/>
            <w:vAlign w:val="bottom"/>
            <w:gridSpan w:val="2"/>
          </w:tcPr>
          <w:p>
            <w:pPr>
              <w:spacing w:after="0"/>
              <w:rPr>
                <w:sz w:val="20"/>
                <w:szCs w:val="20"/>
                <w:color w:val="auto"/>
              </w:rPr>
            </w:pPr>
            <w:r>
              <w:rPr>
                <w:rFonts w:ascii="Arial" w:cs="Arial" w:eastAsia="Arial" w:hAnsi="Arial"/>
                <w:sz w:val="18"/>
                <w:szCs w:val="18"/>
                <w:color w:val="auto"/>
              </w:rPr>
              <w:t>Foreign exchange</w:t>
            </w:r>
          </w:p>
        </w:tc>
        <w:tc>
          <w:tcPr>
            <w:tcW w:w="18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(6,414)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(41,206)</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(47,620)</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40" w:type="dxa"/>
            <w:vAlign w:val="bottom"/>
            <w:gridSpan w:val="2"/>
          </w:tcPr>
          <w:p>
            <w:pPr>
              <w:spacing w:after="0"/>
              <w:rPr>
                <w:sz w:val="20"/>
                <w:szCs w:val="20"/>
                <w:color w:val="auto"/>
              </w:rPr>
            </w:pPr>
            <w:r>
              <w:rPr>
                <w:rFonts w:ascii="Arial" w:cs="Arial" w:eastAsia="Arial" w:hAnsi="Arial"/>
                <w:sz w:val="18"/>
                <w:szCs w:val="18"/>
                <w:color w:val="auto"/>
              </w:rPr>
              <w:t>Second Quarter 2019 Net Sales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1,493,949</w:t>
            </w:r>
          </w:p>
        </w:tc>
        <w:tc>
          <w:tcPr>
            <w:tcW w:w="100" w:type="dxa"/>
            <w:vAlign w:val="bottom"/>
          </w:tcPr>
          <w:p>
            <w:pPr>
              <w:spacing w:after="0"/>
              <w:rPr>
                <w:sz w:val="22"/>
                <w:szCs w:val="22"/>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742,335</w:t>
            </w:r>
          </w:p>
        </w:tc>
        <w:tc>
          <w:tcPr>
            <w:tcW w:w="100" w:type="dxa"/>
            <w:vAlign w:val="bottom"/>
          </w:tcPr>
          <w:p>
            <w:pPr>
              <w:spacing w:after="0"/>
              <w:rPr>
                <w:sz w:val="22"/>
                <w:szCs w:val="22"/>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2,236,284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7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jc w:val="right"/>
              <w:ind w:right="1453"/>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ind w:right="140" w:firstLine="500"/>
        <w:spacing w:after="0" w:line="255" w:lineRule="auto"/>
        <w:rPr>
          <w:sz w:val="20"/>
          <w:szCs w:val="20"/>
          <w:color w:val="auto"/>
        </w:rPr>
      </w:pPr>
      <w:r>
        <w:rPr>
          <w:rFonts w:ascii="Arial" w:cs="Arial" w:eastAsia="Arial" w:hAnsi="Arial"/>
          <w:sz w:val="18"/>
          <w:szCs w:val="18"/>
          <w:color w:val="auto"/>
        </w:rPr>
        <w:t>Net sales for the three months ended June 30, 2019 increased by $1.12 billion, or 101%, to $2.24 billion. The increase is primarily due to sales from acquisitions of $1.12 billion, mainly, the acquisition of GE Transportation. GE Transportation contributed $1.12 billion of net sales in the quarter primarily from equipment products and services. Additionally, Transit Segment sales increased $43 million primarily due to increased original equipment project deliveries for HVAC and door systems, and Brake Products. These increases were partially offset by a decrease in Specialty Products and Electronics of $53 million due to the completion of a large signaling project in 2018 and lower PTC hardware sales. Unfavorable changes in foreign exchange rates reduced sales by $48 million.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121" w:lineRule="exact"/>
        <w:rPr>
          <w:sz w:val="20"/>
          <w:szCs w:val="20"/>
          <w:color w:val="auto"/>
        </w:rPr>
      </w:pPr>
    </w:p>
    <w:p>
      <w:pPr>
        <w:ind w:right="140" w:firstLine="500"/>
        <w:spacing w:after="0" w:line="273" w:lineRule="auto"/>
        <w:rPr>
          <w:sz w:val="20"/>
          <w:szCs w:val="20"/>
          <w:color w:val="auto"/>
        </w:rPr>
      </w:pPr>
      <w:r>
        <w:rPr>
          <w:rFonts w:ascii="Arial" w:cs="Arial" w:eastAsia="Arial" w:hAnsi="Arial"/>
          <w:sz w:val="17"/>
          <w:szCs w:val="17"/>
          <w:color w:val="auto"/>
        </w:rPr>
        <w:t>Cost of sales increased by $834 million to $1.62 billion in 2019 compared to $788 million in 2018. The increase is primarily due to $844 million of incremental cost of sales from acquisitions, mainly from the acquisition of GE Transportation. In the second quarter of 2019, cost of sales as a percentage of sales was 72.5% compared to 70.9% in the same period of 2018. Cost of sales in 2019 includes $89 million of non-recurring costs related to purchase price accounting for the step-up of GE Transportation inventory on the date of acquisition. Excluding these non-recurring costs, cost of sales as a percentage of sales was 68.5% in 2019, a decrease from the prior year due to higher margin Freight Segment sales increased and a favorable product shift in the Transit Segment to brake and HVAC systems from lower margin overhaul projects.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right="260" w:firstLine="500"/>
        <w:spacing w:after="0" w:line="302" w:lineRule="auto"/>
        <w:rPr>
          <w:sz w:val="20"/>
          <w:szCs w:val="20"/>
          <w:color w:val="auto"/>
        </w:rPr>
      </w:pPr>
      <w:r>
        <w:rPr>
          <w:rFonts w:ascii="Arial" w:cs="Arial" w:eastAsia="Arial" w:hAnsi="Arial"/>
          <w:sz w:val="16"/>
          <w:szCs w:val="16"/>
          <w:color w:val="auto"/>
        </w:rPr>
        <w:t>Total operating expenses as a percentage of sales increased to 18.5% of sales in the second quarter of 2019 compared to 18.0% during the second quarter of 2018. Selling, general, and administrative expenses increased $120 million or 70.0%, primarily due to $94 million in incremental expense from acquisitions, mainly GE Transportation, and $31 million in transaction and restructuring costs related to the acquisition of GE Transportation. Engineering expense increased $38 million and amortization expense increased $56 million due to incremental expense from the GE Transportation acquisition.</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121" w:lineRule="exact"/>
        <w:rPr>
          <w:sz w:val="20"/>
          <w:szCs w:val="20"/>
          <w:color w:val="auto"/>
        </w:rPr>
      </w:pPr>
    </w:p>
    <w:p>
      <w:pPr>
        <w:ind w:right="180" w:firstLine="500"/>
        <w:spacing w:after="0" w:line="277" w:lineRule="auto"/>
        <w:rPr>
          <w:sz w:val="20"/>
          <w:szCs w:val="20"/>
          <w:color w:val="auto"/>
        </w:rPr>
      </w:pPr>
      <w:r>
        <w:rPr>
          <w:rFonts w:ascii="Arial" w:cs="Arial" w:eastAsia="Arial" w:hAnsi="Arial"/>
          <w:sz w:val="18"/>
          <w:szCs w:val="18"/>
          <w:color w:val="auto"/>
        </w:rPr>
        <w:t>Interest expense, net, increased $27 million in the second quarter of 2019 over the same period in 2018 attributable to higher overall debt balances in 2019, related to the GE Transportation acquisition.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firstLine="500"/>
        <w:spacing w:after="0" w:line="257" w:lineRule="auto"/>
        <w:rPr>
          <w:sz w:val="20"/>
          <w:szCs w:val="20"/>
          <w:color w:val="auto"/>
        </w:rPr>
      </w:pPr>
      <w:r>
        <w:rPr>
          <w:rFonts w:ascii="Arial" w:cs="Arial" w:eastAsia="Arial" w:hAnsi="Arial"/>
          <w:sz w:val="18"/>
          <w:szCs w:val="18"/>
          <w:color w:val="auto"/>
        </w:rPr>
        <w:t>The effective income tax rate was 28.7% and 11.2% for the second quarter of 2019 and 2018, respectively. The increase in the effective rate for the three months ended June 30, 2019 is primarily the result of a $13 million benefit recorded in the second quarter of 2018 to revise estimates of the impact of U.S. tax legislation on the Transition Tax on unrepatriated earnings and the deductibility of certain executive compensation. In addition, the rate increased due to non-deductible transaction related expenses incurred as a result of the acquisition of GE Transportation as well as increased estimated liabilities resulting from provisions of the Tax Cuts and Jobs Act.</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72" w:right="2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Freight Segment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our Consolidated Statements of Operations for our Freight Segment for the periods indicated.</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2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1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2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500" w:type="dxa"/>
            <w:vAlign w:val="bottom"/>
          </w:tcPr>
          <w:p>
            <w:pPr>
              <w:spacing w:after="0"/>
              <w:rPr>
                <w:sz w:val="19"/>
                <w:szCs w:val="19"/>
                <w:color w:val="auto"/>
              </w:rPr>
            </w:pPr>
          </w:p>
        </w:tc>
        <w:tc>
          <w:tcPr>
            <w:tcW w:w="1500" w:type="dxa"/>
            <w:vAlign w:val="bottom"/>
          </w:tcPr>
          <w:p>
            <w:pPr>
              <w:jc w:val="right"/>
              <w:ind w:right="77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ind w:right="75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1980" w:type="dxa"/>
            <w:vAlign w:val="bottom"/>
          </w:tcPr>
          <w:p>
            <w:pPr>
              <w:jc w:val="right"/>
              <w:ind w:right="412"/>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21"/>
        </w:trPr>
        <w:tc>
          <w:tcPr>
            <w:tcW w:w="72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color w:val="auto"/>
                <w:w w:val="87"/>
              </w:rPr>
              <w:t>Net sales:</w:t>
            </w:r>
          </w:p>
        </w:tc>
        <w:tc>
          <w:tcPr>
            <w:tcW w:w="4480" w:type="dxa"/>
            <w:vAlign w:val="bottom"/>
            <w:vMerge w:val="restart"/>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720" w:type="dxa"/>
            <w:vAlign w:val="bottom"/>
            <w:vMerge w:val="continue"/>
          </w:tcPr>
          <w:p>
            <w:pPr>
              <w:spacing w:after="0"/>
              <w:rPr>
                <w:sz w:val="20"/>
                <w:szCs w:val="20"/>
                <w:color w:val="auto"/>
              </w:rPr>
            </w:pPr>
          </w:p>
        </w:tc>
        <w:tc>
          <w:tcPr>
            <w:tcW w:w="4480" w:type="dxa"/>
            <w:vAlign w:val="bottom"/>
            <w:vMerge w:val="continue"/>
          </w:tcPr>
          <w:p>
            <w:pPr>
              <w:spacing w:after="0"/>
              <w:rPr>
                <w:sz w:val="20"/>
                <w:szCs w:val="20"/>
                <w:color w:val="auto"/>
              </w:rPr>
            </w:pPr>
          </w:p>
        </w:tc>
        <w:tc>
          <w:tcPr>
            <w:tcW w:w="5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200" w:type="dxa"/>
            <w:vAlign w:val="bottom"/>
            <w:gridSpan w:val="2"/>
          </w:tcPr>
          <w:p>
            <w:pPr>
              <w:ind w:left="340"/>
              <w:spacing w:after="0"/>
              <w:rPr>
                <w:sz w:val="20"/>
                <w:szCs w:val="20"/>
                <w:color w:val="auto"/>
              </w:rPr>
            </w:pPr>
            <w:r>
              <w:rPr>
                <w:rFonts w:ascii="Arial" w:cs="Arial" w:eastAsia="Arial" w:hAnsi="Arial"/>
                <w:sz w:val="18"/>
                <w:szCs w:val="18"/>
                <w:color w:val="auto"/>
              </w:rPr>
              <w:t>Sales of goods</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2"/>
              <w:spacing w:after="0"/>
              <w:rPr>
                <w:sz w:val="20"/>
                <w:szCs w:val="20"/>
                <w:color w:val="auto"/>
              </w:rPr>
            </w:pPr>
            <w:r>
              <w:rPr>
                <w:rFonts w:ascii="Arial" w:cs="Arial" w:eastAsia="Arial" w:hAnsi="Arial"/>
                <w:sz w:val="18"/>
                <w:szCs w:val="18"/>
                <w:color w:val="auto"/>
              </w:rPr>
              <w:t>1,161,919</w:t>
            </w:r>
          </w:p>
        </w:tc>
        <w:tc>
          <w:tcPr>
            <w:tcW w:w="100" w:type="dxa"/>
            <w:vAlign w:val="bottom"/>
          </w:tcPr>
          <w:p>
            <w:pPr>
              <w:spacing w:after="0"/>
              <w:rPr>
                <w:sz w:val="23"/>
                <w:szCs w:val="23"/>
                <w:color w:val="auto"/>
              </w:rPr>
            </w:pPr>
          </w:p>
        </w:tc>
        <w:tc>
          <w:tcPr>
            <w:tcW w:w="480" w:type="dxa"/>
            <w:vAlign w:val="bottom"/>
          </w:tcPr>
          <w:p>
            <w:pPr>
              <w:jc w:val="right"/>
              <w:ind w:right="279"/>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92"/>
              <w:spacing w:after="0"/>
              <w:rPr>
                <w:sz w:val="20"/>
                <w:szCs w:val="20"/>
                <w:color w:val="auto"/>
              </w:rPr>
            </w:pPr>
            <w:r>
              <w:rPr>
                <w:rFonts w:ascii="Arial" w:cs="Arial" w:eastAsia="Arial" w:hAnsi="Arial"/>
                <w:sz w:val="18"/>
                <w:szCs w:val="18"/>
                <w:color w:val="auto"/>
              </w:rPr>
              <w:t>377,794</w:t>
            </w:r>
          </w:p>
        </w:tc>
        <w:tc>
          <w:tcPr>
            <w:tcW w:w="120" w:type="dxa"/>
            <w:vAlign w:val="bottom"/>
          </w:tcPr>
          <w:p>
            <w:pPr>
              <w:spacing w:after="0"/>
              <w:rPr>
                <w:sz w:val="23"/>
                <w:szCs w:val="23"/>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207.6%</w:t>
            </w:r>
          </w:p>
        </w:tc>
        <w:tc>
          <w:tcPr>
            <w:tcW w:w="0" w:type="dxa"/>
            <w:vAlign w:val="bottom"/>
          </w:tcPr>
          <w:p>
            <w:pPr>
              <w:spacing w:after="0"/>
              <w:rPr>
                <w:sz w:val="1"/>
                <w:szCs w:val="1"/>
                <w:color w:val="auto"/>
              </w:rPr>
            </w:pPr>
          </w:p>
        </w:tc>
      </w:tr>
      <w:tr>
        <w:trPr>
          <w:trHeight w:val="270"/>
        </w:trPr>
        <w:tc>
          <w:tcPr>
            <w:tcW w:w="5200" w:type="dxa"/>
            <w:vAlign w:val="bottom"/>
            <w:gridSpan w:val="2"/>
          </w:tcPr>
          <w:p>
            <w:pPr>
              <w:ind w:left="340"/>
              <w:spacing w:after="0"/>
              <w:rPr>
                <w:sz w:val="20"/>
                <w:szCs w:val="20"/>
                <w:color w:val="auto"/>
              </w:rPr>
            </w:pPr>
            <w:r>
              <w:rPr>
                <w:rFonts w:ascii="Arial" w:cs="Arial" w:eastAsia="Arial" w:hAnsi="Arial"/>
                <w:sz w:val="18"/>
                <w:szCs w:val="18"/>
                <w:color w:val="auto"/>
              </w:rPr>
              <w:t>Sales of services</w:t>
            </w:r>
          </w:p>
        </w:tc>
        <w:tc>
          <w:tcPr>
            <w:tcW w:w="500" w:type="dxa"/>
            <w:vAlign w:val="bottom"/>
          </w:tcPr>
          <w:p>
            <w:pPr>
              <w:spacing w:after="0"/>
              <w:rPr>
                <w:sz w:val="23"/>
                <w:szCs w:val="23"/>
                <w:color w:val="auto"/>
              </w:rPr>
            </w:pPr>
          </w:p>
        </w:tc>
        <w:tc>
          <w:tcPr>
            <w:tcW w:w="1500" w:type="dxa"/>
            <w:vAlign w:val="bottom"/>
          </w:tcPr>
          <w:p>
            <w:pPr>
              <w:jc w:val="right"/>
              <w:ind w:right="112"/>
              <w:spacing w:after="0"/>
              <w:rPr>
                <w:sz w:val="20"/>
                <w:szCs w:val="20"/>
                <w:color w:val="auto"/>
              </w:rPr>
            </w:pPr>
            <w:r>
              <w:rPr>
                <w:rFonts w:ascii="Arial" w:cs="Arial" w:eastAsia="Arial" w:hAnsi="Arial"/>
                <w:sz w:val="18"/>
                <w:szCs w:val="18"/>
                <w:color w:val="auto"/>
              </w:rPr>
              <w:t>332,030</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00" w:type="dxa"/>
            <w:vAlign w:val="bottom"/>
          </w:tcPr>
          <w:p>
            <w:pPr>
              <w:jc w:val="right"/>
              <w:ind w:right="92"/>
              <w:spacing w:after="0"/>
              <w:rPr>
                <w:sz w:val="20"/>
                <w:szCs w:val="20"/>
                <w:color w:val="auto"/>
              </w:rPr>
            </w:pPr>
            <w:r>
              <w:rPr>
                <w:rFonts w:ascii="Arial" w:cs="Arial" w:eastAsia="Arial" w:hAnsi="Arial"/>
                <w:sz w:val="18"/>
                <w:szCs w:val="18"/>
                <w:color w:val="auto"/>
              </w:rPr>
              <w:t>34,464</w:t>
            </w:r>
          </w:p>
        </w:tc>
        <w:tc>
          <w:tcPr>
            <w:tcW w:w="120" w:type="dxa"/>
            <w:vAlign w:val="bottom"/>
          </w:tcPr>
          <w:p>
            <w:pPr>
              <w:spacing w:after="0"/>
              <w:rPr>
                <w:sz w:val="23"/>
                <w:szCs w:val="23"/>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863.4%</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00" w:type="dxa"/>
            <w:vAlign w:val="bottom"/>
            <w:gridSpan w:val="2"/>
          </w:tcPr>
          <w:p>
            <w:pPr>
              <w:ind w:left="460"/>
              <w:spacing w:after="0"/>
              <w:rPr>
                <w:sz w:val="20"/>
                <w:szCs w:val="20"/>
                <w:color w:val="auto"/>
              </w:rPr>
            </w:pPr>
            <w:r>
              <w:rPr>
                <w:rFonts w:ascii="Arial" w:cs="Arial" w:eastAsia="Arial" w:hAnsi="Arial"/>
                <w:sz w:val="18"/>
                <w:szCs w:val="18"/>
                <w:color w:val="auto"/>
              </w:rPr>
              <w:t>Total net sales</w:t>
            </w:r>
          </w:p>
        </w:tc>
        <w:tc>
          <w:tcPr>
            <w:tcW w:w="500" w:type="dxa"/>
            <w:vAlign w:val="bottom"/>
          </w:tcPr>
          <w:p>
            <w:pPr>
              <w:spacing w:after="0"/>
              <w:rPr>
                <w:sz w:val="20"/>
                <w:szCs w:val="20"/>
                <w:color w:val="auto"/>
              </w:rPr>
            </w:pPr>
          </w:p>
        </w:tc>
        <w:tc>
          <w:tcPr>
            <w:tcW w:w="1500" w:type="dxa"/>
            <w:vAlign w:val="bottom"/>
          </w:tcPr>
          <w:p>
            <w:pPr>
              <w:jc w:val="right"/>
              <w:ind w:right="112"/>
              <w:spacing w:after="0"/>
              <w:rPr>
                <w:sz w:val="20"/>
                <w:szCs w:val="20"/>
                <w:color w:val="auto"/>
              </w:rPr>
            </w:pPr>
            <w:r>
              <w:rPr>
                <w:rFonts w:ascii="Arial" w:cs="Arial" w:eastAsia="Arial" w:hAnsi="Arial"/>
                <w:sz w:val="18"/>
                <w:szCs w:val="18"/>
                <w:color w:val="auto"/>
              </w:rPr>
              <w:t>1,493,949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00" w:type="dxa"/>
            <w:vAlign w:val="bottom"/>
          </w:tcPr>
          <w:p>
            <w:pPr>
              <w:jc w:val="right"/>
              <w:ind w:right="92"/>
              <w:spacing w:after="0"/>
              <w:rPr>
                <w:sz w:val="20"/>
                <w:szCs w:val="20"/>
                <w:color w:val="auto"/>
              </w:rPr>
            </w:pPr>
            <w:r>
              <w:rPr>
                <w:rFonts w:ascii="Arial" w:cs="Arial" w:eastAsia="Arial" w:hAnsi="Arial"/>
                <w:sz w:val="18"/>
                <w:szCs w:val="18"/>
                <w:color w:val="auto"/>
              </w:rPr>
              <w:t>412,258</w:t>
            </w:r>
          </w:p>
        </w:tc>
        <w:tc>
          <w:tcPr>
            <w:tcW w:w="12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262.4%</w:t>
            </w:r>
          </w:p>
        </w:tc>
        <w:tc>
          <w:tcPr>
            <w:tcW w:w="0" w:type="dxa"/>
            <w:vAlign w:val="bottom"/>
          </w:tcPr>
          <w:p>
            <w:pPr>
              <w:spacing w:after="0"/>
              <w:rPr>
                <w:sz w:val="1"/>
                <w:szCs w:val="1"/>
                <w:color w:val="auto"/>
              </w:rPr>
            </w:pP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5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00" w:type="dxa"/>
            <w:vAlign w:val="bottom"/>
            <w:gridSpan w:val="2"/>
          </w:tcPr>
          <w:p>
            <w:pPr>
              <w:ind w:left="340"/>
              <w:spacing w:after="0"/>
              <w:rPr>
                <w:sz w:val="20"/>
                <w:szCs w:val="20"/>
                <w:color w:val="auto"/>
              </w:rPr>
            </w:pPr>
            <w:r>
              <w:rPr>
                <w:rFonts w:ascii="Arial" w:cs="Arial" w:eastAsia="Arial" w:hAnsi="Arial"/>
                <w:sz w:val="18"/>
                <w:szCs w:val="18"/>
                <w:color w:val="auto"/>
              </w:rPr>
              <w:t>Cost of goods</w:t>
            </w:r>
          </w:p>
        </w:tc>
        <w:tc>
          <w:tcPr>
            <w:tcW w:w="500" w:type="dxa"/>
            <w:vAlign w:val="bottom"/>
          </w:tcPr>
          <w:p>
            <w:pPr>
              <w:spacing w:after="0"/>
              <w:rPr>
                <w:sz w:val="23"/>
                <w:szCs w:val="23"/>
                <w:color w:val="auto"/>
              </w:rPr>
            </w:pP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(850,689)</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(245,397)</w:t>
            </w:r>
          </w:p>
        </w:tc>
        <w:tc>
          <w:tcPr>
            <w:tcW w:w="120" w:type="dxa"/>
            <w:vAlign w:val="bottom"/>
          </w:tcPr>
          <w:p>
            <w:pPr>
              <w:spacing w:after="0"/>
              <w:rPr>
                <w:sz w:val="23"/>
                <w:szCs w:val="23"/>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246.7%</w:t>
            </w:r>
          </w:p>
        </w:tc>
        <w:tc>
          <w:tcPr>
            <w:tcW w:w="0" w:type="dxa"/>
            <w:vAlign w:val="bottom"/>
          </w:tcPr>
          <w:p>
            <w:pPr>
              <w:spacing w:after="0"/>
              <w:rPr>
                <w:sz w:val="1"/>
                <w:szCs w:val="1"/>
                <w:color w:val="auto"/>
              </w:rPr>
            </w:pPr>
          </w:p>
        </w:tc>
      </w:tr>
      <w:tr>
        <w:trPr>
          <w:trHeight w:val="270"/>
        </w:trPr>
        <w:tc>
          <w:tcPr>
            <w:tcW w:w="5200" w:type="dxa"/>
            <w:vAlign w:val="bottom"/>
            <w:gridSpan w:val="2"/>
          </w:tcPr>
          <w:p>
            <w:pPr>
              <w:ind w:left="340"/>
              <w:spacing w:after="0"/>
              <w:rPr>
                <w:sz w:val="20"/>
                <w:szCs w:val="20"/>
                <w:color w:val="auto"/>
              </w:rPr>
            </w:pPr>
            <w:r>
              <w:rPr>
                <w:rFonts w:ascii="Arial" w:cs="Arial" w:eastAsia="Arial" w:hAnsi="Arial"/>
                <w:sz w:val="18"/>
                <w:szCs w:val="18"/>
                <w:color w:val="auto"/>
              </w:rPr>
              <w:t>Cost of services</w:t>
            </w:r>
          </w:p>
        </w:tc>
        <w:tc>
          <w:tcPr>
            <w:tcW w:w="500" w:type="dxa"/>
            <w:vAlign w:val="bottom"/>
          </w:tcPr>
          <w:p>
            <w:pPr>
              <w:spacing w:after="0"/>
              <w:rPr>
                <w:sz w:val="23"/>
                <w:szCs w:val="23"/>
                <w:color w:val="auto"/>
              </w:rPr>
            </w:pP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(235,017)</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(29,887)</w:t>
            </w:r>
          </w:p>
        </w:tc>
        <w:tc>
          <w:tcPr>
            <w:tcW w:w="120" w:type="dxa"/>
            <w:vAlign w:val="bottom"/>
          </w:tcPr>
          <w:p>
            <w:pPr>
              <w:spacing w:after="0"/>
              <w:rPr>
                <w:sz w:val="23"/>
                <w:szCs w:val="23"/>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686.4%</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00" w:type="dxa"/>
            <w:vAlign w:val="bottom"/>
            <w:gridSpan w:val="2"/>
          </w:tcPr>
          <w:p>
            <w:pPr>
              <w:ind w:left="460"/>
              <w:spacing w:after="0"/>
              <w:rPr>
                <w:sz w:val="20"/>
                <w:szCs w:val="20"/>
                <w:color w:val="auto"/>
              </w:rPr>
            </w:pPr>
            <w:r>
              <w:rPr>
                <w:rFonts w:ascii="Arial" w:cs="Arial" w:eastAsia="Arial" w:hAnsi="Arial"/>
                <w:sz w:val="18"/>
                <w:szCs w:val="18"/>
                <w:color w:val="auto"/>
              </w:rPr>
              <w:t>Total cost of sales</w:t>
            </w:r>
          </w:p>
        </w:tc>
        <w:tc>
          <w:tcPr>
            <w:tcW w:w="500" w:type="dxa"/>
            <w:vAlign w:val="bottom"/>
          </w:tcPr>
          <w:p>
            <w:pPr>
              <w:spacing w:after="0"/>
              <w:rPr>
                <w:sz w:val="20"/>
                <w:szCs w:val="20"/>
                <w:color w:val="auto"/>
              </w:rPr>
            </w:pP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(1,085,706)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(275,284)</w:t>
            </w:r>
          </w:p>
        </w:tc>
        <w:tc>
          <w:tcPr>
            <w:tcW w:w="12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294.4%</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12"/>
        </w:trPr>
        <w:tc>
          <w:tcPr>
            <w:tcW w:w="520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500" w:type="dxa"/>
            <w:vAlign w:val="bottom"/>
          </w:tcPr>
          <w:p>
            <w:pPr>
              <w:spacing w:after="0"/>
              <w:rPr>
                <w:sz w:val="24"/>
                <w:szCs w:val="24"/>
                <w:color w:val="auto"/>
              </w:rPr>
            </w:pPr>
          </w:p>
        </w:tc>
        <w:tc>
          <w:tcPr>
            <w:tcW w:w="1500" w:type="dxa"/>
            <w:vAlign w:val="bottom"/>
          </w:tcPr>
          <w:p>
            <w:pPr>
              <w:jc w:val="right"/>
              <w:ind w:right="112"/>
              <w:spacing w:after="0"/>
              <w:rPr>
                <w:sz w:val="20"/>
                <w:szCs w:val="20"/>
                <w:color w:val="auto"/>
              </w:rPr>
            </w:pPr>
            <w:r>
              <w:rPr>
                <w:rFonts w:ascii="Arial" w:cs="Arial" w:eastAsia="Arial" w:hAnsi="Arial"/>
                <w:sz w:val="18"/>
                <w:szCs w:val="18"/>
                <w:color w:val="auto"/>
              </w:rPr>
              <w:t>408,243</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00" w:type="dxa"/>
            <w:vAlign w:val="bottom"/>
          </w:tcPr>
          <w:p>
            <w:pPr>
              <w:jc w:val="right"/>
              <w:ind w:right="92"/>
              <w:spacing w:after="0"/>
              <w:rPr>
                <w:sz w:val="20"/>
                <w:szCs w:val="20"/>
                <w:color w:val="auto"/>
              </w:rPr>
            </w:pPr>
            <w:r>
              <w:rPr>
                <w:rFonts w:ascii="Arial" w:cs="Arial" w:eastAsia="Arial" w:hAnsi="Arial"/>
                <w:sz w:val="18"/>
                <w:szCs w:val="18"/>
                <w:color w:val="auto"/>
              </w:rPr>
              <w:t>136,974</w:t>
            </w:r>
          </w:p>
        </w:tc>
        <w:tc>
          <w:tcPr>
            <w:tcW w:w="12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198.0%</w:t>
            </w:r>
          </w:p>
        </w:tc>
        <w:tc>
          <w:tcPr>
            <w:tcW w:w="0" w:type="dxa"/>
            <w:vAlign w:val="bottom"/>
          </w:tcPr>
          <w:p>
            <w:pPr>
              <w:spacing w:after="0"/>
              <w:rPr>
                <w:sz w:val="1"/>
                <w:szCs w:val="1"/>
                <w:color w:val="auto"/>
              </w:rPr>
            </w:pPr>
          </w:p>
        </w:tc>
      </w:tr>
      <w:tr>
        <w:trPr>
          <w:trHeight w:val="446"/>
        </w:trPr>
        <w:tc>
          <w:tcPr>
            <w:tcW w:w="52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00" w:type="dxa"/>
            <w:vAlign w:val="bottom"/>
          </w:tcPr>
          <w:p>
            <w:pPr>
              <w:spacing w:after="0"/>
              <w:rPr>
                <w:sz w:val="24"/>
                <w:szCs w:val="24"/>
                <w:color w:val="auto"/>
              </w:rPr>
            </w:pP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(256,264)</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(52,626)</w:t>
            </w:r>
          </w:p>
        </w:tc>
        <w:tc>
          <w:tcPr>
            <w:tcW w:w="12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387.0%</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12"/>
        </w:trPr>
        <w:tc>
          <w:tcPr>
            <w:tcW w:w="5200" w:type="dxa"/>
            <w:vAlign w:val="bottom"/>
            <w:gridSpan w:val="2"/>
          </w:tcPr>
          <w:p>
            <w:pPr>
              <w:spacing w:after="0"/>
              <w:rPr>
                <w:sz w:val="20"/>
                <w:szCs w:val="20"/>
                <w:color w:val="auto"/>
              </w:rPr>
            </w:pPr>
            <w:r>
              <w:rPr>
                <w:rFonts w:ascii="Arial" w:cs="Arial" w:eastAsia="Arial" w:hAnsi="Arial"/>
                <w:sz w:val="18"/>
                <w:szCs w:val="18"/>
                <w:color w:val="auto"/>
              </w:rPr>
              <w:t>Income from operations ($)</w:t>
            </w:r>
          </w:p>
        </w:tc>
        <w:tc>
          <w:tcPr>
            <w:tcW w:w="500" w:type="dxa"/>
            <w:vAlign w:val="bottom"/>
          </w:tcPr>
          <w:p>
            <w:pPr>
              <w:spacing w:after="0"/>
              <w:rPr>
                <w:sz w:val="24"/>
                <w:szCs w:val="24"/>
                <w:color w:val="auto"/>
              </w:rPr>
            </w:pPr>
          </w:p>
        </w:tc>
        <w:tc>
          <w:tcPr>
            <w:tcW w:w="1500" w:type="dxa"/>
            <w:vAlign w:val="bottom"/>
          </w:tcPr>
          <w:p>
            <w:pPr>
              <w:jc w:val="right"/>
              <w:ind w:right="112"/>
              <w:spacing w:after="0"/>
              <w:rPr>
                <w:sz w:val="20"/>
                <w:szCs w:val="20"/>
                <w:color w:val="auto"/>
              </w:rPr>
            </w:pPr>
            <w:r>
              <w:rPr>
                <w:rFonts w:ascii="Arial" w:cs="Arial" w:eastAsia="Arial" w:hAnsi="Arial"/>
                <w:sz w:val="18"/>
                <w:szCs w:val="18"/>
                <w:color w:val="auto"/>
              </w:rPr>
              <w:t>151,979</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00" w:type="dxa"/>
            <w:vAlign w:val="bottom"/>
          </w:tcPr>
          <w:p>
            <w:pPr>
              <w:jc w:val="right"/>
              <w:ind w:right="92"/>
              <w:spacing w:after="0"/>
              <w:rPr>
                <w:sz w:val="20"/>
                <w:szCs w:val="20"/>
                <w:color w:val="auto"/>
              </w:rPr>
            </w:pPr>
            <w:r>
              <w:rPr>
                <w:rFonts w:ascii="Arial" w:cs="Arial" w:eastAsia="Arial" w:hAnsi="Arial"/>
                <w:sz w:val="18"/>
                <w:szCs w:val="18"/>
                <w:color w:val="auto"/>
              </w:rPr>
              <w:t>84,348</w:t>
            </w:r>
          </w:p>
        </w:tc>
        <w:tc>
          <w:tcPr>
            <w:tcW w:w="12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Income from operations (%)</w:t>
            </w:r>
          </w:p>
        </w:tc>
        <w:tc>
          <w:tcPr>
            <w:tcW w:w="5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ind w:right="220" w:firstLine="500"/>
        <w:spacing w:after="0" w:line="312" w:lineRule="auto"/>
        <w:rPr>
          <w:sz w:val="20"/>
          <w:szCs w:val="20"/>
          <w:color w:val="auto"/>
        </w:rPr>
      </w:pPr>
      <w:r>
        <w:rPr>
          <w:rFonts w:ascii="Arial" w:cs="Arial" w:eastAsia="Arial" w:hAnsi="Arial"/>
          <w:sz w:val="16"/>
          <w:szCs w:val="16"/>
          <w:color w:val="auto"/>
        </w:rPr>
        <w:t>Freight Segment sales increased by $1.08 billion, or 262%, to $1.49 billion, due to the acquisition of GE Transportation which contributed $1.12 billion of net sales in the quarter primarily from equipment products and services. This increase was partially offset by a decrease in Specialty Products and Electronics sales of $36 million due to lower PTC hardware sales. Unfavorable foreign currency exchange rates decreased sales by $6 million.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121" w:lineRule="exact"/>
        <w:rPr>
          <w:sz w:val="20"/>
          <w:szCs w:val="20"/>
          <w:color w:val="auto"/>
        </w:rPr>
      </w:pPr>
    </w:p>
    <w:p>
      <w:pPr>
        <w:ind w:right="140" w:firstLine="500"/>
        <w:spacing w:after="0" w:line="257" w:lineRule="auto"/>
        <w:rPr>
          <w:sz w:val="20"/>
          <w:szCs w:val="20"/>
          <w:color w:val="auto"/>
        </w:rPr>
      </w:pPr>
      <w:r>
        <w:rPr>
          <w:rFonts w:ascii="Arial" w:cs="Arial" w:eastAsia="Arial" w:hAnsi="Arial"/>
          <w:sz w:val="18"/>
          <w:szCs w:val="18"/>
          <w:color w:val="auto"/>
        </w:rPr>
        <w:t>Freight Segment cost of sales increased by $810 million to $1.09 billion in 2019. The increase is primarily due to $844 million of incremental cost of sales and services from the GE Transportation acquisition. In 2019, total cost of sales as a percentage of total net sales was 72.7% compared to 66.8% in 2018. Total cost of sales in the second quarter of 2019 includes $89 million of non-recurring costs related to purchase price accounting for the step-up of GE Transportation inventory on the date of acquisition. Excluding this non-recurring charge, total cost of sales as a percentage of sales was 66.7% in 2019 consistent with 2018.</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right="180" w:firstLine="500"/>
        <w:spacing w:after="0" w:line="259" w:lineRule="auto"/>
        <w:rPr>
          <w:sz w:val="20"/>
          <w:szCs w:val="20"/>
          <w:color w:val="auto"/>
        </w:rPr>
      </w:pPr>
      <w:r>
        <w:rPr>
          <w:rFonts w:ascii="Arial" w:cs="Arial" w:eastAsia="Arial" w:hAnsi="Arial"/>
          <w:sz w:val="18"/>
          <w:szCs w:val="18"/>
          <w:color w:val="auto"/>
        </w:rPr>
        <w:t>Freight Segment operating expenses increased $204 million, or 387%, in 2019 and increased 440 basis points to 17.2% of sales. Selling, general, and administrative expenses increased $113 million due to $94 million in incremental expense from the GE Transportation acquisition and $11 million of transaction and restructuring costs related to the acquisition of GE Transportation. Engineering expense increased $35 million and amortization expense increased $56 million, both due to the GE Transportation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0"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Transit Segment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our Consolidated Statements of Operations for our Transit Segment for the periods indicated.</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2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1980" w:type="dxa"/>
            <w:vAlign w:val="bottom"/>
            <w:tcBorders>
              <w:bottom w:val="single" w:sz="8" w:color="auto"/>
            </w:tcBorders>
          </w:tcPr>
          <w:p>
            <w:pPr>
              <w:spacing w:after="0"/>
              <w:rPr>
                <w:sz w:val="16"/>
                <w:szCs w:val="16"/>
                <w:color w:val="auto"/>
              </w:rPr>
            </w:pPr>
          </w:p>
        </w:tc>
      </w:tr>
      <w:tr>
        <w:trPr>
          <w:trHeight w:val="229"/>
        </w:trPr>
        <w:tc>
          <w:tcPr>
            <w:tcW w:w="52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500" w:type="dxa"/>
            <w:vAlign w:val="bottom"/>
          </w:tcPr>
          <w:p>
            <w:pPr>
              <w:spacing w:after="0"/>
              <w:rPr>
                <w:sz w:val="19"/>
                <w:szCs w:val="19"/>
                <w:color w:val="auto"/>
              </w:rPr>
            </w:pPr>
          </w:p>
        </w:tc>
        <w:tc>
          <w:tcPr>
            <w:tcW w:w="1500" w:type="dxa"/>
            <w:vAlign w:val="bottom"/>
          </w:tcPr>
          <w:p>
            <w:pPr>
              <w:jc w:val="right"/>
              <w:ind w:right="77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ind w:right="75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1980" w:type="dxa"/>
            <w:vAlign w:val="bottom"/>
          </w:tcPr>
          <w:p>
            <w:pPr>
              <w:jc w:val="right"/>
              <w:ind w:right="413"/>
              <w:spacing w:after="0"/>
              <w:rPr>
                <w:sz w:val="20"/>
                <w:szCs w:val="20"/>
                <w:color w:val="auto"/>
              </w:rPr>
            </w:pPr>
            <w:r>
              <w:rPr>
                <w:rFonts w:ascii="Arial" w:cs="Arial" w:eastAsia="Arial" w:hAnsi="Arial"/>
                <w:sz w:val="14"/>
                <w:szCs w:val="14"/>
                <w:b w:val="1"/>
                <w:bCs w:val="1"/>
                <w:color w:val="auto"/>
              </w:rPr>
              <w:t>Percent Change</w:t>
            </w:r>
          </w:p>
        </w:tc>
      </w:tr>
      <w:tr>
        <w:trPr>
          <w:trHeight w:val="21"/>
        </w:trPr>
        <w:tc>
          <w:tcPr>
            <w:tcW w:w="720" w:type="dxa"/>
            <w:vAlign w:val="bottom"/>
            <w:tcBorders>
              <w:top w:val="single" w:sz="8" w:color="auto"/>
            </w:tcBorders>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561"/>
        </w:trPr>
        <w:tc>
          <w:tcPr>
            <w:tcW w:w="520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3"/>
              <w:spacing w:after="0"/>
              <w:rPr>
                <w:sz w:val="20"/>
                <w:szCs w:val="20"/>
                <w:color w:val="auto"/>
              </w:rPr>
            </w:pPr>
            <w:r>
              <w:rPr>
                <w:rFonts w:ascii="Arial" w:cs="Arial" w:eastAsia="Arial" w:hAnsi="Arial"/>
                <w:sz w:val="18"/>
                <w:szCs w:val="18"/>
                <w:color w:val="auto"/>
              </w:rPr>
              <w:t>742,335</w:t>
            </w:r>
          </w:p>
        </w:tc>
        <w:tc>
          <w:tcPr>
            <w:tcW w:w="100" w:type="dxa"/>
            <w:vAlign w:val="bottom"/>
          </w:tcPr>
          <w:p>
            <w:pPr>
              <w:spacing w:after="0"/>
              <w:rPr>
                <w:sz w:val="24"/>
                <w:szCs w:val="24"/>
                <w:color w:val="auto"/>
              </w:rPr>
            </w:pPr>
          </w:p>
        </w:tc>
        <w:tc>
          <w:tcPr>
            <w:tcW w:w="480" w:type="dxa"/>
            <w:vAlign w:val="bottom"/>
          </w:tcPr>
          <w:p>
            <w:pPr>
              <w:jc w:val="right"/>
              <w:ind w:right="279"/>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93"/>
              <w:spacing w:after="0"/>
              <w:rPr>
                <w:sz w:val="20"/>
                <w:szCs w:val="20"/>
                <w:color w:val="auto"/>
              </w:rPr>
            </w:pPr>
            <w:r>
              <w:rPr>
                <w:rFonts w:ascii="Arial" w:cs="Arial" w:eastAsia="Arial" w:hAnsi="Arial"/>
                <w:sz w:val="18"/>
                <w:szCs w:val="18"/>
                <w:color w:val="auto"/>
              </w:rPr>
              <w:t>699,422</w:t>
            </w:r>
          </w:p>
        </w:tc>
        <w:tc>
          <w:tcPr>
            <w:tcW w:w="12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500" w:type="dxa"/>
            <w:vAlign w:val="bottom"/>
          </w:tcPr>
          <w:p>
            <w:pPr>
              <w:spacing w:after="0"/>
              <w:rPr>
                <w:sz w:val="23"/>
                <w:szCs w:val="23"/>
                <w:color w:val="auto"/>
              </w:rPr>
            </w:pPr>
          </w:p>
        </w:tc>
        <w:tc>
          <w:tcPr>
            <w:tcW w:w="1500" w:type="dxa"/>
            <w:vAlign w:val="bottom"/>
          </w:tcPr>
          <w:p>
            <w:pPr>
              <w:jc w:val="right"/>
              <w:ind w:right="53"/>
              <w:spacing w:after="0"/>
              <w:rPr>
                <w:sz w:val="20"/>
                <w:szCs w:val="20"/>
                <w:color w:val="auto"/>
              </w:rPr>
            </w:pPr>
            <w:r>
              <w:rPr>
                <w:rFonts w:ascii="Arial" w:cs="Arial" w:eastAsia="Arial" w:hAnsi="Arial"/>
                <w:sz w:val="18"/>
                <w:szCs w:val="18"/>
                <w:color w:val="auto"/>
              </w:rPr>
              <w:t>(535,903)</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(512,428)</w:t>
            </w:r>
          </w:p>
        </w:tc>
        <w:tc>
          <w:tcPr>
            <w:tcW w:w="120" w:type="dxa"/>
            <w:vAlign w:val="bottom"/>
          </w:tcPr>
          <w:p>
            <w:pPr>
              <w:spacing w:after="0"/>
              <w:rPr>
                <w:sz w:val="23"/>
                <w:szCs w:val="23"/>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7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37"/>
        </w:trPr>
        <w:tc>
          <w:tcPr>
            <w:tcW w:w="520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500" w:type="dxa"/>
            <w:vAlign w:val="bottom"/>
          </w:tcPr>
          <w:p>
            <w:pPr>
              <w:spacing w:after="0"/>
              <w:rPr>
                <w:sz w:val="20"/>
                <w:szCs w:val="20"/>
                <w:color w:val="auto"/>
              </w:rPr>
            </w:pPr>
          </w:p>
        </w:tc>
        <w:tc>
          <w:tcPr>
            <w:tcW w:w="1500" w:type="dxa"/>
            <w:vAlign w:val="bottom"/>
          </w:tcPr>
          <w:p>
            <w:pPr>
              <w:jc w:val="right"/>
              <w:ind w:right="113"/>
              <w:spacing w:after="0"/>
              <w:rPr>
                <w:sz w:val="20"/>
                <w:szCs w:val="20"/>
                <w:color w:val="auto"/>
              </w:rPr>
            </w:pPr>
            <w:r>
              <w:rPr>
                <w:rFonts w:ascii="Arial" w:cs="Arial" w:eastAsia="Arial" w:hAnsi="Arial"/>
                <w:sz w:val="18"/>
                <w:szCs w:val="18"/>
                <w:color w:val="auto"/>
              </w:rPr>
              <w:t>206,432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00" w:type="dxa"/>
            <w:vAlign w:val="bottom"/>
          </w:tcPr>
          <w:p>
            <w:pPr>
              <w:jc w:val="right"/>
              <w:ind w:right="93"/>
              <w:spacing w:after="0"/>
              <w:rPr>
                <w:sz w:val="20"/>
                <w:szCs w:val="20"/>
                <w:color w:val="auto"/>
              </w:rPr>
            </w:pPr>
            <w:r>
              <w:rPr>
                <w:rFonts w:ascii="Arial" w:cs="Arial" w:eastAsia="Arial" w:hAnsi="Arial"/>
                <w:sz w:val="18"/>
                <w:szCs w:val="18"/>
                <w:color w:val="auto"/>
              </w:rPr>
              <w:t>186,994</w:t>
            </w:r>
          </w:p>
        </w:tc>
        <w:tc>
          <w:tcPr>
            <w:tcW w:w="12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446"/>
        </w:trPr>
        <w:tc>
          <w:tcPr>
            <w:tcW w:w="52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00" w:type="dxa"/>
            <w:vAlign w:val="bottom"/>
          </w:tcPr>
          <w:p>
            <w:pPr>
              <w:spacing w:after="0"/>
              <w:rPr>
                <w:sz w:val="24"/>
                <w:szCs w:val="24"/>
                <w:color w:val="auto"/>
              </w:rPr>
            </w:pPr>
          </w:p>
        </w:tc>
        <w:tc>
          <w:tcPr>
            <w:tcW w:w="1500" w:type="dxa"/>
            <w:vAlign w:val="bottom"/>
          </w:tcPr>
          <w:p>
            <w:pPr>
              <w:jc w:val="right"/>
              <w:ind w:right="53"/>
              <w:spacing w:after="0"/>
              <w:rPr>
                <w:sz w:val="20"/>
                <w:szCs w:val="20"/>
                <w:color w:val="auto"/>
              </w:rPr>
            </w:pPr>
            <w:r>
              <w:rPr>
                <w:rFonts w:ascii="Arial" w:cs="Arial" w:eastAsia="Arial" w:hAnsi="Arial"/>
                <w:sz w:val="18"/>
                <w:szCs w:val="18"/>
                <w:color w:val="auto"/>
              </w:rPr>
              <w:t>(135,221)</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(129,019)</w:t>
            </w:r>
          </w:p>
        </w:tc>
        <w:tc>
          <w:tcPr>
            <w:tcW w:w="12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
        </w:trPr>
        <w:tc>
          <w:tcPr>
            <w:tcW w:w="7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412"/>
        </w:trPr>
        <w:tc>
          <w:tcPr>
            <w:tcW w:w="5200" w:type="dxa"/>
            <w:vAlign w:val="bottom"/>
            <w:gridSpan w:val="2"/>
          </w:tcPr>
          <w:p>
            <w:pPr>
              <w:spacing w:after="0"/>
              <w:rPr>
                <w:sz w:val="20"/>
                <w:szCs w:val="20"/>
                <w:color w:val="auto"/>
              </w:rPr>
            </w:pPr>
            <w:r>
              <w:rPr>
                <w:rFonts w:ascii="Arial" w:cs="Arial" w:eastAsia="Arial" w:hAnsi="Arial"/>
                <w:sz w:val="18"/>
                <w:szCs w:val="18"/>
                <w:color w:val="auto"/>
              </w:rPr>
              <w:t>Income from operations ($)</w:t>
            </w:r>
          </w:p>
        </w:tc>
        <w:tc>
          <w:tcPr>
            <w:tcW w:w="500" w:type="dxa"/>
            <w:vAlign w:val="bottom"/>
          </w:tcPr>
          <w:p>
            <w:pPr>
              <w:spacing w:after="0"/>
              <w:rPr>
                <w:sz w:val="24"/>
                <w:szCs w:val="24"/>
                <w:color w:val="auto"/>
              </w:rPr>
            </w:pPr>
          </w:p>
        </w:tc>
        <w:tc>
          <w:tcPr>
            <w:tcW w:w="1500" w:type="dxa"/>
            <w:vAlign w:val="bottom"/>
          </w:tcPr>
          <w:p>
            <w:pPr>
              <w:jc w:val="right"/>
              <w:ind w:right="113"/>
              <w:spacing w:after="0"/>
              <w:rPr>
                <w:sz w:val="20"/>
                <w:szCs w:val="20"/>
                <w:color w:val="auto"/>
              </w:rPr>
            </w:pPr>
            <w:r>
              <w:rPr>
                <w:rFonts w:ascii="Arial" w:cs="Arial" w:eastAsia="Arial" w:hAnsi="Arial"/>
                <w:sz w:val="18"/>
                <w:szCs w:val="18"/>
                <w:color w:val="auto"/>
              </w:rPr>
              <w:t>71,211</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00" w:type="dxa"/>
            <w:vAlign w:val="bottom"/>
          </w:tcPr>
          <w:p>
            <w:pPr>
              <w:jc w:val="right"/>
              <w:ind w:right="93"/>
              <w:spacing w:after="0"/>
              <w:rPr>
                <w:sz w:val="20"/>
                <w:szCs w:val="20"/>
                <w:color w:val="auto"/>
              </w:rPr>
            </w:pPr>
            <w:r>
              <w:rPr>
                <w:rFonts w:ascii="Arial" w:cs="Arial" w:eastAsia="Arial" w:hAnsi="Arial"/>
                <w:sz w:val="18"/>
                <w:szCs w:val="18"/>
                <w:color w:val="auto"/>
              </w:rPr>
              <w:t>57,975</w:t>
            </w:r>
          </w:p>
        </w:tc>
        <w:tc>
          <w:tcPr>
            <w:tcW w:w="12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22.8%</w:t>
            </w: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Income from operations (%)</w:t>
            </w:r>
          </w:p>
        </w:tc>
        <w:tc>
          <w:tcPr>
            <w:tcW w:w="5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3"/>
                <w:szCs w:val="23"/>
                <w:color w:val="auto"/>
              </w:rPr>
            </w:pPr>
          </w:p>
        </w:tc>
        <w:tc>
          <w:tcPr>
            <w:tcW w:w="1980" w:type="dxa"/>
            <w:vAlign w:val="bottom"/>
          </w:tcPr>
          <w:p>
            <w:pPr>
              <w:spacing w:after="0"/>
              <w:rPr>
                <w:sz w:val="23"/>
                <w:szCs w:val="23"/>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ind w:right="100" w:firstLine="500"/>
        <w:spacing w:after="0" w:line="257" w:lineRule="auto"/>
        <w:rPr>
          <w:sz w:val="20"/>
          <w:szCs w:val="20"/>
          <w:color w:val="auto"/>
        </w:rPr>
      </w:pPr>
      <w:r>
        <w:rPr>
          <w:rFonts w:ascii="Arial" w:cs="Arial" w:eastAsia="Arial" w:hAnsi="Arial"/>
          <w:sz w:val="18"/>
          <w:szCs w:val="18"/>
          <w:color w:val="auto"/>
        </w:rPr>
        <w:t>Transit Segment sales increased by $43 million, or 6.1%, primarily due to increased original equipment project deliveries for HVAC and door systems of $58 million, and higher Brake Products sales of $30 million. The increase in Brake Product sales was due to increased deliveries on contracts for original equipment brake and coupler systems and higher sales of aftermarket spares. These increases were partially offset by unfavorable foreign currency exchange rate changes of $41 million and a $17 million decrease in Specialty Products and Electronics due to the completion of a large signaling project in the prior year.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121" w:lineRule="exact"/>
        <w:rPr>
          <w:sz w:val="20"/>
          <w:szCs w:val="20"/>
          <w:color w:val="auto"/>
        </w:rPr>
      </w:pPr>
    </w:p>
    <w:p>
      <w:pPr>
        <w:ind w:right="180" w:firstLine="500"/>
        <w:spacing w:after="0" w:line="257" w:lineRule="auto"/>
        <w:rPr>
          <w:sz w:val="20"/>
          <w:szCs w:val="20"/>
          <w:color w:val="auto"/>
        </w:rPr>
      </w:pPr>
      <w:r>
        <w:rPr>
          <w:rFonts w:ascii="Arial" w:cs="Arial" w:eastAsia="Arial" w:hAnsi="Arial"/>
          <w:sz w:val="18"/>
          <w:szCs w:val="18"/>
          <w:color w:val="auto"/>
        </w:rPr>
        <w:t>Transit Segment cost of sales increased by $23 million to $536 million in the second quarter of 2019. In the second quarter 2019, cost of sales as a percentage of sales was 72.2% compared to 73.3% in 2018. This decrease is attributable to a favorable product mix towards more brake and HVAC systems and less overhaul contracts, which typically carry a lower margin due to their higher material and labor costs as a percentage of sales. Additionally, project performance on the brake and HVAC systems improved period over period. Unfavorable foreign currency exchange rate changes decreased cost of sales by $31 million.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Transit Segment operating expenses increased $6 million to $135 million, or 4.8%, in the second quarter of 2019 and decreased 20 basis points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18.2% compared to the same period in 2018. Selling, general, and administrative expenses increased $3 million in the second quarter of 2019, consisting of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 million organic increase to support the higher sales volumes, partially offset by a $5 million decrease due to favorable foreign currency exchange rate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changes. Engineering and amortization expense remained consistent year over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80"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FIRST SIX MONTHS OF 2019 COMPARED TO FIRST SIX MONTHS OF 2018</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our Consolidated Statements of Operations for the periods indicated.</w:t>
      </w:r>
    </w:p>
    <w:p>
      <w:pPr>
        <w:spacing w:after="0" w:line="150"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Six Months Ended</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40" w:type="dxa"/>
            <w:vAlign w:val="bottom"/>
          </w:tcPr>
          <w:p>
            <w:pPr>
              <w:spacing w:after="0"/>
              <w:rPr>
                <w:sz w:val="16"/>
                <w:szCs w:val="16"/>
                <w:color w:val="auto"/>
              </w:rPr>
            </w:pPr>
          </w:p>
        </w:tc>
        <w:tc>
          <w:tcPr>
            <w:tcW w:w="6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30,</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82"/>
              </w:rPr>
              <w:t>In thousands</w:t>
            </w:r>
          </w:p>
        </w:tc>
        <w:tc>
          <w:tcPr>
            <w:tcW w:w="6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ind w:right="43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w w:val="95"/>
              </w:rPr>
              <w:t>Percent Change</w:t>
            </w:r>
          </w:p>
        </w:tc>
        <w:tc>
          <w:tcPr>
            <w:tcW w:w="0" w:type="dxa"/>
            <w:vAlign w:val="bottom"/>
          </w:tcPr>
          <w:p>
            <w:pPr>
              <w:spacing w:after="0"/>
              <w:rPr>
                <w:sz w:val="1"/>
                <w:szCs w:val="1"/>
                <w:color w:val="auto"/>
              </w:rPr>
            </w:pPr>
          </w:p>
        </w:tc>
      </w:tr>
      <w:tr>
        <w:trPr>
          <w:trHeight w:val="21"/>
        </w:trPr>
        <w:tc>
          <w:tcPr>
            <w:tcW w:w="7080" w:type="dxa"/>
            <w:vAlign w:val="bottom"/>
            <w:gridSpan w:val="2"/>
            <w:vMerge w:val="restart"/>
          </w:tcPr>
          <w:p>
            <w:pPr>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708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080" w:type="dxa"/>
            <w:vAlign w:val="bottom"/>
            <w:gridSpan w:val="2"/>
          </w:tcPr>
          <w:p>
            <w:pPr>
              <w:ind w:left="360"/>
              <w:spacing w:after="0"/>
              <w:rPr>
                <w:sz w:val="20"/>
                <w:szCs w:val="20"/>
                <w:color w:val="auto"/>
              </w:rPr>
            </w:pPr>
            <w:r>
              <w:rPr>
                <w:rFonts w:ascii="Arial" w:cs="Arial" w:eastAsia="Arial" w:hAnsi="Arial"/>
                <w:sz w:val="18"/>
                <w:szCs w:val="18"/>
                <w:color w:val="auto"/>
              </w:rPr>
              <w:t>Sales of goods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3,327,017</w:t>
            </w:r>
          </w:p>
        </w:tc>
        <w:tc>
          <w:tcPr>
            <w:tcW w:w="100" w:type="dxa"/>
            <w:vAlign w:val="bottom"/>
          </w:tcPr>
          <w:p>
            <w:pPr>
              <w:spacing w:after="0"/>
              <w:rPr>
                <w:sz w:val="23"/>
                <w:szCs w:val="23"/>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2,076,570</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60.2 %</w:t>
            </w:r>
          </w:p>
        </w:tc>
        <w:tc>
          <w:tcPr>
            <w:tcW w:w="0" w:type="dxa"/>
            <w:vAlign w:val="bottom"/>
          </w:tcPr>
          <w:p>
            <w:pPr>
              <w:spacing w:after="0"/>
              <w:rPr>
                <w:sz w:val="1"/>
                <w:szCs w:val="1"/>
                <w:color w:val="auto"/>
              </w:rPr>
            </w:pPr>
          </w:p>
        </w:tc>
      </w:tr>
      <w:tr>
        <w:trPr>
          <w:trHeight w:val="270"/>
        </w:trPr>
        <w:tc>
          <w:tcPr>
            <w:tcW w:w="7080" w:type="dxa"/>
            <w:vAlign w:val="bottom"/>
            <w:gridSpan w:val="2"/>
          </w:tcPr>
          <w:p>
            <w:pPr>
              <w:ind w:left="360"/>
              <w:spacing w:after="0"/>
              <w:rPr>
                <w:sz w:val="20"/>
                <w:szCs w:val="20"/>
                <w:color w:val="auto"/>
              </w:rPr>
            </w:pPr>
            <w:r>
              <w:rPr>
                <w:rFonts w:ascii="Arial" w:cs="Arial" w:eastAsia="Arial" w:hAnsi="Arial"/>
                <w:sz w:val="18"/>
                <w:szCs w:val="18"/>
                <w:color w:val="auto"/>
              </w:rPr>
              <w:t>Sales of services</w:t>
            </w:r>
          </w:p>
        </w:tc>
        <w:tc>
          <w:tcPr>
            <w:tcW w:w="28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502,884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91,287</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450.9 %</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6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gridSpan w:val="2"/>
          </w:tcPr>
          <w:p>
            <w:pPr>
              <w:ind w:left="460"/>
              <w:spacing w:after="0"/>
              <w:rPr>
                <w:sz w:val="20"/>
                <w:szCs w:val="20"/>
                <w:color w:val="auto"/>
              </w:rPr>
            </w:pPr>
            <w:r>
              <w:rPr>
                <w:rFonts w:ascii="Arial" w:cs="Arial" w:eastAsia="Arial" w:hAnsi="Arial"/>
                <w:sz w:val="18"/>
                <w:szCs w:val="18"/>
                <w:color w:val="auto"/>
              </w:rPr>
              <w:t>Total net sales</w:t>
            </w:r>
          </w:p>
        </w:tc>
        <w:tc>
          <w:tcPr>
            <w:tcW w:w="28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3,829,901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2,167,857</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76.7 %</w:t>
            </w:r>
          </w:p>
        </w:tc>
        <w:tc>
          <w:tcPr>
            <w:tcW w:w="0" w:type="dxa"/>
            <w:vAlign w:val="bottom"/>
          </w:tcPr>
          <w:p>
            <w:pPr>
              <w:spacing w:after="0"/>
              <w:rPr>
                <w:sz w:val="1"/>
                <w:szCs w:val="1"/>
                <w:color w:val="auto"/>
              </w:rPr>
            </w:pPr>
          </w:p>
        </w:tc>
      </w:tr>
      <w:tr>
        <w:trPr>
          <w:trHeight w:val="270"/>
        </w:trPr>
        <w:tc>
          <w:tcPr>
            <w:tcW w:w="708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80" w:type="dxa"/>
            <w:vAlign w:val="bottom"/>
            <w:gridSpan w:val="2"/>
          </w:tcPr>
          <w:p>
            <w:pPr>
              <w:ind w:left="360"/>
              <w:spacing w:after="0"/>
              <w:rPr>
                <w:sz w:val="20"/>
                <w:szCs w:val="20"/>
                <w:color w:val="auto"/>
              </w:rPr>
            </w:pPr>
            <w:r>
              <w:rPr>
                <w:rFonts w:ascii="Arial" w:cs="Arial" w:eastAsia="Arial" w:hAnsi="Arial"/>
                <w:sz w:val="18"/>
                <w:szCs w:val="18"/>
                <w:color w:val="auto"/>
              </w:rPr>
              <w:t>Cost of goods</w:t>
            </w: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(2,451,329)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(1,458,375)</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68.1 %</w:t>
            </w:r>
          </w:p>
        </w:tc>
        <w:tc>
          <w:tcPr>
            <w:tcW w:w="0" w:type="dxa"/>
            <w:vAlign w:val="bottom"/>
          </w:tcPr>
          <w:p>
            <w:pPr>
              <w:spacing w:after="0"/>
              <w:rPr>
                <w:sz w:val="1"/>
                <w:szCs w:val="1"/>
                <w:color w:val="auto"/>
              </w:rPr>
            </w:pPr>
          </w:p>
        </w:tc>
      </w:tr>
      <w:tr>
        <w:trPr>
          <w:trHeight w:val="270"/>
        </w:trPr>
        <w:tc>
          <w:tcPr>
            <w:tcW w:w="7080" w:type="dxa"/>
            <w:vAlign w:val="bottom"/>
            <w:gridSpan w:val="2"/>
          </w:tcPr>
          <w:p>
            <w:pPr>
              <w:ind w:left="360"/>
              <w:spacing w:after="0"/>
              <w:rPr>
                <w:sz w:val="20"/>
                <w:szCs w:val="20"/>
                <w:color w:val="auto"/>
              </w:rPr>
            </w:pPr>
            <w:r>
              <w:rPr>
                <w:rFonts w:ascii="Arial" w:cs="Arial" w:eastAsia="Arial" w:hAnsi="Arial"/>
                <w:sz w:val="18"/>
                <w:szCs w:val="18"/>
                <w:color w:val="auto"/>
              </w:rPr>
              <w:t>Cost of services</w:t>
            </w: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(374,879)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(74,634)</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402.3 %</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6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gridSpan w:val="2"/>
          </w:tcPr>
          <w:p>
            <w:pPr>
              <w:ind w:left="460"/>
              <w:spacing w:after="0"/>
              <w:rPr>
                <w:sz w:val="20"/>
                <w:szCs w:val="20"/>
                <w:color w:val="auto"/>
              </w:rPr>
            </w:pPr>
            <w:r>
              <w:rPr>
                <w:rFonts w:ascii="Arial" w:cs="Arial" w:eastAsia="Arial" w:hAnsi="Arial"/>
                <w:sz w:val="18"/>
                <w:szCs w:val="18"/>
                <w:color w:val="auto"/>
              </w:rPr>
              <w:t>Total cost of sales</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(2,826,208)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(1,533,009)</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84.4 %</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6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gridSpan w:val="2"/>
          </w:tcPr>
          <w:p>
            <w:pPr>
              <w:ind w:left="14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1,003,693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634,848</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58.1 %</w:t>
            </w:r>
          </w:p>
        </w:tc>
        <w:tc>
          <w:tcPr>
            <w:tcW w:w="0" w:type="dxa"/>
            <w:vAlign w:val="bottom"/>
          </w:tcPr>
          <w:p>
            <w:pPr>
              <w:spacing w:after="0"/>
              <w:rPr>
                <w:sz w:val="1"/>
                <w:szCs w:val="1"/>
                <w:color w:val="auto"/>
              </w:rPr>
            </w:pPr>
          </w:p>
        </w:tc>
      </w:tr>
      <w:tr>
        <w:trPr>
          <w:trHeight w:val="270"/>
        </w:trPr>
        <w:tc>
          <w:tcPr>
            <w:tcW w:w="70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80" w:type="dxa"/>
            <w:vAlign w:val="bottom"/>
            <w:gridSpan w:val="2"/>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(550,682)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(318,358)</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73.0 %</w:t>
            </w:r>
          </w:p>
        </w:tc>
        <w:tc>
          <w:tcPr>
            <w:tcW w:w="0" w:type="dxa"/>
            <w:vAlign w:val="bottom"/>
          </w:tcPr>
          <w:p>
            <w:pPr>
              <w:spacing w:after="0"/>
              <w:rPr>
                <w:sz w:val="1"/>
                <w:szCs w:val="1"/>
                <w:color w:val="auto"/>
              </w:rPr>
            </w:pPr>
          </w:p>
        </w:tc>
      </w:tr>
      <w:tr>
        <w:trPr>
          <w:trHeight w:val="270"/>
        </w:trPr>
        <w:tc>
          <w:tcPr>
            <w:tcW w:w="7080" w:type="dxa"/>
            <w:vAlign w:val="bottom"/>
            <w:gridSpan w:val="2"/>
          </w:tcPr>
          <w:p>
            <w:pPr>
              <w:ind w:left="360"/>
              <w:spacing w:after="0"/>
              <w:rPr>
                <w:sz w:val="20"/>
                <w:szCs w:val="20"/>
                <w:color w:val="auto"/>
              </w:rPr>
            </w:pPr>
            <w:r>
              <w:rPr>
                <w:rFonts w:ascii="Arial" w:cs="Arial" w:eastAsia="Arial" w:hAnsi="Arial"/>
                <w:sz w:val="18"/>
                <w:szCs w:val="18"/>
                <w:color w:val="auto"/>
              </w:rPr>
              <w:t>Engineering expenses</w:t>
            </w: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(91,665)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(41,437)</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121.2 %</w:t>
            </w:r>
          </w:p>
        </w:tc>
        <w:tc>
          <w:tcPr>
            <w:tcW w:w="0" w:type="dxa"/>
            <w:vAlign w:val="bottom"/>
          </w:tcPr>
          <w:p>
            <w:pPr>
              <w:spacing w:after="0"/>
              <w:rPr>
                <w:sz w:val="1"/>
                <w:szCs w:val="1"/>
                <w:color w:val="auto"/>
              </w:rPr>
            </w:pPr>
          </w:p>
        </w:tc>
      </w:tr>
      <w:tr>
        <w:trPr>
          <w:trHeight w:val="270"/>
        </w:trPr>
        <w:tc>
          <w:tcPr>
            <w:tcW w:w="7080" w:type="dxa"/>
            <w:vAlign w:val="bottom"/>
            <w:gridSpan w:val="2"/>
          </w:tcPr>
          <w:p>
            <w:pPr>
              <w:ind w:left="360"/>
              <w:spacing w:after="0"/>
              <w:rPr>
                <w:sz w:val="20"/>
                <w:szCs w:val="20"/>
                <w:color w:val="auto"/>
              </w:rPr>
            </w:pPr>
            <w:r>
              <w:rPr>
                <w:rFonts w:ascii="Arial" w:cs="Arial" w:eastAsia="Arial" w:hAnsi="Arial"/>
                <w:sz w:val="18"/>
                <w:szCs w:val="18"/>
                <w:color w:val="auto"/>
              </w:rPr>
              <w:t>Amortization expense</w:t>
            </w: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(93,402)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(20,251)</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361.2 %</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6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gridSpan w:val="2"/>
          </w:tcPr>
          <w:p>
            <w:pPr>
              <w:ind w:left="460"/>
              <w:spacing w:after="0"/>
              <w:rPr>
                <w:sz w:val="20"/>
                <w:szCs w:val="20"/>
                <w:color w:val="auto"/>
              </w:rPr>
            </w:pPr>
            <w:r>
              <w:rPr>
                <w:rFonts w:ascii="Arial" w:cs="Arial" w:eastAsia="Arial" w:hAnsi="Arial"/>
                <w:sz w:val="18"/>
                <w:szCs w:val="18"/>
                <w:color w:val="auto"/>
              </w:rPr>
              <w:t>Total operating expenses</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(735,749)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(380,046)</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93.6 %</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6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gridSpan w:val="2"/>
          </w:tcPr>
          <w:p>
            <w:pPr>
              <w:ind w:left="140"/>
              <w:spacing w:after="0"/>
              <w:rPr>
                <w:sz w:val="20"/>
                <w:szCs w:val="20"/>
                <w:color w:val="auto"/>
              </w:rPr>
            </w:pPr>
            <w:r>
              <w:rPr>
                <w:rFonts w:ascii="Arial" w:cs="Arial" w:eastAsia="Arial" w:hAnsi="Arial"/>
                <w:sz w:val="18"/>
                <w:szCs w:val="18"/>
                <w:color w:val="auto"/>
              </w:rPr>
              <w:t>Income from operations</w:t>
            </w:r>
          </w:p>
        </w:tc>
        <w:tc>
          <w:tcPr>
            <w:tcW w:w="28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267,944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254,802</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5.2 %</w:t>
            </w:r>
          </w:p>
        </w:tc>
        <w:tc>
          <w:tcPr>
            <w:tcW w:w="0" w:type="dxa"/>
            <w:vAlign w:val="bottom"/>
          </w:tcPr>
          <w:p>
            <w:pPr>
              <w:spacing w:after="0"/>
              <w:rPr>
                <w:sz w:val="1"/>
                <w:szCs w:val="1"/>
                <w:color w:val="auto"/>
              </w:rPr>
            </w:pPr>
          </w:p>
        </w:tc>
      </w:tr>
      <w:tr>
        <w:trPr>
          <w:trHeight w:val="270"/>
        </w:trPr>
        <w:tc>
          <w:tcPr>
            <w:tcW w:w="7080" w:type="dxa"/>
            <w:vAlign w:val="bottom"/>
            <w:gridSpan w:val="2"/>
          </w:tcPr>
          <w:p>
            <w:pPr>
              <w:spacing w:after="0"/>
              <w:rPr>
                <w:sz w:val="20"/>
                <w:szCs w:val="20"/>
                <w:color w:val="auto"/>
              </w:rPr>
            </w:pPr>
            <w:r>
              <w:rPr>
                <w:rFonts w:ascii="Arial" w:cs="Arial" w:eastAsia="Arial" w:hAnsi="Arial"/>
                <w:sz w:val="18"/>
                <w:szCs w:val="18"/>
                <w:color w:val="auto"/>
              </w:rPr>
              <w:t>Other income and expenses:</w:t>
            </w: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80" w:type="dxa"/>
            <w:vAlign w:val="bottom"/>
            <w:gridSpan w:val="2"/>
          </w:tcPr>
          <w:p>
            <w:pPr>
              <w:ind w:left="36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(103,129)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(52,204)</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97.5 %</w:t>
            </w:r>
          </w:p>
        </w:tc>
        <w:tc>
          <w:tcPr>
            <w:tcW w:w="0" w:type="dxa"/>
            <w:vAlign w:val="bottom"/>
          </w:tcPr>
          <w:p>
            <w:pPr>
              <w:spacing w:after="0"/>
              <w:rPr>
                <w:sz w:val="1"/>
                <w:szCs w:val="1"/>
                <w:color w:val="auto"/>
              </w:rPr>
            </w:pPr>
          </w:p>
        </w:tc>
      </w:tr>
      <w:tr>
        <w:trPr>
          <w:trHeight w:val="270"/>
        </w:trPr>
        <w:tc>
          <w:tcPr>
            <w:tcW w:w="7080" w:type="dxa"/>
            <w:vAlign w:val="bottom"/>
            <w:gridSpan w:val="2"/>
          </w:tcPr>
          <w:p>
            <w:pPr>
              <w:ind w:left="360"/>
              <w:spacing w:after="0"/>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(6,051)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4,757</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(227.2)%</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6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gridSpan w:val="2"/>
          </w:tcPr>
          <w:p>
            <w:pPr>
              <w:ind w:left="140"/>
              <w:spacing w:after="0"/>
              <w:rPr>
                <w:sz w:val="20"/>
                <w:szCs w:val="20"/>
                <w:color w:val="auto"/>
              </w:rPr>
            </w:pPr>
            <w:r>
              <w:rPr>
                <w:rFonts w:ascii="Arial" w:cs="Arial" w:eastAsia="Arial" w:hAnsi="Arial"/>
                <w:sz w:val="18"/>
                <w:szCs w:val="18"/>
                <w:color w:val="auto"/>
              </w:rPr>
              <w:t>Income from operations before income taxes</w:t>
            </w:r>
          </w:p>
        </w:tc>
        <w:tc>
          <w:tcPr>
            <w:tcW w:w="28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158,764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207,355</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70"/>
        </w:trPr>
        <w:tc>
          <w:tcPr>
            <w:tcW w:w="7080" w:type="dxa"/>
            <w:vAlign w:val="bottom"/>
            <w:gridSpan w:val="2"/>
          </w:tcPr>
          <w:p>
            <w:pPr>
              <w:ind w:left="36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(59,923)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(36,627)</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63.6 %</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6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gridSpan w:val="2"/>
          </w:tcPr>
          <w:p>
            <w:pPr>
              <w:ind w:left="140"/>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98,841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170,728</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70"/>
        </w:trPr>
        <w:tc>
          <w:tcPr>
            <w:tcW w:w="7080" w:type="dxa"/>
            <w:vAlign w:val="bottom"/>
            <w:gridSpan w:val="2"/>
          </w:tcPr>
          <w:p>
            <w:pPr>
              <w:ind w:left="360"/>
              <w:spacing w:after="0"/>
              <w:rPr>
                <w:sz w:val="20"/>
                <w:szCs w:val="20"/>
                <w:color w:val="auto"/>
              </w:rPr>
            </w:pPr>
            <w:r>
              <w:rPr>
                <w:rFonts w:ascii="Arial" w:cs="Arial" w:eastAsia="Arial" w:hAnsi="Arial"/>
                <w:sz w:val="18"/>
                <w:szCs w:val="18"/>
                <w:color w:val="auto"/>
              </w:rPr>
              <w:t>Less: Net loss attributable to noncontrolling interest</w:t>
            </w:r>
          </w:p>
        </w:tc>
        <w:tc>
          <w:tcPr>
            <w:tcW w:w="28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2,054</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6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gridSpan w:val="2"/>
          </w:tcPr>
          <w:p>
            <w:pPr>
              <w:ind w:left="140"/>
              <w:spacing w:after="0"/>
              <w:rPr>
                <w:sz w:val="20"/>
                <w:szCs w:val="20"/>
                <w:color w:val="auto"/>
              </w:rPr>
            </w:pPr>
            <w:r>
              <w:rPr>
                <w:rFonts w:ascii="Arial" w:cs="Arial" w:eastAsia="Arial" w:hAnsi="Arial"/>
                <w:sz w:val="18"/>
                <w:szCs w:val="18"/>
                <w:color w:val="auto"/>
              </w:rPr>
              <w:t>Net income attributable to Wabtec shareholders</w:t>
            </w: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99,763</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172,782</w:t>
            </w:r>
          </w:p>
        </w:tc>
        <w:tc>
          <w:tcPr>
            <w:tcW w:w="120" w:type="dxa"/>
            <w:vAlign w:val="bottom"/>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major components of the change in sales in the first six months of 2019 from the first six months of 2018:</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6"/>
              </w:rPr>
              <w:t>Freight</w:t>
            </w:r>
          </w:p>
        </w:tc>
        <w:tc>
          <w:tcPr>
            <w:tcW w:w="420" w:type="dxa"/>
            <w:vAlign w:val="bottom"/>
          </w:tcPr>
          <w:p>
            <w:pPr>
              <w:spacing w:after="0"/>
              <w:rPr>
                <w:sz w:val="14"/>
                <w:szCs w:val="14"/>
                <w:color w:val="auto"/>
              </w:rPr>
            </w:pPr>
          </w:p>
        </w:tc>
        <w:tc>
          <w:tcPr>
            <w:tcW w:w="16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Transit</w:t>
            </w:r>
          </w:p>
        </w:tc>
        <w:tc>
          <w:tcPr>
            <w:tcW w:w="480" w:type="dxa"/>
            <w:vAlign w:val="bottom"/>
          </w:tcPr>
          <w:p>
            <w:pPr>
              <w:spacing w:after="0"/>
              <w:rPr>
                <w:sz w:val="14"/>
                <w:szCs w:val="14"/>
                <w:color w:val="auto"/>
              </w:rPr>
            </w:pPr>
          </w:p>
        </w:tc>
        <w:tc>
          <w:tcPr>
            <w:tcW w:w="1460" w:type="dxa"/>
            <w:vAlign w:val="bottom"/>
            <w:vMerge w:val="restart"/>
          </w:tcPr>
          <w:p>
            <w:pPr>
              <w:jc w:val="right"/>
              <w:ind w:right="7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534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420" w:type="dxa"/>
            <w:vAlign w:val="bottom"/>
          </w:tcPr>
          <w:p>
            <w:pPr>
              <w:spacing w:after="0"/>
              <w:rPr>
                <w:sz w:val="13"/>
                <w:szCs w:val="13"/>
                <w:color w:val="auto"/>
              </w:rPr>
            </w:pPr>
          </w:p>
        </w:tc>
        <w:tc>
          <w:tcPr>
            <w:tcW w:w="1640" w:type="dxa"/>
            <w:vAlign w:val="bottom"/>
            <w:gridSpan w:val="2"/>
          </w:tcPr>
          <w:p>
            <w:pPr>
              <w:jc w:val="center"/>
              <w:ind w:right="500"/>
              <w:spacing w:after="0" w:line="158" w:lineRule="exact"/>
              <w:rPr>
                <w:sz w:val="20"/>
                <w:szCs w:val="20"/>
                <w:color w:val="auto"/>
              </w:rPr>
            </w:pPr>
            <w:r>
              <w:rPr>
                <w:rFonts w:ascii="Arial" w:cs="Arial" w:eastAsia="Arial" w:hAnsi="Arial"/>
                <w:sz w:val="14"/>
                <w:szCs w:val="14"/>
                <w:b w:val="1"/>
                <w:bCs w:val="1"/>
                <w:color w:val="auto"/>
                <w:w w:val="91"/>
              </w:rPr>
              <w:t>Segment</w:t>
            </w:r>
          </w:p>
        </w:tc>
        <w:tc>
          <w:tcPr>
            <w:tcW w:w="420" w:type="dxa"/>
            <w:vAlign w:val="bottom"/>
          </w:tcPr>
          <w:p>
            <w:pPr>
              <w:spacing w:after="0"/>
              <w:rPr>
                <w:sz w:val="13"/>
                <w:szCs w:val="13"/>
                <w:color w:val="auto"/>
              </w:rPr>
            </w:pPr>
          </w:p>
        </w:tc>
        <w:tc>
          <w:tcPr>
            <w:tcW w:w="1620" w:type="dxa"/>
            <w:vAlign w:val="bottom"/>
            <w:gridSpan w:val="2"/>
          </w:tcPr>
          <w:p>
            <w:pPr>
              <w:jc w:val="center"/>
              <w:ind w:right="500"/>
              <w:spacing w:after="0" w:line="158" w:lineRule="exact"/>
              <w:rPr>
                <w:sz w:val="20"/>
                <w:szCs w:val="20"/>
                <w:color w:val="auto"/>
              </w:rPr>
            </w:pPr>
            <w:r>
              <w:rPr>
                <w:rFonts w:ascii="Arial" w:cs="Arial" w:eastAsia="Arial" w:hAnsi="Arial"/>
                <w:sz w:val="14"/>
                <w:szCs w:val="14"/>
                <w:b w:val="1"/>
                <w:bCs w:val="1"/>
                <w:color w:val="auto"/>
                <w:w w:val="87"/>
              </w:rPr>
              <w:t>Segment</w:t>
            </w:r>
          </w:p>
        </w:tc>
        <w:tc>
          <w:tcPr>
            <w:tcW w:w="48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5340" w:type="dxa"/>
            <w:vAlign w:val="bottom"/>
            <w:gridSpan w:val="2"/>
          </w:tcPr>
          <w:p>
            <w:pPr>
              <w:spacing w:after="0"/>
              <w:rPr>
                <w:sz w:val="20"/>
                <w:szCs w:val="20"/>
                <w:color w:val="auto"/>
              </w:rPr>
            </w:pPr>
            <w:r>
              <w:rPr>
                <w:rFonts w:ascii="Arial" w:cs="Arial" w:eastAsia="Arial" w:hAnsi="Arial"/>
                <w:sz w:val="18"/>
                <w:szCs w:val="18"/>
                <w:color w:val="auto"/>
              </w:rPr>
              <w:t>First Six Months of 2018 Net Sales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791,812</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1,376,045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2,167,857</w:t>
            </w:r>
          </w:p>
        </w:tc>
        <w:tc>
          <w:tcPr>
            <w:tcW w:w="0" w:type="dxa"/>
            <w:vAlign w:val="bottom"/>
          </w:tcPr>
          <w:p>
            <w:pPr>
              <w:spacing w:after="0"/>
              <w:rPr>
                <w:sz w:val="1"/>
                <w:szCs w:val="1"/>
                <w:color w:val="auto"/>
              </w:rPr>
            </w:pPr>
          </w:p>
        </w:tc>
      </w:tr>
      <w:tr>
        <w:trPr>
          <w:trHeight w:val="270"/>
        </w:trPr>
        <w:tc>
          <w:tcPr>
            <w:tcW w:w="5340" w:type="dxa"/>
            <w:vAlign w:val="bottom"/>
            <w:gridSpan w:val="2"/>
          </w:tcPr>
          <w:p>
            <w:pPr>
              <w:spacing w:after="0"/>
              <w:rPr>
                <w:sz w:val="20"/>
                <w:szCs w:val="20"/>
                <w:color w:val="auto"/>
              </w:rPr>
            </w:pPr>
            <w:r>
              <w:rPr>
                <w:rFonts w:ascii="Arial" w:cs="Arial" w:eastAsia="Arial" w:hAnsi="Arial"/>
                <w:sz w:val="18"/>
                <w:szCs w:val="18"/>
                <w:color w:val="auto"/>
              </w:rPr>
              <w:t>Acquisitions</w:t>
            </w:r>
          </w:p>
        </w:tc>
        <w:tc>
          <w:tcPr>
            <w:tcW w:w="420" w:type="dxa"/>
            <w:vAlign w:val="bottom"/>
          </w:tcPr>
          <w:p>
            <w:pPr>
              <w:spacing w:after="0"/>
              <w:rPr>
                <w:sz w:val="23"/>
                <w:szCs w:val="23"/>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1,617,110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17,590</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1,634,700</w:t>
            </w:r>
          </w:p>
        </w:tc>
        <w:tc>
          <w:tcPr>
            <w:tcW w:w="0" w:type="dxa"/>
            <w:vAlign w:val="bottom"/>
          </w:tcPr>
          <w:p>
            <w:pPr>
              <w:spacing w:after="0"/>
              <w:rPr>
                <w:sz w:val="1"/>
                <w:szCs w:val="1"/>
                <w:color w:val="auto"/>
              </w:rPr>
            </w:pPr>
          </w:p>
        </w:tc>
      </w:tr>
      <w:tr>
        <w:trPr>
          <w:trHeight w:val="270"/>
        </w:trPr>
        <w:tc>
          <w:tcPr>
            <w:tcW w:w="5340" w:type="dxa"/>
            <w:vAlign w:val="bottom"/>
            <w:gridSpan w:val="2"/>
          </w:tcPr>
          <w:p>
            <w:pPr>
              <w:spacing w:after="0"/>
              <w:rPr>
                <w:sz w:val="20"/>
                <w:szCs w:val="20"/>
                <w:color w:val="auto"/>
              </w:rPr>
            </w:pPr>
            <w:r>
              <w:rPr>
                <w:rFonts w:ascii="Arial" w:cs="Arial" w:eastAsia="Arial" w:hAnsi="Arial"/>
                <w:sz w:val="18"/>
                <w:szCs w:val="18"/>
                <w:i w:val="1"/>
                <w:iCs w:val="1"/>
                <w:color w:val="auto"/>
              </w:rPr>
              <w:t>Change in Sales by Product Line:</w:t>
            </w:r>
          </w:p>
        </w:tc>
        <w:tc>
          <w:tcPr>
            <w:tcW w:w="4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340" w:type="dxa"/>
            <w:vAlign w:val="bottom"/>
            <w:gridSpan w:val="2"/>
          </w:tcPr>
          <w:p>
            <w:pPr>
              <w:ind w:left="240"/>
              <w:spacing w:after="0"/>
              <w:rPr>
                <w:sz w:val="20"/>
                <w:szCs w:val="20"/>
                <w:color w:val="auto"/>
              </w:rPr>
            </w:pPr>
            <w:r>
              <w:rPr>
                <w:rFonts w:ascii="Arial" w:cs="Arial" w:eastAsia="Arial" w:hAnsi="Arial"/>
                <w:sz w:val="18"/>
                <w:szCs w:val="18"/>
                <w:color w:val="auto"/>
              </w:rPr>
              <w:t>Transit Products</w:t>
            </w:r>
          </w:p>
        </w:tc>
        <w:tc>
          <w:tcPr>
            <w:tcW w:w="420" w:type="dxa"/>
            <w:vAlign w:val="bottom"/>
          </w:tcPr>
          <w:p>
            <w:pPr>
              <w:spacing w:after="0"/>
              <w:rPr>
                <w:sz w:val="23"/>
                <w:szCs w:val="23"/>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115,062</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115,062</w:t>
            </w:r>
          </w:p>
        </w:tc>
        <w:tc>
          <w:tcPr>
            <w:tcW w:w="0" w:type="dxa"/>
            <w:vAlign w:val="bottom"/>
          </w:tcPr>
          <w:p>
            <w:pPr>
              <w:spacing w:after="0"/>
              <w:rPr>
                <w:sz w:val="1"/>
                <w:szCs w:val="1"/>
                <w:color w:val="auto"/>
              </w:rPr>
            </w:pPr>
          </w:p>
        </w:tc>
      </w:tr>
      <w:tr>
        <w:trPr>
          <w:trHeight w:val="270"/>
        </w:trPr>
        <w:tc>
          <w:tcPr>
            <w:tcW w:w="5340" w:type="dxa"/>
            <w:vAlign w:val="bottom"/>
            <w:gridSpan w:val="2"/>
          </w:tcPr>
          <w:p>
            <w:pPr>
              <w:ind w:left="240"/>
              <w:spacing w:after="0"/>
              <w:rPr>
                <w:sz w:val="20"/>
                <w:szCs w:val="20"/>
                <w:color w:val="auto"/>
              </w:rPr>
            </w:pPr>
            <w:r>
              <w:rPr>
                <w:rFonts w:ascii="Arial" w:cs="Arial" w:eastAsia="Arial" w:hAnsi="Arial"/>
                <w:sz w:val="18"/>
                <w:szCs w:val="18"/>
                <w:color w:val="auto"/>
              </w:rPr>
              <w:t>Brake Products</w:t>
            </w:r>
          </w:p>
        </w:tc>
        <w:tc>
          <w:tcPr>
            <w:tcW w:w="420" w:type="dxa"/>
            <w:vAlign w:val="bottom"/>
          </w:tcPr>
          <w:p>
            <w:pPr>
              <w:spacing w:after="0"/>
              <w:rPr>
                <w:sz w:val="23"/>
                <w:szCs w:val="23"/>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4,445</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58,685</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63,130</w:t>
            </w:r>
          </w:p>
        </w:tc>
        <w:tc>
          <w:tcPr>
            <w:tcW w:w="0" w:type="dxa"/>
            <w:vAlign w:val="bottom"/>
          </w:tcPr>
          <w:p>
            <w:pPr>
              <w:spacing w:after="0"/>
              <w:rPr>
                <w:sz w:val="1"/>
                <w:szCs w:val="1"/>
                <w:color w:val="auto"/>
              </w:rPr>
            </w:pPr>
          </w:p>
        </w:tc>
      </w:tr>
      <w:tr>
        <w:trPr>
          <w:trHeight w:val="270"/>
        </w:trPr>
        <w:tc>
          <w:tcPr>
            <w:tcW w:w="5340" w:type="dxa"/>
            <w:vAlign w:val="bottom"/>
            <w:gridSpan w:val="2"/>
          </w:tcPr>
          <w:p>
            <w:pPr>
              <w:ind w:left="240"/>
              <w:spacing w:after="0"/>
              <w:rPr>
                <w:sz w:val="20"/>
                <w:szCs w:val="20"/>
                <w:color w:val="auto"/>
              </w:rPr>
            </w:pPr>
            <w:r>
              <w:rPr>
                <w:rFonts w:ascii="Arial" w:cs="Arial" w:eastAsia="Arial" w:hAnsi="Arial"/>
                <w:sz w:val="18"/>
                <w:szCs w:val="18"/>
                <w:color w:val="auto"/>
              </w:rPr>
              <w:t>Remanufacturing, Overhaul &amp; Build</w:t>
            </w:r>
          </w:p>
        </w:tc>
        <w:tc>
          <w:tcPr>
            <w:tcW w:w="42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(4,043)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8,064</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4,021</w:t>
            </w:r>
          </w:p>
        </w:tc>
        <w:tc>
          <w:tcPr>
            <w:tcW w:w="0" w:type="dxa"/>
            <w:vAlign w:val="bottom"/>
          </w:tcPr>
          <w:p>
            <w:pPr>
              <w:spacing w:after="0"/>
              <w:rPr>
                <w:sz w:val="1"/>
                <w:szCs w:val="1"/>
                <w:color w:val="auto"/>
              </w:rPr>
            </w:pPr>
          </w:p>
        </w:tc>
      </w:tr>
      <w:tr>
        <w:trPr>
          <w:trHeight w:val="270"/>
        </w:trPr>
        <w:tc>
          <w:tcPr>
            <w:tcW w:w="5340" w:type="dxa"/>
            <w:vAlign w:val="bottom"/>
            <w:gridSpan w:val="2"/>
          </w:tcPr>
          <w:p>
            <w:pPr>
              <w:ind w:left="240"/>
              <w:spacing w:after="0"/>
              <w:rPr>
                <w:sz w:val="20"/>
                <w:szCs w:val="20"/>
                <w:color w:val="auto"/>
              </w:rPr>
            </w:pPr>
            <w:r>
              <w:rPr>
                <w:rFonts w:ascii="Arial" w:cs="Arial" w:eastAsia="Arial" w:hAnsi="Arial"/>
                <w:sz w:val="18"/>
                <w:szCs w:val="18"/>
                <w:color w:val="auto"/>
              </w:rPr>
              <w:t>Specialty Products &amp; Electronics</w:t>
            </w:r>
          </w:p>
        </w:tc>
        <w:tc>
          <w:tcPr>
            <w:tcW w:w="42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(26,650)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(25,895)</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(52,545)</w:t>
            </w:r>
          </w:p>
        </w:tc>
        <w:tc>
          <w:tcPr>
            <w:tcW w:w="0" w:type="dxa"/>
            <w:vAlign w:val="bottom"/>
          </w:tcPr>
          <w:p>
            <w:pPr>
              <w:spacing w:after="0"/>
              <w:rPr>
                <w:sz w:val="1"/>
                <w:szCs w:val="1"/>
                <w:color w:val="auto"/>
              </w:rPr>
            </w:pPr>
          </w:p>
        </w:tc>
      </w:tr>
      <w:tr>
        <w:trPr>
          <w:trHeight w:val="270"/>
        </w:trPr>
        <w:tc>
          <w:tcPr>
            <w:tcW w:w="5340" w:type="dxa"/>
            <w:vAlign w:val="bottom"/>
            <w:gridSpan w:val="2"/>
          </w:tcPr>
          <w:p>
            <w:pPr>
              <w:ind w:left="24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23"/>
                <w:szCs w:val="23"/>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1,526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1,971</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3,497</w:t>
            </w:r>
          </w:p>
        </w:tc>
        <w:tc>
          <w:tcPr>
            <w:tcW w:w="0" w:type="dxa"/>
            <w:vAlign w:val="bottom"/>
          </w:tcPr>
          <w:p>
            <w:pPr>
              <w:spacing w:after="0"/>
              <w:rPr>
                <w:sz w:val="1"/>
                <w:szCs w:val="1"/>
                <w:color w:val="auto"/>
              </w:rPr>
            </w:pPr>
          </w:p>
        </w:tc>
      </w:tr>
      <w:tr>
        <w:trPr>
          <w:trHeight w:val="270"/>
        </w:trPr>
        <w:tc>
          <w:tcPr>
            <w:tcW w:w="5340" w:type="dxa"/>
            <w:vAlign w:val="bottom"/>
            <w:gridSpan w:val="2"/>
          </w:tcPr>
          <w:p>
            <w:pPr>
              <w:spacing w:after="0"/>
              <w:rPr>
                <w:sz w:val="20"/>
                <w:szCs w:val="20"/>
                <w:color w:val="auto"/>
              </w:rPr>
            </w:pPr>
            <w:r>
              <w:rPr>
                <w:rFonts w:ascii="Arial" w:cs="Arial" w:eastAsia="Arial" w:hAnsi="Arial"/>
                <w:sz w:val="18"/>
                <w:szCs w:val="18"/>
                <w:color w:val="auto"/>
              </w:rPr>
              <w:t>Foreign exchange</w:t>
            </w:r>
          </w:p>
        </w:tc>
        <w:tc>
          <w:tcPr>
            <w:tcW w:w="42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(13,817)</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(92,004)</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(105,821)</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45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40" w:type="dxa"/>
            <w:vAlign w:val="bottom"/>
            <w:gridSpan w:val="2"/>
          </w:tcPr>
          <w:p>
            <w:pPr>
              <w:spacing w:after="0"/>
              <w:rPr>
                <w:sz w:val="20"/>
                <w:szCs w:val="20"/>
                <w:color w:val="auto"/>
              </w:rPr>
            </w:pPr>
            <w:r>
              <w:rPr>
                <w:rFonts w:ascii="Arial" w:cs="Arial" w:eastAsia="Arial" w:hAnsi="Arial"/>
                <w:sz w:val="18"/>
                <w:szCs w:val="18"/>
                <w:color w:val="auto"/>
              </w:rPr>
              <w:t>First Six Months of 2019 Net Sales</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2,370,383</w:t>
            </w:r>
          </w:p>
        </w:tc>
        <w:tc>
          <w:tcPr>
            <w:tcW w:w="100" w:type="dxa"/>
            <w:vAlign w:val="bottom"/>
          </w:tcPr>
          <w:p>
            <w:pPr>
              <w:spacing w:after="0"/>
              <w:rPr>
                <w:sz w:val="22"/>
                <w:szCs w:val="22"/>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1,459,518</w:t>
            </w:r>
          </w:p>
        </w:tc>
        <w:tc>
          <w:tcPr>
            <w:tcW w:w="100" w:type="dxa"/>
            <w:vAlign w:val="bottom"/>
          </w:tcPr>
          <w:p>
            <w:pPr>
              <w:spacing w:after="0"/>
              <w:rPr>
                <w:sz w:val="22"/>
                <w:szCs w:val="22"/>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3,829,901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796"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ind w:firstLine="500"/>
        <w:spacing w:after="0" w:line="255" w:lineRule="auto"/>
        <w:rPr>
          <w:sz w:val="20"/>
          <w:szCs w:val="20"/>
          <w:color w:val="auto"/>
        </w:rPr>
      </w:pPr>
      <w:r>
        <w:rPr>
          <w:rFonts w:ascii="Arial" w:cs="Arial" w:eastAsia="Arial" w:hAnsi="Arial"/>
          <w:sz w:val="18"/>
          <w:szCs w:val="18"/>
          <w:color w:val="auto"/>
        </w:rPr>
        <w:t>Net sales for the six months ended June 30, 2019 increased by $1.66 billion, or 76.7%, to $3.83 billion. The increase is primarily due to sales from acquisitions of $1.63 billion, mainly, the acquisition of GE Transportation. GE Transportation contributed $1.62 billion of net sales in the year primarily from equipment products and services. Additionally, Transit Segment sales increased $83 million primarily due to increased original equipment project deliveries for HVAC and door systems, and Brake Products. These increases were partially offset by a decrease in Specialty Products and Electronics of $53 million due to the completion of a large project signaling project in 2018 and lower PTC hardware sales. Unfavorable changes in foreign currency exchange rates reduced sales by $106 million.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121" w:lineRule="exact"/>
        <w:rPr>
          <w:sz w:val="20"/>
          <w:szCs w:val="20"/>
          <w:color w:val="auto"/>
        </w:rPr>
      </w:pPr>
    </w:p>
    <w:p>
      <w:pPr>
        <w:ind w:right="80" w:firstLine="500"/>
        <w:spacing w:after="0" w:line="255" w:lineRule="auto"/>
        <w:rPr>
          <w:sz w:val="20"/>
          <w:szCs w:val="20"/>
          <w:color w:val="auto"/>
        </w:rPr>
      </w:pPr>
      <w:r>
        <w:rPr>
          <w:rFonts w:ascii="Arial" w:cs="Arial" w:eastAsia="Arial" w:hAnsi="Arial"/>
          <w:sz w:val="18"/>
          <w:szCs w:val="18"/>
          <w:color w:val="auto"/>
        </w:rPr>
        <w:t>Cost of sales increased by $1.29 billion to $2.83 billion in 2019 compared to $1.53 billion in 2018. The increase is primarily due to $1.28 billion of incremental costs from acquisitions, mainly from GE Transportation. In 2019, cost of sales as a percentage of sales was 73.8% compared to 70.7% in 2018. Cost of sales in 2019 includes $169 million of non-recurring costs related to purchase price accounting for the step-up of GE Transportation inventory on the date of acquisition. Excluding this non-recurring charge, cost of sales as a percentage of sales was 69.4% in 2019, a 1.3% improvement over 2018. This improvement is attributable to a favorable product mix towards more Freight Segment products, which typically carry higher margins than the Transit Segment.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right="60" w:firstLine="500"/>
        <w:spacing w:after="0" w:line="259" w:lineRule="auto"/>
        <w:rPr>
          <w:sz w:val="20"/>
          <w:szCs w:val="20"/>
          <w:color w:val="auto"/>
        </w:rPr>
      </w:pPr>
      <w:r>
        <w:rPr>
          <w:rFonts w:ascii="Arial" w:cs="Arial" w:eastAsia="Arial" w:hAnsi="Arial"/>
          <w:sz w:val="18"/>
          <w:szCs w:val="18"/>
          <w:color w:val="auto"/>
        </w:rPr>
        <w:t>Total operating expenses as a percentage of sales increased to 19.2% of sales in 2019 compared to 17.5% in 2018. Selling, general, and administrative expenses increased $232 million or 73.0%, primarily due to $136 million of incremental expense from acquisitions, mainly GE Transportation, and $90 million in transaction and restructuring costs related to the acquisition of GE Transportation. Engineering expense increased $50 million and amortization expense increased $73 million due to incremental expense from the GE Transportation acquisition.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Interest expense, net, increased $51 million in 2019 attributable to higher overall debt balances in 2019, related to the GE Transportation acquisition.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121" w:lineRule="exact"/>
        <w:rPr>
          <w:sz w:val="20"/>
          <w:szCs w:val="20"/>
          <w:color w:val="auto"/>
        </w:rPr>
      </w:pPr>
    </w:p>
    <w:p>
      <w:pPr>
        <w:ind w:right="780" w:firstLine="500"/>
        <w:spacing w:after="0" w:line="277" w:lineRule="auto"/>
        <w:rPr>
          <w:sz w:val="20"/>
          <w:szCs w:val="20"/>
          <w:color w:val="auto"/>
        </w:rPr>
      </w:pPr>
      <w:r>
        <w:rPr>
          <w:rFonts w:ascii="Arial" w:cs="Arial" w:eastAsia="Arial" w:hAnsi="Arial"/>
          <w:sz w:val="18"/>
          <w:szCs w:val="18"/>
          <w:color w:val="auto"/>
        </w:rPr>
        <w:t>Other expense/(income), net, totaled $6 million of expense in 2019 compared to $5 million of income in 2018 primarily due to losses on the remeasurement of certain foreign currency denominated original locomotive equipment contracts.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100" w:firstLine="500"/>
        <w:spacing w:after="0" w:line="257" w:lineRule="auto"/>
        <w:rPr>
          <w:sz w:val="20"/>
          <w:szCs w:val="20"/>
          <w:color w:val="auto"/>
        </w:rPr>
      </w:pPr>
      <w:r>
        <w:rPr>
          <w:rFonts w:ascii="Arial" w:cs="Arial" w:eastAsia="Arial" w:hAnsi="Arial"/>
          <w:sz w:val="18"/>
          <w:szCs w:val="18"/>
          <w:color w:val="auto"/>
        </w:rPr>
        <w:t>The effective income tax rate was 37.7% and 17.7% for 2019 and 2018, respectively. The increase in the effective rate for the six months ended June 30, 2019 is primarily the result of a $13 million benefit recorded in the second quarter of 2018 to revise estimates of the impact of U.S. tax legislation on the Transition Tax on unrepatriated earnings and the deductibility of certain executive compensation. In addition, the rate increased due to non-deductible transaction related expenses incurred as a result of the acquisition of GE Transportation as well as increased estimated liabilities resulting from provisions of the Tax Cuts and Jobs Act.</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796" w:right="27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Freight Segment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our Consolidated Statements of Operations for our Freight Segment for the periods indicated.</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2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Six Months Ended June 30,</w:t>
            </w:r>
          </w:p>
        </w:tc>
        <w:tc>
          <w:tcPr>
            <w:tcW w:w="1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2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500" w:type="dxa"/>
            <w:vAlign w:val="bottom"/>
          </w:tcPr>
          <w:p>
            <w:pPr>
              <w:spacing w:after="0"/>
              <w:rPr>
                <w:sz w:val="19"/>
                <w:szCs w:val="19"/>
                <w:color w:val="auto"/>
              </w:rPr>
            </w:pPr>
          </w:p>
        </w:tc>
        <w:tc>
          <w:tcPr>
            <w:tcW w:w="1500" w:type="dxa"/>
            <w:vAlign w:val="bottom"/>
          </w:tcPr>
          <w:p>
            <w:pPr>
              <w:jc w:val="right"/>
              <w:ind w:right="77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tcPr>
          <w:p>
            <w:pPr>
              <w:jc w:val="right"/>
              <w:ind w:right="75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1980" w:type="dxa"/>
            <w:vAlign w:val="bottom"/>
          </w:tcPr>
          <w:p>
            <w:pPr>
              <w:jc w:val="right"/>
              <w:ind w:right="412"/>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21"/>
        </w:trPr>
        <w:tc>
          <w:tcPr>
            <w:tcW w:w="72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color w:val="auto"/>
                <w:w w:val="87"/>
              </w:rPr>
              <w:t>Net sales:</w:t>
            </w:r>
          </w:p>
        </w:tc>
        <w:tc>
          <w:tcPr>
            <w:tcW w:w="4480" w:type="dxa"/>
            <w:vAlign w:val="bottom"/>
            <w:vMerge w:val="restart"/>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720" w:type="dxa"/>
            <w:vAlign w:val="bottom"/>
            <w:vMerge w:val="continue"/>
          </w:tcPr>
          <w:p>
            <w:pPr>
              <w:spacing w:after="0"/>
              <w:rPr>
                <w:sz w:val="20"/>
                <w:szCs w:val="20"/>
                <w:color w:val="auto"/>
              </w:rPr>
            </w:pPr>
          </w:p>
        </w:tc>
        <w:tc>
          <w:tcPr>
            <w:tcW w:w="4480" w:type="dxa"/>
            <w:vAlign w:val="bottom"/>
            <w:vMerge w:val="continue"/>
          </w:tcPr>
          <w:p>
            <w:pPr>
              <w:spacing w:after="0"/>
              <w:rPr>
                <w:sz w:val="20"/>
                <w:szCs w:val="20"/>
                <w:color w:val="auto"/>
              </w:rPr>
            </w:pPr>
          </w:p>
        </w:tc>
        <w:tc>
          <w:tcPr>
            <w:tcW w:w="5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200" w:type="dxa"/>
            <w:vAlign w:val="bottom"/>
            <w:gridSpan w:val="2"/>
          </w:tcPr>
          <w:p>
            <w:pPr>
              <w:ind w:left="340"/>
              <w:spacing w:after="0"/>
              <w:rPr>
                <w:sz w:val="20"/>
                <w:szCs w:val="20"/>
                <w:color w:val="auto"/>
              </w:rPr>
            </w:pPr>
            <w:r>
              <w:rPr>
                <w:rFonts w:ascii="Arial" w:cs="Arial" w:eastAsia="Arial" w:hAnsi="Arial"/>
                <w:sz w:val="18"/>
                <w:szCs w:val="18"/>
                <w:color w:val="auto"/>
              </w:rPr>
              <w:t>Sales of goods</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2"/>
              <w:spacing w:after="0"/>
              <w:rPr>
                <w:sz w:val="20"/>
                <w:szCs w:val="20"/>
                <w:color w:val="auto"/>
              </w:rPr>
            </w:pPr>
            <w:r>
              <w:rPr>
                <w:rFonts w:ascii="Arial" w:cs="Arial" w:eastAsia="Arial" w:hAnsi="Arial"/>
                <w:sz w:val="18"/>
                <w:szCs w:val="18"/>
                <w:color w:val="auto"/>
              </w:rPr>
              <w:t>1,891,080</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93"/>
              <w:spacing w:after="0"/>
              <w:rPr>
                <w:sz w:val="20"/>
                <w:szCs w:val="20"/>
                <w:color w:val="auto"/>
              </w:rPr>
            </w:pPr>
            <w:r>
              <w:rPr>
                <w:rFonts w:ascii="Arial" w:cs="Arial" w:eastAsia="Arial" w:hAnsi="Arial"/>
                <w:sz w:val="18"/>
                <w:szCs w:val="18"/>
                <w:color w:val="auto"/>
              </w:rPr>
              <w:t>723,657</w:t>
            </w:r>
          </w:p>
        </w:tc>
        <w:tc>
          <w:tcPr>
            <w:tcW w:w="120" w:type="dxa"/>
            <w:vAlign w:val="bottom"/>
          </w:tcPr>
          <w:p>
            <w:pPr>
              <w:spacing w:after="0"/>
              <w:rPr>
                <w:sz w:val="23"/>
                <w:szCs w:val="23"/>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r>
        <w:trPr>
          <w:trHeight w:val="270"/>
        </w:trPr>
        <w:tc>
          <w:tcPr>
            <w:tcW w:w="5200" w:type="dxa"/>
            <w:vAlign w:val="bottom"/>
            <w:gridSpan w:val="2"/>
          </w:tcPr>
          <w:p>
            <w:pPr>
              <w:ind w:left="340"/>
              <w:spacing w:after="0"/>
              <w:rPr>
                <w:sz w:val="20"/>
                <w:szCs w:val="20"/>
                <w:color w:val="auto"/>
              </w:rPr>
            </w:pPr>
            <w:r>
              <w:rPr>
                <w:rFonts w:ascii="Arial" w:cs="Arial" w:eastAsia="Arial" w:hAnsi="Arial"/>
                <w:sz w:val="18"/>
                <w:szCs w:val="18"/>
                <w:color w:val="auto"/>
              </w:rPr>
              <w:t>Sales of services</w:t>
            </w:r>
          </w:p>
        </w:tc>
        <w:tc>
          <w:tcPr>
            <w:tcW w:w="500" w:type="dxa"/>
            <w:vAlign w:val="bottom"/>
          </w:tcPr>
          <w:p>
            <w:pPr>
              <w:spacing w:after="0"/>
              <w:rPr>
                <w:sz w:val="23"/>
                <w:szCs w:val="23"/>
                <w:color w:val="auto"/>
              </w:rPr>
            </w:pPr>
          </w:p>
        </w:tc>
        <w:tc>
          <w:tcPr>
            <w:tcW w:w="1500" w:type="dxa"/>
            <w:vAlign w:val="bottom"/>
          </w:tcPr>
          <w:p>
            <w:pPr>
              <w:jc w:val="right"/>
              <w:ind w:right="112"/>
              <w:spacing w:after="0"/>
              <w:rPr>
                <w:sz w:val="20"/>
                <w:szCs w:val="20"/>
                <w:color w:val="auto"/>
              </w:rPr>
            </w:pPr>
            <w:r>
              <w:rPr>
                <w:rFonts w:ascii="Arial" w:cs="Arial" w:eastAsia="Arial" w:hAnsi="Arial"/>
                <w:sz w:val="18"/>
                <w:szCs w:val="18"/>
                <w:color w:val="auto"/>
              </w:rPr>
              <w:t>479,303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40" w:type="dxa"/>
            <w:vAlign w:val="bottom"/>
          </w:tcPr>
          <w:p>
            <w:pPr>
              <w:jc w:val="right"/>
              <w:ind w:right="93"/>
              <w:spacing w:after="0"/>
              <w:rPr>
                <w:sz w:val="20"/>
                <w:szCs w:val="20"/>
                <w:color w:val="auto"/>
              </w:rPr>
            </w:pPr>
            <w:r>
              <w:rPr>
                <w:rFonts w:ascii="Arial" w:cs="Arial" w:eastAsia="Arial" w:hAnsi="Arial"/>
                <w:sz w:val="18"/>
                <w:szCs w:val="18"/>
                <w:color w:val="auto"/>
              </w:rPr>
              <w:t>68,155</w:t>
            </w:r>
          </w:p>
        </w:tc>
        <w:tc>
          <w:tcPr>
            <w:tcW w:w="120" w:type="dxa"/>
            <w:vAlign w:val="bottom"/>
          </w:tcPr>
          <w:p>
            <w:pPr>
              <w:spacing w:after="0"/>
              <w:rPr>
                <w:sz w:val="23"/>
                <w:szCs w:val="23"/>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603.3%</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00" w:type="dxa"/>
            <w:vAlign w:val="bottom"/>
            <w:gridSpan w:val="2"/>
          </w:tcPr>
          <w:p>
            <w:pPr>
              <w:ind w:left="460"/>
              <w:spacing w:after="0"/>
              <w:rPr>
                <w:sz w:val="20"/>
                <w:szCs w:val="20"/>
                <w:color w:val="auto"/>
              </w:rPr>
            </w:pPr>
            <w:r>
              <w:rPr>
                <w:rFonts w:ascii="Arial" w:cs="Arial" w:eastAsia="Arial" w:hAnsi="Arial"/>
                <w:sz w:val="18"/>
                <w:szCs w:val="18"/>
                <w:color w:val="auto"/>
              </w:rPr>
              <w:t>Total net sales</w:t>
            </w:r>
          </w:p>
        </w:tc>
        <w:tc>
          <w:tcPr>
            <w:tcW w:w="500" w:type="dxa"/>
            <w:vAlign w:val="bottom"/>
          </w:tcPr>
          <w:p>
            <w:pPr>
              <w:spacing w:after="0"/>
              <w:rPr>
                <w:sz w:val="20"/>
                <w:szCs w:val="20"/>
                <w:color w:val="auto"/>
              </w:rPr>
            </w:pPr>
          </w:p>
        </w:tc>
        <w:tc>
          <w:tcPr>
            <w:tcW w:w="1500" w:type="dxa"/>
            <w:vAlign w:val="bottom"/>
          </w:tcPr>
          <w:p>
            <w:pPr>
              <w:jc w:val="right"/>
              <w:ind w:right="112"/>
              <w:spacing w:after="0"/>
              <w:rPr>
                <w:sz w:val="20"/>
                <w:szCs w:val="20"/>
                <w:color w:val="auto"/>
              </w:rPr>
            </w:pPr>
            <w:r>
              <w:rPr>
                <w:rFonts w:ascii="Arial" w:cs="Arial" w:eastAsia="Arial" w:hAnsi="Arial"/>
                <w:sz w:val="18"/>
                <w:szCs w:val="18"/>
                <w:color w:val="auto"/>
              </w:rPr>
              <w:t>2,370,383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tcPr>
          <w:p>
            <w:pPr>
              <w:jc w:val="right"/>
              <w:ind w:right="93"/>
              <w:spacing w:after="0"/>
              <w:rPr>
                <w:sz w:val="20"/>
                <w:szCs w:val="20"/>
                <w:color w:val="auto"/>
              </w:rPr>
            </w:pPr>
            <w:r>
              <w:rPr>
                <w:rFonts w:ascii="Arial" w:cs="Arial" w:eastAsia="Arial" w:hAnsi="Arial"/>
                <w:sz w:val="18"/>
                <w:szCs w:val="18"/>
                <w:color w:val="auto"/>
              </w:rPr>
              <w:t>791,812</w:t>
            </w:r>
          </w:p>
        </w:tc>
        <w:tc>
          <w:tcPr>
            <w:tcW w:w="12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199.4%</w:t>
            </w:r>
          </w:p>
        </w:tc>
        <w:tc>
          <w:tcPr>
            <w:tcW w:w="0" w:type="dxa"/>
            <w:vAlign w:val="bottom"/>
          </w:tcPr>
          <w:p>
            <w:pPr>
              <w:spacing w:after="0"/>
              <w:rPr>
                <w:sz w:val="1"/>
                <w:szCs w:val="1"/>
                <w:color w:val="auto"/>
              </w:rPr>
            </w:pP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5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00" w:type="dxa"/>
            <w:vAlign w:val="bottom"/>
            <w:gridSpan w:val="2"/>
          </w:tcPr>
          <w:p>
            <w:pPr>
              <w:ind w:left="340"/>
              <w:spacing w:after="0"/>
              <w:rPr>
                <w:sz w:val="20"/>
                <w:szCs w:val="20"/>
                <w:color w:val="auto"/>
              </w:rPr>
            </w:pPr>
            <w:r>
              <w:rPr>
                <w:rFonts w:ascii="Arial" w:cs="Arial" w:eastAsia="Arial" w:hAnsi="Arial"/>
                <w:sz w:val="18"/>
                <w:szCs w:val="18"/>
                <w:color w:val="auto"/>
              </w:rPr>
              <w:t>Cost of goods</w:t>
            </w:r>
          </w:p>
        </w:tc>
        <w:tc>
          <w:tcPr>
            <w:tcW w:w="500" w:type="dxa"/>
            <w:vAlign w:val="bottom"/>
          </w:tcPr>
          <w:p>
            <w:pPr>
              <w:spacing w:after="0"/>
              <w:rPr>
                <w:sz w:val="23"/>
                <w:szCs w:val="23"/>
                <w:color w:val="auto"/>
              </w:rPr>
            </w:pP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(1,398,677)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40" w:type="dxa"/>
            <w:vAlign w:val="bottom"/>
          </w:tcPr>
          <w:p>
            <w:pPr>
              <w:jc w:val="right"/>
              <w:ind w:right="33"/>
              <w:spacing w:after="0"/>
              <w:rPr>
                <w:sz w:val="20"/>
                <w:szCs w:val="20"/>
                <w:color w:val="auto"/>
              </w:rPr>
            </w:pPr>
            <w:r>
              <w:rPr>
                <w:rFonts w:ascii="Arial" w:cs="Arial" w:eastAsia="Arial" w:hAnsi="Arial"/>
                <w:sz w:val="18"/>
                <w:szCs w:val="18"/>
                <w:color w:val="auto"/>
              </w:rPr>
              <w:t>(475,635)</w:t>
            </w:r>
          </w:p>
        </w:tc>
        <w:tc>
          <w:tcPr>
            <w:tcW w:w="120" w:type="dxa"/>
            <w:vAlign w:val="bottom"/>
          </w:tcPr>
          <w:p>
            <w:pPr>
              <w:spacing w:after="0"/>
              <w:rPr>
                <w:sz w:val="23"/>
                <w:szCs w:val="23"/>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194.1%</w:t>
            </w:r>
          </w:p>
        </w:tc>
        <w:tc>
          <w:tcPr>
            <w:tcW w:w="0" w:type="dxa"/>
            <w:vAlign w:val="bottom"/>
          </w:tcPr>
          <w:p>
            <w:pPr>
              <w:spacing w:after="0"/>
              <w:rPr>
                <w:sz w:val="1"/>
                <w:szCs w:val="1"/>
                <w:color w:val="auto"/>
              </w:rPr>
            </w:pPr>
          </w:p>
        </w:tc>
      </w:tr>
      <w:tr>
        <w:trPr>
          <w:trHeight w:val="270"/>
        </w:trPr>
        <w:tc>
          <w:tcPr>
            <w:tcW w:w="5200" w:type="dxa"/>
            <w:vAlign w:val="bottom"/>
            <w:gridSpan w:val="2"/>
          </w:tcPr>
          <w:p>
            <w:pPr>
              <w:ind w:left="340"/>
              <w:spacing w:after="0"/>
              <w:rPr>
                <w:sz w:val="20"/>
                <w:szCs w:val="20"/>
                <w:color w:val="auto"/>
              </w:rPr>
            </w:pPr>
            <w:r>
              <w:rPr>
                <w:rFonts w:ascii="Arial" w:cs="Arial" w:eastAsia="Arial" w:hAnsi="Arial"/>
                <w:sz w:val="18"/>
                <w:szCs w:val="18"/>
                <w:color w:val="auto"/>
              </w:rPr>
              <w:t>Cost of services</w:t>
            </w:r>
          </w:p>
        </w:tc>
        <w:tc>
          <w:tcPr>
            <w:tcW w:w="500" w:type="dxa"/>
            <w:vAlign w:val="bottom"/>
          </w:tcPr>
          <w:p>
            <w:pPr>
              <w:spacing w:after="0"/>
              <w:rPr>
                <w:sz w:val="23"/>
                <w:szCs w:val="23"/>
                <w:color w:val="auto"/>
              </w:rPr>
            </w:pP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(357,077)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40" w:type="dxa"/>
            <w:vAlign w:val="bottom"/>
          </w:tcPr>
          <w:p>
            <w:pPr>
              <w:jc w:val="right"/>
              <w:ind w:right="33"/>
              <w:spacing w:after="0"/>
              <w:rPr>
                <w:sz w:val="20"/>
                <w:szCs w:val="20"/>
                <w:color w:val="auto"/>
              </w:rPr>
            </w:pPr>
            <w:r>
              <w:rPr>
                <w:rFonts w:ascii="Arial" w:cs="Arial" w:eastAsia="Arial" w:hAnsi="Arial"/>
                <w:sz w:val="18"/>
                <w:szCs w:val="18"/>
                <w:color w:val="auto"/>
              </w:rPr>
              <w:t>(56,629)</w:t>
            </w:r>
          </w:p>
        </w:tc>
        <w:tc>
          <w:tcPr>
            <w:tcW w:w="120" w:type="dxa"/>
            <w:vAlign w:val="bottom"/>
          </w:tcPr>
          <w:p>
            <w:pPr>
              <w:spacing w:after="0"/>
              <w:rPr>
                <w:sz w:val="23"/>
                <w:szCs w:val="23"/>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530.6%</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00" w:type="dxa"/>
            <w:vAlign w:val="bottom"/>
            <w:gridSpan w:val="2"/>
          </w:tcPr>
          <w:p>
            <w:pPr>
              <w:ind w:left="460"/>
              <w:spacing w:after="0"/>
              <w:rPr>
                <w:sz w:val="20"/>
                <w:szCs w:val="20"/>
                <w:color w:val="auto"/>
              </w:rPr>
            </w:pPr>
            <w:r>
              <w:rPr>
                <w:rFonts w:ascii="Arial" w:cs="Arial" w:eastAsia="Arial" w:hAnsi="Arial"/>
                <w:sz w:val="18"/>
                <w:szCs w:val="18"/>
                <w:color w:val="auto"/>
              </w:rPr>
              <w:t>Total cost of sales</w:t>
            </w:r>
          </w:p>
        </w:tc>
        <w:tc>
          <w:tcPr>
            <w:tcW w:w="500" w:type="dxa"/>
            <w:vAlign w:val="bottom"/>
          </w:tcPr>
          <w:p>
            <w:pPr>
              <w:spacing w:after="0"/>
              <w:rPr>
                <w:sz w:val="20"/>
                <w:szCs w:val="20"/>
                <w:color w:val="auto"/>
              </w:rPr>
            </w:pP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(1,755,754)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tcPr>
          <w:p>
            <w:pPr>
              <w:jc w:val="right"/>
              <w:ind w:right="33"/>
              <w:spacing w:after="0"/>
              <w:rPr>
                <w:sz w:val="20"/>
                <w:szCs w:val="20"/>
                <w:color w:val="auto"/>
              </w:rPr>
            </w:pPr>
            <w:r>
              <w:rPr>
                <w:rFonts w:ascii="Arial" w:cs="Arial" w:eastAsia="Arial" w:hAnsi="Arial"/>
                <w:sz w:val="18"/>
                <w:szCs w:val="18"/>
                <w:color w:val="auto"/>
              </w:rPr>
              <w:t>(532,264)</w:t>
            </w:r>
          </w:p>
        </w:tc>
        <w:tc>
          <w:tcPr>
            <w:tcW w:w="12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229.9%</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200" w:type="dxa"/>
            <w:vAlign w:val="bottom"/>
            <w:gridSpan w:val="2"/>
            <w:vMerge w:val="restart"/>
          </w:tcPr>
          <w:p>
            <w:pPr>
              <w:spacing w:after="0"/>
              <w:rPr>
                <w:sz w:val="20"/>
                <w:szCs w:val="20"/>
                <w:color w:val="auto"/>
              </w:rPr>
            </w:pPr>
            <w:r>
              <w:rPr>
                <w:rFonts w:ascii="Arial" w:cs="Arial" w:eastAsia="Arial" w:hAnsi="Arial"/>
                <w:sz w:val="18"/>
                <w:szCs w:val="18"/>
                <w:color w:val="auto"/>
              </w:rPr>
              <w:t>Gross profit</w:t>
            </w:r>
          </w:p>
        </w:tc>
        <w:tc>
          <w:tcPr>
            <w:tcW w:w="500" w:type="dxa"/>
            <w:vAlign w:val="bottom"/>
          </w:tcPr>
          <w:p>
            <w:pPr>
              <w:spacing w:after="0"/>
              <w:rPr>
                <w:sz w:val="14"/>
                <w:szCs w:val="14"/>
                <w:color w:val="auto"/>
              </w:rPr>
            </w:pPr>
          </w:p>
        </w:tc>
        <w:tc>
          <w:tcPr>
            <w:tcW w:w="1500" w:type="dxa"/>
            <w:vAlign w:val="bottom"/>
            <w:vMerge w:val="restart"/>
          </w:tcPr>
          <w:p>
            <w:pPr>
              <w:jc w:val="right"/>
              <w:ind w:right="112"/>
              <w:spacing w:after="0"/>
              <w:rPr>
                <w:sz w:val="20"/>
                <w:szCs w:val="20"/>
                <w:color w:val="auto"/>
              </w:rPr>
            </w:pPr>
            <w:r>
              <w:rPr>
                <w:rFonts w:ascii="Arial" w:cs="Arial" w:eastAsia="Arial" w:hAnsi="Arial"/>
                <w:sz w:val="18"/>
                <w:szCs w:val="18"/>
                <w:color w:val="auto"/>
              </w:rPr>
              <w:t>614,629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vMerge w:val="restart"/>
          </w:tcPr>
          <w:p>
            <w:pPr>
              <w:jc w:val="right"/>
              <w:ind w:right="93"/>
              <w:spacing w:after="0"/>
              <w:rPr>
                <w:sz w:val="20"/>
                <w:szCs w:val="20"/>
                <w:color w:val="auto"/>
              </w:rPr>
            </w:pPr>
            <w:r>
              <w:rPr>
                <w:rFonts w:ascii="Arial" w:cs="Arial" w:eastAsia="Arial" w:hAnsi="Arial"/>
                <w:sz w:val="18"/>
                <w:szCs w:val="18"/>
                <w:color w:val="auto"/>
              </w:rPr>
              <w:t>259,548</w:t>
            </w:r>
          </w:p>
        </w:tc>
        <w:tc>
          <w:tcPr>
            <w:tcW w:w="120" w:type="dxa"/>
            <w:vAlign w:val="bottom"/>
            <w:tcBorders>
              <w:bottom w:val="single" w:sz="8" w:color="auto"/>
            </w:tcBorders>
          </w:tcPr>
          <w:p>
            <w:pPr>
              <w:spacing w:after="0"/>
              <w:rPr>
                <w:sz w:val="14"/>
                <w:szCs w:val="14"/>
                <w:color w:val="auto"/>
              </w:rPr>
            </w:pPr>
          </w:p>
        </w:tc>
        <w:tc>
          <w:tcPr>
            <w:tcW w:w="1980" w:type="dxa"/>
            <w:vAlign w:val="bottom"/>
            <w:vMerge w:val="restart"/>
          </w:tcPr>
          <w:p>
            <w:pPr>
              <w:jc w:val="right"/>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37"/>
        </w:trPr>
        <w:tc>
          <w:tcPr>
            <w:tcW w:w="5200" w:type="dxa"/>
            <w:vAlign w:val="bottom"/>
            <w:gridSpan w:val="2"/>
            <w:vMerge w:val="continue"/>
          </w:tcPr>
          <w:p>
            <w:pPr>
              <w:spacing w:after="0"/>
              <w:rPr>
                <w:sz w:val="20"/>
                <w:szCs w:val="20"/>
                <w:color w:val="auto"/>
              </w:rPr>
            </w:pPr>
          </w:p>
        </w:tc>
        <w:tc>
          <w:tcPr>
            <w:tcW w:w="500" w:type="dxa"/>
            <w:vAlign w:val="bottom"/>
          </w:tcPr>
          <w:p>
            <w:pPr>
              <w:spacing w:after="0"/>
              <w:rPr>
                <w:sz w:val="20"/>
                <w:szCs w:val="20"/>
                <w:color w:val="auto"/>
              </w:rPr>
            </w:pPr>
          </w:p>
        </w:tc>
        <w:tc>
          <w:tcPr>
            <w:tcW w:w="15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52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00" w:type="dxa"/>
            <w:vAlign w:val="bottom"/>
          </w:tcPr>
          <w:p>
            <w:pPr>
              <w:spacing w:after="0"/>
              <w:rPr>
                <w:sz w:val="24"/>
                <w:szCs w:val="24"/>
                <w:color w:val="auto"/>
              </w:rPr>
            </w:pP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(387,441)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40" w:type="dxa"/>
            <w:vAlign w:val="bottom"/>
          </w:tcPr>
          <w:p>
            <w:pPr>
              <w:jc w:val="right"/>
              <w:ind w:right="33"/>
              <w:spacing w:after="0"/>
              <w:rPr>
                <w:sz w:val="20"/>
                <w:szCs w:val="20"/>
                <w:color w:val="auto"/>
              </w:rPr>
            </w:pPr>
            <w:r>
              <w:rPr>
                <w:rFonts w:ascii="Arial" w:cs="Arial" w:eastAsia="Arial" w:hAnsi="Arial"/>
                <w:sz w:val="18"/>
                <w:szCs w:val="18"/>
                <w:color w:val="auto"/>
              </w:rPr>
              <w:t>(105,577)</w:t>
            </w:r>
          </w:p>
        </w:tc>
        <w:tc>
          <w:tcPr>
            <w:tcW w:w="12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267.0%</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12"/>
        </w:trPr>
        <w:tc>
          <w:tcPr>
            <w:tcW w:w="5200" w:type="dxa"/>
            <w:vAlign w:val="bottom"/>
            <w:gridSpan w:val="2"/>
          </w:tcPr>
          <w:p>
            <w:pPr>
              <w:spacing w:after="0"/>
              <w:rPr>
                <w:sz w:val="20"/>
                <w:szCs w:val="20"/>
                <w:color w:val="auto"/>
              </w:rPr>
            </w:pPr>
            <w:r>
              <w:rPr>
                <w:rFonts w:ascii="Arial" w:cs="Arial" w:eastAsia="Arial" w:hAnsi="Arial"/>
                <w:sz w:val="18"/>
                <w:szCs w:val="18"/>
                <w:color w:val="auto"/>
              </w:rPr>
              <w:t>Income from operations ($)</w:t>
            </w:r>
          </w:p>
        </w:tc>
        <w:tc>
          <w:tcPr>
            <w:tcW w:w="500" w:type="dxa"/>
            <w:vAlign w:val="bottom"/>
          </w:tcPr>
          <w:p>
            <w:pPr>
              <w:spacing w:after="0"/>
              <w:rPr>
                <w:sz w:val="24"/>
                <w:szCs w:val="24"/>
                <w:color w:val="auto"/>
              </w:rPr>
            </w:pPr>
          </w:p>
        </w:tc>
        <w:tc>
          <w:tcPr>
            <w:tcW w:w="1500" w:type="dxa"/>
            <w:vAlign w:val="bottom"/>
          </w:tcPr>
          <w:p>
            <w:pPr>
              <w:jc w:val="right"/>
              <w:ind w:right="112"/>
              <w:spacing w:after="0"/>
              <w:rPr>
                <w:sz w:val="20"/>
                <w:szCs w:val="20"/>
                <w:color w:val="auto"/>
              </w:rPr>
            </w:pPr>
            <w:r>
              <w:rPr>
                <w:rFonts w:ascii="Arial" w:cs="Arial" w:eastAsia="Arial" w:hAnsi="Arial"/>
                <w:sz w:val="18"/>
                <w:szCs w:val="18"/>
                <w:color w:val="auto"/>
              </w:rPr>
              <w:t>227,188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40" w:type="dxa"/>
            <w:vAlign w:val="bottom"/>
          </w:tcPr>
          <w:p>
            <w:pPr>
              <w:jc w:val="right"/>
              <w:ind w:right="93"/>
              <w:spacing w:after="0"/>
              <w:rPr>
                <w:sz w:val="20"/>
                <w:szCs w:val="20"/>
                <w:color w:val="auto"/>
              </w:rPr>
            </w:pPr>
            <w:r>
              <w:rPr>
                <w:rFonts w:ascii="Arial" w:cs="Arial" w:eastAsia="Arial" w:hAnsi="Arial"/>
                <w:sz w:val="18"/>
                <w:szCs w:val="18"/>
                <w:color w:val="auto"/>
              </w:rPr>
              <w:t>153,971</w:t>
            </w:r>
          </w:p>
        </w:tc>
        <w:tc>
          <w:tcPr>
            <w:tcW w:w="12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Income from operations (%)</w:t>
            </w:r>
          </w:p>
        </w:tc>
        <w:tc>
          <w:tcPr>
            <w:tcW w:w="5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jc w:val="both"/>
        <w:ind w:right="480" w:firstLine="500"/>
        <w:spacing w:after="0" w:line="312" w:lineRule="auto"/>
        <w:rPr>
          <w:sz w:val="20"/>
          <w:szCs w:val="20"/>
          <w:color w:val="auto"/>
        </w:rPr>
      </w:pPr>
      <w:r>
        <w:rPr>
          <w:rFonts w:ascii="Arial" w:cs="Arial" w:eastAsia="Arial" w:hAnsi="Arial"/>
          <w:sz w:val="16"/>
          <w:szCs w:val="16"/>
          <w:color w:val="auto"/>
        </w:rPr>
        <w:t>Freight Segment sales increased by $1.58 billion, or 199%, to $2.37 billion, due to the acquisition of GE Transportation which contributed $1.62 billion during the period, primarily from equipment products and services. This increase was partially offset by lower sales from Specialty Products and Electronics of $27 million due to the lower PTC hardware sales. Unfavorable foreign currency exchange rate changes decreased sales by $14 million.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121" w:lineRule="exact"/>
        <w:rPr>
          <w:sz w:val="20"/>
          <w:szCs w:val="20"/>
          <w:color w:val="auto"/>
        </w:rPr>
      </w:pPr>
    </w:p>
    <w:p>
      <w:pPr>
        <w:ind w:firstLine="500"/>
        <w:spacing w:after="0" w:line="297" w:lineRule="auto"/>
        <w:rPr>
          <w:sz w:val="20"/>
          <w:szCs w:val="20"/>
          <w:color w:val="auto"/>
        </w:rPr>
      </w:pPr>
      <w:r>
        <w:rPr>
          <w:rFonts w:ascii="Arial" w:cs="Arial" w:eastAsia="Arial" w:hAnsi="Arial"/>
          <w:sz w:val="16"/>
          <w:szCs w:val="16"/>
          <w:color w:val="auto"/>
        </w:rPr>
        <w:t>Freight Segment cost of sales increased by $1.22 billion to $1.76 billion in 2019. The increase is primarily due to $1.26 billion of incremental cost of sales and services from the GE Transportation acquisition. In 2019, total cost of sales as a percentage of total net sales was 74.1% compared to 67.2% in 2018. Total cost of sales in 2019 includes $169 million of non-recurring costs related to purchase price accounting for the step-up of GE Transportation inventory on the date of acquisition. Excluding these non-recurring costs, total cost of sales as a percentage of sales was 66.9% in 2019, 0.3% lower than 2018 as lower sales for Specialty Products and Electronics, which typically carry higher margins, were offset by cost improvements in other areas.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right="40" w:firstLine="500"/>
        <w:spacing w:after="0" w:line="259" w:lineRule="auto"/>
        <w:rPr>
          <w:sz w:val="20"/>
          <w:szCs w:val="20"/>
          <w:color w:val="auto"/>
        </w:rPr>
      </w:pPr>
      <w:r>
        <w:rPr>
          <w:rFonts w:ascii="Arial" w:cs="Arial" w:eastAsia="Arial" w:hAnsi="Arial"/>
          <w:sz w:val="18"/>
          <w:szCs w:val="18"/>
          <w:color w:val="auto"/>
        </w:rPr>
        <w:t>Freight Segment operating expenses increased $282 million, or 267.0%, in 2019 and increased 300 basis points to 16.3% of sales. Selling, general, and administrative expenses increased $162 million due to $134 million in incremental expense from the GE Transportation acquisition and $16 million for transaction and restructuring costs. Engineering expense increased $46 million and amortization expense increased $74 million, both due to the GE Transportation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80"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Transit Segment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our Consolidated Statements of Operations for our Transit Segment for the periods indicated.</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2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Six Months Ended June 30,</w:t>
            </w:r>
          </w:p>
        </w:tc>
        <w:tc>
          <w:tcPr>
            <w:tcW w:w="1980" w:type="dxa"/>
            <w:vAlign w:val="bottom"/>
            <w:tcBorders>
              <w:bottom w:val="single" w:sz="8" w:color="auto"/>
            </w:tcBorders>
          </w:tcPr>
          <w:p>
            <w:pPr>
              <w:spacing w:after="0"/>
              <w:rPr>
                <w:sz w:val="16"/>
                <w:szCs w:val="16"/>
                <w:color w:val="auto"/>
              </w:rPr>
            </w:pPr>
          </w:p>
        </w:tc>
      </w:tr>
      <w:tr>
        <w:trPr>
          <w:trHeight w:val="229"/>
        </w:trPr>
        <w:tc>
          <w:tcPr>
            <w:tcW w:w="52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480" w:type="dxa"/>
            <w:vAlign w:val="bottom"/>
          </w:tcPr>
          <w:p>
            <w:pPr>
              <w:spacing w:after="0"/>
              <w:rPr>
                <w:sz w:val="19"/>
                <w:szCs w:val="19"/>
                <w:color w:val="auto"/>
              </w:rPr>
            </w:pPr>
          </w:p>
        </w:tc>
        <w:tc>
          <w:tcPr>
            <w:tcW w:w="1500" w:type="dxa"/>
            <w:vAlign w:val="bottom"/>
          </w:tcPr>
          <w:p>
            <w:pPr>
              <w:jc w:val="right"/>
              <w:ind w:right="75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tcPr>
          <w:p>
            <w:pPr>
              <w:jc w:val="right"/>
              <w:ind w:right="75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1980" w:type="dxa"/>
            <w:vAlign w:val="bottom"/>
          </w:tcPr>
          <w:p>
            <w:pPr>
              <w:jc w:val="right"/>
              <w:ind w:right="413"/>
              <w:spacing w:after="0"/>
              <w:rPr>
                <w:sz w:val="20"/>
                <w:szCs w:val="20"/>
                <w:color w:val="auto"/>
              </w:rPr>
            </w:pPr>
            <w:r>
              <w:rPr>
                <w:rFonts w:ascii="Arial" w:cs="Arial" w:eastAsia="Arial" w:hAnsi="Arial"/>
                <w:sz w:val="14"/>
                <w:szCs w:val="14"/>
                <w:b w:val="1"/>
                <w:bCs w:val="1"/>
                <w:color w:val="auto"/>
              </w:rPr>
              <w:t>Percent Change</w:t>
            </w:r>
          </w:p>
        </w:tc>
      </w:tr>
      <w:tr>
        <w:trPr>
          <w:trHeight w:val="21"/>
        </w:trPr>
        <w:tc>
          <w:tcPr>
            <w:tcW w:w="720" w:type="dxa"/>
            <w:vAlign w:val="bottom"/>
            <w:tcBorders>
              <w:top w:val="single" w:sz="8" w:color="auto"/>
            </w:tcBorders>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561"/>
        </w:trPr>
        <w:tc>
          <w:tcPr>
            <w:tcW w:w="520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93"/>
              <w:spacing w:after="0"/>
              <w:rPr>
                <w:sz w:val="20"/>
                <w:szCs w:val="20"/>
                <w:color w:val="auto"/>
              </w:rPr>
            </w:pPr>
            <w:r>
              <w:rPr>
                <w:rFonts w:ascii="Arial" w:cs="Arial" w:eastAsia="Arial" w:hAnsi="Arial"/>
                <w:sz w:val="18"/>
                <w:szCs w:val="18"/>
                <w:color w:val="auto"/>
              </w:rPr>
              <w:t>1,459,518</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94"/>
              <w:spacing w:after="0"/>
              <w:rPr>
                <w:sz w:val="20"/>
                <w:szCs w:val="20"/>
                <w:color w:val="auto"/>
              </w:rPr>
            </w:pPr>
            <w:r>
              <w:rPr>
                <w:rFonts w:ascii="Arial" w:cs="Arial" w:eastAsia="Arial" w:hAnsi="Arial"/>
                <w:sz w:val="18"/>
                <w:szCs w:val="18"/>
                <w:color w:val="auto"/>
              </w:rPr>
              <w:t>1,376,045</w:t>
            </w:r>
          </w:p>
        </w:tc>
        <w:tc>
          <w:tcPr>
            <w:tcW w:w="12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480" w:type="dxa"/>
            <w:vAlign w:val="bottom"/>
          </w:tcPr>
          <w:p>
            <w:pPr>
              <w:spacing w:after="0"/>
              <w:rPr>
                <w:sz w:val="23"/>
                <w:szCs w:val="23"/>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(1,070,454)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40" w:type="dxa"/>
            <w:vAlign w:val="bottom"/>
          </w:tcPr>
          <w:p>
            <w:pPr>
              <w:jc w:val="right"/>
              <w:ind w:right="34"/>
              <w:spacing w:after="0"/>
              <w:rPr>
                <w:sz w:val="20"/>
                <w:szCs w:val="20"/>
                <w:color w:val="auto"/>
              </w:rPr>
            </w:pPr>
            <w:r>
              <w:rPr>
                <w:rFonts w:ascii="Arial" w:cs="Arial" w:eastAsia="Arial" w:hAnsi="Arial"/>
                <w:sz w:val="18"/>
                <w:szCs w:val="18"/>
                <w:color w:val="auto"/>
              </w:rPr>
              <w:t>(1,000,745)</w:t>
            </w:r>
          </w:p>
        </w:tc>
        <w:tc>
          <w:tcPr>
            <w:tcW w:w="120" w:type="dxa"/>
            <w:vAlign w:val="bottom"/>
          </w:tcPr>
          <w:p>
            <w:pPr>
              <w:spacing w:after="0"/>
              <w:rPr>
                <w:sz w:val="23"/>
                <w:szCs w:val="23"/>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
        </w:trPr>
        <w:tc>
          <w:tcPr>
            <w:tcW w:w="7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37"/>
        </w:trPr>
        <w:tc>
          <w:tcPr>
            <w:tcW w:w="520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480" w:type="dxa"/>
            <w:vAlign w:val="bottom"/>
          </w:tcPr>
          <w:p>
            <w:pPr>
              <w:spacing w:after="0"/>
              <w:rPr>
                <w:sz w:val="20"/>
                <w:szCs w:val="20"/>
                <w:color w:val="auto"/>
              </w:rPr>
            </w:pPr>
          </w:p>
        </w:tc>
        <w:tc>
          <w:tcPr>
            <w:tcW w:w="1500" w:type="dxa"/>
            <w:vAlign w:val="bottom"/>
          </w:tcPr>
          <w:p>
            <w:pPr>
              <w:jc w:val="right"/>
              <w:ind w:right="93"/>
              <w:spacing w:after="0"/>
              <w:rPr>
                <w:sz w:val="20"/>
                <w:szCs w:val="20"/>
                <w:color w:val="auto"/>
              </w:rPr>
            </w:pPr>
            <w:r>
              <w:rPr>
                <w:rFonts w:ascii="Arial" w:cs="Arial" w:eastAsia="Arial" w:hAnsi="Arial"/>
                <w:sz w:val="18"/>
                <w:szCs w:val="18"/>
                <w:color w:val="auto"/>
              </w:rPr>
              <w:t>389,064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tcPr>
          <w:p>
            <w:pPr>
              <w:jc w:val="right"/>
              <w:ind w:right="94"/>
              <w:spacing w:after="0"/>
              <w:rPr>
                <w:sz w:val="20"/>
                <w:szCs w:val="20"/>
                <w:color w:val="auto"/>
              </w:rPr>
            </w:pPr>
            <w:r>
              <w:rPr>
                <w:rFonts w:ascii="Arial" w:cs="Arial" w:eastAsia="Arial" w:hAnsi="Arial"/>
                <w:sz w:val="18"/>
                <w:szCs w:val="18"/>
                <w:color w:val="auto"/>
              </w:rPr>
              <w:t>375,300</w:t>
            </w:r>
          </w:p>
        </w:tc>
        <w:tc>
          <w:tcPr>
            <w:tcW w:w="12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46"/>
        </w:trPr>
        <w:tc>
          <w:tcPr>
            <w:tcW w:w="52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480" w:type="dxa"/>
            <w:vAlign w:val="bottom"/>
          </w:tcPr>
          <w:p>
            <w:pPr>
              <w:spacing w:after="0"/>
              <w:rPr>
                <w:sz w:val="24"/>
                <w:szCs w:val="24"/>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(258,920)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tcPr>
          <w:p>
            <w:pPr>
              <w:jc w:val="right"/>
              <w:ind w:right="34"/>
              <w:spacing w:after="0"/>
              <w:rPr>
                <w:sz w:val="20"/>
                <w:szCs w:val="20"/>
                <w:color w:val="auto"/>
              </w:rPr>
            </w:pPr>
            <w:r>
              <w:rPr>
                <w:rFonts w:ascii="Arial" w:cs="Arial" w:eastAsia="Arial" w:hAnsi="Arial"/>
                <w:sz w:val="18"/>
                <w:szCs w:val="18"/>
                <w:color w:val="auto"/>
              </w:rPr>
              <w:t>(249,242)</w:t>
            </w:r>
          </w:p>
        </w:tc>
        <w:tc>
          <w:tcPr>
            <w:tcW w:w="12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7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412"/>
        </w:trPr>
        <w:tc>
          <w:tcPr>
            <w:tcW w:w="5200" w:type="dxa"/>
            <w:vAlign w:val="bottom"/>
            <w:gridSpan w:val="2"/>
          </w:tcPr>
          <w:p>
            <w:pPr>
              <w:spacing w:after="0"/>
              <w:rPr>
                <w:sz w:val="20"/>
                <w:szCs w:val="20"/>
                <w:color w:val="auto"/>
              </w:rPr>
            </w:pPr>
            <w:r>
              <w:rPr>
                <w:rFonts w:ascii="Arial" w:cs="Arial" w:eastAsia="Arial" w:hAnsi="Arial"/>
                <w:sz w:val="18"/>
                <w:szCs w:val="18"/>
                <w:color w:val="auto"/>
              </w:rPr>
              <w:t>Income from operations ($)</w:t>
            </w:r>
          </w:p>
        </w:tc>
        <w:tc>
          <w:tcPr>
            <w:tcW w:w="480" w:type="dxa"/>
            <w:vAlign w:val="bottom"/>
          </w:tcPr>
          <w:p>
            <w:pPr>
              <w:spacing w:after="0"/>
              <w:rPr>
                <w:sz w:val="24"/>
                <w:szCs w:val="24"/>
                <w:color w:val="auto"/>
              </w:rPr>
            </w:pPr>
          </w:p>
        </w:tc>
        <w:tc>
          <w:tcPr>
            <w:tcW w:w="1500" w:type="dxa"/>
            <w:vAlign w:val="bottom"/>
          </w:tcPr>
          <w:p>
            <w:pPr>
              <w:jc w:val="right"/>
              <w:ind w:right="93"/>
              <w:spacing w:after="0"/>
              <w:rPr>
                <w:sz w:val="20"/>
                <w:szCs w:val="20"/>
                <w:color w:val="auto"/>
              </w:rPr>
            </w:pPr>
            <w:r>
              <w:rPr>
                <w:rFonts w:ascii="Arial" w:cs="Arial" w:eastAsia="Arial" w:hAnsi="Arial"/>
                <w:sz w:val="18"/>
                <w:szCs w:val="18"/>
                <w:color w:val="auto"/>
              </w:rPr>
              <w:t>130,144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tcPr>
          <w:p>
            <w:pPr>
              <w:jc w:val="right"/>
              <w:ind w:right="94"/>
              <w:spacing w:after="0"/>
              <w:rPr>
                <w:sz w:val="20"/>
                <w:szCs w:val="20"/>
                <w:color w:val="auto"/>
              </w:rPr>
            </w:pPr>
            <w:r>
              <w:rPr>
                <w:rFonts w:ascii="Arial" w:cs="Arial" w:eastAsia="Arial" w:hAnsi="Arial"/>
                <w:sz w:val="18"/>
                <w:szCs w:val="18"/>
                <w:color w:val="auto"/>
              </w:rPr>
              <w:t>126,058</w:t>
            </w:r>
          </w:p>
        </w:tc>
        <w:tc>
          <w:tcPr>
            <w:tcW w:w="12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Income from operations (%)</w:t>
            </w:r>
          </w:p>
        </w:tc>
        <w:tc>
          <w:tcPr>
            <w:tcW w:w="4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3"/>
                <w:szCs w:val="23"/>
                <w:color w:val="auto"/>
              </w:rPr>
            </w:pPr>
          </w:p>
        </w:tc>
        <w:tc>
          <w:tcPr>
            <w:tcW w:w="1980" w:type="dxa"/>
            <w:vAlign w:val="bottom"/>
          </w:tcPr>
          <w:p>
            <w:pPr>
              <w:spacing w:after="0"/>
              <w:rPr>
                <w:sz w:val="23"/>
                <w:szCs w:val="23"/>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ind w:right="200" w:firstLine="500"/>
        <w:spacing w:after="0" w:line="302" w:lineRule="auto"/>
        <w:rPr>
          <w:sz w:val="20"/>
          <w:szCs w:val="20"/>
          <w:color w:val="auto"/>
        </w:rPr>
      </w:pPr>
      <w:r>
        <w:rPr>
          <w:rFonts w:ascii="Arial" w:cs="Arial" w:eastAsia="Arial" w:hAnsi="Arial"/>
          <w:sz w:val="16"/>
          <w:szCs w:val="16"/>
          <w:color w:val="auto"/>
        </w:rPr>
        <w:t>Transit Segment sales increased by $83 million, or 6.1%, primarily due to increased demand for door and HVAC systems of $115 million, increased Brake Product sales of $59 million, and acquisitions of $18 million. The increase in Brake Product sales was due to increased deliveries on contracts for original equipment brake and coupler systems and aftermarket spares. These increases were partially offset by unfavorable foreign currency rate changes of $92 million, and a $26 million decrease in Specialty Products and Electronics due to the completion of a large signaling projects in the prior year.</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121" w:lineRule="exact"/>
        <w:rPr>
          <w:sz w:val="20"/>
          <w:szCs w:val="20"/>
          <w:color w:val="auto"/>
        </w:rPr>
      </w:pPr>
    </w:p>
    <w:p>
      <w:pPr>
        <w:ind w:right="60" w:firstLine="500"/>
        <w:spacing w:after="0" w:line="302" w:lineRule="auto"/>
        <w:rPr>
          <w:sz w:val="20"/>
          <w:szCs w:val="20"/>
          <w:color w:val="auto"/>
        </w:rPr>
      </w:pPr>
      <w:r>
        <w:rPr>
          <w:rFonts w:ascii="Arial" w:cs="Arial" w:eastAsia="Arial" w:hAnsi="Arial"/>
          <w:sz w:val="16"/>
          <w:szCs w:val="16"/>
          <w:color w:val="auto"/>
        </w:rPr>
        <w:t>Transit Segment cost of sales increased by $70 million to $1.07 billion in 2019. In 2019, cost of sales as a percentage of sales was 73.3% compared to 72.7% in 2018. This increase is primarily due to an unfavorable product mix from a decrease in high margin Specialty Products and Electronics sales towards more original equipment products which typically carry lower margins and certain discrete project adjustments primarily related to warranty cost. Favorable foreign currency exchange rates decreased cost of sales by $68 million and incremental costs from acquisitions increased cost of sales by $15 million.</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jc w:val="both"/>
        <w:ind w:right="120" w:firstLine="500"/>
        <w:spacing w:after="0" w:line="312" w:lineRule="auto"/>
        <w:rPr>
          <w:sz w:val="20"/>
          <w:szCs w:val="20"/>
          <w:color w:val="auto"/>
        </w:rPr>
      </w:pPr>
      <w:r>
        <w:rPr>
          <w:rFonts w:ascii="Arial" w:cs="Arial" w:eastAsia="Arial" w:hAnsi="Arial"/>
          <w:sz w:val="16"/>
          <w:szCs w:val="16"/>
          <w:color w:val="auto"/>
        </w:rPr>
        <w:t>Transit Segment operating expenses increased $10 million to $259 million, or 3.9% in 2019 and decreased 40 basis points to 17.7% of sales. Selling, general, and administrative expenses increased $6 million in 2019, consisting of a $15 million organic increase to support the higher sales volumes, partially offset by a $11 million decrease due to favorable foreign currency exchange rates. Engineering and amortization expense remained consistent year over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80"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 w:firstLine="500"/>
        <w:spacing w:after="0" w:line="277" w:lineRule="auto"/>
        <w:rPr>
          <w:sz w:val="20"/>
          <w:szCs w:val="20"/>
          <w:color w:val="auto"/>
        </w:rPr>
      </w:pPr>
      <w:r>
        <w:rPr>
          <w:rFonts w:ascii="Arial" w:cs="Arial" w:eastAsia="Arial" w:hAnsi="Arial"/>
          <w:sz w:val="18"/>
          <w:szCs w:val="18"/>
          <w:color w:val="auto"/>
        </w:rPr>
        <w:t>Liquidity is provided primarily by operating cash flow and borrowings under the Company’s unsecured credit facility with a consortium of commercial banks. The following is a summary of selected cash flow information and other relevant data:</w:t>
      </w:r>
    </w:p>
    <w:p>
      <w:pPr>
        <w:spacing w:after="0" w:line="9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80" w:type="dxa"/>
            <w:vAlign w:val="bottom"/>
          </w:tcPr>
          <w:p>
            <w:pPr>
              <w:spacing w:after="0"/>
              <w:rPr>
                <w:sz w:val="16"/>
                <w:szCs w:val="16"/>
                <w:color w:val="auto"/>
              </w:rPr>
            </w:pPr>
          </w:p>
        </w:tc>
        <w:tc>
          <w:tcPr>
            <w:tcW w:w="77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87"/>
              </w:rPr>
              <w:t>In thousands</w:t>
            </w:r>
          </w:p>
        </w:tc>
        <w:tc>
          <w:tcPr>
            <w:tcW w:w="7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45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ind w:right="454"/>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1"/>
        </w:trPr>
        <w:tc>
          <w:tcPr>
            <w:tcW w:w="8540" w:type="dxa"/>
            <w:vAlign w:val="bottom"/>
            <w:gridSpan w:val="2"/>
            <w:vMerge w:val="restart"/>
          </w:tcPr>
          <w:p>
            <w:pPr>
              <w:spacing w:after="0"/>
              <w:rPr>
                <w:sz w:val="20"/>
                <w:szCs w:val="20"/>
                <w:color w:val="auto"/>
              </w:rPr>
            </w:pPr>
            <w:r>
              <w:rPr>
                <w:rFonts w:ascii="Arial" w:cs="Arial" w:eastAsia="Arial" w:hAnsi="Arial"/>
                <w:sz w:val="18"/>
                <w:szCs w:val="18"/>
                <w:color w:val="auto"/>
              </w:rPr>
              <w:t>Cash provided by (used for):</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854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Operating activities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8"/>
              <w:spacing w:after="0"/>
              <w:rPr>
                <w:sz w:val="20"/>
                <w:szCs w:val="20"/>
                <w:color w:val="auto"/>
              </w:rPr>
            </w:pPr>
            <w:r>
              <w:rPr>
                <w:rFonts w:ascii="Arial" w:cs="Arial" w:eastAsia="Arial" w:hAnsi="Arial"/>
                <w:sz w:val="18"/>
                <w:szCs w:val="18"/>
                <w:color w:val="auto"/>
              </w:rPr>
              <w:t>443,924</w:t>
            </w:r>
          </w:p>
        </w:tc>
        <w:tc>
          <w:tcPr>
            <w:tcW w:w="120" w:type="dxa"/>
            <w:vAlign w:val="bottom"/>
          </w:tcPr>
          <w:p>
            <w:pPr>
              <w:spacing w:after="0"/>
              <w:rPr>
                <w:sz w:val="23"/>
                <w:szCs w:val="23"/>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67,904</w:t>
            </w: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Investing activities</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(3,040,364)</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(69,100)</w:t>
            </w: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Financing activities</w:t>
            </w:r>
          </w:p>
        </w:tc>
        <w:tc>
          <w:tcPr>
            <w:tcW w:w="300" w:type="dxa"/>
            <w:vAlign w:val="bottom"/>
          </w:tcPr>
          <w:p>
            <w:pPr>
              <w:spacing w:after="0"/>
              <w:rPr>
                <w:sz w:val="23"/>
                <w:szCs w:val="23"/>
                <w:color w:val="auto"/>
              </w:rPr>
            </w:pPr>
          </w:p>
        </w:tc>
        <w:tc>
          <w:tcPr>
            <w:tcW w:w="1060" w:type="dxa"/>
            <w:vAlign w:val="bottom"/>
          </w:tcPr>
          <w:p>
            <w:pPr>
              <w:jc w:val="right"/>
              <w:ind w:right="18"/>
              <w:spacing w:after="0"/>
              <w:rPr>
                <w:sz w:val="20"/>
                <w:szCs w:val="20"/>
                <w:color w:val="auto"/>
              </w:rPr>
            </w:pPr>
            <w:r>
              <w:rPr>
                <w:rFonts w:ascii="Arial" w:cs="Arial" w:eastAsia="Arial" w:hAnsi="Arial"/>
                <w:sz w:val="18"/>
                <w:szCs w:val="18"/>
                <w:color w:val="auto"/>
              </w:rPr>
              <w:t>726,108</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22,764</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(Decrease)/increase in cash and restricted cash</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(1,880,983)</w:t>
            </w:r>
          </w:p>
        </w:tc>
        <w:tc>
          <w:tcPr>
            <w:tcW w:w="120" w:type="dxa"/>
            <w:vAlign w:val="bottom"/>
          </w:tcPr>
          <w:p>
            <w:pPr>
              <w:spacing w:after="0"/>
              <w:rPr>
                <w:sz w:val="23"/>
                <w:szCs w:val="23"/>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12,173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20" w:firstLine="500"/>
        <w:spacing w:after="0" w:line="271" w:lineRule="auto"/>
        <w:rPr>
          <w:sz w:val="20"/>
          <w:szCs w:val="20"/>
          <w:color w:val="auto"/>
        </w:rPr>
      </w:pPr>
      <w:r>
        <w:rPr>
          <w:rFonts w:ascii="Arial" w:cs="Arial" w:eastAsia="Arial" w:hAnsi="Arial"/>
          <w:sz w:val="17"/>
          <w:szCs w:val="17"/>
          <w:b w:val="1"/>
          <w:bCs w:val="1"/>
          <w:i w:val="1"/>
          <w:iCs w:val="1"/>
          <w:color w:val="auto"/>
        </w:rPr>
        <w:t xml:space="preserve">Operating activities </w:t>
      </w:r>
      <w:r>
        <w:rPr>
          <w:rFonts w:ascii="Arial" w:cs="Arial" w:eastAsia="Arial" w:hAnsi="Arial"/>
          <w:sz w:val="17"/>
          <w:szCs w:val="17"/>
          <w:color w:val="auto"/>
        </w:rPr>
        <w:t>In the first six months of 2019, cash provided by operations was $444 million compared to $68 million in the first six months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2018. The increase is due to favorable working capital performance as follows: a favorable change in inventory of $264 million, of which $169 million is attributable to purchase accounting costs related to the acquisition of GE Transportation and the remaining $95 million due to better control over inventory levels, a favorable change of $162 million in other assets and liabilities primarily due to the timing of payments related to acquisition costs and accrued expenses, a favorable change in accounts receivable of $24 million, and a favorable change of $40 million from the increase in net income, net of the change in non-cash items of $111 million. The increase in the change in non-cash items is primarily attributable to increased depreciation, amortization, and stock-based compensation as a result of the GE Transportation acquisition. These favorable changes were partially offset by an unfavorable change in accounts payable of $131 million due to the timing of payments to suppliers.</w:t>
      </w:r>
    </w:p>
    <w:p>
      <w:pPr>
        <w:spacing w:after="0" w:line="179" w:lineRule="exact"/>
        <w:rPr>
          <w:sz w:val="20"/>
          <w:szCs w:val="20"/>
          <w:color w:val="auto"/>
        </w:rPr>
      </w:pPr>
    </w:p>
    <w:p>
      <w:pPr>
        <w:ind w:right="100" w:firstLine="500"/>
        <w:spacing w:after="0" w:line="257" w:lineRule="auto"/>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In the first six months of 2019 and 2018, cash used for investing activities was $3.04 billion and $69 million, respectively.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major components of the cash outflow in 2019 were $2.98 billion in net cash paid for acquisitions, primarily GE Transportation, and $62 million in additions to property, plant and equipment for investments in our facilities and manufacturing processes. This compares to $38 million in net cash paid for acquisitions and $40 million in property, plant, and equipment for investments in the first six months of 2018. Refer to Note 3 of the “Notes to Condensed Consolidated Financial Statements” for additional information on acquisitions.</w:t>
      </w:r>
    </w:p>
    <w:p>
      <w:pPr>
        <w:spacing w:after="0" w:line="188" w:lineRule="exact"/>
        <w:rPr>
          <w:sz w:val="20"/>
          <w:szCs w:val="20"/>
          <w:color w:val="auto"/>
        </w:rPr>
      </w:pPr>
    </w:p>
    <w:p>
      <w:pPr>
        <w:ind w:right="60" w:firstLine="500"/>
        <w:spacing w:after="0" w:line="302" w:lineRule="auto"/>
        <w:rPr>
          <w:sz w:val="20"/>
          <w:szCs w:val="20"/>
          <w:color w:val="auto"/>
        </w:rPr>
      </w:pPr>
      <w:r>
        <w:rPr>
          <w:rFonts w:ascii="Arial" w:cs="Arial" w:eastAsia="Arial" w:hAnsi="Arial"/>
          <w:sz w:val="16"/>
          <w:szCs w:val="16"/>
          <w:b w:val="1"/>
          <w:bCs w:val="1"/>
          <w:i w:val="1"/>
          <w:iCs w:val="1"/>
          <w:color w:val="auto"/>
        </w:rPr>
        <w:t xml:space="preserve">Financing activities </w:t>
      </w:r>
      <w:r>
        <w:rPr>
          <w:rFonts w:ascii="Arial" w:cs="Arial" w:eastAsia="Arial" w:hAnsi="Arial"/>
          <w:sz w:val="16"/>
          <w:szCs w:val="16"/>
          <w:color w:val="auto"/>
        </w:rPr>
        <w:t>In the first six months of 2019, cash provided by financing activities was $726 million which included $2.33 billion in proceeds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the revolving credit facility, $1.55 billion in repayments of debt and $34 million of dividend payments. In the first six months of 2018, cash provided by financing activities was $22.8 million, which included $592 million in proceeds from the revolving credit facility, $546 million in repayments of debt on the revolving credit facility, $23 million of dividend payments, and $7 million related to payment of income tax withholding on share-based compensation.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On September 14, 2018, the Company issued $2.5 billion of senior notes with three different maturities.</w:t>
      </w:r>
    </w:p>
    <w:p>
      <w:pPr>
        <w:spacing w:after="0" w:line="158" w:lineRule="exact"/>
        <w:rPr>
          <w:sz w:val="20"/>
          <w:szCs w:val="20"/>
          <w:color w:val="auto"/>
        </w:rPr>
      </w:pPr>
    </w:p>
    <w:p>
      <w:pPr>
        <w:ind w:left="660" w:right="20" w:hanging="328"/>
        <w:spacing w:after="0" w:line="297" w:lineRule="auto"/>
        <w:tabs>
          <w:tab w:leader="none" w:pos="66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u w:val="single" w:color="auto"/>
          <w:color w:val="auto"/>
        </w:rPr>
        <w:t>Floating Rate Senior Notes due 2021</w:t>
      </w:r>
      <w:r>
        <w:rPr>
          <w:rFonts w:ascii="Arial" w:cs="Arial" w:eastAsia="Arial" w:hAnsi="Arial"/>
          <w:sz w:val="16"/>
          <w:szCs w:val="16"/>
          <w:i w:val="1"/>
          <w:iCs w:val="1"/>
          <w:color w:val="auto"/>
        </w:rPr>
        <w:t xml:space="preserve"> - </w:t>
      </w:r>
      <w:r>
        <w:rPr>
          <w:rFonts w:ascii="Arial" w:cs="Arial" w:eastAsia="Arial" w:hAnsi="Arial"/>
          <w:sz w:val="16"/>
          <w:szCs w:val="16"/>
          <w:color w:val="auto"/>
        </w:rPr>
        <w:t>The Company issued $500.0 million of Floating Rate Senior Notes due 2021 (the "Floating Rate Notes"). The</w:t>
      </w:r>
      <w:r>
        <w:rPr>
          <w:rFonts w:ascii="Arial" w:cs="Arial" w:eastAsia="Arial" w:hAnsi="Arial"/>
          <w:sz w:val="16"/>
          <w:szCs w:val="16"/>
          <w:i w:val="1"/>
          <w:iCs w:val="1"/>
          <w:color w:val="auto"/>
        </w:rPr>
        <w:t xml:space="preserve"> </w:t>
      </w:r>
      <w:r>
        <w:rPr>
          <w:rFonts w:ascii="Arial" w:cs="Arial" w:eastAsia="Arial" w:hAnsi="Arial"/>
          <w:sz w:val="16"/>
          <w:szCs w:val="16"/>
          <w:color w:val="auto"/>
        </w:rPr>
        <w:t>Floating Rate Notes, which are non-callable for one year, were issued at 100% of face value. Interest on the Floating Rate Notes accrues at a floating rate per annum equal to three-month Libor plus 105 basis points. The interest rate for the Floating Rate Notes for the initial interest period was the three-month Libor plus 105 basis points determined on September 12, 2018 and is payable quarterly on December 15, March 15, June 15, and September 15 of each year. The Company incurred $3.5 million of deferred financing costs related to the issuance of the Floating Rate Notes.</w:t>
      </w:r>
    </w:p>
    <w:p>
      <w:pPr>
        <w:spacing w:after="0" w:line="50" w:lineRule="exact"/>
        <w:rPr>
          <w:rFonts w:ascii="Arial" w:cs="Arial" w:eastAsia="Arial" w:hAnsi="Arial"/>
          <w:sz w:val="16"/>
          <w:szCs w:val="16"/>
          <w:i w:val="1"/>
          <w:iCs w:val="1"/>
          <w:color w:val="auto"/>
        </w:rPr>
      </w:pPr>
    </w:p>
    <w:p>
      <w:pPr>
        <w:jc w:val="both"/>
        <w:ind w:left="660" w:right="360" w:hanging="328"/>
        <w:spacing w:after="0" w:line="312" w:lineRule="auto"/>
        <w:tabs>
          <w:tab w:leader="none" w:pos="66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u w:val="single" w:color="auto"/>
          <w:color w:val="auto"/>
        </w:rPr>
        <w:t>4.15% Senior Notes due 2024</w:t>
      </w:r>
      <w:r>
        <w:rPr>
          <w:rFonts w:ascii="Arial" w:cs="Arial" w:eastAsia="Arial" w:hAnsi="Arial"/>
          <w:sz w:val="16"/>
          <w:szCs w:val="16"/>
          <w:i w:val="1"/>
          <w:iCs w:val="1"/>
          <w:color w:val="auto"/>
        </w:rPr>
        <w:t xml:space="preserve"> - </w:t>
      </w:r>
      <w:r>
        <w:rPr>
          <w:rFonts w:ascii="Arial" w:cs="Arial" w:eastAsia="Arial" w:hAnsi="Arial"/>
          <w:sz w:val="16"/>
          <w:szCs w:val="16"/>
          <w:color w:val="auto"/>
        </w:rPr>
        <w:t>The Company issued $750.0 million of 4.15% Senior Notes due 2024 (the "2024 Notes"). The 2024 Notes were</w:t>
      </w:r>
      <w:r>
        <w:rPr>
          <w:rFonts w:ascii="Arial" w:cs="Arial" w:eastAsia="Arial" w:hAnsi="Arial"/>
          <w:sz w:val="16"/>
          <w:szCs w:val="16"/>
          <w:i w:val="1"/>
          <w:iCs w:val="1"/>
          <w:color w:val="auto"/>
        </w:rPr>
        <w:t xml:space="preserve"> </w:t>
      </w:r>
      <w:r>
        <w:rPr>
          <w:rFonts w:ascii="Arial" w:cs="Arial" w:eastAsia="Arial" w:hAnsi="Arial"/>
          <w:sz w:val="16"/>
          <w:szCs w:val="16"/>
          <w:color w:val="auto"/>
        </w:rPr>
        <w:t>issued at 99.805% of face value. Interest on the 2024 Notes accrues at a rate of 4.15% per annum and is payable semi-annually on March 15 and September 15 of each year. The Company incurred $7.4 million of deferred financing costs related to the issuance of the 2024 Notes.</w:t>
      </w:r>
    </w:p>
    <w:p>
      <w:pPr>
        <w:spacing w:after="0" w:line="38" w:lineRule="exact"/>
        <w:rPr>
          <w:rFonts w:ascii="Arial" w:cs="Arial" w:eastAsia="Arial" w:hAnsi="Arial"/>
          <w:sz w:val="16"/>
          <w:szCs w:val="16"/>
          <w:i w:val="1"/>
          <w:iCs w:val="1"/>
          <w:color w:val="auto"/>
        </w:rPr>
      </w:pPr>
    </w:p>
    <w:p>
      <w:pPr>
        <w:ind w:left="660" w:right="100" w:hanging="328"/>
        <w:spacing w:after="0" w:line="259" w:lineRule="auto"/>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4.70% Senior Notes Due 2028</w:t>
      </w:r>
      <w:r>
        <w:rPr>
          <w:rFonts w:ascii="Arial" w:cs="Arial" w:eastAsia="Arial" w:hAnsi="Arial"/>
          <w:sz w:val="18"/>
          <w:szCs w:val="18"/>
          <w:i w:val="1"/>
          <w:iCs w:val="1"/>
          <w:color w:val="auto"/>
        </w:rPr>
        <w:t xml:space="preserve"> - </w:t>
      </w:r>
      <w:r>
        <w:rPr>
          <w:rFonts w:ascii="Arial" w:cs="Arial" w:eastAsia="Arial" w:hAnsi="Arial"/>
          <w:sz w:val="18"/>
          <w:szCs w:val="18"/>
          <w:color w:val="auto"/>
        </w:rPr>
        <w:t>The Company issued $1,250.0 million of 4.70% Senior Notes due 2028 (the "2028 Notes" and together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Floating Rate Notes and 2024 Notes, the "Senior Notes"). The 2028 Notes were issued at 99.889% of face value. Interest on the 2028 Notes accrues at a rate of 4.70% per annum and is payable semi-annually on March 15 and September 15 of each year. The Company incurred $10.6 million of deferred financing costs related to the issuance of the 2028 Notes.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688" w:right="239" w:bottom="1440" w:gutter="0" w:footer="0" w:header="0"/>
        </w:sectPr>
      </w:pPr>
    </w:p>
    <w:bookmarkStart w:id="49" w:name="page50"/>
    <w:bookmarkEnd w:id="49"/>
    <w:p>
      <w:pPr>
        <w:ind w:right="220" w:firstLine="648"/>
        <w:spacing w:after="0" w:line="297" w:lineRule="auto"/>
        <w:rPr>
          <w:sz w:val="20"/>
          <w:szCs w:val="20"/>
          <w:color w:val="auto"/>
        </w:rPr>
      </w:pPr>
      <w:r>
        <w:rPr>
          <w:rFonts w:ascii="Arial" w:cs="Arial" w:eastAsia="Arial" w:hAnsi="Arial"/>
          <w:sz w:val="16"/>
          <w:szCs w:val="16"/>
          <w:color w:val="auto"/>
        </w:rPr>
        <w:t>The net proceeds from the issuance and sale of the Senior Notes were used to finance the cash portion of the GE Transportation acquisition. The principal balances are due in full at maturity. The Senior Notes are senior unsecured obligations of the Company and rank pari passu with all existing and future senior debt and senior to all existing and future subordinated indebtedness of the Company. The indenture under which the Senior Notes were issued contains covenants and restrictions which limit among other things, the following: the incurrence of indebtedness, payment of dividends and certain distributions, sales of assets, change in control, mergers and consolidations and the incurrence of liens.</w:t>
      </w:r>
    </w:p>
    <w:p>
      <w:pPr>
        <w:spacing w:after="0" w:line="50"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On February 12, 2019, the rating assigned by Moody's was decreased to Ba1. Accordingly, pursuant to the respective terms of the Senior Notes issued on September 14, 2018, the interest rate increased by 0.25%. The interest rate increase took effect during the interest period following February 12, 2019.</w:t>
      </w:r>
    </w:p>
    <w:p>
      <w:pPr>
        <w:spacing w:after="0" w:line="73"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Company is in compliance with the restrictions and covenants in the indenture under which the Senior Notes were issued and expects that these restrictions and covenants will not be any type of limiting factor in executing its operating activities.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3.45% Senior Notes Due November 2026</w:t>
      </w:r>
    </w:p>
    <w:p>
      <w:pPr>
        <w:spacing w:after="0" w:line="117" w:lineRule="exact"/>
        <w:rPr>
          <w:sz w:val="20"/>
          <w:szCs w:val="20"/>
          <w:color w:val="auto"/>
        </w:rPr>
      </w:pPr>
    </w:p>
    <w:p>
      <w:pPr>
        <w:jc w:val="both"/>
        <w:ind w:right="120" w:firstLine="648"/>
        <w:spacing w:after="0" w:line="257" w:lineRule="auto"/>
        <w:rPr>
          <w:sz w:val="20"/>
          <w:szCs w:val="20"/>
          <w:color w:val="auto"/>
        </w:rPr>
      </w:pPr>
      <w:r>
        <w:rPr>
          <w:rFonts w:ascii="Arial" w:cs="Arial" w:eastAsia="Arial" w:hAnsi="Arial"/>
          <w:sz w:val="18"/>
          <w:szCs w:val="18"/>
          <w:color w:val="auto"/>
        </w:rPr>
        <w:t>On November 3, 2016, the Company issued $750.0 million of 3.45% Senior Notes due in 2026 (the "2016 Notes"). The 2016 Notes were issued at 99.965% of face value. Interest on the 2016 Notes accrues at a rate of 3.45% per annum and is payable semi-annually on May 15 and November 15 of each year. The proceeds were used to finance the cash portion of the Faiveley Transport acquisition, refinance Faiveley Transport's indebtedness, and for general corporate purposes. The principal balance is due in full at maturity. The Company incurred $2.7 million of deferred financing costs related to the issuance of the 2016 Notes.</w:t>
      </w:r>
    </w:p>
    <w:p>
      <w:pPr>
        <w:spacing w:after="0" w:line="80"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The 2016 Notes are senior unsecured obligations of the Company and rank pari passu with all existing and future senior debt and senior to all existing and future subordinated indebtedness of the Company. The indenture under which the 2016 Notes were issued contains covenants and restrictions which limit among other things, the following: the incurrence of indebtedness, payment of dividends and certain distributions, sale of assets, change in control, mergers and consolidations and the incurrence of liens.</w:t>
      </w:r>
    </w:p>
    <w:p>
      <w:pPr>
        <w:spacing w:after="0" w:line="79" w:lineRule="exact"/>
        <w:rPr>
          <w:sz w:val="20"/>
          <w:szCs w:val="20"/>
          <w:color w:val="auto"/>
        </w:rPr>
      </w:pPr>
    </w:p>
    <w:p>
      <w:pPr>
        <w:ind w:right="340" w:firstLine="500"/>
        <w:spacing w:after="0" w:line="277" w:lineRule="auto"/>
        <w:rPr>
          <w:sz w:val="20"/>
          <w:szCs w:val="20"/>
          <w:color w:val="auto"/>
        </w:rPr>
      </w:pPr>
      <w:r>
        <w:rPr>
          <w:rFonts w:ascii="Arial" w:cs="Arial" w:eastAsia="Arial" w:hAnsi="Arial"/>
          <w:sz w:val="18"/>
          <w:szCs w:val="18"/>
          <w:color w:val="auto"/>
        </w:rPr>
        <w:t>The Company is in compliance with the restrictions and covenants in the indenture under which the 2016 Notes were issued and expects that these restrictions and covenants will not be any type of limiting factor in executing our operating activities.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4.375% Senior Notes Due August 2023</w:t>
      </w:r>
    </w:p>
    <w:p>
      <w:pPr>
        <w:spacing w:after="0" w:line="117" w:lineRule="exact"/>
        <w:rPr>
          <w:sz w:val="20"/>
          <w:szCs w:val="20"/>
          <w:color w:val="auto"/>
        </w:rPr>
      </w:pPr>
    </w:p>
    <w:p>
      <w:pPr>
        <w:ind w:firstLine="500"/>
        <w:spacing w:after="0" w:line="291" w:lineRule="auto"/>
        <w:rPr>
          <w:sz w:val="20"/>
          <w:szCs w:val="20"/>
          <w:color w:val="auto"/>
        </w:rPr>
      </w:pPr>
      <w:r>
        <w:rPr>
          <w:rFonts w:ascii="Arial" w:cs="Arial" w:eastAsia="Arial" w:hAnsi="Arial"/>
          <w:sz w:val="16"/>
          <w:szCs w:val="16"/>
          <w:color w:val="auto"/>
        </w:rPr>
        <w:t>In August 2013, the Company issued $250.0 million of 4.375% Senior Notes due in 2023 (the “2013 Notes”). The 2013 Notes were issued at 99.879% of face value. Interest on the 2013 Notes accrues at a rate of 4.375% per annum and is payable semi-annually on February 15 and August 15 of each</w:t>
      </w:r>
    </w:p>
    <w:p>
      <w:pPr>
        <w:ind w:right="220"/>
        <w:spacing w:after="0" w:line="290" w:lineRule="auto"/>
        <w:rPr>
          <w:sz w:val="20"/>
          <w:szCs w:val="20"/>
          <w:color w:val="auto"/>
        </w:rPr>
      </w:pPr>
      <w:r>
        <w:rPr>
          <w:rFonts w:ascii="Arial" w:cs="Arial" w:eastAsia="Arial" w:hAnsi="Arial"/>
          <w:sz w:val="17"/>
          <w:szCs w:val="17"/>
          <w:color w:val="auto"/>
        </w:rPr>
        <w:t>year. The proceeds were used to repay debt outstanding under the Company’s existing credit agreement, and for general corporate purposes. The principal balance is due in full at maturity. The Company incurred $2.6 million of deferred financing costs related to the issuance of the 2013 Notes.</w:t>
      </w:r>
    </w:p>
    <w:p>
      <w:pPr>
        <w:spacing w:after="0" w:line="53" w:lineRule="exact"/>
        <w:rPr>
          <w:sz w:val="20"/>
          <w:szCs w:val="20"/>
          <w:color w:val="auto"/>
        </w:rPr>
      </w:pPr>
    </w:p>
    <w:p>
      <w:pPr>
        <w:ind w:right="20" w:firstLine="500"/>
        <w:spacing w:after="0" w:line="259" w:lineRule="auto"/>
        <w:rPr>
          <w:sz w:val="20"/>
          <w:szCs w:val="20"/>
          <w:color w:val="auto"/>
        </w:rPr>
      </w:pPr>
      <w:r>
        <w:rPr>
          <w:rFonts w:ascii="Arial" w:cs="Arial" w:eastAsia="Arial" w:hAnsi="Arial"/>
          <w:sz w:val="18"/>
          <w:szCs w:val="18"/>
          <w:color w:val="auto"/>
        </w:rPr>
        <w:t>The 2013 Notes are senior unsecured obligations of the Company and rank pari passu with all existing and future senior debt and senior to all existing and future subordinated indebtedness of the Company. The indenture under which the 2013 Notes were issued contains covenants and restrictions which limit among other things, the following: the incurrence of indebtedness, payment of dividends and certain distributions, sale of assets, change in control, mergers and consolidations and the incurrence of liens.</w:t>
      </w:r>
    </w:p>
    <w:p>
      <w:pPr>
        <w:spacing w:after="0" w:line="79" w:lineRule="exact"/>
        <w:rPr>
          <w:sz w:val="20"/>
          <w:szCs w:val="20"/>
          <w:color w:val="auto"/>
        </w:rPr>
      </w:pPr>
    </w:p>
    <w:p>
      <w:pPr>
        <w:ind w:right="340" w:firstLine="500"/>
        <w:spacing w:after="0" w:line="277" w:lineRule="auto"/>
        <w:rPr>
          <w:sz w:val="20"/>
          <w:szCs w:val="20"/>
          <w:color w:val="auto"/>
        </w:rPr>
      </w:pPr>
      <w:r>
        <w:rPr>
          <w:rFonts w:ascii="Arial" w:cs="Arial" w:eastAsia="Arial" w:hAnsi="Arial"/>
          <w:sz w:val="18"/>
          <w:szCs w:val="18"/>
          <w:color w:val="auto"/>
        </w:rPr>
        <w:t>The Company is in compliance with the restrictions and covenants in the indenture under which the 2013 Notes were issued and expects that these restrictions and covenants will not be any type of limiting factor in executing our operating activities.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Refinancing Credit Agreement</w:t>
      </w:r>
    </w:p>
    <w:p>
      <w:pPr>
        <w:spacing w:after="0" w:line="117"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On June 8, 2018, the Company entered into a credit agreement (the “2018 Refinancing Credit Agreement”), which replaced the Company’s then-existing 2016 Refinancing Credit Agreement. As part of the 2018 Refinancing Credit Agreement, the Company entered into (i) a $1.2 billion revolving credit facility (the “Revolving Credit Facility”), which replaced the Company’s revolving credit facility under the 2016 Refinancing Credit Agreement, and includes a letter of credit sub-facility of up to $450.0 million and a swing line sub-facility of $75.0 million, (ii) a $350.0 million term loan (the “Refinancing Term Loan”), which refinanced the term loan under the 2016 Refinancing Credit Agreement, and (iii) a new $400.0 million delayed draw term loan (the “Delayed Draw Term Loan”). The 2018 Refinancing Credit Agreement also provided for a bridge loan facility (the “Bridge Loan Facility”) in an amount not to exceed $2.5 billion, which would only become effective at the Company’s request. Commitments in respect of the Bridge Loan Facility were terminated upon the issuance and sale of the Senior Notes on September 14, 2018. In addition, the 2018 Refinancing Credit Agreement contains an uncommitted accordion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76" w:right="259" w:bottom="1440" w:gutter="0" w:footer="0" w:header="0"/>
        </w:sectPr>
      </w:pPr>
    </w:p>
    <w:bookmarkStart w:id="50" w:name="page51"/>
    <w:bookmarkEnd w:id="50"/>
    <w:p>
      <w:pPr>
        <w:ind w:right="60"/>
        <w:spacing w:after="0" w:line="264" w:lineRule="auto"/>
        <w:rPr>
          <w:sz w:val="20"/>
          <w:szCs w:val="20"/>
          <w:color w:val="auto"/>
        </w:rPr>
      </w:pPr>
      <w:r>
        <w:rPr>
          <w:rFonts w:ascii="Arial" w:cs="Arial" w:eastAsia="Arial" w:hAnsi="Arial"/>
          <w:sz w:val="18"/>
          <w:szCs w:val="18"/>
          <w:color w:val="auto"/>
        </w:rPr>
        <w:t>feature allowing the Company to request, in an aggregate amount not to exceed $600.0 million, increases to the borrowing commitments under the Revolving Credit Facility or a new incremental term loan commitment. At June 30, 2019, the Company had approximately $780.3 million of available bank borrowing capacity subject to certain financial covenant restrictions, net of $27.6 million of letters of credit.</w:t>
      </w:r>
    </w:p>
    <w:p>
      <w:pPr>
        <w:spacing w:after="0" w:line="73" w:lineRule="exact"/>
        <w:rPr>
          <w:sz w:val="20"/>
          <w:szCs w:val="20"/>
          <w:color w:val="auto"/>
        </w:rPr>
      </w:pPr>
    </w:p>
    <w:p>
      <w:pPr>
        <w:ind w:right="180" w:firstLine="486"/>
        <w:spacing w:after="0" w:line="286" w:lineRule="auto"/>
        <w:rPr>
          <w:sz w:val="20"/>
          <w:szCs w:val="20"/>
          <w:color w:val="auto"/>
        </w:rPr>
      </w:pPr>
      <w:r>
        <w:rPr>
          <w:rFonts w:ascii="Arial" w:cs="Arial" w:eastAsia="Arial" w:hAnsi="Arial"/>
          <w:sz w:val="16"/>
          <w:szCs w:val="16"/>
          <w:color w:val="auto"/>
        </w:rPr>
        <w:t>The Revolving Credit Facility matures on June 8, 2023 and is unsecured. The Refinancing Term Loan matures on June 8, 2021 and is unsecured. The Delayed Draw Term Loan matures on the third anniversary of the date on which it is borrowed and is unsecured. The applicable interest rate for borrowings under the 2018 Refinancing Credit Agreement includes interest rate spreads based on the lower of the pricing corresponding to (i) the Company’s ratio of total debt (less unrestricted cash up to $300.0 million) to EBITDA (“Leverage Ratio”) or (ii) the Company’s public rating, in each case that range between</w:t>
      </w:r>
    </w:p>
    <w:p>
      <w:pPr>
        <w:spacing w:after="0" w:line="2"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1.000% and 1.875% for LIBOR/CDOR-based borrowings and 0.0% and 0.875% for Alternate Base Rate based borrowings. The obligations of the Company under the 2018 Refinancing Credit Agreement have been guaranteed by certain of the Company’s subsidiaries.</w:t>
      </w:r>
    </w:p>
    <w:p>
      <w:pPr>
        <w:spacing w:after="0" w:line="76"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The Delayed Draw Term Loan was initially drawn on February 25, 2019. The Company incurred a 17.5 basis point commitment fee from June 8, 2018 until the initial draw.</w:t>
      </w:r>
    </w:p>
    <w:p>
      <w:pPr>
        <w:spacing w:after="0" w:line="62" w:lineRule="exact"/>
        <w:rPr>
          <w:sz w:val="20"/>
          <w:szCs w:val="20"/>
          <w:color w:val="auto"/>
        </w:rPr>
      </w:pPr>
    </w:p>
    <w:p>
      <w:pPr>
        <w:ind w:right="40" w:firstLine="486"/>
        <w:spacing w:after="0" w:line="287" w:lineRule="auto"/>
        <w:rPr>
          <w:sz w:val="20"/>
          <w:szCs w:val="20"/>
          <w:color w:val="auto"/>
        </w:rPr>
      </w:pPr>
      <w:r>
        <w:rPr>
          <w:rFonts w:ascii="Arial" w:cs="Arial" w:eastAsia="Arial" w:hAnsi="Arial"/>
          <w:sz w:val="16"/>
          <w:szCs w:val="16"/>
          <w:color w:val="auto"/>
        </w:rPr>
        <w:t xml:space="preserve">The 2018 Refinancing Credit Agreement contains customary representations and warranties by the Company and its subsidiaries, including customary use of materiality, material adverse effect, and knowledge qualifiers. The Company and its subsidiaries are also subject to (i) customary affirmative covenants that impose certain reporting obligations on the Company and its subsidiaries and (ii) customary negative covenants, including limitations on: indebtedness; liens; restricted payments; fundamental changes; business activities; transactions with affiliates; restrictive agreements; changes in fiscal year; and use of proceeds. In addition, the Company is required to maintain (i) an Interest Coverage ratio at least 3.00 to 1.00 over each period of four consecutive fiscal quarters ending on the last day of a fiscal quarter and (ii) a Leverage Ratio, calculated as of the last day of a fiscal quarter for a period of four consecutive fiscal quarters, of 3.25 to 1.00 or less;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the Company completes the Direct Sale and the Merger or any other material acquisition in which the cash consideration paid exceeds $500.0 million, the maximum Leverage Ratio permitted will be 3.75 to 1.00 at the end of the fiscal quarter in which such acquisition is consummated and each of the three fiscal quarters immediately following such fiscal quarter and 3.50 to 1.00 at the end of each of the fourth and fifth full fiscal quarters after the consummation of such acquisition. The Company is in compliance with the restrictions and covenants of the 2018 Refinancing Credit Agreement and does not expect that these measurements will limit the Company in executing its operating activities.</w:t>
      </w:r>
    </w:p>
    <w:p>
      <w:pPr>
        <w:spacing w:after="0" w:line="65"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At June 30, 2019, the weighted average interest rate on the Company’s variable rate debt was 3.28%. On June 5, 2014, the Company entered into a forward starting interest rate swap agreement with a notional value of $150.0 million. The effective date of the interest rate swap agreement was November 7, 2016, and the termination date was December 19, 2018.</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Refinancing Credit Agreement</w:t>
      </w:r>
    </w:p>
    <w:p>
      <w:pPr>
        <w:spacing w:after="0" w:line="117" w:lineRule="exact"/>
        <w:rPr>
          <w:sz w:val="20"/>
          <w:szCs w:val="20"/>
          <w:color w:val="auto"/>
        </w:rPr>
      </w:pPr>
    </w:p>
    <w:p>
      <w:pPr>
        <w:ind w:right="180" w:firstLine="500"/>
        <w:spacing w:after="0" w:line="259" w:lineRule="auto"/>
        <w:rPr>
          <w:sz w:val="20"/>
          <w:szCs w:val="20"/>
          <w:color w:val="auto"/>
        </w:rPr>
      </w:pPr>
      <w:r>
        <w:rPr>
          <w:rFonts w:ascii="Arial" w:cs="Arial" w:eastAsia="Arial" w:hAnsi="Arial"/>
          <w:sz w:val="18"/>
          <w:szCs w:val="18"/>
          <w:color w:val="auto"/>
        </w:rPr>
        <w:t>On June 22, 2016, the Company amended its existing revolving credit facility with a consortium of commercial banks. This 2016 Refinancing Credit Agreement provided the Company with a $1.2 billion, 5 year revolving credit facility and a $400 million delayed draw term loan (the “Term Loan”). The Company incurred approximately $3 million of deferred financing cost related to the 2016 Refinancing Credit Agreement. The 2016 Refinancing Credit Agreement borrowings bore variable interest rates indexed as described below.</w:t>
      </w:r>
    </w:p>
    <w:p>
      <w:pPr>
        <w:spacing w:after="0" w:line="79"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Under the 2016 Refinancing Credit Agreement, the Company could elect a Base Rate of interest for U.S. Dollar denominated loans or, for certain currencies, an interest rate based on the London Interbank Offered Rate (“LIBOR”) of interest, or other rates appropriate for such currencies (in any case, “the Alternate Rate”). The Base Rate adjusted on a daily basis and was the greater of the Federal Funds Effective Rate plus 0.50% per annum, the PNC, N.A. prime rate or the Daily LIBOR Rate plus 100 basis points, plus a margin that ranged from 0 to 75 basis points. The Alternate Rate was based on the quoted rates specific to the applicable currency, plus a margin that ranged from 75 to 175 basis points. Both the Base Rate and Alternate Rate margins were dependent on the Company’s consolidated total indebtedness to EBITDA ratios. The initial Base Rate margin was 0 basis points and the Alternate Rate margin is 175 basis points.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 Stock Repurchase Plan</w:t>
      </w:r>
    </w:p>
    <w:p>
      <w:pPr>
        <w:spacing w:after="0" w:line="117" w:lineRule="exact"/>
        <w:rPr>
          <w:sz w:val="20"/>
          <w:szCs w:val="20"/>
          <w:color w:val="auto"/>
        </w:rPr>
      </w:pPr>
    </w:p>
    <w:p>
      <w:pPr>
        <w:ind w:right="20" w:firstLine="500"/>
        <w:spacing w:after="0" w:line="297" w:lineRule="auto"/>
        <w:rPr>
          <w:sz w:val="20"/>
          <w:szCs w:val="20"/>
          <w:color w:val="auto"/>
        </w:rPr>
      </w:pPr>
      <w:r>
        <w:rPr>
          <w:rFonts w:ascii="Arial" w:cs="Arial" w:eastAsia="Arial" w:hAnsi="Arial"/>
          <w:sz w:val="16"/>
          <w:szCs w:val="16"/>
          <w:color w:val="auto"/>
        </w:rPr>
        <w:t>On February 8, 2016, the Board of Directors amended its stock repurchase authorization to $350 million of the Company’s outstanding shares. This new stock repurchase authorization supersedes the previous authorization of $350 million of which about $33 million remained. During the first three months of 2019, the Company did not repurchase any shares, leaving $138 million remaining under the authorization. The Company intends to purchase shares on the open market or in negotiated block trades from time to time depending on market conditions. No time limit was set for the completion of the programs which conforms to the requirements under the 2016 Refinancing Credit Agreement, as well as the Senior Notes currently outstanding.</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76"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ind w:firstLine="500"/>
        <w:spacing w:after="0" w:line="279" w:lineRule="auto"/>
        <w:rPr>
          <w:sz w:val="20"/>
          <w:szCs w:val="20"/>
          <w:color w:val="auto"/>
        </w:rPr>
      </w:pPr>
      <w:r>
        <w:rPr>
          <w:rFonts w:ascii="Arial" w:cs="Arial" w:eastAsia="Arial" w:hAnsi="Arial"/>
          <w:sz w:val="17"/>
          <w:szCs w:val="17"/>
          <w:color w:val="auto"/>
        </w:rPr>
        <w:t>We believe that all statements other than statements of historical facts included in this report, including certain statements under “Business” and “Management’s Discussion and Analysis of Financial Condition and Results of Operations,” may constitute forward-looking statements. We have based these forward-looking statements on our current expectations and projections about future events. Although we believe that our assumptions made in connection with the forward-looking statements are reasonable, we cannot assure that our assumptions and expectations are correct.</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These forward-looking statements are subject to various risks, uncertainties and assumptions about us, including, among other things: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and industry conditions</w:t>
      </w:r>
    </w:p>
    <w:p>
      <w:pPr>
        <w:spacing w:after="0" w:line="67" w:lineRule="exact"/>
        <w:rPr>
          <w:sz w:val="20"/>
          <w:szCs w:val="20"/>
          <w:color w:val="auto"/>
        </w:rPr>
      </w:pPr>
    </w:p>
    <w:p>
      <w:pPr>
        <w:ind w:left="600" w:right="180" w:hanging="322"/>
        <w:spacing w:after="0" w:line="277" w:lineRule="auto"/>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prolonged unfavorable economic and industry conditions in the markets served by us, including North America, South America, Europe, Australia, Asia and South Africa;</w:t>
      </w:r>
    </w:p>
    <w:p>
      <w:pPr>
        <w:spacing w:after="0" w:line="8" w:lineRule="exact"/>
        <w:rPr>
          <w:rFonts w:ascii="Arial" w:cs="Arial" w:eastAsia="Arial" w:hAnsi="Arial"/>
          <w:sz w:val="18"/>
          <w:szCs w:val="18"/>
          <w:color w:val="auto"/>
        </w:rPr>
      </w:pPr>
    </w:p>
    <w:p>
      <w:pPr>
        <w:ind w:left="600" w:hanging="322"/>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decline in demand for freight cars, locomotives, passenger transit cars, buses and related products and services;</w:t>
      </w:r>
    </w:p>
    <w:p>
      <w:pPr>
        <w:spacing w:after="0" w:line="63" w:lineRule="exact"/>
        <w:rPr>
          <w:rFonts w:ascii="Arial" w:cs="Arial" w:eastAsia="Arial" w:hAnsi="Arial"/>
          <w:sz w:val="18"/>
          <w:szCs w:val="18"/>
          <w:color w:val="auto"/>
        </w:rPr>
      </w:pPr>
    </w:p>
    <w:p>
      <w:pPr>
        <w:ind w:left="600" w:hanging="322"/>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reliance on major original equipment manufacturer customers;</w:t>
      </w:r>
    </w:p>
    <w:p>
      <w:pPr>
        <w:spacing w:after="0" w:line="63" w:lineRule="exact"/>
        <w:rPr>
          <w:rFonts w:ascii="Arial" w:cs="Arial" w:eastAsia="Arial" w:hAnsi="Arial"/>
          <w:sz w:val="18"/>
          <w:szCs w:val="18"/>
          <w:color w:val="auto"/>
        </w:rPr>
      </w:pPr>
    </w:p>
    <w:p>
      <w:pPr>
        <w:ind w:left="600" w:hanging="322"/>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original equipment manufacturers’ program delays;</w:t>
      </w:r>
    </w:p>
    <w:p>
      <w:pPr>
        <w:spacing w:after="0" w:line="63" w:lineRule="exact"/>
        <w:rPr>
          <w:rFonts w:ascii="Arial" w:cs="Arial" w:eastAsia="Arial" w:hAnsi="Arial"/>
          <w:sz w:val="18"/>
          <w:szCs w:val="18"/>
          <w:color w:val="auto"/>
        </w:rPr>
      </w:pPr>
    </w:p>
    <w:p>
      <w:pPr>
        <w:ind w:left="600" w:hanging="322"/>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demand for services in the freight and passenger rail industry;</w:t>
      </w:r>
    </w:p>
    <w:p>
      <w:pPr>
        <w:spacing w:after="0" w:line="63" w:lineRule="exact"/>
        <w:rPr>
          <w:rFonts w:ascii="Arial" w:cs="Arial" w:eastAsia="Arial" w:hAnsi="Arial"/>
          <w:sz w:val="18"/>
          <w:szCs w:val="18"/>
          <w:color w:val="auto"/>
        </w:rPr>
      </w:pPr>
    </w:p>
    <w:p>
      <w:pPr>
        <w:ind w:left="600" w:hanging="322"/>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demand for our products and services;</w:t>
      </w:r>
    </w:p>
    <w:p>
      <w:pPr>
        <w:spacing w:after="0" w:line="63" w:lineRule="exact"/>
        <w:rPr>
          <w:rFonts w:ascii="Arial" w:cs="Arial" w:eastAsia="Arial" w:hAnsi="Arial"/>
          <w:sz w:val="18"/>
          <w:szCs w:val="18"/>
          <w:color w:val="auto"/>
        </w:rPr>
      </w:pPr>
    </w:p>
    <w:p>
      <w:pPr>
        <w:ind w:left="600" w:hanging="322"/>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orders either being delayed, canceled, not returning to historical levels, or reduced or any combination of the foregoing;</w:t>
      </w:r>
    </w:p>
    <w:p>
      <w:pPr>
        <w:spacing w:after="0" w:line="63" w:lineRule="exact"/>
        <w:rPr>
          <w:rFonts w:ascii="Arial" w:cs="Arial" w:eastAsia="Arial" w:hAnsi="Arial"/>
          <w:sz w:val="18"/>
          <w:szCs w:val="18"/>
          <w:color w:val="auto"/>
        </w:rPr>
      </w:pPr>
    </w:p>
    <w:p>
      <w:pPr>
        <w:ind w:left="600" w:hanging="322"/>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consolidations in the rail industry;</w:t>
      </w:r>
    </w:p>
    <w:p>
      <w:pPr>
        <w:spacing w:after="0" w:line="63" w:lineRule="exact"/>
        <w:rPr>
          <w:rFonts w:ascii="Arial" w:cs="Arial" w:eastAsia="Arial" w:hAnsi="Arial"/>
          <w:sz w:val="18"/>
          <w:szCs w:val="18"/>
          <w:color w:val="auto"/>
        </w:rPr>
      </w:pPr>
    </w:p>
    <w:p>
      <w:pPr>
        <w:ind w:left="600" w:hanging="322"/>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continued outsourcing by our customers;</w:t>
      </w:r>
    </w:p>
    <w:p>
      <w:pPr>
        <w:spacing w:after="0" w:line="63" w:lineRule="exact"/>
        <w:rPr>
          <w:rFonts w:ascii="Arial" w:cs="Arial" w:eastAsia="Arial" w:hAnsi="Arial"/>
          <w:sz w:val="18"/>
          <w:szCs w:val="18"/>
          <w:color w:val="auto"/>
        </w:rPr>
      </w:pPr>
    </w:p>
    <w:p>
      <w:pPr>
        <w:ind w:left="600" w:hanging="322"/>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industry demand for faster and more efficient braking equipment;</w:t>
      </w:r>
    </w:p>
    <w:p>
      <w:pPr>
        <w:spacing w:after="0" w:line="63" w:lineRule="exact"/>
        <w:rPr>
          <w:rFonts w:ascii="Arial" w:cs="Arial" w:eastAsia="Arial" w:hAnsi="Arial"/>
          <w:sz w:val="18"/>
          <w:szCs w:val="18"/>
          <w:color w:val="auto"/>
        </w:rPr>
      </w:pPr>
    </w:p>
    <w:p>
      <w:pPr>
        <w:ind w:left="600" w:hanging="322"/>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interest rates and foreign currency exchange rates; or</w:t>
      </w:r>
    </w:p>
    <w:p>
      <w:pPr>
        <w:spacing w:after="0" w:line="63" w:lineRule="exact"/>
        <w:rPr>
          <w:rFonts w:ascii="Arial" w:cs="Arial" w:eastAsia="Arial" w:hAnsi="Arial"/>
          <w:sz w:val="18"/>
          <w:szCs w:val="18"/>
          <w:color w:val="auto"/>
        </w:rPr>
      </w:pPr>
    </w:p>
    <w:p>
      <w:pPr>
        <w:ind w:left="600" w:hanging="322"/>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availability of credit;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factors</w:t>
      </w:r>
    </w:p>
    <w:p>
      <w:pPr>
        <w:spacing w:after="0" w:line="67" w:lineRule="exact"/>
        <w:rPr>
          <w:sz w:val="20"/>
          <w:szCs w:val="20"/>
          <w:color w:val="auto"/>
        </w:rPr>
      </w:pPr>
    </w:p>
    <w:p>
      <w:pPr>
        <w:ind w:left="600" w:hanging="322"/>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supply disruptions;</w:t>
      </w:r>
    </w:p>
    <w:p>
      <w:pPr>
        <w:spacing w:after="0" w:line="63" w:lineRule="exact"/>
        <w:rPr>
          <w:rFonts w:ascii="Arial" w:cs="Arial" w:eastAsia="Arial" w:hAnsi="Arial"/>
          <w:sz w:val="18"/>
          <w:szCs w:val="18"/>
          <w:color w:val="auto"/>
        </w:rPr>
      </w:pPr>
    </w:p>
    <w:p>
      <w:pPr>
        <w:ind w:left="600" w:hanging="322"/>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technical difficulties;</w:t>
      </w:r>
    </w:p>
    <w:p>
      <w:pPr>
        <w:spacing w:after="0" w:line="63" w:lineRule="exact"/>
        <w:rPr>
          <w:rFonts w:ascii="Arial" w:cs="Arial" w:eastAsia="Arial" w:hAnsi="Arial"/>
          <w:sz w:val="18"/>
          <w:szCs w:val="18"/>
          <w:color w:val="auto"/>
        </w:rPr>
      </w:pPr>
    </w:p>
    <w:p>
      <w:pPr>
        <w:ind w:left="600" w:hanging="322"/>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operating conditions and costs;</w:t>
      </w:r>
    </w:p>
    <w:p>
      <w:pPr>
        <w:spacing w:after="0" w:line="63" w:lineRule="exact"/>
        <w:rPr>
          <w:rFonts w:ascii="Arial" w:cs="Arial" w:eastAsia="Arial" w:hAnsi="Arial"/>
          <w:sz w:val="18"/>
          <w:szCs w:val="18"/>
          <w:color w:val="auto"/>
        </w:rPr>
      </w:pPr>
    </w:p>
    <w:p>
      <w:pPr>
        <w:ind w:left="600" w:hanging="322"/>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increases in raw material costs;</w:t>
      </w:r>
    </w:p>
    <w:p>
      <w:pPr>
        <w:spacing w:after="0" w:line="63" w:lineRule="exact"/>
        <w:rPr>
          <w:rFonts w:ascii="Arial" w:cs="Arial" w:eastAsia="Arial" w:hAnsi="Arial"/>
          <w:sz w:val="18"/>
          <w:szCs w:val="18"/>
          <w:color w:val="auto"/>
        </w:rPr>
      </w:pPr>
    </w:p>
    <w:p>
      <w:pPr>
        <w:ind w:left="600" w:hanging="322"/>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successful introduction of new products;</w:t>
      </w:r>
    </w:p>
    <w:p>
      <w:pPr>
        <w:spacing w:after="0" w:line="63" w:lineRule="exact"/>
        <w:rPr>
          <w:rFonts w:ascii="Arial" w:cs="Arial" w:eastAsia="Arial" w:hAnsi="Arial"/>
          <w:sz w:val="18"/>
          <w:szCs w:val="18"/>
          <w:color w:val="auto"/>
        </w:rPr>
      </w:pPr>
    </w:p>
    <w:p>
      <w:pPr>
        <w:ind w:left="600" w:hanging="322"/>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performance under material long-term contracts;</w:t>
      </w:r>
    </w:p>
    <w:p>
      <w:pPr>
        <w:spacing w:after="0" w:line="63" w:lineRule="exact"/>
        <w:rPr>
          <w:rFonts w:ascii="Arial" w:cs="Arial" w:eastAsia="Arial" w:hAnsi="Arial"/>
          <w:sz w:val="18"/>
          <w:szCs w:val="18"/>
          <w:color w:val="auto"/>
        </w:rPr>
      </w:pPr>
    </w:p>
    <w:p>
      <w:pPr>
        <w:ind w:left="600" w:hanging="322"/>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labor relations;</w:t>
      </w:r>
    </w:p>
    <w:p>
      <w:pPr>
        <w:spacing w:after="0" w:line="63" w:lineRule="exact"/>
        <w:rPr>
          <w:rFonts w:ascii="Arial" w:cs="Arial" w:eastAsia="Arial" w:hAnsi="Arial"/>
          <w:sz w:val="18"/>
          <w:szCs w:val="18"/>
          <w:color w:val="auto"/>
        </w:rPr>
      </w:pPr>
    </w:p>
    <w:p>
      <w:pPr>
        <w:ind w:left="600" w:right="160" w:hanging="322"/>
        <w:spacing w:after="0" w:line="298" w:lineRule="auto"/>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outcome of our existing or any future legal proceedings, including litigation involving our principal customers and any litigation with respect to environmental matters, asbestos-related matters, pension liabilities, warranties, product liabilities or intellectual property claims;</w:t>
      </w:r>
    </w:p>
    <w:p>
      <w:pPr>
        <w:ind w:left="600" w:hanging="322"/>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completion and integration of acquisitions, including the acquisition of Faiveley Transport and GE Transportation; or</w:t>
      </w:r>
    </w:p>
    <w:p>
      <w:pPr>
        <w:spacing w:after="0" w:line="63" w:lineRule="exact"/>
        <w:rPr>
          <w:rFonts w:ascii="Arial" w:cs="Arial" w:eastAsia="Arial" w:hAnsi="Arial"/>
          <w:sz w:val="18"/>
          <w:szCs w:val="18"/>
          <w:color w:val="auto"/>
        </w:rPr>
      </w:pPr>
    </w:p>
    <w:p>
      <w:pPr>
        <w:ind w:left="600" w:hanging="322"/>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development and use of new technology;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factors</w:t>
      </w:r>
    </w:p>
    <w:p>
      <w:pPr>
        <w:spacing w:after="0" w:line="67" w:lineRule="exact"/>
        <w:rPr>
          <w:sz w:val="20"/>
          <w:szCs w:val="20"/>
          <w:color w:val="auto"/>
        </w:rPr>
      </w:pPr>
    </w:p>
    <w:p>
      <w:pPr>
        <w:ind w:left="600" w:hanging="32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actions of competitors; or</w:t>
      </w:r>
    </w:p>
    <w:p>
      <w:pPr>
        <w:spacing w:after="0" w:line="63" w:lineRule="exact"/>
        <w:rPr>
          <w:rFonts w:ascii="Arial" w:cs="Arial" w:eastAsia="Arial" w:hAnsi="Arial"/>
          <w:sz w:val="18"/>
          <w:szCs w:val="18"/>
          <w:color w:val="auto"/>
        </w:rPr>
      </w:pPr>
    </w:p>
    <w:p>
      <w:pPr>
        <w:ind w:left="600" w:hanging="32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outcome of negotiations with partners, suppliers, customers or others;</w:t>
      </w:r>
    </w:p>
    <w:p>
      <w:pPr>
        <w:spacing w:after="0" w:line="5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Political/governmental factors</w:t>
      </w:r>
    </w:p>
    <w:p>
      <w:pPr>
        <w:spacing w:after="0" w:line="67" w:lineRule="exact"/>
        <w:rPr>
          <w:rFonts w:ascii="Arial" w:cs="Arial" w:eastAsia="Arial" w:hAnsi="Arial"/>
          <w:sz w:val="18"/>
          <w:szCs w:val="18"/>
          <w:color w:val="auto"/>
        </w:rPr>
      </w:pPr>
    </w:p>
    <w:p>
      <w:pPr>
        <w:ind w:left="600" w:hanging="32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political stability in relevant areas of the world;</w:t>
      </w:r>
    </w:p>
    <w:p>
      <w:pPr>
        <w:spacing w:after="0" w:line="63" w:lineRule="exact"/>
        <w:rPr>
          <w:rFonts w:ascii="Arial" w:cs="Arial" w:eastAsia="Arial" w:hAnsi="Arial"/>
          <w:sz w:val="18"/>
          <w:szCs w:val="18"/>
          <w:color w:val="auto"/>
        </w:rPr>
      </w:pPr>
    </w:p>
    <w:p>
      <w:pPr>
        <w:ind w:left="600" w:hanging="32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future regulation/deregulation of our customers and/or the rail industry;</w:t>
      </w:r>
    </w:p>
    <w:p>
      <w:pPr>
        <w:spacing w:after="0" w:line="63" w:lineRule="exact"/>
        <w:rPr>
          <w:rFonts w:ascii="Arial" w:cs="Arial" w:eastAsia="Arial" w:hAnsi="Arial"/>
          <w:sz w:val="18"/>
          <w:szCs w:val="18"/>
          <w:color w:val="auto"/>
        </w:rPr>
      </w:pPr>
    </w:p>
    <w:p>
      <w:pPr>
        <w:ind w:left="600" w:hanging="32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levels of governmental funding on transit projects, including for some of our customers;</w:t>
      </w:r>
    </w:p>
    <w:p>
      <w:pPr>
        <w:spacing w:after="0" w:line="63" w:lineRule="exact"/>
        <w:rPr>
          <w:rFonts w:ascii="Arial" w:cs="Arial" w:eastAsia="Arial" w:hAnsi="Arial"/>
          <w:sz w:val="18"/>
          <w:szCs w:val="18"/>
          <w:color w:val="auto"/>
        </w:rPr>
      </w:pPr>
    </w:p>
    <w:p>
      <w:pPr>
        <w:ind w:left="600" w:hanging="32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political developments and laws and regulations, including those related to Positive Train Control; or</w:t>
      </w:r>
    </w:p>
    <w:p>
      <w:pPr>
        <w:spacing w:after="0" w:line="63" w:lineRule="exact"/>
        <w:rPr>
          <w:rFonts w:ascii="Arial" w:cs="Arial" w:eastAsia="Arial" w:hAnsi="Arial"/>
          <w:sz w:val="18"/>
          <w:szCs w:val="18"/>
          <w:color w:val="auto"/>
        </w:rPr>
      </w:pPr>
    </w:p>
    <w:p>
      <w:pPr>
        <w:ind w:left="600" w:hanging="32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federal and state income tax legislation; and</w:t>
      </w:r>
    </w:p>
    <w:p>
      <w:pPr>
        <w:spacing w:after="0" w:line="63" w:lineRule="exact"/>
        <w:rPr>
          <w:rFonts w:ascii="Arial" w:cs="Arial" w:eastAsia="Arial" w:hAnsi="Arial"/>
          <w:sz w:val="18"/>
          <w:szCs w:val="18"/>
          <w:color w:val="auto"/>
        </w:rPr>
      </w:pPr>
    </w:p>
    <w:p>
      <w:pPr>
        <w:ind w:left="600" w:hanging="32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outcome of negotiations with governments.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472" w:right="279" w:bottom="1440" w:gutter="0" w:footer="0" w:header="0"/>
        </w:sectPr>
      </w:pPr>
    </w:p>
    <w:bookmarkStart w:id="52" w:name="page53"/>
    <w:bookmarkEnd w:id="52"/>
    <w:p>
      <w:pPr>
        <w:jc w:val="both"/>
        <w:ind w:right="240" w:firstLine="500"/>
        <w:spacing w:after="0" w:line="312" w:lineRule="auto"/>
        <w:rPr>
          <w:sz w:val="20"/>
          <w:szCs w:val="20"/>
          <w:color w:val="auto"/>
        </w:rPr>
      </w:pPr>
      <w:r>
        <w:rPr>
          <w:rFonts w:ascii="Arial" w:cs="Arial" w:eastAsia="Arial" w:hAnsi="Arial"/>
          <w:sz w:val="16"/>
          <w:szCs w:val="16"/>
          <w:color w:val="auto"/>
        </w:rPr>
        <w:t>Statements in this Quarterly Report on Form 10-Q apply only as of the date on which such statements are made, and we undertake no obligation to update any statement to reflect events or circumstances after the date on which the statement is made or to reflect the occurrence of unanticipated events. Reference is also made to the risk factors set forth in the Company’s Annual Report on Form 10-K for the year ended December 31, 2018.</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firstLine="500"/>
        <w:spacing w:after="0" w:line="302" w:lineRule="auto"/>
        <w:rPr>
          <w:sz w:val="20"/>
          <w:szCs w:val="20"/>
          <w:color w:val="auto"/>
        </w:rPr>
      </w:pPr>
      <w:r>
        <w:rPr>
          <w:rFonts w:ascii="Arial" w:cs="Arial" w:eastAsia="Arial" w:hAnsi="Arial"/>
          <w:sz w:val="16"/>
          <w:szCs w:val="16"/>
          <w:color w:val="auto"/>
        </w:rPr>
        <w:t>A summary of critical accounting policies is included in the Company’s Annual Report on Form 10-K for the year ended December 31, 2018. In particular, judgment is used in areas such as accounts receivable and the allowance for doubtful accounts, inventories, goodwill and indefinite-lived intangibles, warranty reserves, pensions and postretirement benefits, income taxes and revenue recognition. The Company's lease accounting policy has been updated due to the adoption of ASU No. 2016-02. There have been no other significant changes in accounting policies since December 31, 2018.</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20"/>
          </w:cols>
          <w:pgMar w:left="240" w:top="476" w:right="339" w:bottom="1440" w:gutter="0" w:footer="0" w:header="0"/>
        </w:sectPr>
      </w:pPr>
    </w:p>
    <w:bookmarkStart w:id="53" w:name="page54"/>
    <w:bookmarkEnd w:id="53"/>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right="100" w:firstLine="500"/>
        <w:spacing w:after="0" w:line="259" w:lineRule="auto"/>
        <w:rPr>
          <w:sz w:val="20"/>
          <w:szCs w:val="20"/>
          <w:color w:val="auto"/>
        </w:rPr>
      </w:pPr>
      <w:r>
        <w:rPr>
          <w:rFonts w:ascii="Arial" w:cs="Arial" w:eastAsia="Arial" w:hAnsi="Arial"/>
          <w:sz w:val="18"/>
          <w:szCs w:val="18"/>
          <w:color w:val="auto"/>
        </w:rPr>
        <w:t>In the ordinary course of business, Wabtec is exposed to risks that increases in interest rates may adversely affect interest expense associated with its variable-rate debt and refinancing or issuance of incremental fixed rate debt. The Company’s variable rate debt represents 35% and 22% of total long-term debt at June 30, 2019 and December 31, 2018, respectively. Refer to Note 8 – Long Term Debt of “Notes to Condensed Consolidated Financial Statements” for additional information regarding interest rate risk.</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21" w:lineRule="exact"/>
        <w:rPr>
          <w:sz w:val="20"/>
          <w:szCs w:val="20"/>
          <w:color w:val="auto"/>
        </w:rPr>
      </w:pPr>
    </w:p>
    <w:p>
      <w:pPr>
        <w:ind w:firstLine="500"/>
        <w:spacing w:after="0" w:line="273" w:lineRule="auto"/>
        <w:rPr>
          <w:sz w:val="20"/>
          <w:szCs w:val="20"/>
          <w:color w:val="auto"/>
        </w:rPr>
      </w:pPr>
      <w:r>
        <w:rPr>
          <w:rFonts w:ascii="Arial" w:cs="Arial" w:eastAsia="Arial" w:hAnsi="Arial"/>
          <w:sz w:val="17"/>
          <w:szCs w:val="17"/>
          <w:color w:val="auto"/>
        </w:rPr>
        <w:t>The Company is subject to certain risks associated with changes in foreign currency exchange rates to the extent our operations are conducted in currencies other than the U.S. dollar. For the first six months of 2019, approximately 41% of Wabtec’s net sales were to customers in the United States, 10% in Canada, 6% in India, 5% in the United Kingdom, 5% in Mexico, 4% in France, 4% in Germany, 4% in Australia 3% in China, 3% in Italy, and 15% in other international locations. To mitigate the impact of changes in foreign currency exchange rates on earnings and cash flows, the Company has periodically entered into foreign currency forward contracts. Refer to “Financial Derivatives and Hedging Activities” in Note 2 of “Notes to Condensed Consolidated Financial Statements” for more information regarding foreign currency exchange risk.</w:t>
      </w:r>
    </w:p>
    <w:p>
      <w:pPr>
        <w:spacing w:after="0" w:line="17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right="120" w:firstLine="500"/>
        <w:spacing w:after="0" w:line="255" w:lineRule="auto"/>
        <w:rPr>
          <w:sz w:val="20"/>
          <w:szCs w:val="20"/>
          <w:color w:val="auto"/>
        </w:rPr>
      </w:pPr>
      <w:r>
        <w:rPr>
          <w:rFonts w:ascii="Arial" w:cs="Arial" w:eastAsia="Arial" w:hAnsi="Arial"/>
          <w:sz w:val="18"/>
          <w:szCs w:val="18"/>
          <w:color w:val="auto"/>
        </w:rPr>
        <w:t>Wabtec’s principal executive officer and its principal financial officer have evaluated the effectiveness of Wabtec’s “disclosure controls and procedures,” (as defined in Exchange Act Rule 13a-15(e)) as of June 30, 2019. Based upon their evaluation, the principal executive officer and principal financial officer concluded that Wabtec’s disclosure controls and procedures are effective to provide reasonable assurance that information required to be disclosed by Wabtec in the reports filed or submitted by it under the Exchange Act is recorded, processed, summarized and reported within the time periods specified in the SEC’s rules and forms, and to provide reasonable assurance that information required to be disclosed by Wabtec in such reports is accumulated and communicated to Wabtec’s Management, including its principal executive officer and principal financial officer, as appropriate to allow timely decisions regarding required disclosure.</w:t>
      </w:r>
    </w:p>
    <w:p>
      <w:pPr>
        <w:spacing w:after="0" w:line="81" w:lineRule="exact"/>
        <w:rPr>
          <w:sz w:val="20"/>
          <w:szCs w:val="20"/>
          <w:color w:val="auto"/>
        </w:rPr>
      </w:pPr>
    </w:p>
    <w:p>
      <w:pPr>
        <w:ind w:right="200" w:firstLine="500"/>
        <w:spacing w:after="0" w:line="279" w:lineRule="auto"/>
        <w:rPr>
          <w:sz w:val="20"/>
          <w:szCs w:val="20"/>
          <w:color w:val="auto"/>
        </w:rPr>
      </w:pPr>
      <w:r>
        <w:rPr>
          <w:rFonts w:ascii="Arial" w:cs="Arial" w:eastAsia="Arial" w:hAnsi="Arial"/>
          <w:sz w:val="17"/>
          <w:szCs w:val="17"/>
          <w:color w:val="auto"/>
        </w:rPr>
        <w:t>The business combination of Wabtec and GE Transportation, which was completed on February 25, 2019, resulted in a material change in the combined company's internal controls over financial reporting. The Company is in the process of designing and integrating policies, processes, operations, technology, and other components of internal controls over financial reporting of the combined company. Management will monitor the implementation of new controls and test the operating effectiveness when instances are available in future periods.</w:t>
      </w:r>
    </w:p>
    <w:p>
      <w:pPr>
        <w:spacing w:after="0" w:line="200" w:lineRule="exact"/>
        <w:rPr>
          <w:sz w:val="20"/>
          <w:szCs w:val="20"/>
          <w:color w:val="auto"/>
        </w:rPr>
      </w:pPr>
    </w:p>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40"/>
          </w:cols>
          <w:pgMar w:left="240" w:top="364" w:right="31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40" w:firstLine="500"/>
        <w:spacing w:after="0" w:line="279" w:lineRule="auto"/>
        <w:rPr>
          <w:sz w:val="20"/>
          <w:szCs w:val="20"/>
          <w:color w:val="auto"/>
        </w:rPr>
      </w:pPr>
      <w:r>
        <w:rPr>
          <w:rFonts w:ascii="Arial" w:cs="Arial" w:eastAsia="Arial" w:hAnsi="Arial"/>
          <w:sz w:val="17"/>
          <w:szCs w:val="17"/>
          <w:color w:val="auto"/>
        </w:rPr>
        <w:t>Claims have been filed against the Company and certain of its affiliates in various jurisdictions across the United States by persons alleging bodily injury as a result of exposure to asbestos-containing products. Further information and detail on these claims is described in the Company’s Annual Report on Form 10-K for the year ended December 31, 2018, in Note 21 therein, filed on February 27, 2019. During the first six months of 2019, there were no material changes to the information described in the Form 10-K related to claims arising from asbestos exposure.</w:t>
      </w:r>
    </w:p>
    <w:p>
      <w:pPr>
        <w:spacing w:after="0" w:line="63" w:lineRule="exact"/>
        <w:rPr>
          <w:sz w:val="20"/>
          <w:szCs w:val="20"/>
          <w:color w:val="auto"/>
        </w:rPr>
      </w:pPr>
    </w:p>
    <w:p>
      <w:pPr>
        <w:ind w:right="180" w:firstLine="500"/>
        <w:spacing w:after="0" w:line="257" w:lineRule="auto"/>
        <w:rPr>
          <w:sz w:val="20"/>
          <w:szCs w:val="20"/>
          <w:color w:val="auto"/>
        </w:rPr>
      </w:pPr>
      <w:r>
        <w:rPr>
          <w:rFonts w:ascii="Arial" w:cs="Arial" w:eastAsia="Arial" w:hAnsi="Arial"/>
          <w:sz w:val="18"/>
          <w:szCs w:val="18"/>
          <w:color w:val="auto"/>
        </w:rPr>
        <w:t>From time to time, the Company is involved in litigation related to claims arising out of the Company's operations in the ordinary course of business, including claims based on product liability, contracts, intellectual property, or other causes of action. Further information and detail on any potentially material litigation is as described in the Company’s Annual Report on Form 10-K for the year ended December 31, 2018, in Note 21 therein, filed on February 27, 2019. Except as described below, there have been no material changes to the information described in the Form 10-K related to claims arising from Company's ordinary operations.</w:t>
      </w:r>
    </w:p>
    <w:p>
      <w:pPr>
        <w:spacing w:after="0" w:line="80" w:lineRule="exact"/>
        <w:rPr>
          <w:sz w:val="20"/>
          <w:szCs w:val="20"/>
          <w:color w:val="auto"/>
        </w:rPr>
      </w:pPr>
    </w:p>
    <w:p>
      <w:pPr>
        <w:ind w:right="160" w:firstLine="500"/>
        <w:spacing w:after="0" w:line="286" w:lineRule="auto"/>
        <w:rPr>
          <w:sz w:val="20"/>
          <w:szCs w:val="20"/>
          <w:color w:val="auto"/>
        </w:rPr>
      </w:pPr>
      <w:r>
        <w:rPr>
          <w:rFonts w:ascii="Arial" w:cs="Arial" w:eastAsia="Arial" w:hAnsi="Arial"/>
          <w:sz w:val="16"/>
          <w:szCs w:val="16"/>
          <w:color w:val="auto"/>
        </w:rPr>
        <w:t>On April 21, 2016, Siemens Industry, Inc. filed a lawsuit against the Company in federal district court in Delaware alleging that the Company has infringed seven patents owned by Siemens related to the Company's Positive Train Control (PTC) technology. On November 2, 2016, Siemens amended its complaint to add six additional patents they also claim are infringed by the Company's PTC Products or End of Train (EOT) Products (Siemen Patent Case). The Company has filed Answers, and asserted counterclaims, in response to Siemens’ complaints. Additionally, after filings by the Company, the US Patent</w:t>
      </w:r>
    </w:p>
    <w:p>
      <w:pPr>
        <w:spacing w:after="0" w:line="2" w:lineRule="exact"/>
        <w:rPr>
          <w:sz w:val="20"/>
          <w:szCs w:val="20"/>
          <w:color w:val="auto"/>
        </w:rPr>
      </w:pPr>
    </w:p>
    <w:p>
      <w:pPr>
        <w:ind w:left="200" w:hanging="192"/>
        <w:spacing w:after="0"/>
        <w:tabs>
          <w:tab w:leader="none" w:pos="2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Trademark Office’s Patent Trail and Appeal Board (PTAB) has granted Inter-Parties Review (IPR) proceedings on eight (8) of the patents asserted by</w:t>
      </w:r>
    </w:p>
    <w:p>
      <w:pPr>
        <w:spacing w:after="0" w:line="20" w:lineRule="exact"/>
        <w:rPr>
          <w:rFonts w:ascii="Arial" w:cs="Arial" w:eastAsia="Arial" w:hAnsi="Arial"/>
          <w:sz w:val="17"/>
          <w:szCs w:val="17"/>
          <w:color w:val="auto"/>
        </w:rPr>
      </w:pPr>
    </w:p>
    <w:p>
      <w:pPr>
        <w:ind w:right="80"/>
        <w:spacing w:after="0" w:line="288" w:lineRule="auto"/>
        <w:rPr>
          <w:rFonts w:ascii="Arial" w:cs="Arial" w:eastAsia="Arial" w:hAnsi="Arial"/>
          <w:sz w:val="17"/>
          <w:szCs w:val="17"/>
          <w:color w:val="auto"/>
        </w:rPr>
      </w:pPr>
      <w:r>
        <w:rPr>
          <w:rFonts w:ascii="Arial" w:cs="Arial" w:eastAsia="Arial" w:hAnsi="Arial"/>
          <w:sz w:val="16"/>
          <w:szCs w:val="16"/>
          <w:color w:val="auto"/>
        </w:rPr>
        <w:t>Siemens to contest their validity. Following pre-trial rulings that greatly reduced Siemens’ alleged damages, a jury trial was held in federal district court in Delaware in January 2019 on eight patents, two of which were still subject to an IPR decision on validity from the PTAB. At the conclusion of the trial, the jury awarded Siemens damages of $5.6 million related to PTC patents and $1.1 million related to EOT patents. Since the jury’s verdict was issued, one of the PTC patents found to be infringed was held to be invalid by the PTAB. All PTAB proceedings have been now been completed, pending appeals; five (5) of the (8) Siemens patents reviewed by the PTAB were found to be invalid. On February 26, 2019, the Court entered a Judgment on the verdict, subject to post-trial motions. On May 28, 2019, the Court held a hearing on both parties' post-trial motions, any of which, if granted, could potentially affect the final Judgment. After the Court's ruling on the post-trial motions, a final Judgment will be entered and either party may file appeals to the Federal Circuit.</w:t>
      </w:r>
    </w:p>
    <w:p>
      <w:pPr>
        <w:spacing w:after="0" w:line="61"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On March 20, 2019, Siemens filed a new action in federal district court in Delaware alleging violations of federal antitrust and state trade practices laws since before 2008, related to Wabtec’s PTC sales, including on-board, back-office, wayside and aftermarket support systems (Siemens originally raised these antitrust claims as counterclaims in a separate Delaware patent case filed by Wabtec alleging that Siemens has violated three (3) of Wabtec’s patents; the antitrust claims were ultimately severed from that case in January, 2019, resulting in Siemens re-filing them as another separate proceeding in Delaware.) Wabtec believes Siemens’ antitrust claims are without merit and will vigorously defend itself against these claims.</w:t>
      </w:r>
    </w:p>
    <w:p>
      <w:pPr>
        <w:spacing w:after="0" w:line="64"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Xorail, Inc., a wholly owned subsidiary of the Company (“Xorail”), has received notices from Denver Transit Constructors (“DTC”) alleging breach of contract related to the operating of constant warning wireless crossings, and late delivery of the Train Management &amp; Dispatch System (“TMDS”) for the Denver Eagle P3 Project, which is owned by the Denver Regional Transit District ("RTD"). No damages have been asserted for the alleged late delivery of the TMDS, and no formal claim has been filed. Xorail is in the final stages of successfully implementing a recovery plan concerning the TMDS issues. With regard to the wireless crossing issue, as of September 8, 2017, DTC alleged that total damages were $36.8 million through July 31, 2017 and are continuing to accumulate. The majority of the damages stems from a delay in approval of the wireless crossing system by the Federal Railway Administration ("FRA") and the Public Utility Commission ("PUC"), resulting in the use of flaggers at all of the crossings pending approval of the wireless crossing system and certification of the crossings. DTC has alleged that the delay is due to Xorail's failure to achieve constant warning times for the crossings in accordance with the approval requirements imposed by the FRA and PUC. Xorail has denied DTC's assertions, stating that its system satisfied the contractual requirements. Xorail has worked with DTC to modify its system and implement the FRA's and PUC's previously undefined approval requirements; the FRA and PUC have both approved modified wireless crossing system, and as of August 2018, DTC completed the process of certifying the crossings and eliminated the use of flaggers. On September 21, 2018, DTC filed a complaint against RTD in Colorado state court for breach of contract related to non-payments and the costs for the flaggers, asserting a change-in-law arising from the FRA/PUC’s new certification requirements; a jury trial is scheduled to begin in May 2020. DTC’s complaint generally supports Xorail’s position and does not name or implicate Xorail; DTC has not updated its notices against Xorail, nor have they filed any formal claim against Xorail.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364" w:right="239" w:bottom="1440" w:gutter="0" w:footer="0" w:header="0"/>
        </w:sectPr>
      </w:pPr>
    </w:p>
    <w:bookmarkStart w:id="55" w:name="page56"/>
    <w:bookmarkEnd w:id="55"/>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There have been no material changes in our risk factors from those disclosed in our Annual Report on Form 10-K for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stock repurchase activity for the three months ended June 30, 2019:</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Maximum</w:t>
            </w:r>
          </w:p>
        </w:tc>
      </w:tr>
      <w:tr>
        <w:trPr>
          <w:trHeight w:val="216"/>
        </w:trPr>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Total Number</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Dollar Value of</w:t>
            </w:r>
          </w:p>
        </w:tc>
      </w:tr>
      <w:tr>
        <w:trPr>
          <w:trHeight w:val="216"/>
        </w:trPr>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of Shares</w:t>
            </w:r>
          </w:p>
        </w:tc>
        <w:tc>
          <w:tcPr>
            <w:tcW w:w="14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Shares That</w:t>
            </w:r>
          </w:p>
        </w:tc>
      </w:tr>
      <w:tr>
        <w:trPr>
          <w:trHeight w:val="216"/>
        </w:trPr>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Purchased as</w:t>
            </w:r>
          </w:p>
        </w:tc>
        <w:tc>
          <w:tcPr>
            <w:tcW w:w="14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May Yet Be</w:t>
            </w:r>
          </w:p>
        </w:tc>
      </w:tr>
      <w:tr>
        <w:trPr>
          <w:trHeight w:val="216"/>
        </w:trPr>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Total Number</w:t>
            </w:r>
          </w:p>
        </w:tc>
        <w:tc>
          <w:tcPr>
            <w:tcW w:w="14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Part of Publicly</w:t>
            </w:r>
          </w:p>
        </w:tc>
        <w:tc>
          <w:tcPr>
            <w:tcW w:w="14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86"/>
              </w:rPr>
              <w:t>Purchased</w:t>
            </w:r>
          </w:p>
        </w:tc>
      </w:tr>
      <w:tr>
        <w:trPr>
          <w:trHeight w:val="216"/>
        </w:trPr>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of Shares</w:t>
            </w:r>
          </w:p>
        </w:tc>
        <w:tc>
          <w:tcPr>
            <w:tcW w:w="11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Price Paid</w:t>
            </w: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Announced</w:t>
            </w:r>
          </w:p>
        </w:tc>
        <w:tc>
          <w:tcPr>
            <w:tcW w:w="140" w:type="dxa"/>
            <w:vAlign w:val="bottom"/>
          </w:tcPr>
          <w:p>
            <w:pPr>
              <w:spacing w:after="0"/>
              <w:rPr>
                <w:sz w:val="18"/>
                <w:szCs w:val="18"/>
                <w:color w:val="auto"/>
              </w:rPr>
            </w:pPr>
          </w:p>
        </w:tc>
        <w:tc>
          <w:tcPr>
            <w:tcW w:w="122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Under the</w:t>
            </w:r>
          </w:p>
        </w:tc>
      </w:tr>
      <w:tr>
        <w:trPr>
          <w:trHeight w:val="234"/>
        </w:trPr>
        <w:tc>
          <w:tcPr>
            <w:tcW w:w="3920" w:type="dxa"/>
            <w:vAlign w:val="bottom"/>
            <w:gridSpan w:val="2"/>
          </w:tcPr>
          <w:p>
            <w:pPr>
              <w:ind w:left="40"/>
              <w:spacing w:after="0"/>
              <w:rPr>
                <w:sz w:val="20"/>
                <w:szCs w:val="20"/>
                <w:color w:val="auto"/>
              </w:rPr>
            </w:pPr>
            <w:r>
              <w:rPr>
                <w:rFonts w:ascii="Arial" w:cs="Arial" w:eastAsia="Arial" w:hAnsi="Arial"/>
                <w:sz w:val="18"/>
                <w:szCs w:val="18"/>
                <w:b w:val="1"/>
                <w:bCs w:val="1"/>
                <w:color w:val="auto"/>
              </w:rPr>
              <w:t>Month</w:t>
            </w: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Purchased</w:t>
            </w:r>
          </w:p>
        </w:tc>
        <w:tc>
          <w:tcPr>
            <w:tcW w:w="140" w:type="dxa"/>
            <w:vAlign w:val="bottom"/>
          </w:tcPr>
          <w:p>
            <w:pPr>
              <w:spacing w:after="0"/>
              <w:rPr>
                <w:sz w:val="20"/>
                <w:szCs w:val="2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per Share</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Programs (1)</w:t>
            </w:r>
          </w:p>
        </w:tc>
        <w:tc>
          <w:tcPr>
            <w:tcW w:w="140" w:type="dxa"/>
            <w:vAlign w:val="bottom"/>
          </w:tcPr>
          <w:p>
            <w:pPr>
              <w:spacing w:after="0"/>
              <w:rPr>
                <w:sz w:val="20"/>
                <w:szCs w:val="20"/>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Programs (1)</w:t>
            </w:r>
          </w:p>
        </w:tc>
      </w:tr>
      <w:tr>
        <w:trPr>
          <w:trHeight w:val="27"/>
        </w:trPr>
        <w:tc>
          <w:tcPr>
            <w:tcW w:w="3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3920" w:type="dxa"/>
            <w:vAlign w:val="bottom"/>
            <w:gridSpan w:val="2"/>
          </w:tcPr>
          <w:p>
            <w:pPr>
              <w:ind w:left="40"/>
              <w:spacing w:after="0"/>
              <w:rPr>
                <w:sz w:val="20"/>
                <w:szCs w:val="20"/>
                <w:color w:val="auto"/>
              </w:rPr>
            </w:pPr>
            <w:r>
              <w:rPr>
                <w:rFonts w:ascii="Arial" w:cs="Arial" w:eastAsia="Arial" w:hAnsi="Arial"/>
                <w:sz w:val="18"/>
                <w:szCs w:val="18"/>
                <w:color w:val="auto"/>
              </w:rPr>
              <w:t>April 2019</w:t>
            </w:r>
          </w:p>
        </w:tc>
        <w:tc>
          <w:tcPr>
            <w:tcW w:w="140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137,824</w:t>
            </w:r>
          </w:p>
        </w:tc>
      </w:tr>
      <w:tr>
        <w:trPr>
          <w:trHeight w:val="270"/>
        </w:trPr>
        <w:tc>
          <w:tcPr>
            <w:tcW w:w="3920" w:type="dxa"/>
            <w:vAlign w:val="bottom"/>
            <w:gridSpan w:val="2"/>
          </w:tcPr>
          <w:p>
            <w:pPr>
              <w:ind w:left="40"/>
              <w:spacing w:after="0"/>
              <w:rPr>
                <w:sz w:val="20"/>
                <w:szCs w:val="20"/>
                <w:color w:val="auto"/>
              </w:rPr>
            </w:pPr>
            <w:r>
              <w:rPr>
                <w:rFonts w:ascii="Arial" w:cs="Arial" w:eastAsia="Arial" w:hAnsi="Arial"/>
                <w:sz w:val="18"/>
                <w:szCs w:val="18"/>
                <w:color w:val="auto"/>
              </w:rPr>
              <w:t>May 2019</w:t>
            </w:r>
          </w:p>
        </w:tc>
        <w:tc>
          <w:tcPr>
            <w:tcW w:w="140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137,824</w:t>
            </w:r>
          </w:p>
        </w:tc>
      </w:tr>
      <w:tr>
        <w:trPr>
          <w:trHeight w:val="270"/>
        </w:trPr>
        <w:tc>
          <w:tcPr>
            <w:tcW w:w="3920" w:type="dxa"/>
            <w:vAlign w:val="bottom"/>
            <w:gridSpan w:val="2"/>
          </w:tcPr>
          <w:p>
            <w:pPr>
              <w:ind w:left="40"/>
              <w:spacing w:after="0"/>
              <w:rPr>
                <w:sz w:val="20"/>
                <w:szCs w:val="20"/>
                <w:color w:val="auto"/>
              </w:rPr>
            </w:pPr>
            <w:r>
              <w:rPr>
                <w:rFonts w:ascii="Arial" w:cs="Arial" w:eastAsia="Arial" w:hAnsi="Arial"/>
                <w:sz w:val="18"/>
                <w:szCs w:val="18"/>
                <w:color w:val="auto"/>
              </w:rPr>
              <w:t>June 2019</w:t>
            </w:r>
          </w:p>
        </w:tc>
        <w:tc>
          <w:tcPr>
            <w:tcW w:w="140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137,824</w:t>
            </w:r>
          </w:p>
        </w:tc>
      </w:tr>
      <w:tr>
        <w:trPr>
          <w:trHeight w:val="27"/>
        </w:trPr>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7"/>
        </w:trPr>
        <w:tc>
          <w:tcPr>
            <w:tcW w:w="3920" w:type="dxa"/>
            <w:vAlign w:val="bottom"/>
            <w:gridSpan w:val="2"/>
          </w:tcPr>
          <w:p>
            <w:pPr>
              <w:ind w:left="40"/>
              <w:spacing w:after="0"/>
              <w:rPr>
                <w:sz w:val="20"/>
                <w:szCs w:val="20"/>
                <w:color w:val="auto"/>
              </w:rPr>
            </w:pPr>
            <w:r>
              <w:rPr>
                <w:rFonts w:ascii="Arial" w:cs="Arial" w:eastAsia="Arial" w:hAnsi="Arial"/>
                <w:sz w:val="18"/>
                <w:szCs w:val="18"/>
                <w:color w:val="auto"/>
              </w:rPr>
              <w:t>Total quarter ended June 30, 2019</w:t>
            </w:r>
          </w:p>
        </w:tc>
        <w:tc>
          <w:tcPr>
            <w:tcW w:w="140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137,824</w:t>
            </w:r>
          </w:p>
        </w:tc>
      </w:tr>
      <w:tr>
        <w:trPr>
          <w:trHeight w:val="20"/>
        </w:trPr>
        <w:tc>
          <w:tcPr>
            <w:tcW w:w="3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left="660" w:hanging="652"/>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February 9, 2016, the Board of Directors amended its stock repurchase authorization to $350.0 million of the Company’s outstanding shares. No time limit was set for the completion of the programs which conforms to the requirements under the 2016 Refinancing Credit Agreement, as well as the senior notes currently outstanding.</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20"/>
          </w:cols>
          <w:pgMar w:left="240" w:top="364"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080" w:type="dxa"/>
            <w:vAlign w:val="bottom"/>
            <w:gridSpan w:val="6"/>
          </w:tcPr>
          <w:p>
            <w:pPr>
              <w:ind w:left="140"/>
              <w:spacing w:after="0"/>
              <w:rPr>
                <w:sz w:val="20"/>
                <w:szCs w:val="20"/>
                <w:color w:val="auto"/>
              </w:rPr>
            </w:pPr>
            <w:r>
              <w:rPr>
                <w:rFonts w:ascii="Arial" w:cs="Arial" w:eastAsia="Arial" w:hAnsi="Arial"/>
                <w:sz w:val="18"/>
                <w:szCs w:val="18"/>
                <w:b w:val="1"/>
                <w:bCs w:val="1"/>
                <w:color w:val="auto"/>
              </w:rPr>
              <w:t>EXHIBITS</w:t>
            </w:r>
          </w:p>
        </w:tc>
      </w:tr>
      <w:tr>
        <w:trPr>
          <w:trHeight w:val="324"/>
        </w:trPr>
        <w:tc>
          <w:tcPr>
            <w:tcW w:w="10920" w:type="dxa"/>
            <w:vAlign w:val="bottom"/>
            <w:gridSpan w:val="7"/>
          </w:tcPr>
          <w:p>
            <w:pPr>
              <w:ind w:left="500"/>
              <w:spacing w:after="0"/>
              <w:rPr>
                <w:sz w:val="20"/>
                <w:szCs w:val="20"/>
                <w:color w:val="auto"/>
              </w:rPr>
            </w:pPr>
            <w:r>
              <w:rPr>
                <w:rFonts w:ascii="Arial" w:cs="Arial" w:eastAsia="Arial" w:hAnsi="Arial"/>
                <w:sz w:val="18"/>
                <w:szCs w:val="18"/>
                <w:color w:val="auto"/>
              </w:rPr>
              <w:t>The following exhibits are being filed with this report:</w:t>
            </w:r>
          </w:p>
        </w:tc>
      </w:tr>
      <w:tr>
        <w:trPr>
          <w:trHeight w:val="338"/>
        </w:trPr>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0" w:type="dxa"/>
            <w:vAlign w:val="bottom"/>
            <w:tcBorders>
              <w:bottom w:val="single" w:sz="8" w:color="0000FF"/>
            </w:tcBorders>
            <w:gridSpan w:val="5"/>
          </w:tcPr>
          <w:p>
            <w:pPr>
              <w:spacing w:after="0"/>
              <w:rPr>
                <w:rFonts w:ascii="Arial" w:cs="Arial" w:eastAsia="Arial" w:hAnsi="Arial"/>
                <w:sz w:val="18"/>
                <w:szCs w:val="18"/>
                <w:color w:val="0000FF"/>
                <w:w w:val="89"/>
              </w:rPr>
            </w:pPr>
            <w:hyperlink w:anchor="page59">
              <w:r>
                <w:rPr>
                  <w:rFonts w:ascii="Arial" w:cs="Arial" w:eastAsia="Arial" w:hAnsi="Arial"/>
                  <w:sz w:val="18"/>
                  <w:szCs w:val="18"/>
                  <w:color w:val="0000FF"/>
                  <w:w w:val="89"/>
                </w:rPr>
                <w:t>Tenth Supplemental Indenture, date June 6, 2019, by and among the Company, the guarantors party thereto and Wells Fargo Bank,</w:t>
              </w:r>
            </w:hyperlink>
          </w:p>
        </w:tc>
      </w:tr>
      <w:tr>
        <w:trPr>
          <w:trHeight w:val="196"/>
        </w:trPr>
        <w:tc>
          <w:tcPr>
            <w:tcW w:w="840" w:type="dxa"/>
            <w:vAlign w:val="bottom"/>
          </w:tcPr>
          <w:p>
            <w:pPr>
              <w:ind w:left="40"/>
              <w:spacing w:after="0" w:line="196" w:lineRule="exact"/>
              <w:rPr>
                <w:sz w:val="20"/>
                <w:szCs w:val="20"/>
                <w:color w:val="auto"/>
              </w:rPr>
            </w:pPr>
            <w:r>
              <w:rPr>
                <w:rFonts w:ascii="Arial" w:cs="Arial" w:eastAsia="Arial" w:hAnsi="Arial"/>
                <w:sz w:val="18"/>
                <w:szCs w:val="18"/>
                <w:color w:val="auto"/>
              </w:rPr>
              <w:t>4.1</w:t>
            </w:r>
          </w:p>
        </w:tc>
        <w:tc>
          <w:tcPr>
            <w:tcW w:w="680" w:type="dxa"/>
            <w:vAlign w:val="bottom"/>
          </w:tcPr>
          <w:p>
            <w:pPr>
              <w:spacing w:after="0"/>
              <w:rPr>
                <w:sz w:val="17"/>
                <w:szCs w:val="17"/>
                <w:color w:val="auto"/>
              </w:rPr>
            </w:pPr>
          </w:p>
        </w:tc>
        <w:tc>
          <w:tcPr>
            <w:tcW w:w="2340" w:type="dxa"/>
            <w:vAlign w:val="bottom"/>
            <w:tcBorders>
              <w:bottom w:val="single" w:sz="8" w:color="0000FF"/>
            </w:tcBorders>
          </w:tcPr>
          <w:p>
            <w:pPr>
              <w:spacing w:after="0" w:line="196" w:lineRule="exact"/>
              <w:rPr>
                <w:rFonts w:ascii="Arial" w:cs="Arial" w:eastAsia="Arial" w:hAnsi="Arial"/>
                <w:sz w:val="18"/>
                <w:szCs w:val="18"/>
                <w:color w:val="0000FF"/>
                <w:w w:val="89"/>
              </w:rPr>
            </w:pPr>
            <w:hyperlink w:anchor="page59">
              <w:r>
                <w:rPr>
                  <w:rFonts w:ascii="Arial" w:cs="Arial" w:eastAsia="Arial" w:hAnsi="Arial"/>
                  <w:sz w:val="18"/>
                  <w:szCs w:val="18"/>
                  <w:color w:val="0000FF"/>
                  <w:w w:val="89"/>
                </w:rPr>
                <w:t>National Association, as Trustee</w:t>
              </w:r>
            </w:hyperlink>
          </w:p>
        </w:tc>
        <w:tc>
          <w:tcPr>
            <w:tcW w:w="7060" w:type="dxa"/>
            <w:vAlign w:val="bottom"/>
            <w:gridSpan w:val="4"/>
          </w:tcPr>
          <w:p>
            <w:pPr>
              <w:spacing w:after="0"/>
              <w:rPr>
                <w:sz w:val="17"/>
                <w:szCs w:val="17"/>
                <w:color w:val="auto"/>
              </w:rPr>
            </w:pPr>
          </w:p>
        </w:tc>
      </w:tr>
      <w:tr>
        <w:trPr>
          <w:trHeight w:val="372"/>
        </w:trPr>
        <w:tc>
          <w:tcPr>
            <w:tcW w:w="840" w:type="dxa"/>
            <w:vAlign w:val="bottom"/>
          </w:tcPr>
          <w:p>
            <w:pPr>
              <w:ind w:left="40"/>
              <w:spacing w:after="0"/>
              <w:rPr>
                <w:sz w:val="20"/>
                <w:szCs w:val="20"/>
                <w:color w:val="auto"/>
              </w:rPr>
            </w:pPr>
            <w:r>
              <w:rPr>
                <w:rFonts w:ascii="Arial" w:cs="Arial" w:eastAsia="Arial" w:hAnsi="Arial"/>
                <w:sz w:val="18"/>
                <w:szCs w:val="18"/>
                <w:color w:val="auto"/>
              </w:rPr>
              <w:t>31.1</w:t>
            </w:r>
          </w:p>
        </w:tc>
        <w:tc>
          <w:tcPr>
            <w:tcW w:w="680" w:type="dxa"/>
            <w:vAlign w:val="bottom"/>
          </w:tcPr>
          <w:p>
            <w:pPr>
              <w:spacing w:after="0"/>
              <w:rPr>
                <w:sz w:val="24"/>
                <w:szCs w:val="24"/>
                <w:color w:val="auto"/>
              </w:rPr>
            </w:pPr>
          </w:p>
        </w:tc>
        <w:tc>
          <w:tcPr>
            <w:tcW w:w="9400" w:type="dxa"/>
            <w:vAlign w:val="bottom"/>
            <w:gridSpan w:val="5"/>
          </w:tcPr>
          <w:p>
            <w:pPr>
              <w:spacing w:after="0"/>
              <w:rPr>
                <w:rFonts w:ascii="Arial" w:cs="Arial" w:eastAsia="Arial" w:hAnsi="Arial"/>
                <w:sz w:val="18"/>
                <w:szCs w:val="18"/>
                <w:color w:val="0000FF"/>
              </w:rPr>
            </w:pPr>
            <w:hyperlink w:anchor="page63">
              <w:r>
                <w:rPr>
                  <w:rFonts w:ascii="Arial" w:cs="Arial" w:eastAsia="Arial" w:hAnsi="Arial"/>
                  <w:sz w:val="18"/>
                  <w:szCs w:val="18"/>
                  <w:color w:val="0000FF"/>
                </w:rPr>
                <w:t>Rule 13a-14(a) Certification of Chief Executive Officer.</w:t>
              </w:r>
            </w:hyperlink>
          </w:p>
        </w:tc>
      </w:tr>
      <w:tr>
        <w:trPr>
          <w:trHeight w:val="372"/>
        </w:trPr>
        <w:tc>
          <w:tcPr>
            <w:tcW w:w="840" w:type="dxa"/>
            <w:vAlign w:val="bottom"/>
          </w:tcPr>
          <w:p>
            <w:pPr>
              <w:ind w:left="40"/>
              <w:spacing w:after="0"/>
              <w:rPr>
                <w:sz w:val="20"/>
                <w:szCs w:val="20"/>
                <w:color w:val="auto"/>
              </w:rPr>
            </w:pPr>
            <w:r>
              <w:rPr>
                <w:rFonts w:ascii="Arial" w:cs="Arial" w:eastAsia="Arial" w:hAnsi="Arial"/>
                <w:sz w:val="18"/>
                <w:szCs w:val="18"/>
                <w:color w:val="auto"/>
              </w:rPr>
              <w:t>31.2</w:t>
            </w:r>
          </w:p>
        </w:tc>
        <w:tc>
          <w:tcPr>
            <w:tcW w:w="680" w:type="dxa"/>
            <w:vAlign w:val="bottom"/>
          </w:tcPr>
          <w:p>
            <w:pPr>
              <w:spacing w:after="0"/>
              <w:rPr>
                <w:sz w:val="24"/>
                <w:szCs w:val="24"/>
                <w:color w:val="auto"/>
              </w:rPr>
            </w:pPr>
          </w:p>
        </w:tc>
        <w:tc>
          <w:tcPr>
            <w:tcW w:w="400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3"/>
              </w:rPr>
            </w:pPr>
            <w:hyperlink w:anchor="page64">
              <w:r>
                <w:rPr>
                  <w:rFonts w:ascii="Arial" w:cs="Arial" w:eastAsia="Arial" w:hAnsi="Arial"/>
                  <w:sz w:val="18"/>
                  <w:szCs w:val="18"/>
                  <w:color w:val="0000FF"/>
                  <w:w w:val="93"/>
                </w:rPr>
                <w:t>Rule 13a-14(a) Certification of Chief Financial Officer.</w:t>
              </w:r>
            </w:hyperlink>
          </w:p>
        </w:tc>
        <w:tc>
          <w:tcPr>
            <w:tcW w:w="40" w:type="dxa"/>
            <w:vAlign w:val="bottom"/>
            <w:tcBorders>
              <w:top w:val="single" w:sz="8" w:color="0000FF"/>
            </w:tcBorders>
          </w:tcPr>
          <w:p>
            <w:pPr>
              <w:spacing w:after="0"/>
              <w:rPr>
                <w:sz w:val="24"/>
                <w:szCs w:val="24"/>
                <w:color w:val="auto"/>
              </w:rPr>
            </w:pPr>
          </w:p>
        </w:tc>
        <w:tc>
          <w:tcPr>
            <w:tcW w:w="5360" w:type="dxa"/>
            <w:vAlign w:val="bottom"/>
            <w:gridSpan w:val="2"/>
          </w:tcPr>
          <w:p>
            <w:pPr>
              <w:spacing w:after="0"/>
              <w:rPr>
                <w:sz w:val="24"/>
                <w:szCs w:val="24"/>
                <w:color w:val="auto"/>
              </w:rPr>
            </w:pPr>
          </w:p>
        </w:tc>
      </w:tr>
      <w:tr>
        <w:trPr>
          <w:trHeight w:val="372"/>
        </w:trPr>
        <w:tc>
          <w:tcPr>
            <w:tcW w:w="840" w:type="dxa"/>
            <w:vAlign w:val="bottom"/>
          </w:tcPr>
          <w:p>
            <w:pPr>
              <w:ind w:left="40"/>
              <w:spacing w:after="0"/>
              <w:rPr>
                <w:sz w:val="20"/>
                <w:szCs w:val="20"/>
                <w:color w:val="auto"/>
              </w:rPr>
            </w:pPr>
            <w:r>
              <w:rPr>
                <w:rFonts w:ascii="Arial" w:cs="Arial" w:eastAsia="Arial" w:hAnsi="Arial"/>
                <w:sz w:val="18"/>
                <w:szCs w:val="18"/>
                <w:color w:val="auto"/>
              </w:rPr>
              <w:t>32.1</w:t>
            </w:r>
          </w:p>
        </w:tc>
        <w:tc>
          <w:tcPr>
            <w:tcW w:w="680" w:type="dxa"/>
            <w:vAlign w:val="bottom"/>
          </w:tcPr>
          <w:p>
            <w:pPr>
              <w:spacing w:after="0"/>
              <w:rPr>
                <w:sz w:val="24"/>
                <w:szCs w:val="24"/>
                <w:color w:val="auto"/>
              </w:rPr>
            </w:pPr>
          </w:p>
        </w:tc>
        <w:tc>
          <w:tcPr>
            <w:tcW w:w="9400" w:type="dxa"/>
            <w:vAlign w:val="bottom"/>
            <w:gridSpan w:val="5"/>
          </w:tcPr>
          <w:p>
            <w:pPr>
              <w:spacing w:after="0"/>
              <w:rPr>
                <w:rFonts w:ascii="Arial" w:cs="Arial" w:eastAsia="Arial" w:hAnsi="Arial"/>
                <w:sz w:val="18"/>
                <w:szCs w:val="18"/>
                <w:color w:val="0000FF"/>
              </w:rPr>
            </w:pPr>
            <w:hyperlink w:anchor="page65">
              <w:r>
                <w:rPr>
                  <w:rFonts w:ascii="Arial" w:cs="Arial" w:eastAsia="Arial" w:hAnsi="Arial"/>
                  <w:sz w:val="18"/>
                  <w:szCs w:val="18"/>
                  <w:color w:val="0000FF"/>
                </w:rPr>
                <w:t>Section 1350 Certification of Chief Executive Officer and Chief Financial Officer.</w:t>
              </w:r>
            </w:hyperlink>
          </w:p>
        </w:tc>
      </w:tr>
      <w:tr>
        <w:trPr>
          <w:trHeight w:val="412"/>
        </w:trPr>
        <w:tc>
          <w:tcPr>
            <w:tcW w:w="840" w:type="dxa"/>
            <w:vAlign w:val="bottom"/>
          </w:tcPr>
          <w:p>
            <w:pPr>
              <w:ind w:left="40"/>
              <w:spacing w:after="0"/>
              <w:rPr>
                <w:sz w:val="20"/>
                <w:szCs w:val="20"/>
                <w:color w:val="auto"/>
              </w:rPr>
            </w:pPr>
            <w:r>
              <w:rPr>
                <w:rFonts w:ascii="Arial" w:cs="Arial" w:eastAsia="Arial" w:hAnsi="Arial"/>
                <w:sz w:val="18"/>
                <w:szCs w:val="18"/>
                <w:color w:val="auto"/>
              </w:rPr>
              <w:t>101.INS</w:t>
            </w:r>
          </w:p>
        </w:tc>
        <w:tc>
          <w:tcPr>
            <w:tcW w:w="680" w:type="dxa"/>
            <w:vAlign w:val="bottom"/>
          </w:tcPr>
          <w:p>
            <w:pPr>
              <w:spacing w:after="0"/>
              <w:rPr>
                <w:sz w:val="24"/>
                <w:szCs w:val="24"/>
                <w:color w:val="auto"/>
              </w:rPr>
            </w:pPr>
          </w:p>
        </w:tc>
        <w:tc>
          <w:tcPr>
            <w:tcW w:w="592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auto"/>
              </w:rPr>
              <w:t>XBRL Instance Document.</w:t>
            </w:r>
          </w:p>
        </w:tc>
        <w:tc>
          <w:tcPr>
            <w:tcW w:w="3480" w:type="dxa"/>
            <w:vAlign w:val="bottom"/>
          </w:tcPr>
          <w:p>
            <w:pPr>
              <w:spacing w:after="0"/>
              <w:rPr>
                <w:sz w:val="24"/>
                <w:szCs w:val="24"/>
                <w:color w:val="auto"/>
              </w:rPr>
            </w:pPr>
          </w:p>
        </w:tc>
      </w:tr>
      <w:tr>
        <w:trPr>
          <w:trHeight w:val="392"/>
        </w:trPr>
        <w:tc>
          <w:tcPr>
            <w:tcW w:w="840" w:type="dxa"/>
            <w:vAlign w:val="bottom"/>
          </w:tcPr>
          <w:p>
            <w:pPr>
              <w:ind w:left="40"/>
              <w:spacing w:after="0"/>
              <w:rPr>
                <w:sz w:val="20"/>
                <w:szCs w:val="20"/>
                <w:color w:val="auto"/>
              </w:rPr>
            </w:pPr>
            <w:r>
              <w:rPr>
                <w:rFonts w:ascii="Arial" w:cs="Arial" w:eastAsia="Arial" w:hAnsi="Arial"/>
                <w:sz w:val="18"/>
                <w:szCs w:val="18"/>
                <w:color w:val="auto"/>
              </w:rPr>
              <w:t>101.SCH</w:t>
            </w:r>
          </w:p>
        </w:tc>
        <w:tc>
          <w:tcPr>
            <w:tcW w:w="680" w:type="dxa"/>
            <w:vAlign w:val="bottom"/>
          </w:tcPr>
          <w:p>
            <w:pPr>
              <w:spacing w:after="0"/>
              <w:rPr>
                <w:sz w:val="24"/>
                <w:szCs w:val="24"/>
                <w:color w:val="auto"/>
              </w:rPr>
            </w:pPr>
          </w:p>
        </w:tc>
        <w:tc>
          <w:tcPr>
            <w:tcW w:w="9400" w:type="dxa"/>
            <w:vAlign w:val="bottom"/>
            <w:gridSpan w:val="5"/>
          </w:tcPr>
          <w:p>
            <w:pPr>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840" w:type="dxa"/>
            <w:vAlign w:val="bottom"/>
          </w:tcPr>
          <w:p>
            <w:pPr>
              <w:ind w:left="40"/>
              <w:spacing w:after="0"/>
              <w:rPr>
                <w:sz w:val="20"/>
                <w:szCs w:val="20"/>
                <w:color w:val="auto"/>
              </w:rPr>
            </w:pPr>
            <w:r>
              <w:rPr>
                <w:rFonts w:ascii="Arial" w:cs="Arial" w:eastAsia="Arial" w:hAnsi="Arial"/>
                <w:sz w:val="18"/>
                <w:szCs w:val="18"/>
                <w:color w:val="auto"/>
              </w:rPr>
              <w:t>101.CAL</w:t>
            </w:r>
          </w:p>
        </w:tc>
        <w:tc>
          <w:tcPr>
            <w:tcW w:w="680" w:type="dxa"/>
            <w:vAlign w:val="bottom"/>
          </w:tcPr>
          <w:p>
            <w:pPr>
              <w:spacing w:after="0"/>
              <w:rPr>
                <w:sz w:val="24"/>
                <w:szCs w:val="24"/>
                <w:color w:val="auto"/>
              </w:rPr>
            </w:pPr>
          </w:p>
        </w:tc>
        <w:tc>
          <w:tcPr>
            <w:tcW w:w="9400" w:type="dxa"/>
            <w:vAlign w:val="bottom"/>
            <w:gridSpan w:val="5"/>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840" w:type="dxa"/>
            <w:vAlign w:val="bottom"/>
          </w:tcPr>
          <w:p>
            <w:pPr>
              <w:ind w:left="40"/>
              <w:spacing w:after="0"/>
              <w:rPr>
                <w:sz w:val="20"/>
                <w:szCs w:val="20"/>
                <w:color w:val="auto"/>
              </w:rPr>
            </w:pPr>
            <w:r>
              <w:rPr>
                <w:rFonts w:ascii="Arial" w:cs="Arial" w:eastAsia="Arial" w:hAnsi="Arial"/>
                <w:sz w:val="18"/>
                <w:szCs w:val="18"/>
                <w:color w:val="auto"/>
              </w:rPr>
              <w:t>101.DEF</w:t>
            </w:r>
          </w:p>
        </w:tc>
        <w:tc>
          <w:tcPr>
            <w:tcW w:w="680" w:type="dxa"/>
            <w:vAlign w:val="bottom"/>
          </w:tcPr>
          <w:p>
            <w:pPr>
              <w:spacing w:after="0"/>
              <w:rPr>
                <w:sz w:val="24"/>
                <w:szCs w:val="24"/>
                <w:color w:val="auto"/>
              </w:rPr>
            </w:pPr>
          </w:p>
        </w:tc>
        <w:tc>
          <w:tcPr>
            <w:tcW w:w="940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840" w:type="dxa"/>
            <w:vAlign w:val="bottom"/>
          </w:tcPr>
          <w:p>
            <w:pPr>
              <w:ind w:left="40"/>
              <w:spacing w:after="0"/>
              <w:rPr>
                <w:sz w:val="20"/>
                <w:szCs w:val="20"/>
                <w:color w:val="auto"/>
              </w:rPr>
            </w:pPr>
            <w:r>
              <w:rPr>
                <w:rFonts w:ascii="Arial" w:cs="Arial" w:eastAsia="Arial" w:hAnsi="Arial"/>
                <w:sz w:val="18"/>
                <w:szCs w:val="18"/>
                <w:color w:val="auto"/>
              </w:rPr>
              <w:t>101.LAB</w:t>
            </w:r>
          </w:p>
        </w:tc>
        <w:tc>
          <w:tcPr>
            <w:tcW w:w="680" w:type="dxa"/>
            <w:vAlign w:val="bottom"/>
          </w:tcPr>
          <w:p>
            <w:pPr>
              <w:spacing w:after="0"/>
              <w:rPr>
                <w:sz w:val="24"/>
                <w:szCs w:val="24"/>
                <w:color w:val="auto"/>
              </w:rPr>
            </w:pPr>
          </w:p>
        </w:tc>
        <w:tc>
          <w:tcPr>
            <w:tcW w:w="9400" w:type="dxa"/>
            <w:vAlign w:val="bottom"/>
            <w:gridSpan w:val="5"/>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840" w:type="dxa"/>
            <w:vAlign w:val="bottom"/>
          </w:tcPr>
          <w:p>
            <w:pPr>
              <w:ind w:left="40"/>
              <w:spacing w:after="0"/>
              <w:rPr>
                <w:sz w:val="20"/>
                <w:szCs w:val="20"/>
                <w:color w:val="auto"/>
              </w:rPr>
            </w:pPr>
            <w:r>
              <w:rPr>
                <w:rFonts w:ascii="Arial" w:cs="Arial" w:eastAsia="Arial" w:hAnsi="Arial"/>
                <w:sz w:val="18"/>
                <w:szCs w:val="18"/>
                <w:color w:val="auto"/>
              </w:rPr>
              <w:t>101.PRE</w:t>
            </w:r>
          </w:p>
        </w:tc>
        <w:tc>
          <w:tcPr>
            <w:tcW w:w="680" w:type="dxa"/>
            <w:vAlign w:val="bottom"/>
          </w:tcPr>
          <w:p>
            <w:pPr>
              <w:spacing w:after="0"/>
              <w:rPr>
                <w:sz w:val="24"/>
                <w:szCs w:val="24"/>
                <w:color w:val="auto"/>
              </w:rPr>
            </w:pPr>
          </w:p>
        </w:tc>
        <w:tc>
          <w:tcPr>
            <w:tcW w:w="9400" w:type="dxa"/>
            <w:vAlign w:val="bottom"/>
            <w:gridSpan w:val="5"/>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743"/>
        </w:trPr>
        <w:tc>
          <w:tcPr>
            <w:tcW w:w="840" w:type="dxa"/>
            <w:vAlign w:val="bottom"/>
          </w:tcPr>
          <w:p>
            <w:pPr>
              <w:spacing w:after="0"/>
              <w:rPr>
                <w:sz w:val="24"/>
                <w:szCs w:val="24"/>
                <w:color w:val="auto"/>
              </w:rPr>
            </w:pPr>
          </w:p>
        </w:tc>
        <w:tc>
          <w:tcPr>
            <w:tcW w:w="6600" w:type="dxa"/>
            <w:vAlign w:val="bottom"/>
            <w:gridSpan w:val="5"/>
          </w:tcPr>
          <w:p>
            <w:pPr>
              <w:jc w:val="right"/>
              <w:ind w:right="1640"/>
              <w:spacing w:after="0"/>
              <w:rPr>
                <w:sz w:val="20"/>
                <w:szCs w:val="20"/>
                <w:color w:val="auto"/>
              </w:rPr>
            </w:pPr>
            <w:r>
              <w:rPr>
                <w:rFonts w:ascii="Arial" w:cs="Arial" w:eastAsia="Arial" w:hAnsi="Arial"/>
                <w:sz w:val="18"/>
                <w:szCs w:val="18"/>
                <w:color w:val="auto"/>
              </w:rPr>
              <w:t>55</w:t>
            </w:r>
          </w:p>
        </w:tc>
        <w:tc>
          <w:tcPr>
            <w:tcW w:w="3480" w:type="dxa"/>
            <w:vAlign w:val="bottom"/>
          </w:tcPr>
          <w:p>
            <w:pPr>
              <w:spacing w:after="0"/>
              <w:rPr>
                <w:sz w:val="24"/>
                <w:szCs w:val="24"/>
                <w:color w:val="auto"/>
              </w:rPr>
            </w:pPr>
          </w:p>
        </w:tc>
      </w:tr>
    </w:tbl>
    <w:p>
      <w:pPr>
        <w:sectPr>
          <w:pgSz w:w="11900" w:h="16838" w:orient="portrait"/>
          <w:cols w:equalWidth="0" w:num="1">
            <w:col w:w="10920"/>
          </w:cols>
          <w:pgMar w:left="240" w:top="364" w:right="739" w:bottom="1440" w:gutter="0" w:footer="0" w:header="0"/>
        </w:sectPr>
      </w:pPr>
    </w:p>
    <w:bookmarkStart w:id="57" w:name="page58"/>
    <w:bookmarkEnd w:id="57"/>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116"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WESTINGHOUSE AIR BRAKE TECHNOLOGIES CORPORATION</w:t>
      </w:r>
    </w:p>
    <w:p>
      <w:pPr>
        <w:spacing w:after="0" w:line="196" w:lineRule="exact"/>
        <w:rPr>
          <w:sz w:val="20"/>
          <w:szCs w:val="20"/>
          <w:color w:val="auto"/>
        </w:rPr>
      </w:pPr>
    </w:p>
    <w:p>
      <w:pPr>
        <w:ind w:left="6100"/>
        <w:spacing w:after="0"/>
        <w:tabs>
          <w:tab w:leader="none" w:pos="8140" w:val="left"/>
          <w:tab w:leader="none" w:pos="8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PATRICK D. DUGAN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31750</wp:posOffset>
            </wp:positionV>
            <wp:extent cx="28816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102" w:lineRule="exact"/>
        <w:rPr>
          <w:sz w:val="20"/>
          <w:szCs w:val="20"/>
          <w:color w:val="auto"/>
        </w:rPr>
      </w:pPr>
    </w:p>
    <w:p>
      <w:pPr>
        <w:ind w:left="8600"/>
        <w:spacing w:after="0"/>
        <w:rPr>
          <w:sz w:val="20"/>
          <w:szCs w:val="20"/>
          <w:color w:val="auto"/>
        </w:rPr>
      </w:pPr>
      <w:r>
        <w:rPr>
          <w:rFonts w:ascii="Arial" w:cs="Arial" w:eastAsia="Arial" w:hAnsi="Arial"/>
          <w:sz w:val="14"/>
          <w:szCs w:val="14"/>
          <w:b w:val="1"/>
          <w:bCs w:val="1"/>
          <w:color w:val="auto"/>
        </w:rPr>
        <w:t>Patrick D. Dugan,</w:t>
      </w:r>
    </w:p>
    <w:p>
      <w:pPr>
        <w:spacing w:after="0" w:line="42" w:lineRule="exact"/>
        <w:rPr>
          <w:sz w:val="20"/>
          <w:szCs w:val="20"/>
          <w:color w:val="auto"/>
        </w:rPr>
      </w:pPr>
    </w:p>
    <w:p>
      <w:pPr>
        <w:ind w:left="8260"/>
        <w:spacing w:after="0"/>
        <w:rPr>
          <w:sz w:val="20"/>
          <w:szCs w:val="20"/>
          <w:color w:val="auto"/>
        </w:rPr>
      </w:pPr>
      <w:r>
        <w:rPr>
          <w:rFonts w:ascii="Arial" w:cs="Arial" w:eastAsia="Arial" w:hAnsi="Arial"/>
          <w:sz w:val="14"/>
          <w:szCs w:val="14"/>
          <w:b w:val="1"/>
          <w:bCs w:val="1"/>
          <w:color w:val="auto"/>
        </w:rPr>
        <w:t>Executive Vice President and</w:t>
      </w:r>
    </w:p>
    <w:p>
      <w:pPr>
        <w:spacing w:after="0" w:line="4" w:lineRule="exact"/>
        <w:rPr>
          <w:sz w:val="20"/>
          <w:szCs w:val="20"/>
          <w:color w:val="auto"/>
        </w:rPr>
      </w:pPr>
    </w:p>
    <w:p>
      <w:pPr>
        <w:ind w:left="8440"/>
        <w:spacing w:after="0"/>
        <w:rPr>
          <w:sz w:val="20"/>
          <w:szCs w:val="20"/>
          <w:color w:val="auto"/>
        </w:rPr>
      </w:pPr>
      <w:r>
        <w:rPr>
          <w:rFonts w:ascii="Arial" w:cs="Arial" w:eastAsia="Arial" w:hAnsi="Arial"/>
          <w:sz w:val="14"/>
          <w:szCs w:val="14"/>
          <w:b w:val="1"/>
          <w:bCs w:val="1"/>
          <w:color w:val="auto"/>
        </w:rPr>
        <w:t>Chief Financial Officer</w:t>
      </w:r>
    </w:p>
    <w:p>
      <w:pPr>
        <w:spacing w:after="0" w:line="33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(Duly Authorized Officer and Principal Financial Officer)</w:t>
      </w:r>
    </w:p>
    <w:p>
      <w:pPr>
        <w:spacing w:after="0" w:line="360" w:lineRule="exact"/>
        <w:rPr>
          <w:sz w:val="20"/>
          <w:szCs w:val="20"/>
          <w:color w:val="auto"/>
        </w:rPr>
      </w:pPr>
    </w:p>
    <w:p>
      <w:pPr>
        <w:ind w:left="6100"/>
        <w:spacing w:after="0"/>
        <w:tabs>
          <w:tab w:leader="none" w:pos="68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1, 2019</w:t>
      </w:r>
    </w:p>
    <w:p>
      <w:pPr>
        <w:spacing w:after="0" w:line="200" w:lineRule="exact"/>
        <w:rPr>
          <w:sz w:val="20"/>
          <w:szCs w:val="20"/>
          <w:color w:val="auto"/>
        </w:rPr>
      </w:pPr>
    </w:p>
    <w:p>
      <w:pPr>
        <w:spacing w:after="0" w:line="29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240" w:top="364" w:right="419" w:bottom="1440" w:gutter="0" w:footer="0" w:header="0"/>
        </w:sectPr>
      </w:pPr>
    </w:p>
    <w:bookmarkStart w:id="58" w:name="page59"/>
    <w:bookmarkEnd w:id="58"/>
    <w:p>
      <w:pPr>
        <w:ind w:left="3860"/>
        <w:spacing w:after="0"/>
        <w:rPr>
          <w:sz w:val="20"/>
          <w:szCs w:val="20"/>
          <w:color w:val="auto"/>
        </w:rPr>
      </w:pPr>
      <w:r>
        <w:rPr>
          <w:rFonts w:ascii="Arial" w:cs="Arial" w:eastAsia="Arial" w:hAnsi="Arial"/>
          <w:sz w:val="22"/>
          <w:szCs w:val="22"/>
          <w:color w:val="auto"/>
        </w:rPr>
        <w:t>TENTH SUPPLEMENTAL INDENTURE</w:t>
      </w:r>
    </w:p>
    <w:p>
      <w:pPr>
        <w:spacing w:after="0" w:line="220"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Dated as of June 6, 2019</w:t>
      </w:r>
    </w:p>
    <w:p>
      <w:pPr>
        <w:spacing w:after="0" w:line="220"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to</w:t>
      </w:r>
    </w:p>
    <w:p>
      <w:pPr>
        <w:spacing w:after="0" w:line="220" w:lineRule="exact"/>
        <w:rPr>
          <w:sz w:val="20"/>
          <w:szCs w:val="20"/>
          <w:color w:val="auto"/>
        </w:rPr>
      </w:pPr>
    </w:p>
    <w:p>
      <w:pPr>
        <w:ind w:left="5100"/>
        <w:spacing w:after="0"/>
        <w:rPr>
          <w:sz w:val="20"/>
          <w:szCs w:val="20"/>
          <w:color w:val="auto"/>
        </w:rPr>
      </w:pPr>
      <w:r>
        <w:rPr>
          <w:rFonts w:ascii="Arial" w:cs="Arial" w:eastAsia="Arial" w:hAnsi="Arial"/>
          <w:sz w:val="22"/>
          <w:szCs w:val="22"/>
          <w:color w:val="auto"/>
        </w:rPr>
        <w:t>INDENTURE</w:t>
      </w:r>
    </w:p>
    <w:p>
      <w:pPr>
        <w:spacing w:after="0" w:line="22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Dated as of August 8, 2013</w:t>
      </w:r>
    </w:p>
    <w:p>
      <w:pPr>
        <w:spacing w:after="0" w:line="220" w:lineRule="exact"/>
        <w:rPr>
          <w:sz w:val="20"/>
          <w:szCs w:val="20"/>
          <w:color w:val="auto"/>
        </w:rPr>
      </w:pPr>
    </w:p>
    <w:p>
      <w:pPr>
        <w:ind w:left="5100"/>
        <w:spacing w:after="0"/>
        <w:rPr>
          <w:sz w:val="20"/>
          <w:szCs w:val="20"/>
          <w:color w:val="auto"/>
        </w:rPr>
      </w:pPr>
      <w:r>
        <w:rPr>
          <w:rFonts w:ascii="Arial" w:cs="Arial" w:eastAsia="Arial" w:hAnsi="Arial"/>
          <w:sz w:val="22"/>
          <w:szCs w:val="22"/>
          <w:color w:val="auto"/>
        </w:rPr>
        <w:t>by and among</w:t>
      </w:r>
    </w:p>
    <w:p>
      <w:pPr>
        <w:spacing w:after="0" w:line="220"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WESTINGHOUSE AIR BRAKE TECHNOLOGIES CORPORATION,</w:t>
      </w:r>
    </w:p>
    <w:p>
      <w:pPr>
        <w:spacing w:after="0" w:line="22" w:lineRule="exact"/>
        <w:rPr>
          <w:sz w:val="20"/>
          <w:szCs w:val="20"/>
          <w:color w:val="auto"/>
        </w:rPr>
      </w:pPr>
    </w:p>
    <w:p>
      <w:pPr>
        <w:ind w:left="5340"/>
        <w:spacing w:after="0"/>
        <w:rPr>
          <w:sz w:val="20"/>
          <w:szCs w:val="20"/>
          <w:color w:val="auto"/>
        </w:rPr>
      </w:pPr>
      <w:r>
        <w:rPr>
          <w:rFonts w:ascii="Arial" w:cs="Arial" w:eastAsia="Arial" w:hAnsi="Arial"/>
          <w:sz w:val="22"/>
          <w:szCs w:val="22"/>
          <w:color w:val="auto"/>
        </w:rPr>
        <w:t>as Issuer</w:t>
      </w:r>
    </w:p>
    <w:p>
      <w:pPr>
        <w:spacing w:after="0" w:line="20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THE GUARANTORS PARTY HERETO,</w:t>
      </w:r>
    </w:p>
    <w:p>
      <w:pPr>
        <w:spacing w:after="0" w:line="22"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as Guarantors</w:t>
      </w:r>
    </w:p>
    <w:p>
      <w:pPr>
        <w:spacing w:after="0" w:line="202"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WELLS FARGO BANK, NATIONAL ASSOCIATION,</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as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100" w:firstLine="648"/>
        <w:spacing w:after="0" w:line="252" w:lineRule="auto"/>
        <w:rPr>
          <w:sz w:val="20"/>
          <w:szCs w:val="20"/>
          <w:color w:val="auto"/>
        </w:rPr>
      </w:pPr>
      <w:r>
        <w:rPr>
          <w:rFonts w:ascii="Arial" w:cs="Arial" w:eastAsia="Arial" w:hAnsi="Arial"/>
          <w:sz w:val="22"/>
          <w:szCs w:val="22"/>
          <w:color w:val="auto"/>
        </w:rPr>
        <w:t>THIS TENTH SUPPLEMENTAL INDENTURE (this “</w:t>
      </w:r>
      <w:r>
        <w:rPr>
          <w:rFonts w:ascii="Arial" w:cs="Arial" w:eastAsia="Arial" w:hAnsi="Arial"/>
          <w:sz w:val="22"/>
          <w:szCs w:val="22"/>
          <w:b w:val="1"/>
          <w:bCs w:val="1"/>
          <w:color w:val="auto"/>
        </w:rPr>
        <w:t>Supplemental Indenture</w:t>
      </w:r>
      <w:r>
        <w:rPr>
          <w:rFonts w:ascii="Arial" w:cs="Arial" w:eastAsia="Arial" w:hAnsi="Arial"/>
          <w:sz w:val="22"/>
          <w:szCs w:val="22"/>
          <w:color w:val="auto"/>
        </w:rPr>
        <w:t>”) is made as of June 6, 2019, by and among WESTINGHOUSE AIR BRAKE TECHNOLOGIES CORPORATION, a Delaware corporation (the “</w:t>
      </w:r>
      <w:r>
        <w:rPr>
          <w:rFonts w:ascii="Arial" w:cs="Arial" w:eastAsia="Arial" w:hAnsi="Arial"/>
          <w:sz w:val="22"/>
          <w:szCs w:val="22"/>
          <w:b w:val="1"/>
          <w:bCs w:val="1"/>
          <w:color w:val="auto"/>
        </w:rPr>
        <w:t>Company</w:t>
      </w:r>
      <w:r>
        <w:rPr>
          <w:rFonts w:ascii="Arial" w:cs="Arial" w:eastAsia="Arial" w:hAnsi="Arial"/>
          <w:sz w:val="22"/>
          <w:szCs w:val="22"/>
          <w:color w:val="auto"/>
        </w:rPr>
        <w:t>”), each of the GUARANTORS party hereto and WELLS FARGO BANK, NATIONAL ASSOCIATION, a national banking association, as trustee (the “</w:t>
      </w:r>
      <w:r>
        <w:rPr>
          <w:rFonts w:ascii="Arial" w:cs="Arial" w:eastAsia="Arial" w:hAnsi="Arial"/>
          <w:sz w:val="22"/>
          <w:szCs w:val="22"/>
          <w:b w:val="1"/>
          <w:bCs w:val="1"/>
          <w:color w:val="auto"/>
        </w:rPr>
        <w:t>Trustee</w:t>
      </w:r>
      <w:r>
        <w:rPr>
          <w:rFonts w:ascii="Arial" w:cs="Arial" w:eastAsia="Arial" w:hAnsi="Arial"/>
          <w:sz w:val="22"/>
          <w:szCs w:val="22"/>
          <w:color w:val="auto"/>
        </w:rPr>
        <w:t>”).</w:t>
      </w:r>
    </w:p>
    <w:p>
      <w:pPr>
        <w:spacing w:after="0" w:line="180" w:lineRule="exact"/>
        <w:rPr>
          <w:sz w:val="20"/>
          <w:szCs w:val="20"/>
          <w:color w:val="auto"/>
        </w:rPr>
      </w:pPr>
    </w:p>
    <w:p>
      <w:pPr>
        <w:ind w:right="140" w:firstLine="648"/>
        <w:spacing w:after="0" w:line="256" w:lineRule="auto"/>
        <w:rPr>
          <w:sz w:val="20"/>
          <w:szCs w:val="20"/>
          <w:color w:val="auto"/>
        </w:rPr>
      </w:pPr>
      <w:r>
        <w:rPr>
          <w:rFonts w:ascii="Arial" w:cs="Arial" w:eastAsia="Arial" w:hAnsi="Arial"/>
          <w:sz w:val="22"/>
          <w:szCs w:val="22"/>
          <w:color w:val="auto"/>
        </w:rPr>
        <w:t>WHEREAS, the Company and the Trustee entered into that certain Indenture dated as of August 8, 2013 (the “</w:t>
      </w:r>
      <w:r>
        <w:rPr>
          <w:rFonts w:ascii="Arial" w:cs="Arial" w:eastAsia="Arial" w:hAnsi="Arial"/>
          <w:sz w:val="22"/>
          <w:szCs w:val="22"/>
          <w:b w:val="1"/>
          <w:bCs w:val="1"/>
          <w:color w:val="auto"/>
        </w:rPr>
        <w:t>Original</w:t>
      </w:r>
      <w:r>
        <w:rPr>
          <w:rFonts w:ascii="Arial" w:cs="Arial" w:eastAsia="Arial" w:hAnsi="Arial"/>
          <w:sz w:val="22"/>
          <w:szCs w:val="22"/>
          <w:color w:val="auto"/>
        </w:rPr>
        <w:t xml:space="preserve"> </w:t>
      </w:r>
      <w:r>
        <w:rPr>
          <w:rFonts w:ascii="Arial" w:cs="Arial" w:eastAsia="Arial" w:hAnsi="Arial"/>
          <w:sz w:val="22"/>
          <w:szCs w:val="22"/>
          <w:b w:val="1"/>
          <w:bCs w:val="1"/>
          <w:color w:val="auto"/>
        </w:rPr>
        <w:t>Indenture</w:t>
      </w:r>
      <w:r>
        <w:rPr>
          <w:rFonts w:ascii="Arial" w:cs="Arial" w:eastAsia="Arial" w:hAnsi="Arial"/>
          <w:sz w:val="22"/>
          <w:szCs w:val="22"/>
          <w:color w:val="auto"/>
        </w:rPr>
        <w:t>” and as supplemented to date, the “</w:t>
      </w:r>
      <w:r>
        <w:rPr>
          <w:rFonts w:ascii="Arial" w:cs="Arial" w:eastAsia="Arial" w:hAnsi="Arial"/>
          <w:sz w:val="22"/>
          <w:szCs w:val="22"/>
          <w:b w:val="1"/>
          <w:bCs w:val="1"/>
          <w:color w:val="auto"/>
        </w:rPr>
        <w:t>Indenture</w:t>
      </w:r>
      <w:r>
        <w:rPr>
          <w:rFonts w:ascii="Arial" w:cs="Arial" w:eastAsia="Arial" w:hAnsi="Arial"/>
          <w:sz w:val="22"/>
          <w:szCs w:val="22"/>
          <w:color w:val="auto"/>
        </w:rPr>
        <w:t>”), which provides for the issuance by the Company from time to time of</w:t>
      </w:r>
      <w:r>
        <w:rPr>
          <w:rFonts w:ascii="Arial" w:cs="Arial" w:eastAsia="Arial" w:hAnsi="Arial"/>
          <w:sz w:val="22"/>
          <w:szCs w:val="22"/>
          <w:b w:val="1"/>
          <w:bCs w:val="1"/>
          <w:color w:val="auto"/>
        </w:rPr>
        <w:t xml:space="preserve"> </w:t>
      </w:r>
      <w:r>
        <w:rPr>
          <w:rFonts w:ascii="Arial" w:cs="Arial" w:eastAsia="Arial" w:hAnsi="Arial"/>
          <w:sz w:val="22"/>
          <w:szCs w:val="22"/>
          <w:color w:val="auto"/>
        </w:rPr>
        <w:t>Securities, in one or more series as provided therein;</w:t>
      </w:r>
    </w:p>
    <w:p>
      <w:pPr>
        <w:spacing w:after="0" w:line="182" w:lineRule="exact"/>
        <w:rPr>
          <w:sz w:val="20"/>
          <w:szCs w:val="20"/>
          <w:color w:val="auto"/>
        </w:rPr>
      </w:pPr>
    </w:p>
    <w:p>
      <w:pPr>
        <w:ind w:firstLine="648"/>
        <w:spacing w:after="0" w:line="253" w:lineRule="auto"/>
        <w:rPr>
          <w:sz w:val="20"/>
          <w:szCs w:val="20"/>
          <w:color w:val="auto"/>
        </w:rPr>
      </w:pPr>
      <w:r>
        <w:rPr>
          <w:rFonts w:ascii="Arial" w:cs="Arial" w:eastAsia="Arial" w:hAnsi="Arial"/>
          <w:sz w:val="22"/>
          <w:szCs w:val="22"/>
          <w:color w:val="auto"/>
        </w:rPr>
        <w:t>WHEREAS, the Company and the Trustee entered into that certain First Supplemental Indenture dated as of August 8, 2013 (the “</w:t>
      </w:r>
      <w:r>
        <w:rPr>
          <w:rFonts w:ascii="Arial" w:cs="Arial" w:eastAsia="Arial" w:hAnsi="Arial"/>
          <w:sz w:val="22"/>
          <w:szCs w:val="22"/>
          <w:b w:val="1"/>
          <w:bCs w:val="1"/>
          <w:color w:val="auto"/>
        </w:rPr>
        <w:t>First Supplemental Indenture</w:t>
      </w:r>
      <w:r>
        <w:rPr>
          <w:rFonts w:ascii="Arial" w:cs="Arial" w:eastAsia="Arial" w:hAnsi="Arial"/>
          <w:sz w:val="22"/>
          <w:szCs w:val="22"/>
          <w:color w:val="auto"/>
        </w:rPr>
        <w:t>”), which provides for the issuance of $250,000,000 aggregate principal amount of the Company’s 4.375% Senior Notes due 2023 (the “</w:t>
      </w:r>
      <w:r>
        <w:rPr>
          <w:rFonts w:ascii="Arial" w:cs="Arial" w:eastAsia="Arial" w:hAnsi="Arial"/>
          <w:sz w:val="22"/>
          <w:szCs w:val="22"/>
          <w:b w:val="1"/>
          <w:bCs w:val="1"/>
          <w:color w:val="auto"/>
        </w:rPr>
        <w:t>2023 Notes</w:t>
      </w:r>
      <w:r>
        <w:rPr>
          <w:rFonts w:ascii="Arial" w:cs="Arial" w:eastAsia="Arial" w:hAnsi="Arial"/>
          <w:sz w:val="22"/>
          <w:szCs w:val="22"/>
          <w:color w:val="auto"/>
        </w:rPr>
        <w:t>”);</w:t>
      </w:r>
    </w:p>
    <w:p>
      <w:pPr>
        <w:spacing w:after="0" w:line="186" w:lineRule="exact"/>
        <w:rPr>
          <w:sz w:val="20"/>
          <w:szCs w:val="20"/>
          <w:color w:val="auto"/>
        </w:rPr>
      </w:pPr>
    </w:p>
    <w:p>
      <w:pPr>
        <w:ind w:right="440" w:firstLine="648"/>
        <w:spacing w:after="0" w:line="250" w:lineRule="auto"/>
        <w:rPr>
          <w:sz w:val="20"/>
          <w:szCs w:val="20"/>
          <w:color w:val="auto"/>
        </w:rPr>
      </w:pPr>
      <w:r>
        <w:rPr>
          <w:rFonts w:ascii="Arial" w:cs="Arial" w:eastAsia="Arial" w:hAnsi="Arial"/>
          <w:sz w:val="22"/>
          <w:szCs w:val="22"/>
          <w:color w:val="auto"/>
        </w:rPr>
        <w:t>WHEREAS, the Company, certain Guarantors and the Trustee entered into that certain Second Supplemental Indenture dated as of November 3, 2016, which provides for certain amendments to the Original Indenture and the First Supplemental Indenture, including amendments to, among other things, provide for the issuance of Guarantees from time to time by the Guarantors party to the Indenture;</w:t>
      </w:r>
    </w:p>
    <w:p>
      <w:pPr>
        <w:spacing w:after="0" w:line="188" w:lineRule="exact"/>
        <w:rPr>
          <w:sz w:val="20"/>
          <w:szCs w:val="20"/>
          <w:color w:val="auto"/>
        </w:rPr>
      </w:pPr>
    </w:p>
    <w:p>
      <w:pPr>
        <w:ind w:right="80" w:firstLine="648"/>
        <w:spacing w:after="0" w:line="253" w:lineRule="auto"/>
        <w:rPr>
          <w:sz w:val="20"/>
          <w:szCs w:val="20"/>
          <w:color w:val="auto"/>
        </w:rPr>
      </w:pPr>
      <w:r>
        <w:rPr>
          <w:rFonts w:ascii="Arial" w:cs="Arial" w:eastAsia="Arial" w:hAnsi="Arial"/>
          <w:sz w:val="22"/>
          <w:szCs w:val="22"/>
          <w:color w:val="auto"/>
        </w:rPr>
        <w:t>WHEREAS, the Company, certain Guarantors and the Trustee entered into that certain Third Supplemental Indenture dated as of November 3, 2016 (the “</w:t>
      </w:r>
      <w:r>
        <w:rPr>
          <w:rFonts w:ascii="Arial" w:cs="Arial" w:eastAsia="Arial" w:hAnsi="Arial"/>
          <w:sz w:val="22"/>
          <w:szCs w:val="22"/>
          <w:b w:val="1"/>
          <w:bCs w:val="1"/>
          <w:color w:val="auto"/>
        </w:rPr>
        <w:t>Third Supplemental Indenture</w:t>
      </w:r>
      <w:r>
        <w:rPr>
          <w:rFonts w:ascii="Arial" w:cs="Arial" w:eastAsia="Arial" w:hAnsi="Arial"/>
          <w:sz w:val="22"/>
          <w:szCs w:val="22"/>
          <w:color w:val="auto"/>
        </w:rPr>
        <w:t>”), which provides for the issuance of $750,000,000 aggregate principal amount of the Company’s 3.450% Senior Notes due 2026 (the “</w:t>
      </w:r>
      <w:r>
        <w:rPr>
          <w:rFonts w:ascii="Arial" w:cs="Arial" w:eastAsia="Arial" w:hAnsi="Arial"/>
          <w:sz w:val="22"/>
          <w:szCs w:val="22"/>
          <w:b w:val="1"/>
          <w:bCs w:val="1"/>
          <w:color w:val="auto"/>
        </w:rPr>
        <w:t>2026 Notes</w:t>
      </w:r>
      <w:r>
        <w:rPr>
          <w:rFonts w:ascii="Arial" w:cs="Arial" w:eastAsia="Arial" w:hAnsi="Arial"/>
          <w:sz w:val="22"/>
          <w:szCs w:val="22"/>
          <w:color w:val="auto"/>
        </w:rPr>
        <w:t>”);</w:t>
      </w:r>
    </w:p>
    <w:p>
      <w:pPr>
        <w:spacing w:after="0" w:line="186" w:lineRule="exact"/>
        <w:rPr>
          <w:sz w:val="20"/>
          <w:szCs w:val="20"/>
          <w:color w:val="auto"/>
        </w:rPr>
      </w:pPr>
    </w:p>
    <w:p>
      <w:pPr>
        <w:ind w:right="120" w:firstLine="648"/>
        <w:spacing w:after="0" w:line="292" w:lineRule="auto"/>
        <w:rPr>
          <w:sz w:val="20"/>
          <w:szCs w:val="20"/>
          <w:color w:val="auto"/>
        </w:rPr>
      </w:pPr>
      <w:r>
        <w:rPr>
          <w:rFonts w:ascii="Arial" w:cs="Arial" w:eastAsia="Arial" w:hAnsi="Arial"/>
          <w:sz w:val="19"/>
          <w:szCs w:val="19"/>
          <w:color w:val="auto"/>
        </w:rPr>
        <w:t>WHEREAS, from time to time (i) the Company, certain Guarantors and the Trustee have entered into additional indentures supplemental to the Original Indenture, including that certain Fourth Supplemental Indenture dated as of February 9, 2017, that certain Fifth Supplemental Indenture dated as of April 28, 2017, that certain Sixth Supplemental Indenture dated as of June 21, 2017, that certain Seventh Supplemental Indenture dated as of June 8, 2018, and that certain Eighth Supplemental Indenture dated as of June 29, 2018, each of which provides for the inclusion of one or more subsidiaries of the Company as a Guarantor with respect to the Notes (as defined below) outstanding at the date thereof and (ii) certain subsidiaries of the Company have been released, in accordance with the terms of the Indenture, as Guarantors with respect to the Notes;</w:t>
      </w:r>
    </w:p>
    <w:p>
      <w:pPr>
        <w:spacing w:after="0" w:line="151" w:lineRule="exact"/>
        <w:rPr>
          <w:sz w:val="20"/>
          <w:szCs w:val="20"/>
          <w:color w:val="auto"/>
        </w:rPr>
      </w:pPr>
    </w:p>
    <w:p>
      <w:pPr>
        <w:ind w:right="60" w:firstLine="648"/>
        <w:spacing w:after="0" w:line="247" w:lineRule="auto"/>
        <w:rPr>
          <w:sz w:val="20"/>
          <w:szCs w:val="20"/>
          <w:color w:val="auto"/>
        </w:rPr>
      </w:pPr>
      <w:r>
        <w:rPr>
          <w:rFonts w:ascii="Arial" w:cs="Arial" w:eastAsia="Arial" w:hAnsi="Arial"/>
          <w:sz w:val="22"/>
          <w:szCs w:val="22"/>
          <w:color w:val="auto"/>
        </w:rPr>
        <w:t>WHEREAS, the Company, certain Guarantors and the Trustee entered into that certain Ninth Supplemental Indenture dated as of September 14, 2018 (the “</w:t>
      </w:r>
      <w:r>
        <w:rPr>
          <w:rFonts w:ascii="Arial" w:cs="Arial" w:eastAsia="Arial" w:hAnsi="Arial"/>
          <w:sz w:val="22"/>
          <w:szCs w:val="22"/>
          <w:b w:val="1"/>
          <w:bCs w:val="1"/>
          <w:color w:val="auto"/>
        </w:rPr>
        <w:t>Ninth Supplemental Indenture</w:t>
      </w:r>
      <w:r>
        <w:rPr>
          <w:rFonts w:ascii="Arial" w:cs="Arial" w:eastAsia="Arial" w:hAnsi="Arial"/>
          <w:sz w:val="22"/>
          <w:szCs w:val="22"/>
          <w:color w:val="auto"/>
        </w:rPr>
        <w:t>”), which provides for the issuance of $500,000,000 aggregate principal amount of the Company’s Floating Rate Senior Notes due 2021 (the “</w:t>
      </w:r>
      <w:r>
        <w:rPr>
          <w:rFonts w:ascii="Arial" w:cs="Arial" w:eastAsia="Arial" w:hAnsi="Arial"/>
          <w:sz w:val="22"/>
          <w:szCs w:val="22"/>
          <w:b w:val="1"/>
          <w:bCs w:val="1"/>
          <w:color w:val="auto"/>
        </w:rPr>
        <w:t>2021 Notes</w:t>
      </w:r>
      <w:r>
        <w:rPr>
          <w:rFonts w:ascii="Arial" w:cs="Arial" w:eastAsia="Arial" w:hAnsi="Arial"/>
          <w:sz w:val="22"/>
          <w:szCs w:val="22"/>
          <w:color w:val="auto"/>
        </w:rPr>
        <w:t>”), $750,000,000 aggregate principal amount of the Company’s 4.150% Senior Notes due 2024 (the “</w:t>
      </w:r>
      <w:r>
        <w:rPr>
          <w:rFonts w:ascii="Arial" w:cs="Arial" w:eastAsia="Arial" w:hAnsi="Arial"/>
          <w:sz w:val="22"/>
          <w:szCs w:val="22"/>
          <w:b w:val="1"/>
          <w:bCs w:val="1"/>
          <w:color w:val="auto"/>
        </w:rPr>
        <w:t>2024 Notes</w:t>
      </w:r>
      <w:r>
        <w:rPr>
          <w:rFonts w:ascii="Arial" w:cs="Arial" w:eastAsia="Arial" w:hAnsi="Arial"/>
          <w:sz w:val="22"/>
          <w:szCs w:val="22"/>
          <w:color w:val="auto"/>
        </w:rPr>
        <w:t>”) and $1,250,000,000 aggregate principal amount of the Company’s 4.700% Senior Notes due 2028 (the “</w:t>
      </w:r>
      <w:r>
        <w:rPr>
          <w:rFonts w:ascii="Arial" w:cs="Arial" w:eastAsia="Arial" w:hAnsi="Arial"/>
          <w:sz w:val="22"/>
          <w:szCs w:val="22"/>
          <w:b w:val="1"/>
          <w:bCs w:val="1"/>
          <w:color w:val="auto"/>
        </w:rPr>
        <w:t>2028 Notes</w:t>
      </w:r>
      <w:r>
        <w:rPr>
          <w:rFonts w:ascii="Arial" w:cs="Arial" w:eastAsia="Arial" w:hAnsi="Arial"/>
          <w:sz w:val="22"/>
          <w:szCs w:val="22"/>
          <w:color w:val="auto"/>
        </w:rPr>
        <w:t>,” and, together with the 2021 Notes, the 2023 Notes, the 2024 Notes and the 2026 Notes, the “</w:t>
      </w:r>
      <w:r>
        <w:rPr>
          <w:rFonts w:ascii="Arial" w:cs="Arial" w:eastAsia="Arial" w:hAnsi="Arial"/>
          <w:sz w:val="22"/>
          <w:szCs w:val="22"/>
          <w:b w:val="1"/>
          <w:bCs w:val="1"/>
          <w:color w:val="auto"/>
        </w:rPr>
        <w:t>Notes</w:t>
      </w:r>
      <w:r>
        <w:rPr>
          <w:rFonts w:ascii="Arial" w:cs="Arial" w:eastAsia="Arial" w:hAnsi="Arial"/>
          <w:sz w:val="22"/>
          <w:szCs w:val="22"/>
          <w:color w:val="auto"/>
        </w:rPr>
        <w:t>”);</w:t>
      </w:r>
    </w:p>
    <w:p>
      <w:pPr>
        <w:sectPr>
          <w:pgSz w:w="11900" w:h="16838" w:orient="portrait"/>
          <w:cols w:equalWidth="0" w:num="1">
            <w:col w:w="11400"/>
          </w:cols>
          <w:pgMar w:left="240" w:top="631" w:right="259" w:bottom="183" w:gutter="0" w:footer="0" w:header="0"/>
        </w:sectPr>
      </w:pPr>
    </w:p>
    <w:bookmarkStart w:id="59" w:name="page60"/>
    <w:bookmarkEnd w:id="59"/>
    <w:p>
      <w:pPr>
        <w:ind w:right="120" w:firstLine="648"/>
        <w:spacing w:after="0" w:line="302" w:lineRule="auto"/>
        <w:rPr>
          <w:sz w:val="20"/>
          <w:szCs w:val="20"/>
          <w:color w:val="auto"/>
        </w:rPr>
      </w:pPr>
      <w:r>
        <w:rPr>
          <w:rFonts w:ascii="Arial" w:cs="Arial" w:eastAsia="Arial" w:hAnsi="Arial"/>
          <w:sz w:val="19"/>
          <w:szCs w:val="19"/>
          <w:color w:val="auto"/>
        </w:rPr>
        <w:t>WHEREAS, Section 9.1(d) of the Original Indenture provides for the Company and the Trustee to enter into an indenture supplemental to the Indenture to provide any guarantees of the Company’s Securities and Section 9.1(m) of the Original Indenture provides for the Company and the Trustee to enter into an indenture supplemental to the Indenture to make any change to the Indenture that does not adversely affect the rights of any holder of any of its outstanding Securities in any material respect;</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WHEREAS, the Company and the Guarantors desire and have requested the Trustee to join them in the execution and</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delivery of this Supplemental Indenture in order to cause each of GE Transportation, a Wabtec Company, a Delaware corporation</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and a subsidiary of the Company, GE Transportation Parts, LLC, a Delaware limited liability company and an indirect subsidiary of</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the Company, GE Global Sourcing LLC, a Delaware limited liability company and an indirect subsidiary of the Company, and</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Transportation Systems Services Operations Inc., a Nevada corporation and an indirect subsidiary of the Company (each, a</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Guaranteeing Subsidiary</w:t>
      </w:r>
      <w:r>
        <w:rPr>
          <w:rFonts w:ascii="Arial" w:cs="Arial" w:eastAsia="Arial" w:hAnsi="Arial"/>
          <w:sz w:val="19"/>
          <w:szCs w:val="19"/>
          <w:color w:val="auto"/>
        </w:rPr>
        <w:t>”), to provide a Guarantee with respect to the Notes and to become a Guarantor with the same effect</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and to the same extent as if each such Guaranteeing Subsidiary had been named in the Indenture as a Guarantor;</w:t>
      </w:r>
    </w:p>
    <w:p>
      <w:pPr>
        <w:spacing w:after="0" w:line="202"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WHEREAS, this Supplemental Indenture shall not result in a material modification of the 2023 Notes for purposes of compliance with the Foreign Accounts Tax Compliance Act (it being understood that the 2021 Notes, the 2024 Notes, the 2026 Notes and the 2028 Notes do not qualify as “grandfathered obligations” within the meaning of Treasury Regulation Section 1.1471-2(b)(2)(i)); and</w:t>
      </w:r>
    </w:p>
    <w:p>
      <w:pPr>
        <w:spacing w:after="0" w:line="188" w:lineRule="exact"/>
        <w:rPr>
          <w:sz w:val="20"/>
          <w:szCs w:val="20"/>
          <w:color w:val="auto"/>
        </w:rPr>
      </w:pPr>
    </w:p>
    <w:p>
      <w:pPr>
        <w:jc w:val="both"/>
        <w:ind w:right="140" w:firstLine="648"/>
        <w:spacing w:after="0" w:line="253" w:lineRule="auto"/>
        <w:rPr>
          <w:sz w:val="20"/>
          <w:szCs w:val="20"/>
          <w:color w:val="auto"/>
        </w:rPr>
      </w:pPr>
      <w:r>
        <w:rPr>
          <w:rFonts w:ascii="Arial" w:cs="Arial" w:eastAsia="Arial" w:hAnsi="Arial"/>
          <w:sz w:val="22"/>
          <w:szCs w:val="22"/>
          <w:color w:val="auto"/>
        </w:rPr>
        <w:t>WHEREAS, all the conditions and requirements necessary to make this Supplemental Indenture, when duly executed and delivered, a valid and binding agreement in accordance with its terms and for the purposes herein expressed, have been performed and fulfilled;</w:t>
      </w:r>
    </w:p>
    <w:p>
      <w:pPr>
        <w:spacing w:after="0" w:line="186" w:lineRule="exact"/>
        <w:rPr>
          <w:sz w:val="20"/>
          <w:szCs w:val="20"/>
          <w:color w:val="auto"/>
        </w:rPr>
      </w:pPr>
    </w:p>
    <w:p>
      <w:pPr>
        <w:ind w:right="260" w:firstLine="648"/>
        <w:spacing w:after="0" w:line="343" w:lineRule="auto"/>
        <w:rPr>
          <w:sz w:val="20"/>
          <w:szCs w:val="20"/>
          <w:color w:val="auto"/>
        </w:rPr>
      </w:pPr>
      <w:r>
        <w:rPr>
          <w:rFonts w:ascii="Arial" w:cs="Arial" w:eastAsia="Arial" w:hAnsi="Arial"/>
          <w:sz w:val="19"/>
          <w:szCs w:val="19"/>
          <w:color w:val="auto"/>
        </w:rPr>
        <w:t>NOW, THEREFORE, in consideration of the agreements and obligations set forth herein and for other good and valuable consideration, the receipt and sufficiency of which are hereby acknowledged, the parties hereto agree as follows:</w:t>
      </w:r>
    </w:p>
    <w:p>
      <w:pPr>
        <w:spacing w:after="0" w:line="118"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Article 1</w:t>
      </w:r>
    </w:p>
    <w:p>
      <w:pPr>
        <w:spacing w:after="0" w:line="44"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DEFINITIONS</w:t>
      </w:r>
    </w:p>
    <w:p>
      <w:pPr>
        <w:spacing w:after="0" w:line="247"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color w:val="auto"/>
        </w:rPr>
        <w:t>Section 1.01.</w:t>
      </w:r>
      <w:r>
        <w:rPr>
          <w:sz w:val="20"/>
          <w:szCs w:val="20"/>
          <w:color w:val="auto"/>
        </w:rPr>
        <w:tab/>
      </w:r>
      <w:r>
        <w:rPr>
          <w:rFonts w:ascii="Arial" w:cs="Arial" w:eastAsia="Arial" w:hAnsi="Arial"/>
          <w:sz w:val="19"/>
          <w:szCs w:val="19"/>
          <w:i w:val="1"/>
          <w:iCs w:val="1"/>
          <w:color w:val="auto"/>
        </w:rPr>
        <w:t>Definitions.</w:t>
      </w:r>
    </w:p>
    <w:p>
      <w:pPr>
        <w:spacing w:after="0" w:line="233" w:lineRule="exact"/>
        <w:rPr>
          <w:sz w:val="20"/>
          <w:szCs w:val="20"/>
          <w:color w:val="auto"/>
        </w:rPr>
      </w:pPr>
    </w:p>
    <w:p>
      <w:pPr>
        <w:ind w:right="100" w:firstLine="648"/>
        <w:spacing w:after="0" w:line="263" w:lineRule="auto"/>
        <w:rPr>
          <w:sz w:val="20"/>
          <w:szCs w:val="20"/>
          <w:color w:val="auto"/>
        </w:rPr>
      </w:pPr>
      <w:r>
        <w:rPr>
          <w:rFonts w:ascii="Arial" w:cs="Arial" w:eastAsia="Arial" w:hAnsi="Arial"/>
          <w:sz w:val="22"/>
          <w:szCs w:val="22"/>
          <w:color w:val="auto"/>
        </w:rPr>
        <w:t>For all purposes of this Supplemental Indenture, except as otherwise expressly provided for or unless the context otherwise requires:</w:t>
      </w:r>
    </w:p>
    <w:p>
      <w:pPr>
        <w:spacing w:after="0" w:line="175" w:lineRule="exact"/>
        <w:rPr>
          <w:sz w:val="20"/>
          <w:szCs w:val="20"/>
          <w:color w:val="auto"/>
        </w:rPr>
      </w:pPr>
    </w:p>
    <w:p>
      <w:pPr>
        <w:ind w:left="1120" w:hanging="464"/>
        <w:spacing w:after="0"/>
        <w:tabs>
          <w:tab w:leader="none" w:pos="1120" w:val="left"/>
        </w:tabs>
        <w:numPr>
          <w:ilvl w:val="0"/>
          <w:numId w:val="13"/>
        </w:numPr>
        <w:rPr>
          <w:rFonts w:ascii="Arial" w:cs="Arial" w:eastAsia="Arial" w:hAnsi="Arial"/>
          <w:sz w:val="19"/>
          <w:szCs w:val="19"/>
          <w:color w:val="auto"/>
        </w:rPr>
      </w:pPr>
      <w:r>
        <w:rPr>
          <w:rFonts w:ascii="Arial" w:cs="Arial" w:eastAsia="Arial" w:hAnsi="Arial"/>
          <w:sz w:val="19"/>
          <w:szCs w:val="19"/>
          <w:color w:val="auto"/>
        </w:rPr>
        <w:t>Capitalized terms used but not defined herein shall have the respective meanings given them in the Indenture; and</w:t>
      </w:r>
    </w:p>
    <w:p>
      <w:pPr>
        <w:spacing w:after="0" w:line="254" w:lineRule="exact"/>
        <w:rPr>
          <w:rFonts w:ascii="Arial" w:cs="Arial" w:eastAsia="Arial" w:hAnsi="Arial"/>
          <w:sz w:val="19"/>
          <w:szCs w:val="19"/>
          <w:color w:val="auto"/>
        </w:rPr>
      </w:pPr>
    </w:p>
    <w:p>
      <w:pPr>
        <w:ind w:right="540" w:firstLine="656"/>
        <w:spacing w:after="0" w:line="263" w:lineRule="auto"/>
        <w:tabs>
          <w:tab w:leader="none" w:pos="1104" w:val="left"/>
        </w:tabs>
        <w:numPr>
          <w:ilvl w:val="0"/>
          <w:numId w:val="13"/>
        </w:numPr>
        <w:rPr>
          <w:rFonts w:ascii="Arial" w:cs="Arial" w:eastAsia="Arial" w:hAnsi="Arial"/>
          <w:sz w:val="22"/>
          <w:szCs w:val="22"/>
          <w:color w:val="auto"/>
        </w:rPr>
      </w:pPr>
      <w:r>
        <w:rPr>
          <w:rFonts w:ascii="Arial" w:cs="Arial" w:eastAsia="Arial" w:hAnsi="Arial"/>
          <w:sz w:val="22"/>
          <w:szCs w:val="22"/>
          <w:color w:val="auto"/>
        </w:rPr>
        <w:t>All references herein to Articles and Sections, unless otherwise specified, refer to the corresponding Articles and Sections of this Supplemental Indenture.</w:t>
      </w:r>
    </w:p>
    <w:p>
      <w:pPr>
        <w:spacing w:after="0" w:line="188" w:lineRule="exact"/>
        <w:rPr>
          <w:sz w:val="20"/>
          <w:szCs w:val="20"/>
          <w:color w:val="auto"/>
        </w:rPr>
      </w:pPr>
    </w:p>
    <w:p>
      <w:pPr>
        <w:jc w:val="center"/>
        <w:ind w:right="200"/>
        <w:spacing w:after="0"/>
        <w:rPr>
          <w:sz w:val="20"/>
          <w:szCs w:val="20"/>
          <w:color w:val="auto"/>
        </w:rPr>
      </w:pPr>
      <w:r>
        <w:rPr>
          <w:rFonts w:ascii="Arial" w:cs="Arial" w:eastAsia="Arial" w:hAnsi="Arial"/>
          <w:sz w:val="22"/>
          <w:szCs w:val="22"/>
          <w:color w:val="auto"/>
        </w:rPr>
        <w:t>ARTICLE 2</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GUARANTEE ISSUED BY EACH GUARANTEEING SUBSIDIARY</w:t>
      </w:r>
    </w:p>
    <w:p>
      <w:pPr>
        <w:spacing w:after="0" w:line="247"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color w:val="auto"/>
        </w:rPr>
        <w:t>Section 2.01.</w:t>
      </w:r>
      <w:r>
        <w:rPr>
          <w:sz w:val="20"/>
          <w:szCs w:val="20"/>
          <w:color w:val="auto"/>
        </w:rPr>
        <w:tab/>
      </w:r>
      <w:r>
        <w:rPr>
          <w:rFonts w:ascii="Arial" w:cs="Arial" w:eastAsia="Arial" w:hAnsi="Arial"/>
          <w:sz w:val="19"/>
          <w:szCs w:val="19"/>
          <w:i w:val="1"/>
          <w:iCs w:val="1"/>
          <w:color w:val="auto"/>
        </w:rPr>
        <w:t>Agreement to Guarantee.</w:t>
      </w:r>
    </w:p>
    <w:p>
      <w:pPr>
        <w:spacing w:after="0" w:line="200" w:lineRule="exact"/>
        <w:rPr>
          <w:sz w:val="20"/>
          <w:szCs w:val="20"/>
          <w:color w:val="auto"/>
        </w:rPr>
      </w:pPr>
    </w:p>
    <w:p>
      <w:pPr>
        <w:spacing w:after="0" w:line="249" w:lineRule="exact"/>
        <w:rPr>
          <w:sz w:val="20"/>
          <w:szCs w:val="20"/>
          <w:color w:val="auto"/>
        </w:rPr>
      </w:pPr>
    </w:p>
    <w:p>
      <w:pPr>
        <w:ind w:right="80" w:firstLine="648"/>
        <w:spacing w:after="0" w:line="250" w:lineRule="auto"/>
        <w:rPr>
          <w:sz w:val="20"/>
          <w:szCs w:val="20"/>
          <w:color w:val="auto"/>
        </w:rPr>
      </w:pPr>
      <w:r>
        <w:rPr>
          <w:rFonts w:ascii="Arial" w:cs="Arial" w:eastAsia="Arial" w:hAnsi="Arial"/>
          <w:sz w:val="22"/>
          <w:szCs w:val="22"/>
          <w:color w:val="auto"/>
        </w:rPr>
        <w:t>Each Guaranteeing Subsidiary hereby provides a Guarantee on the terms and subject to the conditions set forth in the Indenture including, but not limited to, Article IX-A thereof, Section 2.12 of the Third Supplemental Indenture and Section 2.09 of the Ninth Supplemental Indenture. From and after the date hereof, each Guaranteeing Subsidiary shall be a Guarantor for all purposes under the Indenture and the Notes.</w:t>
      </w:r>
    </w:p>
    <w:p>
      <w:pPr>
        <w:spacing w:after="0" w:line="202"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ARTICLE 3</w:t>
      </w:r>
    </w:p>
    <w:p>
      <w:pPr>
        <w:spacing w:after="0" w:line="58"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MISCELLANEOUS PROVISIONS</w:t>
      </w:r>
    </w:p>
    <w:p>
      <w:pPr>
        <w:spacing w:after="0" w:line="247"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color w:val="auto"/>
        </w:rPr>
        <w:t>Section 3.01.</w:t>
      </w:r>
      <w:r>
        <w:rPr>
          <w:sz w:val="20"/>
          <w:szCs w:val="20"/>
          <w:color w:val="auto"/>
        </w:rPr>
        <w:tab/>
      </w:r>
      <w:r>
        <w:rPr>
          <w:rFonts w:ascii="Arial" w:cs="Arial" w:eastAsia="Arial" w:hAnsi="Arial"/>
          <w:sz w:val="19"/>
          <w:szCs w:val="19"/>
          <w:i w:val="1"/>
          <w:iCs w:val="1"/>
          <w:color w:val="auto"/>
        </w:rPr>
        <w:t>Recitals by Company.</w:t>
      </w:r>
    </w:p>
    <w:p>
      <w:pPr>
        <w:spacing w:after="0" w:line="233" w:lineRule="exact"/>
        <w:rPr>
          <w:sz w:val="20"/>
          <w:szCs w:val="20"/>
          <w:color w:val="auto"/>
        </w:rPr>
      </w:pPr>
    </w:p>
    <w:p>
      <w:pPr>
        <w:ind w:right="160" w:firstLine="648"/>
        <w:spacing w:after="0" w:line="250" w:lineRule="auto"/>
        <w:rPr>
          <w:sz w:val="20"/>
          <w:szCs w:val="20"/>
          <w:color w:val="auto"/>
        </w:rPr>
      </w:pPr>
      <w:r>
        <w:rPr>
          <w:rFonts w:ascii="Arial" w:cs="Arial" w:eastAsia="Arial" w:hAnsi="Arial"/>
          <w:sz w:val="22"/>
          <w:szCs w:val="22"/>
          <w:color w:val="auto"/>
        </w:rPr>
        <w:t>The recitals in this Supplemental Indenture are made by the Company and the Guarantors only and not by the Trustee, and all of the provisions contained in the Original Indenture in respect of the rights, privileges, immunities, powers and duties of the Trustee shall be applicable in respect of the Notes and of this Supplemental Indenture as fully and with like effect as if set forth herein in full.</w:t>
      </w:r>
    </w:p>
    <w:p>
      <w:pPr>
        <w:spacing w:after="0" w:line="188"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color w:val="auto"/>
        </w:rPr>
        <w:t>Section 3.02.</w:t>
      </w:r>
      <w:r>
        <w:rPr>
          <w:sz w:val="20"/>
          <w:szCs w:val="20"/>
          <w:color w:val="auto"/>
        </w:rPr>
        <w:tab/>
      </w:r>
      <w:r>
        <w:rPr>
          <w:rFonts w:ascii="Arial" w:cs="Arial" w:eastAsia="Arial" w:hAnsi="Arial"/>
          <w:sz w:val="19"/>
          <w:szCs w:val="19"/>
          <w:i w:val="1"/>
          <w:iCs w:val="1"/>
          <w:color w:val="auto"/>
        </w:rPr>
        <w:t>Application to the Notes Only.</w:t>
      </w:r>
    </w:p>
    <w:p>
      <w:pPr>
        <w:spacing w:after="0" w:line="233" w:lineRule="exact"/>
        <w:rPr>
          <w:sz w:val="20"/>
          <w:szCs w:val="20"/>
          <w:color w:val="auto"/>
        </w:rPr>
      </w:pPr>
    </w:p>
    <w:p>
      <w:pPr>
        <w:ind w:right="200" w:firstLine="648"/>
        <w:spacing w:after="0" w:line="253" w:lineRule="auto"/>
        <w:rPr>
          <w:sz w:val="20"/>
          <w:szCs w:val="20"/>
          <w:color w:val="auto"/>
        </w:rPr>
      </w:pPr>
      <w:r>
        <w:rPr>
          <w:rFonts w:ascii="Arial" w:cs="Arial" w:eastAsia="Arial" w:hAnsi="Arial"/>
          <w:sz w:val="22"/>
          <w:szCs w:val="22"/>
          <w:color w:val="auto"/>
        </w:rPr>
        <w:t>Each and every term and condition contained in this Supplemental Indenture that modifies, amends or supplements the terms and conditions of the Indenture shall apply only to the Notes and not to any future series of Securities established under the Indenture.</w:t>
      </w:r>
    </w:p>
    <w:p>
      <w:pPr>
        <w:spacing w:after="0" w:line="186"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color w:val="auto"/>
        </w:rPr>
        <w:t>Section 3.03.</w:t>
      </w:r>
      <w:r>
        <w:rPr>
          <w:sz w:val="20"/>
          <w:szCs w:val="20"/>
          <w:color w:val="auto"/>
        </w:rPr>
        <w:tab/>
      </w:r>
      <w:r>
        <w:rPr>
          <w:rFonts w:ascii="Arial" w:cs="Arial" w:eastAsia="Arial" w:hAnsi="Arial"/>
          <w:sz w:val="19"/>
          <w:szCs w:val="19"/>
          <w:i w:val="1"/>
          <w:iCs w:val="1"/>
          <w:color w:val="auto"/>
        </w:rPr>
        <w:t>Benefits.</w:t>
      </w:r>
    </w:p>
    <w:p>
      <w:pPr>
        <w:sectPr>
          <w:pgSz w:w="11900" w:h="16838" w:orient="portrait"/>
          <w:cols w:equalWidth="0" w:num="1">
            <w:col w:w="11400"/>
          </w:cols>
          <w:pgMar w:left="240" w:top="132" w:right="259" w:bottom="0" w:gutter="0" w:footer="0" w:header="0"/>
        </w:sectPr>
      </w:pPr>
    </w:p>
    <w:bookmarkStart w:id="60" w:name="page61"/>
    <w:bookmarkEnd w:id="60"/>
    <w:p>
      <w:pPr>
        <w:spacing w:after="0" w:line="25" w:lineRule="exact"/>
        <w:rPr>
          <w:sz w:val="20"/>
          <w:szCs w:val="20"/>
          <w:color w:val="auto"/>
        </w:rPr>
      </w:pPr>
    </w:p>
    <w:p>
      <w:pPr>
        <w:jc w:val="both"/>
        <w:ind w:right="80" w:firstLine="648"/>
        <w:spacing w:after="0" w:line="253" w:lineRule="auto"/>
        <w:rPr>
          <w:sz w:val="20"/>
          <w:szCs w:val="20"/>
          <w:color w:val="auto"/>
        </w:rPr>
      </w:pPr>
      <w:r>
        <w:rPr>
          <w:rFonts w:ascii="Arial" w:cs="Arial" w:eastAsia="Arial" w:hAnsi="Arial"/>
          <w:sz w:val="22"/>
          <w:szCs w:val="22"/>
          <w:color w:val="auto"/>
        </w:rPr>
        <w:t>Nothing contained in this Supplemental Indenture shall or shall be construed to confer upon any person other than a Holder of Securities, the Company, the Guarantors and the Trustee any right or interest to avail itself of any benefit under any provision of the Indenture, the Notes or this Supplemental Indenture.</w:t>
      </w:r>
    </w:p>
    <w:p>
      <w:pPr>
        <w:spacing w:after="0" w:line="186"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color w:val="auto"/>
        </w:rPr>
        <w:t>Section 3.04.</w:t>
      </w:r>
      <w:r>
        <w:rPr>
          <w:sz w:val="20"/>
          <w:szCs w:val="20"/>
          <w:color w:val="auto"/>
        </w:rPr>
        <w:tab/>
      </w:r>
      <w:r>
        <w:rPr>
          <w:rFonts w:ascii="Arial" w:cs="Arial" w:eastAsia="Arial" w:hAnsi="Arial"/>
          <w:sz w:val="19"/>
          <w:szCs w:val="19"/>
          <w:i w:val="1"/>
          <w:iCs w:val="1"/>
          <w:color w:val="auto"/>
        </w:rPr>
        <w:t>Effective Date.</w:t>
      </w:r>
    </w:p>
    <w:p>
      <w:pPr>
        <w:spacing w:after="0" w:line="233" w:lineRule="exact"/>
        <w:rPr>
          <w:sz w:val="20"/>
          <w:szCs w:val="20"/>
          <w:color w:val="auto"/>
        </w:rPr>
      </w:pPr>
    </w:p>
    <w:p>
      <w:pPr>
        <w:ind w:right="160" w:firstLine="648"/>
        <w:spacing w:after="0" w:line="263" w:lineRule="auto"/>
        <w:rPr>
          <w:sz w:val="20"/>
          <w:szCs w:val="20"/>
          <w:color w:val="auto"/>
        </w:rPr>
      </w:pPr>
      <w:r>
        <w:rPr>
          <w:rFonts w:ascii="Arial" w:cs="Arial" w:eastAsia="Arial" w:hAnsi="Arial"/>
          <w:sz w:val="22"/>
          <w:szCs w:val="22"/>
          <w:color w:val="auto"/>
        </w:rPr>
        <w:t>This Supplemental Indenture shall be effective as of the date first above written upon the execution and delivery hereof by each of the parties hereto.</w:t>
      </w:r>
    </w:p>
    <w:p>
      <w:pPr>
        <w:spacing w:after="0" w:line="175"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color w:val="auto"/>
        </w:rPr>
        <w:t>Section 3.05.</w:t>
      </w:r>
      <w:r>
        <w:rPr>
          <w:sz w:val="20"/>
          <w:szCs w:val="20"/>
          <w:color w:val="auto"/>
        </w:rPr>
        <w:tab/>
      </w:r>
      <w:r>
        <w:rPr>
          <w:rFonts w:ascii="Arial" w:cs="Arial" w:eastAsia="Arial" w:hAnsi="Arial"/>
          <w:sz w:val="19"/>
          <w:szCs w:val="19"/>
          <w:i w:val="1"/>
          <w:iCs w:val="1"/>
          <w:color w:val="auto"/>
        </w:rPr>
        <w:t>Ratification.</w:t>
      </w:r>
    </w:p>
    <w:p>
      <w:pPr>
        <w:spacing w:after="0" w:line="233" w:lineRule="exact"/>
        <w:rPr>
          <w:sz w:val="20"/>
          <w:szCs w:val="20"/>
          <w:color w:val="auto"/>
        </w:rPr>
      </w:pPr>
    </w:p>
    <w:p>
      <w:pPr>
        <w:ind w:right="80" w:firstLine="648"/>
        <w:spacing w:after="0" w:line="263" w:lineRule="auto"/>
        <w:rPr>
          <w:sz w:val="20"/>
          <w:szCs w:val="20"/>
          <w:color w:val="auto"/>
        </w:rPr>
      </w:pPr>
      <w:r>
        <w:rPr>
          <w:rFonts w:ascii="Arial" w:cs="Arial" w:eastAsia="Arial" w:hAnsi="Arial"/>
          <w:sz w:val="22"/>
          <w:szCs w:val="22"/>
          <w:color w:val="auto"/>
        </w:rPr>
        <w:t>As supplemented hereby, the Indenture and the Notes are in all respects ratified and confirmed and all the terms, provisions and conditions thereof remain in full force and effect.</w:t>
      </w:r>
    </w:p>
    <w:p>
      <w:pPr>
        <w:spacing w:after="0" w:line="175"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color w:val="auto"/>
        </w:rPr>
        <w:t>Section 3.06.</w:t>
      </w:r>
      <w:r>
        <w:rPr>
          <w:sz w:val="20"/>
          <w:szCs w:val="20"/>
          <w:color w:val="auto"/>
        </w:rPr>
        <w:tab/>
      </w:r>
      <w:r>
        <w:rPr>
          <w:rFonts w:ascii="Arial" w:cs="Arial" w:eastAsia="Arial" w:hAnsi="Arial"/>
          <w:sz w:val="19"/>
          <w:szCs w:val="19"/>
          <w:i w:val="1"/>
          <w:iCs w:val="1"/>
          <w:color w:val="auto"/>
        </w:rPr>
        <w:t>Separability</w:t>
      </w:r>
    </w:p>
    <w:p>
      <w:pPr>
        <w:spacing w:after="0" w:line="233" w:lineRule="exact"/>
        <w:rPr>
          <w:sz w:val="20"/>
          <w:szCs w:val="20"/>
          <w:color w:val="auto"/>
        </w:rPr>
      </w:pPr>
    </w:p>
    <w:p>
      <w:pPr>
        <w:ind w:right="460" w:firstLine="648"/>
        <w:spacing w:after="0" w:line="263" w:lineRule="auto"/>
        <w:rPr>
          <w:sz w:val="20"/>
          <w:szCs w:val="20"/>
          <w:color w:val="auto"/>
        </w:rPr>
      </w:pPr>
      <w:r>
        <w:rPr>
          <w:rFonts w:ascii="Arial" w:cs="Arial" w:eastAsia="Arial" w:hAnsi="Arial"/>
          <w:sz w:val="22"/>
          <w:szCs w:val="22"/>
          <w:color w:val="auto"/>
        </w:rPr>
        <w:t>In case any provision in this Supplemental Indenture shall be invalid, illegal or unenforceable, the validity, legality and enforceability of the remaining provisions shall not in any way be affected or impaired thereby.</w:t>
      </w:r>
    </w:p>
    <w:p>
      <w:pPr>
        <w:spacing w:after="0" w:line="175"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color w:val="auto"/>
        </w:rPr>
        <w:t>Section 3.07.</w:t>
      </w:r>
      <w:r>
        <w:rPr>
          <w:sz w:val="20"/>
          <w:szCs w:val="20"/>
          <w:color w:val="auto"/>
        </w:rPr>
        <w:tab/>
      </w:r>
      <w:r>
        <w:rPr>
          <w:rFonts w:ascii="Arial" w:cs="Arial" w:eastAsia="Arial" w:hAnsi="Arial"/>
          <w:sz w:val="19"/>
          <w:szCs w:val="19"/>
          <w:i w:val="1"/>
          <w:iCs w:val="1"/>
          <w:color w:val="auto"/>
        </w:rPr>
        <w:t>Counterparts</w:t>
      </w:r>
    </w:p>
    <w:p>
      <w:pPr>
        <w:spacing w:after="0" w:line="233" w:lineRule="exact"/>
        <w:rPr>
          <w:sz w:val="20"/>
          <w:szCs w:val="20"/>
          <w:color w:val="auto"/>
        </w:rPr>
      </w:pPr>
    </w:p>
    <w:p>
      <w:pPr>
        <w:ind w:right="40" w:firstLine="648"/>
        <w:spacing w:after="0" w:line="261" w:lineRule="auto"/>
        <w:rPr>
          <w:sz w:val="20"/>
          <w:szCs w:val="20"/>
          <w:color w:val="auto"/>
        </w:rPr>
      </w:pPr>
      <w:r>
        <w:rPr>
          <w:rFonts w:ascii="Arial" w:cs="Arial" w:eastAsia="Arial" w:hAnsi="Arial"/>
          <w:sz w:val="21"/>
          <w:szCs w:val="21"/>
          <w:color w:val="auto"/>
        </w:rPr>
        <w:t>This Supplemental Indenture may be executed in any number of counterparts and by the parties hereto in separate counterparts, each of which when so executed shall be deemed to be an original and all of which taken together shall constitute one and the same agreement. The exchange of copies of this Supplemental Indenture and of signature pages by facsimile or PDF transmission shall constitute effective execution and delivery of this Supplemental Indenture as to the parties hereto and may be used in lieu of the original Supplemental Indenture for all purposes. Signatures of the parties hereto transmitted by facsimile or PDF transmission shall be deemed to be their original signatures for all purposes.</w:t>
      </w:r>
    </w:p>
    <w:p>
      <w:pPr>
        <w:spacing w:after="0" w:line="180"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color w:val="auto"/>
        </w:rPr>
        <w:t>Section 3.08.</w:t>
      </w:r>
      <w:r>
        <w:rPr>
          <w:sz w:val="20"/>
          <w:szCs w:val="20"/>
          <w:color w:val="auto"/>
        </w:rPr>
        <w:tab/>
      </w:r>
      <w:r>
        <w:rPr>
          <w:rFonts w:ascii="Arial" w:cs="Arial" w:eastAsia="Arial" w:hAnsi="Arial"/>
          <w:sz w:val="19"/>
          <w:szCs w:val="19"/>
          <w:i w:val="1"/>
          <w:iCs w:val="1"/>
          <w:color w:val="auto"/>
        </w:rPr>
        <w:t>GOVERNING LAW.</w:t>
      </w:r>
    </w:p>
    <w:p>
      <w:pPr>
        <w:spacing w:after="0" w:line="233" w:lineRule="exact"/>
        <w:rPr>
          <w:sz w:val="20"/>
          <w:szCs w:val="20"/>
          <w:color w:val="auto"/>
        </w:rPr>
      </w:pPr>
    </w:p>
    <w:p>
      <w:pPr>
        <w:ind w:right="180" w:firstLine="648"/>
        <w:spacing w:after="0" w:line="302" w:lineRule="auto"/>
        <w:rPr>
          <w:sz w:val="20"/>
          <w:szCs w:val="20"/>
          <w:color w:val="auto"/>
        </w:rPr>
      </w:pPr>
      <w:r>
        <w:rPr>
          <w:rFonts w:ascii="Arial" w:cs="Arial" w:eastAsia="Arial" w:hAnsi="Arial"/>
          <w:sz w:val="19"/>
          <w:szCs w:val="19"/>
          <w:color w:val="auto"/>
        </w:rPr>
        <w:t>THIS SUPPLEMENTAL INDENTURE SHALL BE GOVERNED BY, AND CONSTRUED IN ACCORDANCE WITH, THE LAWS OF THE STATE OF NEW YORK, AS APPLIED TO CONTRACTS MADE AND PERFORMED WITHIN THE STATE OF NEW YORK, INCLUDING, WITHOUT LIMITATION, SECTIONS 5-1401 AND 5-1402 OF THE NEW YORK GENERAL OBLIGATIONS LAW AND RULE 327(b) OF THE NEW YORK CIVIL PRACTICE LAWS AND RULES.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[Signatures on Next Page]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firstLine="1297"/>
        <w:spacing w:after="0" w:line="263" w:lineRule="auto"/>
        <w:rPr>
          <w:sz w:val="20"/>
          <w:szCs w:val="20"/>
          <w:color w:val="auto"/>
        </w:rPr>
      </w:pPr>
      <w:r>
        <w:rPr>
          <w:rFonts w:ascii="Arial" w:cs="Arial" w:eastAsia="Arial" w:hAnsi="Arial"/>
          <w:sz w:val="22"/>
          <w:szCs w:val="22"/>
          <w:color w:val="auto"/>
        </w:rPr>
        <w:t>IN WITNESS WHEREOF, the parties hereto have caused this Tenth Supplemental Indenture to be duly executed, all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Westinghouse Air Brake Technologies Corporation</w:t>
      </w:r>
    </w:p>
    <w:p>
      <w:pPr>
        <w:spacing w:after="0" w:line="200" w:lineRule="exact"/>
        <w:rPr>
          <w:sz w:val="20"/>
          <w:szCs w:val="20"/>
          <w:color w:val="auto"/>
        </w:rPr>
      </w:pPr>
    </w:p>
    <w:p>
      <w:pPr>
        <w:spacing w:after="0" w:line="236" w:lineRule="exact"/>
        <w:rPr>
          <w:sz w:val="20"/>
          <w:szCs w:val="20"/>
          <w:color w:val="auto"/>
        </w:rPr>
      </w:pPr>
    </w:p>
    <w:p>
      <w:pPr>
        <w:ind w:left="3240"/>
        <w:spacing w:after="0"/>
        <w:tabs>
          <w:tab w:leader="none" w:pos="3860" w:val="left"/>
        </w:tabs>
        <w:rPr>
          <w:sz w:val="20"/>
          <w:szCs w:val="20"/>
          <w:color w:val="auto"/>
        </w:rPr>
      </w:pPr>
      <w:r>
        <w:rPr>
          <w:rFonts w:ascii="Arial" w:cs="Arial" w:eastAsia="Arial" w:hAnsi="Arial"/>
          <w:sz w:val="22"/>
          <w:szCs w:val="22"/>
          <w:color w:val="auto"/>
        </w:rPr>
        <w:t>By:</w:t>
        <w:tab/>
        <w:t>/s/ Patrick D. Dugan</w:t>
      </w:r>
    </w:p>
    <w:p>
      <w:pPr>
        <w:spacing w:after="0" w:line="22"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Name: Patrick D. Dugan</w:t>
      </w:r>
    </w:p>
    <w:p>
      <w:pPr>
        <w:spacing w:after="0" w:line="17" w:lineRule="exact"/>
        <w:rPr>
          <w:sz w:val="20"/>
          <w:szCs w:val="20"/>
          <w:color w:val="auto"/>
        </w:rPr>
      </w:pPr>
    </w:p>
    <w:p>
      <w:pPr>
        <w:ind w:left="3880"/>
        <w:spacing w:after="0"/>
        <w:tabs>
          <w:tab w:leader="none" w:pos="4580" w:val="left"/>
        </w:tabs>
        <w:rPr>
          <w:sz w:val="20"/>
          <w:szCs w:val="20"/>
          <w:color w:val="auto"/>
        </w:rPr>
      </w:pPr>
      <w:r>
        <w:rPr>
          <w:rFonts w:ascii="Arial" w:cs="Arial" w:eastAsia="Arial" w:hAnsi="Arial"/>
          <w:sz w:val="22"/>
          <w:szCs w:val="22"/>
          <w:color w:val="auto"/>
        </w:rPr>
        <w:t>Title:</w:t>
        <w:tab/>
        <w:t>Executive Vice President and</w:t>
      </w:r>
    </w:p>
    <w:p>
      <w:pPr>
        <w:spacing w:after="0" w:line="4" w:lineRule="exact"/>
        <w:rPr>
          <w:sz w:val="20"/>
          <w:szCs w:val="20"/>
          <w:color w:val="auto"/>
        </w:rPr>
      </w:pPr>
    </w:p>
    <w:p>
      <w:pPr>
        <w:ind w:left="8780"/>
        <w:spacing w:after="0"/>
        <w:rPr>
          <w:sz w:val="20"/>
          <w:szCs w:val="20"/>
          <w:color w:val="auto"/>
        </w:rPr>
      </w:pPr>
      <w:r>
        <w:rPr>
          <w:rFonts w:ascii="Arial" w:cs="Arial" w:eastAsia="Arial" w:hAnsi="Arial"/>
          <w:sz w:val="22"/>
          <w:szCs w:val="22"/>
          <w:color w:val="auto"/>
        </w:rPr>
        <w:t>Chief Financial Officer</w:t>
      </w:r>
    </w:p>
    <w:p>
      <w:pPr>
        <w:sectPr>
          <w:pgSz w:w="11900" w:h="16863" w:orient="portrait"/>
          <w:cols w:equalWidth="0" w:num="1">
            <w:col w:w="11400"/>
          </w:cols>
          <w:pgMar w:left="240" w:top="280"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GE Global Sourcing LLC</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19"/>
          <w:szCs w:val="19"/>
          <w:color w:val="auto"/>
        </w:rPr>
        <w:t>GE Transportation, a Wabtec Company</w:t>
      </w:r>
    </w:p>
    <w:p>
      <w:pPr>
        <w:spacing w:after="0" w:line="38"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GE Transportation Parts, LLC</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RFPC Holding Corp.</w:t>
      </w:r>
    </w:p>
    <w:p>
      <w:pPr>
        <w:sectPr>
          <w:pgSz w:w="11900" w:h="16863" w:orient="portrait"/>
          <w:cols w:equalWidth="0" w:num="1">
            <w:col w:w="11400"/>
          </w:cols>
          <w:pgMar w:left="240" w:top="280" w:right="259" w:bottom="0" w:gutter="0" w:footer="0" w:header="0"/>
          <w:type w:val="continuous"/>
        </w:sectPr>
      </w:pPr>
    </w:p>
    <w:bookmarkStart w:id="61" w:name="page62"/>
    <w:bookmarkEnd w:id="61"/>
    <w:p>
      <w:pPr>
        <w:ind w:left="2040"/>
        <w:spacing w:after="0"/>
        <w:rPr>
          <w:sz w:val="20"/>
          <w:szCs w:val="20"/>
          <w:color w:val="auto"/>
        </w:rPr>
      </w:pPr>
      <w:r>
        <w:rPr>
          <w:rFonts w:ascii="Arial" w:cs="Arial" w:eastAsia="Arial" w:hAnsi="Arial"/>
          <w:sz w:val="22"/>
          <w:szCs w:val="22"/>
          <w:color w:val="auto"/>
        </w:rPr>
        <w:t>Schaefer Equipment, Inc.</w:t>
      </w:r>
    </w:p>
    <w:p>
      <w:pPr>
        <w:spacing w:after="0" w:line="22"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Standard Car Truck Company</w:t>
      </w:r>
    </w:p>
    <w:p>
      <w:pPr>
        <w:spacing w:after="0" w:line="4" w:lineRule="exact"/>
        <w:rPr>
          <w:sz w:val="20"/>
          <w:szCs w:val="20"/>
          <w:color w:val="auto"/>
        </w:rPr>
      </w:pPr>
    </w:p>
    <w:p>
      <w:pPr>
        <w:ind w:left="2040"/>
        <w:spacing w:after="0"/>
        <w:rPr>
          <w:sz w:val="20"/>
          <w:szCs w:val="20"/>
          <w:color w:val="auto"/>
        </w:rPr>
      </w:pPr>
      <w:r>
        <w:rPr>
          <w:rFonts w:ascii="Arial" w:cs="Arial" w:eastAsia="Arial" w:hAnsi="Arial"/>
          <w:sz w:val="19"/>
          <w:szCs w:val="19"/>
          <w:color w:val="auto"/>
        </w:rPr>
        <w:t>Transportation Systems Services Operations Inc.</w:t>
      </w:r>
    </w:p>
    <w:p>
      <w:pPr>
        <w:spacing w:after="0" w:line="38"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Wabtec Holding Corp.</w:t>
      </w:r>
    </w:p>
    <w:p>
      <w:pPr>
        <w:spacing w:after="0" w:line="4"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Wabtec Railway Electronics Holdings, LLC</w:t>
      </w:r>
    </w:p>
    <w:p>
      <w:pPr>
        <w:spacing w:after="0" w:line="4"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Workhorse Rail, LLC</w:t>
      </w:r>
    </w:p>
    <w:p>
      <w:pPr>
        <w:sectPr>
          <w:pgSz w:w="11900" w:h="16838" w:orient="portrait"/>
          <w:cols w:equalWidth="0" w:num="1">
            <w:col w:w="9019"/>
          </w:cols>
          <w:pgMar w:left="144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/s/ Patrick D. Dugan</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Name: Patrick D. Dugan</w:t>
      </w:r>
    </w:p>
    <w:p>
      <w:pPr>
        <w:spacing w:after="0" w:line="4" w:lineRule="exact"/>
        <w:rPr>
          <w:sz w:val="20"/>
          <w:szCs w:val="20"/>
          <w:color w:val="auto"/>
        </w:rPr>
      </w:pPr>
    </w:p>
    <w:p>
      <w:pPr>
        <w:spacing w:after="0"/>
        <w:tabs>
          <w:tab w:leader="none" w:pos="700" w:val="left"/>
        </w:tabs>
        <w:rPr>
          <w:sz w:val="20"/>
          <w:szCs w:val="20"/>
          <w:color w:val="auto"/>
        </w:rPr>
      </w:pPr>
      <w:r>
        <w:rPr>
          <w:rFonts w:ascii="Arial" w:cs="Arial" w:eastAsia="Arial" w:hAnsi="Arial"/>
          <w:sz w:val="19"/>
          <w:szCs w:val="19"/>
          <w:color w:val="auto"/>
        </w:rPr>
        <w:t>Title:</w:t>
        <w:tab/>
        <w:t>Vice President, Finance of each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9"/>
          <w:szCs w:val="19"/>
          <w:color w:val="auto"/>
        </w:rPr>
        <w:t>the above</w:t>
      </w:r>
    </w:p>
    <w:p>
      <w:pPr>
        <w:spacing w:after="0" w:line="217" w:lineRule="exact"/>
        <w:rPr>
          <w:sz w:val="20"/>
          <w:szCs w:val="20"/>
          <w:color w:val="auto"/>
        </w:rPr>
      </w:pPr>
    </w:p>
    <w:p>
      <w:pPr>
        <w:sectPr>
          <w:pgSz w:w="11900" w:h="16838" w:orient="portrait"/>
          <w:cols w:equalWidth="0" w:num="3">
            <w:col w:w="2360" w:space="320"/>
            <w:col w:w="3680" w:space="600"/>
            <w:col w:w="2059"/>
          </w:cols>
          <w:pgMar w:left="144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040"/>
        <w:spacing w:after="0"/>
        <w:rPr>
          <w:sz w:val="20"/>
          <w:szCs w:val="20"/>
          <w:color w:val="auto"/>
        </w:rPr>
      </w:pPr>
      <w:r>
        <w:rPr>
          <w:rFonts w:ascii="Arial" w:cs="Arial" w:eastAsia="Arial" w:hAnsi="Arial"/>
          <w:sz w:val="19"/>
          <w:szCs w:val="19"/>
          <w:color w:val="auto"/>
        </w:rPr>
        <w:t>Wells Fargo Bank, National Association, as Trustee</w:t>
      </w:r>
    </w:p>
    <w:p>
      <w:pPr>
        <w:spacing w:after="0" w:line="200" w:lineRule="exact"/>
        <w:rPr>
          <w:sz w:val="20"/>
          <w:szCs w:val="20"/>
          <w:color w:val="auto"/>
        </w:rPr>
      </w:pPr>
    </w:p>
    <w:p>
      <w:pPr>
        <w:spacing w:after="0" w:line="270" w:lineRule="exact"/>
        <w:rPr>
          <w:sz w:val="20"/>
          <w:szCs w:val="20"/>
          <w:color w:val="auto"/>
        </w:rPr>
      </w:pPr>
    </w:p>
    <w:p>
      <w:pPr>
        <w:ind w:left="2040"/>
        <w:spacing w:after="0"/>
        <w:tabs>
          <w:tab w:leader="none" w:pos="2660" w:val="left"/>
        </w:tabs>
        <w:rPr>
          <w:sz w:val="20"/>
          <w:szCs w:val="20"/>
          <w:color w:val="auto"/>
        </w:rPr>
      </w:pPr>
      <w:r>
        <w:rPr>
          <w:rFonts w:ascii="Arial" w:cs="Arial" w:eastAsia="Arial" w:hAnsi="Arial"/>
          <w:sz w:val="22"/>
          <w:szCs w:val="22"/>
          <w:color w:val="auto"/>
        </w:rPr>
        <w:t>By:</w:t>
        <w:tab/>
        <w:t>/s/ Raymond Delli Colli</w:t>
      </w:r>
    </w:p>
    <w:p>
      <w:pPr>
        <w:spacing w:after="0" w:line="22"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Name: Raymond Delli Colli</w:t>
      </w:r>
    </w:p>
    <w:p>
      <w:pPr>
        <w:spacing w:after="0" w:line="17" w:lineRule="exact"/>
        <w:rPr>
          <w:sz w:val="20"/>
          <w:szCs w:val="20"/>
          <w:color w:val="auto"/>
        </w:rPr>
      </w:pPr>
    </w:p>
    <w:p>
      <w:pPr>
        <w:ind w:left="2680"/>
        <w:spacing w:after="0"/>
        <w:tabs>
          <w:tab w:leader="none" w:pos="3380" w:val="left"/>
        </w:tabs>
        <w:rPr>
          <w:sz w:val="20"/>
          <w:szCs w:val="20"/>
          <w:color w:val="auto"/>
        </w:rPr>
      </w:pPr>
      <w:r>
        <w:rPr>
          <w:rFonts w:ascii="Arial" w:cs="Arial" w:eastAsia="Arial" w:hAnsi="Arial"/>
          <w:sz w:val="22"/>
          <w:szCs w:val="22"/>
          <w:color w:val="auto"/>
        </w:rPr>
        <w:t>Title:</w:t>
        <w:tab/>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9019"/>
          </w:cols>
          <w:pgMar w:left="1440" w:top="132" w:right="1440" w:bottom="1440" w:gutter="0" w:footer="0" w:header="0"/>
          <w:type w:val="continuous"/>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Rafael Santana, certify that:</w:t>
      </w:r>
    </w:p>
    <w:p>
      <w:pPr>
        <w:spacing w:after="0" w:line="117" w:lineRule="exact"/>
        <w:rPr>
          <w:sz w:val="20"/>
          <w:szCs w:val="20"/>
          <w:color w:val="auto"/>
        </w:rPr>
      </w:pPr>
    </w:p>
    <w:p>
      <w:pPr>
        <w:ind w:left="680" w:hanging="172"/>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Westinghouse Air Brake Technologies Corporation.</w:t>
      </w:r>
    </w:p>
    <w:p>
      <w:pPr>
        <w:spacing w:after="0" w:line="117" w:lineRule="exact"/>
        <w:rPr>
          <w:rFonts w:ascii="Arial" w:cs="Arial" w:eastAsia="Arial" w:hAnsi="Arial"/>
          <w:sz w:val="18"/>
          <w:szCs w:val="18"/>
          <w:color w:val="auto"/>
        </w:rPr>
      </w:pPr>
    </w:p>
    <w:p>
      <w:pPr>
        <w:jc w:val="both"/>
        <w:ind w:right="260" w:firstLine="508"/>
        <w:spacing w:after="0" w:line="264" w:lineRule="auto"/>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73" w:lineRule="exact"/>
        <w:rPr>
          <w:rFonts w:ascii="Arial" w:cs="Arial" w:eastAsia="Arial" w:hAnsi="Arial"/>
          <w:sz w:val="18"/>
          <w:szCs w:val="18"/>
          <w:color w:val="auto"/>
        </w:rPr>
      </w:pPr>
    </w:p>
    <w:p>
      <w:pPr>
        <w:ind w:right="420" w:firstLine="508"/>
        <w:spacing w:after="0" w:line="342" w:lineRule="auto"/>
        <w:tabs>
          <w:tab w:leader="none" w:pos="6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5" w:lineRule="exact"/>
        <w:rPr>
          <w:rFonts w:ascii="Arial" w:cs="Arial" w:eastAsia="Arial" w:hAnsi="Arial"/>
          <w:sz w:val="16"/>
          <w:szCs w:val="16"/>
          <w:color w:val="auto"/>
        </w:rPr>
      </w:pPr>
    </w:p>
    <w:p>
      <w:pPr>
        <w:ind w:right="260" w:firstLine="508"/>
        <w:spacing w:after="0" w:line="264" w:lineRule="auto"/>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3" w:lineRule="exact"/>
        <w:rPr>
          <w:rFonts w:ascii="Arial" w:cs="Arial" w:eastAsia="Arial" w:hAnsi="Arial"/>
          <w:sz w:val="18"/>
          <w:szCs w:val="18"/>
          <w:color w:val="auto"/>
        </w:rPr>
      </w:pPr>
    </w:p>
    <w:p>
      <w:pPr>
        <w:ind w:right="140" w:firstLine="1007"/>
        <w:spacing w:after="0" w:line="264" w:lineRule="auto"/>
        <w:tabs>
          <w:tab w:leader="none" w:pos="1244"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73" w:lineRule="exact"/>
        <w:rPr>
          <w:rFonts w:ascii="Arial" w:cs="Arial" w:eastAsia="Arial" w:hAnsi="Arial"/>
          <w:sz w:val="18"/>
          <w:szCs w:val="18"/>
          <w:color w:val="auto"/>
        </w:rPr>
      </w:pPr>
    </w:p>
    <w:p>
      <w:pPr>
        <w:ind w:right="20" w:firstLine="1007"/>
        <w:spacing w:after="0" w:line="264" w:lineRule="auto"/>
        <w:tabs>
          <w:tab w:leader="none" w:pos="1254"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40" w:firstLine="1007"/>
        <w:spacing w:after="0" w:line="342" w:lineRule="auto"/>
        <w:tabs>
          <w:tab w:leader="none" w:pos="1244"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5" w:lineRule="exact"/>
        <w:rPr>
          <w:rFonts w:ascii="Arial" w:cs="Arial" w:eastAsia="Arial" w:hAnsi="Arial"/>
          <w:sz w:val="16"/>
          <w:szCs w:val="16"/>
          <w:color w:val="auto"/>
        </w:rPr>
      </w:pPr>
    </w:p>
    <w:p>
      <w:pPr>
        <w:jc w:val="both"/>
        <w:ind w:right="100" w:firstLine="1007"/>
        <w:spacing w:after="0" w:line="342" w:lineRule="auto"/>
        <w:tabs>
          <w:tab w:leader="none" w:pos="1254" w:val="left"/>
        </w:tabs>
        <w:numPr>
          <w:ilvl w:val="1"/>
          <w:numId w:val="14"/>
        </w:numPr>
        <w:rPr>
          <w:rFonts w:ascii="Arial" w:cs="Arial" w:eastAsia="Arial" w:hAnsi="Arial"/>
          <w:sz w:val="16"/>
          <w:szCs w:val="16"/>
          <w:color w:val="auto"/>
        </w:rPr>
      </w:pPr>
      <w:r>
        <w:rPr>
          <w:rFonts w:ascii="Arial" w:cs="Arial" w:eastAsia="Arial" w:hAnsi="Arial"/>
          <w:sz w:val="16"/>
          <w:szCs w:val="16"/>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 w:lineRule="exact"/>
        <w:rPr>
          <w:rFonts w:ascii="Arial" w:cs="Arial" w:eastAsia="Arial" w:hAnsi="Arial"/>
          <w:sz w:val="16"/>
          <w:szCs w:val="16"/>
          <w:color w:val="auto"/>
        </w:rPr>
      </w:pPr>
    </w:p>
    <w:p>
      <w:pPr>
        <w:ind w:right="80" w:firstLine="508"/>
        <w:spacing w:after="0" w:line="308" w:lineRule="auto"/>
        <w:tabs>
          <w:tab w:leader="none" w:pos="6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right="680" w:firstLine="1007"/>
        <w:spacing w:after="0" w:line="308" w:lineRule="auto"/>
        <w:tabs>
          <w:tab w:leader="none" w:pos="1244" w:val="left"/>
        </w:tabs>
        <w:numPr>
          <w:ilvl w:val="1"/>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right="360" w:firstLine="1007"/>
        <w:spacing w:after="0" w:line="277" w:lineRule="auto"/>
        <w:tabs>
          <w:tab w:leader="none" w:pos="1254"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August 1, 2019</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040" w:type="dxa"/>
            <w:vAlign w:val="bottom"/>
          </w:tcPr>
          <w:p>
            <w:pPr>
              <w:ind w:left="40"/>
              <w:spacing w:after="0"/>
              <w:rPr>
                <w:sz w:val="20"/>
                <w:szCs w:val="20"/>
                <w:color w:val="auto"/>
              </w:rPr>
            </w:pPr>
            <w:r>
              <w:rPr>
                <w:rFonts w:ascii="Arial" w:cs="Arial" w:eastAsia="Arial" w:hAnsi="Arial"/>
                <w:sz w:val="18"/>
                <w:szCs w:val="18"/>
                <w:color w:val="auto"/>
              </w:rPr>
              <w:t>By:</w:t>
            </w:r>
          </w:p>
        </w:tc>
        <w:tc>
          <w:tcPr>
            <w:tcW w:w="10380" w:type="dxa"/>
            <w:vAlign w:val="bottom"/>
          </w:tcPr>
          <w:p>
            <w:pPr>
              <w:ind w:left="480"/>
              <w:spacing w:after="0"/>
              <w:rPr>
                <w:sz w:val="20"/>
                <w:szCs w:val="20"/>
                <w:color w:val="auto"/>
              </w:rPr>
            </w:pPr>
            <w:r>
              <w:rPr>
                <w:rFonts w:ascii="Arial" w:cs="Arial" w:eastAsia="Arial" w:hAnsi="Arial"/>
                <w:sz w:val="18"/>
                <w:szCs w:val="18"/>
                <w:color w:val="auto"/>
              </w:rPr>
              <w:t>/s/  RAFAEL SANTANA</w:t>
            </w:r>
          </w:p>
        </w:tc>
      </w:tr>
      <w:tr>
        <w:trPr>
          <w:trHeight w:val="27"/>
        </w:trPr>
        <w:tc>
          <w:tcPr>
            <w:tcW w:w="1040" w:type="dxa"/>
            <w:vAlign w:val="bottom"/>
            <w:tcBorders>
              <w:bottom w:val="single" w:sz="8" w:color="auto"/>
            </w:tcBorders>
          </w:tcPr>
          <w:p>
            <w:pPr>
              <w:spacing w:after="0"/>
              <w:rPr>
                <w:sz w:val="2"/>
                <w:szCs w:val="2"/>
                <w:color w:val="auto"/>
              </w:rPr>
            </w:pPr>
          </w:p>
        </w:tc>
        <w:tc>
          <w:tcPr>
            <w:tcW w:w="10380" w:type="dxa"/>
            <w:vAlign w:val="bottom"/>
            <w:tcBorders>
              <w:bottom w:val="single" w:sz="8" w:color="auto"/>
            </w:tcBorders>
          </w:tcPr>
          <w:p>
            <w:pPr>
              <w:spacing w:after="0"/>
              <w:rPr>
                <w:sz w:val="2"/>
                <w:szCs w:val="2"/>
                <w:color w:val="auto"/>
              </w:rPr>
            </w:pPr>
          </w:p>
        </w:tc>
      </w:tr>
      <w:tr>
        <w:trPr>
          <w:trHeight w:val="252"/>
        </w:trPr>
        <w:tc>
          <w:tcPr>
            <w:tcW w:w="1040" w:type="dxa"/>
            <w:vAlign w:val="bottom"/>
          </w:tcPr>
          <w:p>
            <w:pPr>
              <w:ind w:left="40"/>
              <w:spacing w:after="0"/>
              <w:rPr>
                <w:sz w:val="20"/>
                <w:szCs w:val="20"/>
                <w:color w:val="auto"/>
              </w:rPr>
            </w:pPr>
            <w:r>
              <w:rPr>
                <w:rFonts w:ascii="Arial" w:cs="Arial" w:eastAsia="Arial" w:hAnsi="Arial"/>
                <w:sz w:val="18"/>
                <w:szCs w:val="18"/>
                <w:b w:val="1"/>
                <w:bCs w:val="1"/>
                <w:color w:val="auto"/>
              </w:rPr>
              <w:t>Name:</w:t>
            </w:r>
          </w:p>
        </w:tc>
        <w:tc>
          <w:tcPr>
            <w:tcW w:w="10380" w:type="dxa"/>
            <w:vAlign w:val="bottom"/>
          </w:tcPr>
          <w:p>
            <w:pPr>
              <w:ind w:left="480"/>
              <w:spacing w:after="0"/>
              <w:rPr>
                <w:sz w:val="20"/>
                <w:szCs w:val="20"/>
                <w:color w:val="auto"/>
              </w:rPr>
            </w:pPr>
            <w:r>
              <w:rPr>
                <w:rFonts w:ascii="Arial" w:cs="Arial" w:eastAsia="Arial" w:hAnsi="Arial"/>
                <w:sz w:val="14"/>
                <w:szCs w:val="14"/>
                <w:b w:val="1"/>
                <w:bCs w:val="1"/>
                <w:color w:val="auto"/>
              </w:rPr>
              <w:t>Rafael Santana</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b w:val="1"/>
                <w:bCs w:val="1"/>
                <w:color w:val="auto"/>
              </w:rPr>
              <w:t>Title:</w:t>
            </w:r>
          </w:p>
        </w:tc>
        <w:tc>
          <w:tcPr>
            <w:tcW w:w="10380" w:type="dxa"/>
            <w:vAlign w:val="bottom"/>
          </w:tcPr>
          <w:p>
            <w:pPr>
              <w:ind w:left="480"/>
              <w:spacing w:after="0"/>
              <w:rPr>
                <w:sz w:val="20"/>
                <w:szCs w:val="20"/>
                <w:color w:val="auto"/>
              </w:rPr>
            </w:pPr>
            <w:r>
              <w:rPr>
                <w:rFonts w:ascii="Arial" w:cs="Arial" w:eastAsia="Arial" w:hAnsi="Arial"/>
                <w:sz w:val="14"/>
                <w:szCs w:val="14"/>
                <w:b w:val="1"/>
                <w:bCs w:val="1"/>
                <w:color w:val="auto"/>
              </w:rPr>
              <w:t>President and Chief Executive Officer</w:t>
            </w:r>
          </w:p>
        </w:tc>
      </w:tr>
    </w:tbl>
    <w:p>
      <w:pPr>
        <w:sectPr>
          <w:pgSz w:w="11900" w:h="16838" w:orient="portrait"/>
          <w:cols w:equalWidth="0" w:num="1">
            <w:col w:w="11420"/>
          </w:cols>
          <w:pgMar w:left="240" w:top="580"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Patrick D. Dugan, certify that:</w:t>
      </w:r>
    </w:p>
    <w:p>
      <w:pPr>
        <w:spacing w:after="0" w:line="117" w:lineRule="exact"/>
        <w:rPr>
          <w:sz w:val="20"/>
          <w:szCs w:val="20"/>
          <w:color w:val="auto"/>
        </w:rPr>
      </w:pPr>
    </w:p>
    <w:p>
      <w:pPr>
        <w:ind w:left="680" w:hanging="172"/>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Westinghouse Air Brake Technologies Corporation.</w:t>
      </w:r>
    </w:p>
    <w:p>
      <w:pPr>
        <w:spacing w:after="0" w:line="117" w:lineRule="exact"/>
        <w:rPr>
          <w:rFonts w:ascii="Arial" w:cs="Arial" w:eastAsia="Arial" w:hAnsi="Arial"/>
          <w:sz w:val="18"/>
          <w:szCs w:val="18"/>
          <w:color w:val="auto"/>
        </w:rPr>
      </w:pPr>
    </w:p>
    <w:p>
      <w:pPr>
        <w:jc w:val="both"/>
        <w:ind w:right="260" w:firstLine="508"/>
        <w:spacing w:after="0" w:line="264" w:lineRule="auto"/>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73" w:lineRule="exact"/>
        <w:rPr>
          <w:rFonts w:ascii="Arial" w:cs="Arial" w:eastAsia="Arial" w:hAnsi="Arial"/>
          <w:sz w:val="18"/>
          <w:szCs w:val="18"/>
          <w:color w:val="auto"/>
        </w:rPr>
      </w:pPr>
    </w:p>
    <w:p>
      <w:pPr>
        <w:ind w:right="420" w:firstLine="508"/>
        <w:spacing w:after="0" w:line="342" w:lineRule="auto"/>
        <w:tabs>
          <w:tab w:leader="none" w:pos="6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5" w:lineRule="exact"/>
        <w:rPr>
          <w:rFonts w:ascii="Arial" w:cs="Arial" w:eastAsia="Arial" w:hAnsi="Arial"/>
          <w:sz w:val="16"/>
          <w:szCs w:val="16"/>
          <w:color w:val="auto"/>
        </w:rPr>
      </w:pPr>
    </w:p>
    <w:p>
      <w:pPr>
        <w:ind w:right="260" w:firstLine="508"/>
        <w:spacing w:after="0" w:line="264" w:lineRule="auto"/>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3" w:lineRule="exact"/>
        <w:rPr>
          <w:rFonts w:ascii="Arial" w:cs="Arial" w:eastAsia="Arial" w:hAnsi="Arial"/>
          <w:sz w:val="18"/>
          <w:szCs w:val="18"/>
          <w:color w:val="auto"/>
        </w:rPr>
      </w:pPr>
    </w:p>
    <w:p>
      <w:pPr>
        <w:ind w:right="140" w:firstLine="1007"/>
        <w:spacing w:after="0" w:line="264" w:lineRule="auto"/>
        <w:tabs>
          <w:tab w:leader="none" w:pos="1244"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73" w:lineRule="exact"/>
        <w:rPr>
          <w:rFonts w:ascii="Arial" w:cs="Arial" w:eastAsia="Arial" w:hAnsi="Arial"/>
          <w:sz w:val="18"/>
          <w:szCs w:val="18"/>
          <w:color w:val="auto"/>
        </w:rPr>
      </w:pPr>
    </w:p>
    <w:p>
      <w:pPr>
        <w:ind w:right="20" w:firstLine="1007"/>
        <w:spacing w:after="0" w:line="264" w:lineRule="auto"/>
        <w:tabs>
          <w:tab w:leader="none" w:pos="1254"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40" w:firstLine="1007"/>
        <w:spacing w:after="0" w:line="342" w:lineRule="auto"/>
        <w:tabs>
          <w:tab w:leader="none" w:pos="1244"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5" w:lineRule="exact"/>
        <w:rPr>
          <w:rFonts w:ascii="Arial" w:cs="Arial" w:eastAsia="Arial" w:hAnsi="Arial"/>
          <w:sz w:val="16"/>
          <w:szCs w:val="16"/>
          <w:color w:val="auto"/>
        </w:rPr>
      </w:pPr>
    </w:p>
    <w:p>
      <w:pPr>
        <w:jc w:val="both"/>
        <w:ind w:right="100" w:firstLine="1007"/>
        <w:spacing w:after="0" w:line="342" w:lineRule="auto"/>
        <w:tabs>
          <w:tab w:leader="none" w:pos="1254" w:val="left"/>
        </w:tabs>
        <w:numPr>
          <w:ilvl w:val="1"/>
          <w:numId w:val="15"/>
        </w:numPr>
        <w:rPr>
          <w:rFonts w:ascii="Arial" w:cs="Arial" w:eastAsia="Arial" w:hAnsi="Arial"/>
          <w:sz w:val="16"/>
          <w:szCs w:val="16"/>
          <w:color w:val="auto"/>
        </w:rPr>
      </w:pPr>
      <w:r>
        <w:rPr>
          <w:rFonts w:ascii="Arial" w:cs="Arial" w:eastAsia="Arial" w:hAnsi="Arial"/>
          <w:sz w:val="16"/>
          <w:szCs w:val="16"/>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 w:lineRule="exact"/>
        <w:rPr>
          <w:rFonts w:ascii="Arial" w:cs="Arial" w:eastAsia="Arial" w:hAnsi="Arial"/>
          <w:sz w:val="16"/>
          <w:szCs w:val="16"/>
          <w:color w:val="auto"/>
        </w:rPr>
      </w:pPr>
    </w:p>
    <w:p>
      <w:pPr>
        <w:ind w:right="80" w:firstLine="508"/>
        <w:spacing w:after="0" w:line="308" w:lineRule="auto"/>
        <w:tabs>
          <w:tab w:leader="none" w:pos="6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right="680" w:firstLine="1007"/>
        <w:spacing w:after="0" w:line="308" w:lineRule="auto"/>
        <w:tabs>
          <w:tab w:leader="none" w:pos="1244" w:val="left"/>
        </w:tabs>
        <w:numPr>
          <w:ilvl w:val="1"/>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right="360" w:firstLine="1007"/>
        <w:spacing w:after="0" w:line="277" w:lineRule="auto"/>
        <w:tabs>
          <w:tab w:leader="none" w:pos="1254"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August 1, 2019</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040" w:type="dxa"/>
            <w:vAlign w:val="bottom"/>
          </w:tcPr>
          <w:p>
            <w:pPr>
              <w:ind w:left="40"/>
              <w:spacing w:after="0"/>
              <w:rPr>
                <w:sz w:val="20"/>
                <w:szCs w:val="20"/>
                <w:color w:val="auto"/>
              </w:rPr>
            </w:pPr>
            <w:r>
              <w:rPr>
                <w:rFonts w:ascii="Arial" w:cs="Arial" w:eastAsia="Arial" w:hAnsi="Arial"/>
                <w:sz w:val="18"/>
                <w:szCs w:val="18"/>
                <w:color w:val="auto"/>
              </w:rPr>
              <w:t>By:</w:t>
            </w:r>
          </w:p>
        </w:tc>
        <w:tc>
          <w:tcPr>
            <w:tcW w:w="10380" w:type="dxa"/>
            <w:vAlign w:val="bottom"/>
          </w:tcPr>
          <w:p>
            <w:pPr>
              <w:ind w:left="4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P</w:t>
            </w:r>
            <w:r>
              <w:rPr>
                <w:rFonts w:ascii="Arial" w:cs="Arial" w:eastAsia="Arial" w:hAnsi="Arial"/>
                <w:sz w:val="14"/>
                <w:szCs w:val="14"/>
                <w:color w:val="auto"/>
              </w:rPr>
              <w:t>ATRICK</w:t>
            </w:r>
            <w:r>
              <w:rPr>
                <w:rFonts w:ascii="Arial" w:cs="Arial" w:eastAsia="Arial" w:hAnsi="Arial"/>
                <w:sz w:val="18"/>
                <w:szCs w:val="18"/>
                <w:color w:val="auto"/>
              </w:rPr>
              <w:t xml:space="preserve"> D. D</w:t>
            </w:r>
            <w:r>
              <w:rPr>
                <w:rFonts w:ascii="Arial" w:cs="Arial" w:eastAsia="Arial" w:hAnsi="Arial"/>
                <w:sz w:val="14"/>
                <w:szCs w:val="14"/>
                <w:color w:val="auto"/>
              </w:rPr>
              <w:t>UGAN</w:t>
            </w:r>
          </w:p>
        </w:tc>
      </w:tr>
      <w:tr>
        <w:trPr>
          <w:trHeight w:val="27"/>
        </w:trPr>
        <w:tc>
          <w:tcPr>
            <w:tcW w:w="1040" w:type="dxa"/>
            <w:vAlign w:val="bottom"/>
            <w:tcBorders>
              <w:bottom w:val="single" w:sz="8" w:color="auto"/>
            </w:tcBorders>
          </w:tcPr>
          <w:p>
            <w:pPr>
              <w:spacing w:after="0"/>
              <w:rPr>
                <w:sz w:val="2"/>
                <w:szCs w:val="2"/>
                <w:color w:val="auto"/>
              </w:rPr>
            </w:pPr>
          </w:p>
        </w:tc>
        <w:tc>
          <w:tcPr>
            <w:tcW w:w="10380" w:type="dxa"/>
            <w:vAlign w:val="bottom"/>
            <w:tcBorders>
              <w:bottom w:val="single" w:sz="8" w:color="auto"/>
            </w:tcBorders>
          </w:tcPr>
          <w:p>
            <w:pPr>
              <w:spacing w:after="0"/>
              <w:rPr>
                <w:sz w:val="2"/>
                <w:szCs w:val="2"/>
                <w:color w:val="auto"/>
              </w:rPr>
            </w:pPr>
          </w:p>
        </w:tc>
      </w:tr>
      <w:tr>
        <w:trPr>
          <w:trHeight w:val="252"/>
        </w:trPr>
        <w:tc>
          <w:tcPr>
            <w:tcW w:w="1040" w:type="dxa"/>
            <w:vAlign w:val="bottom"/>
          </w:tcPr>
          <w:p>
            <w:pPr>
              <w:ind w:left="40"/>
              <w:spacing w:after="0"/>
              <w:rPr>
                <w:sz w:val="20"/>
                <w:szCs w:val="20"/>
                <w:color w:val="auto"/>
              </w:rPr>
            </w:pPr>
            <w:r>
              <w:rPr>
                <w:rFonts w:ascii="Arial" w:cs="Arial" w:eastAsia="Arial" w:hAnsi="Arial"/>
                <w:sz w:val="18"/>
                <w:szCs w:val="18"/>
                <w:b w:val="1"/>
                <w:bCs w:val="1"/>
                <w:color w:val="auto"/>
              </w:rPr>
              <w:t>Name:</w:t>
            </w:r>
          </w:p>
        </w:tc>
        <w:tc>
          <w:tcPr>
            <w:tcW w:w="10380" w:type="dxa"/>
            <w:vAlign w:val="bottom"/>
          </w:tcPr>
          <w:p>
            <w:pPr>
              <w:ind w:left="480"/>
              <w:spacing w:after="0"/>
              <w:rPr>
                <w:sz w:val="20"/>
                <w:szCs w:val="20"/>
                <w:color w:val="auto"/>
              </w:rPr>
            </w:pPr>
            <w:r>
              <w:rPr>
                <w:rFonts w:ascii="Arial" w:cs="Arial" w:eastAsia="Arial" w:hAnsi="Arial"/>
                <w:sz w:val="14"/>
                <w:szCs w:val="14"/>
                <w:b w:val="1"/>
                <w:bCs w:val="1"/>
                <w:color w:val="auto"/>
              </w:rPr>
              <w:t>Patrick D. Dugan</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b w:val="1"/>
                <w:bCs w:val="1"/>
                <w:color w:val="auto"/>
              </w:rPr>
              <w:t>Title:</w:t>
            </w:r>
          </w:p>
        </w:tc>
        <w:tc>
          <w:tcPr>
            <w:tcW w:w="10380" w:type="dxa"/>
            <w:vAlign w:val="bottom"/>
          </w:tcPr>
          <w:p>
            <w:pPr>
              <w:ind w:left="480"/>
              <w:spacing w:after="0"/>
              <w:rPr>
                <w:sz w:val="20"/>
                <w:szCs w:val="20"/>
                <w:color w:val="auto"/>
              </w:rPr>
            </w:pPr>
            <w:r>
              <w:rPr>
                <w:rFonts w:ascii="Arial" w:cs="Arial" w:eastAsia="Arial" w:hAnsi="Arial"/>
                <w:sz w:val="14"/>
                <w:szCs w:val="14"/>
                <w:b w:val="1"/>
                <w:bCs w:val="1"/>
                <w:color w:val="auto"/>
              </w:rPr>
              <w:t>Executive Vice President and Chief Financial Officer</w:t>
            </w:r>
          </w:p>
        </w:tc>
      </w:tr>
    </w:tbl>
    <w:p>
      <w:pPr>
        <w:sectPr>
          <w:pgSz w:w="11900" w:h="16838" w:orient="portrait"/>
          <w:cols w:equalWidth="0" w:num="1">
            <w:col w:w="11420"/>
          </w:cols>
          <w:pgMar w:left="240" w:top="580"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80" w:firstLine="500"/>
        <w:spacing w:after="0" w:line="259" w:lineRule="auto"/>
        <w:rPr>
          <w:sz w:val="20"/>
          <w:szCs w:val="20"/>
          <w:color w:val="auto"/>
        </w:rPr>
      </w:pPr>
      <w:r>
        <w:rPr>
          <w:rFonts w:ascii="Arial" w:cs="Arial" w:eastAsia="Arial" w:hAnsi="Arial"/>
          <w:sz w:val="18"/>
          <w:szCs w:val="18"/>
          <w:color w:val="auto"/>
        </w:rPr>
        <w:t>Pursuant to 18 U.S.C. § 1350, the undersigned officers of Westinghouse Air Brake Technologies Corporation (the “</w:t>
      </w:r>
      <w:r>
        <w:rPr>
          <w:rFonts w:ascii="Arial" w:cs="Arial" w:eastAsia="Arial" w:hAnsi="Arial"/>
          <w:sz w:val="18"/>
          <w:szCs w:val="18"/>
          <w:i w:val="1"/>
          <w:iCs w:val="1"/>
          <w:color w:val="auto"/>
        </w:rPr>
        <w:t>Company</w:t>
      </w:r>
      <w:r>
        <w:rPr>
          <w:rFonts w:ascii="Arial" w:cs="Arial" w:eastAsia="Arial" w:hAnsi="Arial"/>
          <w:sz w:val="18"/>
          <w:szCs w:val="18"/>
          <w:color w:val="auto"/>
        </w:rPr>
        <w:t>”), hereby certify, to the best of their knowledge, that the Company’s Quarterly Report on Form 10-Q for the quarter ended June 30, 2019 (the “</w:t>
      </w:r>
      <w:r>
        <w:rPr>
          <w:rFonts w:ascii="Arial" w:cs="Arial" w:eastAsia="Arial" w:hAnsi="Arial"/>
          <w:sz w:val="18"/>
          <w:szCs w:val="18"/>
          <w:i w:val="1"/>
          <w:iCs w:val="1"/>
          <w:color w:val="auto"/>
        </w:rPr>
        <w:t>Report</w:t>
      </w:r>
      <w:r>
        <w:rPr>
          <w:rFonts w:ascii="Arial" w:cs="Arial" w:eastAsia="Arial" w:hAnsi="Arial"/>
          <w:sz w:val="18"/>
          <w:szCs w:val="18"/>
          <w:color w:val="auto"/>
        </w:rPr>
        <w: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39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460" w:type="dxa"/>
            <w:vAlign w:val="bottom"/>
          </w:tcPr>
          <w:p>
            <w:pPr>
              <w:spacing w:after="0"/>
              <w:rPr>
                <w:sz w:val="20"/>
                <w:szCs w:val="20"/>
                <w:color w:val="auto"/>
              </w:rPr>
            </w:pPr>
            <w:r>
              <w:rPr>
                <w:rFonts w:ascii="Arial" w:cs="Arial" w:eastAsia="Arial" w:hAnsi="Arial"/>
                <w:sz w:val="18"/>
                <w:szCs w:val="18"/>
                <w:color w:val="auto"/>
              </w:rPr>
              <w:t>By:</w:t>
            </w:r>
          </w:p>
        </w:tc>
        <w:tc>
          <w:tcPr>
            <w:tcW w:w="280" w:type="dxa"/>
            <w:vAlign w:val="bottom"/>
          </w:tcPr>
          <w:p>
            <w:pPr>
              <w:ind w:left="20"/>
              <w:spacing w:after="0"/>
              <w:rPr>
                <w:sz w:val="20"/>
                <w:szCs w:val="20"/>
                <w:color w:val="auto"/>
              </w:rPr>
            </w:pPr>
            <w:r>
              <w:rPr>
                <w:rFonts w:ascii="Arial" w:cs="Arial" w:eastAsia="Arial" w:hAnsi="Arial"/>
                <w:sz w:val="18"/>
                <w:szCs w:val="18"/>
                <w:color w:val="auto"/>
              </w:rPr>
              <w:t>/s/</w:t>
            </w:r>
          </w:p>
        </w:tc>
        <w:tc>
          <w:tcPr>
            <w:tcW w:w="9640" w:type="dxa"/>
            <w:vAlign w:val="bottom"/>
          </w:tcPr>
          <w:p>
            <w:pPr>
              <w:ind w:left="10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AFAEL SANTANA</w:t>
            </w:r>
          </w:p>
        </w:tc>
      </w:tr>
      <w:tr>
        <w:trPr>
          <w:trHeight w:val="27"/>
        </w:trPr>
        <w:tc>
          <w:tcPr>
            <w:tcW w:w="1460" w:type="dxa"/>
            <w:vAlign w:val="bottom"/>
          </w:tcPr>
          <w:p>
            <w:pPr>
              <w:spacing w:after="0"/>
              <w:rPr>
                <w:sz w:val="2"/>
                <w:szCs w:val="2"/>
                <w:color w:val="auto"/>
              </w:rPr>
            </w:pPr>
          </w:p>
        </w:tc>
        <w:tc>
          <w:tcPr>
            <w:tcW w:w="9920" w:type="dxa"/>
            <w:vAlign w:val="bottom"/>
            <w:tcBorders>
              <w:bottom w:val="single" w:sz="8" w:color="auto"/>
            </w:tcBorders>
            <w:gridSpan w:val="2"/>
          </w:tcPr>
          <w:p>
            <w:pPr>
              <w:spacing w:after="0"/>
              <w:rPr>
                <w:sz w:val="2"/>
                <w:szCs w:val="2"/>
                <w:color w:val="auto"/>
              </w:rPr>
            </w:pPr>
          </w:p>
        </w:tc>
      </w:tr>
      <w:tr>
        <w:trPr>
          <w:trHeight w:val="146"/>
        </w:trPr>
        <w:tc>
          <w:tcPr>
            <w:tcW w:w="1460" w:type="dxa"/>
            <w:vAlign w:val="bottom"/>
          </w:tcPr>
          <w:p>
            <w:pPr>
              <w:spacing w:after="0"/>
              <w:rPr>
                <w:sz w:val="12"/>
                <w:szCs w:val="12"/>
                <w:color w:val="auto"/>
              </w:rPr>
            </w:pPr>
          </w:p>
        </w:tc>
        <w:tc>
          <w:tcPr>
            <w:tcW w:w="992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Rafael Santana</w:t>
            </w:r>
          </w:p>
        </w:tc>
      </w:tr>
      <w:tr>
        <w:trPr>
          <w:trHeight w:val="186"/>
        </w:trPr>
        <w:tc>
          <w:tcPr>
            <w:tcW w:w="1460" w:type="dxa"/>
            <w:vAlign w:val="bottom"/>
          </w:tcPr>
          <w:p>
            <w:pPr>
              <w:spacing w:after="0"/>
              <w:rPr>
                <w:sz w:val="16"/>
                <w:szCs w:val="16"/>
                <w:color w:val="auto"/>
              </w:rPr>
            </w:pPr>
          </w:p>
        </w:tc>
        <w:tc>
          <w:tcPr>
            <w:tcW w:w="9920" w:type="dxa"/>
            <w:vAlign w:val="bottom"/>
            <w:gridSpan w:val="2"/>
          </w:tcPr>
          <w:p>
            <w:pPr>
              <w:ind w:left="20"/>
              <w:spacing w:after="0"/>
              <w:rPr>
                <w:sz w:val="20"/>
                <w:szCs w:val="20"/>
                <w:color w:val="auto"/>
              </w:rPr>
            </w:pPr>
            <w:r>
              <w:rPr>
                <w:rFonts w:ascii="Arial" w:cs="Arial" w:eastAsia="Arial" w:hAnsi="Arial"/>
                <w:sz w:val="14"/>
                <w:szCs w:val="14"/>
                <w:b w:val="1"/>
                <w:bCs w:val="1"/>
                <w:color w:val="auto"/>
              </w:rPr>
              <w:t>President and Chief Executive Officer</w:t>
            </w:r>
          </w:p>
        </w:tc>
      </w:tr>
      <w:tr>
        <w:trPr>
          <w:trHeight w:val="255"/>
        </w:trPr>
        <w:tc>
          <w:tcPr>
            <w:tcW w:w="146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9920" w:type="dxa"/>
            <w:vAlign w:val="bottom"/>
            <w:gridSpan w:val="2"/>
          </w:tcPr>
          <w:p>
            <w:pPr>
              <w:ind w:left="20"/>
              <w:spacing w:after="0"/>
              <w:rPr>
                <w:sz w:val="20"/>
                <w:szCs w:val="20"/>
                <w:color w:val="auto"/>
              </w:rPr>
            </w:pPr>
            <w:r>
              <w:rPr>
                <w:rFonts w:ascii="Arial" w:cs="Arial" w:eastAsia="Arial" w:hAnsi="Arial"/>
                <w:sz w:val="18"/>
                <w:szCs w:val="18"/>
                <w:color w:val="auto"/>
              </w:rPr>
              <w:t>August 1, 2019</w:t>
            </w:r>
          </w:p>
        </w:tc>
      </w:tr>
      <w:tr>
        <w:trPr>
          <w:trHeight w:val="554"/>
        </w:trPr>
        <w:tc>
          <w:tcPr>
            <w:tcW w:w="1460" w:type="dxa"/>
            <w:vAlign w:val="bottom"/>
          </w:tcPr>
          <w:p>
            <w:pPr>
              <w:spacing w:after="0"/>
              <w:rPr>
                <w:sz w:val="20"/>
                <w:szCs w:val="20"/>
                <w:color w:val="auto"/>
              </w:rPr>
            </w:pPr>
            <w:r>
              <w:rPr>
                <w:rFonts w:ascii="Arial" w:cs="Arial" w:eastAsia="Arial" w:hAnsi="Arial"/>
                <w:sz w:val="18"/>
                <w:szCs w:val="18"/>
                <w:color w:val="auto"/>
              </w:rPr>
              <w:t>By:</w:t>
            </w:r>
          </w:p>
        </w:tc>
        <w:tc>
          <w:tcPr>
            <w:tcW w:w="280" w:type="dxa"/>
            <w:vAlign w:val="bottom"/>
          </w:tcPr>
          <w:p>
            <w:pPr>
              <w:ind w:left="20"/>
              <w:spacing w:after="0"/>
              <w:rPr>
                <w:sz w:val="20"/>
                <w:szCs w:val="20"/>
                <w:color w:val="auto"/>
              </w:rPr>
            </w:pPr>
            <w:r>
              <w:rPr>
                <w:rFonts w:ascii="Arial" w:cs="Arial" w:eastAsia="Arial" w:hAnsi="Arial"/>
                <w:sz w:val="18"/>
                <w:szCs w:val="18"/>
                <w:color w:val="auto"/>
              </w:rPr>
              <w:t>/s/</w:t>
            </w:r>
          </w:p>
        </w:tc>
        <w:tc>
          <w:tcPr>
            <w:tcW w:w="9640" w:type="dxa"/>
            <w:vAlign w:val="bottom"/>
          </w:tcPr>
          <w:p>
            <w:pPr>
              <w:ind w:left="10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ATRICK</w:t>
            </w:r>
            <w:r>
              <w:rPr>
                <w:rFonts w:ascii="Arial" w:cs="Arial" w:eastAsia="Arial" w:hAnsi="Arial"/>
                <w:sz w:val="18"/>
                <w:szCs w:val="18"/>
                <w:color w:val="auto"/>
              </w:rPr>
              <w:t xml:space="preserve"> D. D</w:t>
            </w:r>
            <w:r>
              <w:rPr>
                <w:rFonts w:ascii="Arial" w:cs="Arial" w:eastAsia="Arial" w:hAnsi="Arial"/>
                <w:sz w:val="14"/>
                <w:szCs w:val="14"/>
                <w:color w:val="auto"/>
              </w:rPr>
              <w:t>UGAN</w:t>
            </w:r>
          </w:p>
        </w:tc>
      </w:tr>
      <w:tr>
        <w:trPr>
          <w:trHeight w:val="27"/>
        </w:trPr>
        <w:tc>
          <w:tcPr>
            <w:tcW w:w="1460" w:type="dxa"/>
            <w:vAlign w:val="bottom"/>
          </w:tcPr>
          <w:p>
            <w:pPr>
              <w:spacing w:after="0"/>
              <w:rPr>
                <w:sz w:val="2"/>
                <w:szCs w:val="2"/>
                <w:color w:val="auto"/>
              </w:rPr>
            </w:pPr>
          </w:p>
        </w:tc>
        <w:tc>
          <w:tcPr>
            <w:tcW w:w="9920" w:type="dxa"/>
            <w:vAlign w:val="bottom"/>
            <w:tcBorders>
              <w:bottom w:val="single" w:sz="8" w:color="auto"/>
            </w:tcBorders>
            <w:gridSpan w:val="2"/>
          </w:tcPr>
          <w:p>
            <w:pPr>
              <w:spacing w:after="0"/>
              <w:rPr>
                <w:sz w:val="2"/>
                <w:szCs w:val="2"/>
                <w:color w:val="auto"/>
              </w:rPr>
            </w:pPr>
          </w:p>
        </w:tc>
      </w:tr>
      <w:tr>
        <w:trPr>
          <w:trHeight w:val="146"/>
        </w:trPr>
        <w:tc>
          <w:tcPr>
            <w:tcW w:w="1460" w:type="dxa"/>
            <w:vAlign w:val="bottom"/>
          </w:tcPr>
          <w:p>
            <w:pPr>
              <w:spacing w:after="0"/>
              <w:rPr>
                <w:sz w:val="12"/>
                <w:szCs w:val="12"/>
                <w:color w:val="auto"/>
              </w:rPr>
            </w:pPr>
          </w:p>
        </w:tc>
        <w:tc>
          <w:tcPr>
            <w:tcW w:w="992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Patrick D. Dugan,</w:t>
            </w:r>
          </w:p>
        </w:tc>
      </w:tr>
      <w:tr>
        <w:trPr>
          <w:trHeight w:val="186"/>
        </w:trPr>
        <w:tc>
          <w:tcPr>
            <w:tcW w:w="1460" w:type="dxa"/>
            <w:vAlign w:val="bottom"/>
          </w:tcPr>
          <w:p>
            <w:pPr>
              <w:spacing w:after="0"/>
              <w:rPr>
                <w:sz w:val="16"/>
                <w:szCs w:val="16"/>
                <w:color w:val="auto"/>
              </w:rPr>
            </w:pPr>
          </w:p>
        </w:tc>
        <w:tc>
          <w:tcPr>
            <w:tcW w:w="9920" w:type="dxa"/>
            <w:vAlign w:val="bottom"/>
            <w:gridSpan w:val="2"/>
          </w:tcPr>
          <w:p>
            <w:pPr>
              <w:ind w:left="20"/>
              <w:spacing w:after="0"/>
              <w:rPr>
                <w:sz w:val="20"/>
                <w:szCs w:val="20"/>
                <w:color w:val="auto"/>
              </w:rPr>
            </w:pPr>
            <w:r>
              <w:rPr>
                <w:rFonts w:ascii="Arial" w:cs="Arial" w:eastAsia="Arial" w:hAnsi="Arial"/>
                <w:sz w:val="14"/>
                <w:szCs w:val="14"/>
                <w:b w:val="1"/>
                <w:bCs w:val="1"/>
                <w:color w:val="auto"/>
              </w:rPr>
              <w:t>Executive Vice President and Chief Financial Officer</w:t>
            </w:r>
          </w:p>
        </w:tc>
      </w:tr>
      <w:tr>
        <w:trPr>
          <w:trHeight w:val="255"/>
        </w:trPr>
        <w:tc>
          <w:tcPr>
            <w:tcW w:w="146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9920" w:type="dxa"/>
            <w:vAlign w:val="bottom"/>
            <w:gridSpan w:val="2"/>
          </w:tcPr>
          <w:p>
            <w:pPr>
              <w:ind w:left="20"/>
              <w:spacing w:after="0"/>
              <w:rPr>
                <w:sz w:val="20"/>
                <w:szCs w:val="20"/>
                <w:color w:val="auto"/>
              </w:rPr>
            </w:pPr>
            <w:r>
              <w:rPr>
                <w:rFonts w:ascii="Arial" w:cs="Arial" w:eastAsia="Arial" w:hAnsi="Arial"/>
                <w:sz w:val="18"/>
                <w:szCs w:val="18"/>
                <w:color w:val="auto"/>
              </w:rPr>
              <w:t>August 1, 2019</w:t>
            </w: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decimal"/>
      <w:start w:val="9"/>
    </w:lvl>
  </w:abstractNum>
  <w:abstractNum w:abstractNumId="5">
    <w:nsid w:val="216231B"/>
    <w:multiLevelType w:val="hybridMultilevel"/>
    <w:lvl w:ilvl="0">
      <w:lvlJc w:val="left"/>
      <w:lvlText w:val="&amp;"/>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amp;"/>
      <w:numFmt w:val="bullet"/>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2019-12-28T09:37:21Z</dcterms:created>
  <dcterms:modified xsi:type="dcterms:W3CDTF">2019-12-28T09:37:21Z</dcterms:modified>
</cp:coreProperties>
</file>