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196" w:lineRule="exact"/>
        <w:rPr>
          <w:sz w:val="24"/>
          <w:szCs w:val="24"/>
          <w:color w:val="auto"/>
        </w:rPr>
      </w:pPr>
    </w:p>
    <w:p>
      <w:pPr>
        <w:jc w:val="center"/>
        <w:spacing w:after="0" w:line="281" w:lineRule="auto"/>
        <w:rPr>
          <w:sz w:val="20"/>
          <w:szCs w:val="20"/>
          <w:color w:val="auto"/>
        </w:rPr>
      </w:pPr>
      <w:r>
        <w:rPr>
          <w:rFonts w:ascii="Times New Roman" w:cs="Times New Roman" w:eastAsia="Times New Roman" w:hAnsi="Times New Roman"/>
          <w:sz w:val="43"/>
          <w:szCs w:val="43"/>
          <w:b w:val="1"/>
          <w:bCs w:val="1"/>
          <w:color w:val="auto"/>
        </w:rPr>
        <w:t>WESTINGHOUSE AIR BRAKE TECHNOLOGIES CORPORATION</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460" w:type="dxa"/>
            <w:vAlign w:val="bottom"/>
          </w:tcPr>
          <w:p>
            <w:pPr>
              <w:jc w:val="center"/>
              <w:ind w:right="301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16"/>
        </w:trPr>
        <w:tc>
          <w:tcPr>
            <w:tcW w:w="3200" w:type="dxa"/>
            <w:vAlign w:val="bottom"/>
          </w:tcPr>
          <w:p>
            <w:pPr>
              <w:spacing w:after="0"/>
              <w:rPr>
                <w:sz w:val="18"/>
                <w:szCs w:val="18"/>
                <w:color w:val="auto"/>
              </w:rPr>
            </w:pPr>
          </w:p>
        </w:tc>
        <w:tc>
          <w:tcPr>
            <w:tcW w:w="5460" w:type="dxa"/>
            <w:vAlign w:val="bottom"/>
          </w:tcPr>
          <w:p>
            <w:pPr>
              <w:jc w:val="center"/>
              <w:ind w:right="30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r>
      <w:tr>
        <w:trPr>
          <w:trHeight w:val="216"/>
        </w:trPr>
        <w:tc>
          <w:tcPr>
            <w:tcW w:w="3200" w:type="dxa"/>
            <w:vAlign w:val="bottom"/>
          </w:tcPr>
          <w:p>
            <w:pPr>
              <w:spacing w:after="0"/>
              <w:rPr>
                <w:sz w:val="18"/>
                <w:szCs w:val="18"/>
                <w:color w:val="auto"/>
              </w:rPr>
            </w:pPr>
          </w:p>
        </w:tc>
        <w:tc>
          <w:tcPr>
            <w:tcW w:w="54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rPr>
              <w:t>of Incorporation)</w:t>
            </w:r>
          </w:p>
        </w:tc>
      </w:tr>
      <w:tr>
        <w:trPr>
          <w:trHeight w:val="216"/>
        </w:trPr>
        <w:tc>
          <w:tcPr>
            <w:tcW w:w="3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033-90866</w:t>
            </w:r>
          </w:p>
        </w:tc>
        <w:tc>
          <w:tcPr>
            <w:tcW w:w="54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25-1615902</w:t>
            </w:r>
          </w:p>
        </w:tc>
      </w:tr>
      <w:tr>
        <w:trPr>
          <w:trHeight w:val="238"/>
        </w:trPr>
        <w:tc>
          <w:tcPr>
            <w:tcW w:w="3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(Commission File No.)</w:t>
            </w:r>
          </w:p>
        </w:tc>
        <w:tc>
          <w:tcPr>
            <w:tcW w:w="546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3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Isabella Street</w:t>
            </w:r>
          </w:p>
        </w:tc>
        <w:tc>
          <w:tcPr>
            <w:tcW w:w="5460" w:type="dxa"/>
            <w:vAlign w:val="bottom"/>
          </w:tcPr>
          <w:p>
            <w:pPr>
              <w:spacing w:after="0"/>
              <w:rPr>
                <w:sz w:val="24"/>
                <w:szCs w:val="24"/>
                <w:color w:val="auto"/>
              </w:rPr>
            </w:pPr>
          </w:p>
        </w:tc>
      </w:tr>
      <w:tr>
        <w:trPr>
          <w:trHeight w:val="216"/>
        </w:trPr>
        <w:tc>
          <w:tcPr>
            <w:tcW w:w="3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546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15212</w:t>
            </w:r>
          </w:p>
        </w:tc>
      </w:tr>
      <w:tr>
        <w:trPr>
          <w:trHeight w:val="238"/>
        </w:trPr>
        <w:tc>
          <w:tcPr>
            <w:tcW w:w="3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46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(412) 825-1000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500"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41"/>
        </w:trPr>
        <w:tc>
          <w:tcPr>
            <w:tcW w:w="4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Title of Each Class</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4"/>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WAB</w:t>
            </w:r>
          </w:p>
        </w:tc>
        <w:tc>
          <w:tcPr>
            <w:tcW w:w="14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of the Company held on May 12, 2026 (the “Annual Meeting”), management proposals 1, 2 and 3 were approved. The proposals below are described in detail in the Company’s proxy statement for the Annual Meeting, dated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election of three directors for a three-year term expiring in 2029: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6"/>
        </w:trPr>
        <w:tc>
          <w:tcPr>
            <w:tcW w:w="36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Rafael Santana</w:t>
            </w:r>
          </w:p>
        </w:tc>
        <w:tc>
          <w:tcPr>
            <w:tcW w:w="19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135,039,022</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11,660,882</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92,502</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7,250,987</w:t>
            </w:r>
          </w:p>
        </w:tc>
      </w:tr>
      <w:tr>
        <w:trPr>
          <w:trHeight w:val="223"/>
        </w:trPr>
        <w:tc>
          <w:tcPr>
            <w:tcW w:w="36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6"/>
        </w:trPr>
        <w:tc>
          <w:tcPr>
            <w:tcW w:w="36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C. Banks</w:t>
            </w:r>
          </w:p>
        </w:tc>
        <w:tc>
          <w:tcPr>
            <w:tcW w:w="19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126,867,017</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19,833,906</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91,483</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7,250,987</w:t>
            </w:r>
          </w:p>
        </w:tc>
      </w:tr>
      <w:tr>
        <w:trPr>
          <w:trHeight w:val="223"/>
        </w:trPr>
        <w:tc>
          <w:tcPr>
            <w:tcW w:w="36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6"/>
        </w:trPr>
        <w:tc>
          <w:tcPr>
            <w:tcW w:w="36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Byron S. Foster</w:t>
            </w:r>
          </w:p>
        </w:tc>
        <w:tc>
          <w:tcPr>
            <w:tcW w:w="19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134,839,590</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11,861,208</w:t>
            </w:r>
          </w:p>
        </w:tc>
        <w:tc>
          <w:tcPr>
            <w:tcW w:w="1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91,608</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7,250,987</w:t>
            </w:r>
          </w:p>
        </w:tc>
      </w:tr>
      <w:tr>
        <w:trPr>
          <w:trHeight w:val="223"/>
        </w:trPr>
        <w:tc>
          <w:tcPr>
            <w:tcW w:w="36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approval of an advisory (non-binding) resolution relating to 2025 named executive officer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8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135,106,344</w:t>
            </w:r>
          </w:p>
        </w:tc>
        <w:tc>
          <w:tcPr>
            <w:tcW w:w="2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11,322,714</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363,348</w:t>
            </w: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7,250,987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Ratification of the appointment of Ernst &amp; Young LLP as independent registered public accounting firm for the 2026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8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139,400,395</w:t>
            </w:r>
          </w:p>
        </w:tc>
        <w:tc>
          <w:tcPr>
            <w:tcW w:w="2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14,520,740</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122,258</w:t>
            </w: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398"/>
        </w:trPr>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WESTINGHOUSE AIR BRAKE TECHNOLOGIES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DeNinno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David L. DeNinno</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2026-05-15T15:21:50Z</dcterms:created>
  <dcterms:modified xsi:type="dcterms:W3CDTF">2026-05-15T15:21:50Z</dcterms:modified>
</cp:coreProperties>
</file>