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17, 2026, there were 169,677,346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2026</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March 31, 2026 and December 31, 2025</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months ended March 31, 2026 and 2025</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March 31, 2026 and 2025</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top w:val="single" w:sz="8" w:color="0000FF"/>
              <w:bottom w:val="single" w:sz="8" w:color="0000FF"/>
            </w:tcBorders>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2026 and 2025</w:t>
            </w:r>
          </w:p>
        </w:tc>
        <w:tc>
          <w:tcPr>
            <w:tcW w:w="82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786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months ended March 31, 2026 and 2025</w:t>
            </w:r>
          </w:p>
        </w:tc>
        <w:tc>
          <w:tcPr>
            <w:tcW w:w="170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26</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84"/>
              <w:spacing w:after="0" w:line="123"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3,838</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4,291</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10,879</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5"/>
                <w:szCs w:val="15"/>
                <w:color w:val="auto"/>
              </w:rPr>
              <w:t>Common stock, $.01 par value; 500.0 shares authorized and 171.9 shares issued; 169.9 and 170.6 outstanding at March 31, 2026</w:t>
            </w:r>
          </w:p>
        </w:tc>
        <w:tc>
          <w:tcPr>
            <w:tcW w:w="2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and December 31, 2025, respectively</w:t>
            </w: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8,069</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Treasury stock, at cost, 2.0 and 1.3 shares, at March 31, 2026 and December 31, 2025, respectively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3,878</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20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9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9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77"/>
              <w:spacing w:after="0" w:line="153"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20" w:type="dxa"/>
            <w:vAlign w:val="bottom"/>
            <w:tcBorders>
              <w:bottom w:val="single" w:sz="8" w:color="auto"/>
            </w:tcBorders>
          </w:tcPr>
          <w:p>
            <w:pPr>
              <w:spacing w:after="0"/>
              <w:rPr>
                <w:sz w:val="16"/>
                <w:szCs w:val="16"/>
                <w:color w:val="auto"/>
              </w:rPr>
            </w:pPr>
          </w:p>
        </w:tc>
      </w:tr>
      <w:tr>
        <w:trPr>
          <w:trHeight w:val="142"/>
        </w:trPr>
        <w:tc>
          <w:tcPr>
            <w:tcW w:w="8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6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1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r>
      <w:tr>
        <w:trPr>
          <w:trHeight w:val="22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ind w:left="86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right"/>
              <w:ind w:right="775"/>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360" w:type="dxa"/>
            <w:vAlign w:val="bottom"/>
          </w:tcPr>
          <w:p>
            <w:pPr>
              <w:spacing w:after="0"/>
              <w:rPr>
                <w:sz w:val="18"/>
                <w:szCs w:val="18"/>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contracts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unrealized loss on pension and post-retirement benefit plans</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80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before tax</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benefit related to components of other comprehensive income</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80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74"/>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Current and noncurrent customer deposits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provided by (used for)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4"/>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40" w:type="dxa"/>
            <w:vAlign w:val="bottom"/>
          </w:tcPr>
          <w:p>
            <w:pPr>
              <w:spacing w:after="0"/>
              <w:rPr>
                <w:sz w:val="5"/>
                <w:szCs w:val="5"/>
                <w:color w:val="auto"/>
              </w:rPr>
            </w:pPr>
          </w:p>
        </w:tc>
        <w:tc>
          <w:tcPr>
            <w:tcW w:w="56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20" w:type="dxa"/>
            <w:vAlign w:val="bottom"/>
          </w:tcPr>
          <w:p>
            <w:pPr>
              <w:spacing w:after="0"/>
              <w:rPr>
                <w:sz w:val="5"/>
                <w:szCs w:val="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Stock Amount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Stock 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2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3,878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Cash dividends ($0.31 dividend per</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4"/>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24"/>
                <w:szCs w:val="24"/>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4"/>
            <w:vMerge w:val="restart"/>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60" w:type="dxa"/>
            <w:vAlign w:val="bottom"/>
          </w:tcPr>
          <w:p>
            <w:pPr>
              <w:spacing w:after="0"/>
              <w:rPr>
                <w:sz w:val="6"/>
                <w:szCs w:val="6"/>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Stock Shares</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6"/>
                <w:szCs w:val="6"/>
                <w:color w:val="auto"/>
              </w:rPr>
            </w:pPr>
          </w:p>
        </w:tc>
        <w:tc>
          <w:tcPr>
            <w:tcW w:w="13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millions</w:t>
            </w:r>
          </w:p>
        </w:tc>
        <w:tc>
          <w:tcPr>
            <w:tcW w:w="9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vMerge w:val="restart"/>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2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Cash dividends ($0.25 dividend per</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32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3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9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tax</w:t>
            </w:r>
          </w:p>
        </w:tc>
        <w:tc>
          <w:tcPr>
            <w:tcW w:w="9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retirement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7" w:name="page8"/>
    <w:bookmarkEnd w:id="7"/>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MARCH 31, 2026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2026, approximately half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right="200"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and war.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2025. The December 31, 2025 information included herein has been derived from the Company’s Annual Report on Form 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2025.</w:t>
      </w:r>
    </w:p>
    <w:p>
      <w:pPr>
        <w:spacing w:after="0" w:line="91"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ind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March 31, 2026, the Company's remaining performance obligations were approximately $30.8 billion. The Company expects to recognize revenue of approximately 30% of the remaining performance obligations over the next 12 months, with the remainder recognized thereafter.</w:t>
      </w:r>
    </w:p>
    <w:p>
      <w:pPr>
        <w:spacing w:after="0" w:line="56" w:lineRule="exact"/>
        <w:rPr>
          <w:sz w:val="20"/>
          <w:szCs w:val="20"/>
          <w:color w:val="auto"/>
        </w:rPr>
      </w:pPr>
    </w:p>
    <w:p>
      <w:pPr>
        <w:ind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The Company utilizes its Revolving Receivables Program to request borrowings from a financial institution against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collateralized receivables for up to $450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w:t>
      </w:r>
    </w:p>
    <w:p>
      <w:pPr>
        <w:spacing w:after="0" w:line="69"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2"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At March 31, 2026 and December 31, 2025, the bankruptcy-remote subsidiary held receivables of $716 million and $623 million, respectively, which are included in the Company's Condensed Consolidated Balance Sheets. The receivables held by the bankruptcy-remote subsidiary collateralize the outstanding borrowings. There were outstanding borrowings of $445 million at March 31, 2026 and no outstanding borrowings at December 31, 2025. The transfers are recorded at the fair value of the proceeds received and obligations assumed less derecognized receivables, if applicable. Our maximum exposure to losses related to these receivables transferred to the program is limited to the amount outstanding.</w:t>
      </w:r>
    </w:p>
    <w:p>
      <w:pPr>
        <w:spacing w:after="0" w:line="117" w:lineRule="exact"/>
        <w:rPr>
          <w:sz w:val="20"/>
          <w:szCs w:val="20"/>
          <w:color w:val="auto"/>
        </w:rPr>
      </w:pPr>
    </w:p>
    <w:p>
      <w:pPr>
        <w:ind w:right="5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March 31, 2026 and December 31, 2025, the Company classified cash of $10 million and $25 million, respectively, as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for cash held in escrow related to acquisitions.</w:t>
      </w:r>
    </w:p>
    <w:p>
      <w:pPr>
        <w:spacing w:after="0" w:line="88" w:lineRule="exact"/>
        <w:rPr>
          <w:sz w:val="20"/>
          <w:szCs w:val="20"/>
          <w:color w:val="auto"/>
        </w:rPr>
      </w:pPr>
    </w:p>
    <w:p>
      <w:pPr>
        <w:ind w:right="22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58"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if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9" w:name="page10"/>
    <w:bookmarkEnd w:id="9"/>
    <w:p>
      <w:pPr>
        <w:ind w:right="440"/>
        <w:spacing w:after="0" w:line="270" w:lineRule="auto"/>
        <w:rPr>
          <w:sz w:val="20"/>
          <w:szCs w:val="20"/>
          <w:color w:val="auto"/>
        </w:rPr>
      </w:pPr>
      <w:r>
        <w:rPr>
          <w:rFonts w:ascii="Times New Roman" w:cs="Times New Roman" w:eastAsia="Times New Roman" w:hAnsi="Times New Roman"/>
          <w:sz w:val="17"/>
          <w:szCs w:val="17"/>
          <w:color w:val="auto"/>
        </w:rPr>
        <w:t>the qualitative test indicates that it is more likely than not that the fair value of a reporting unit is less than the carrying amount and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56"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2024,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2024-03, </w:t>
      </w:r>
      <w:r>
        <w:rPr>
          <w:rFonts w:ascii="Times New Roman" w:cs="Times New Roman" w:eastAsia="Times New Roman" w:hAnsi="Times New Roman"/>
          <w:sz w:val="17"/>
          <w:szCs w:val="17"/>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 Expenses</w:t>
      </w:r>
      <w:r>
        <w:rPr>
          <w:rFonts w:ascii="Times New Roman" w:cs="Times New Roman" w:eastAsia="Times New Roman" w:hAnsi="Times New Roman"/>
          <w:sz w:val="17"/>
          <w:szCs w:val="17"/>
          <w:color w:val="auto"/>
        </w:rPr>
        <w:t>. The amendments in this update require entities to disclose disaggregated information about certain costs and expenses in commonly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65" w:lineRule="exact"/>
        <w:rPr>
          <w:sz w:val="20"/>
          <w:szCs w:val="20"/>
          <w:color w:val="auto"/>
        </w:rPr>
      </w:pPr>
    </w:p>
    <w:p>
      <w:pPr>
        <w:ind w:right="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income (loss) comprises both Net income and Other comprehensive income (loss)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43"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March 31, 2026 and 2025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3"/>
                <w:szCs w:val="13"/>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7"/>
                <w:szCs w:val="17"/>
                <w:color w:val="auto"/>
                <w:w w:val="98"/>
              </w:rPr>
              <w:t>(48)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9"/>
                <w:szCs w:val="19"/>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ind w:left="239"/>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left="239"/>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7"/>
                <w:szCs w:val="17"/>
                <w:color w:val="auto"/>
                <w:w w:val="98"/>
              </w:rPr>
              <w:t>(48)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Amounts included under Derivative contracts related to interest rate hedges reclassified from Accumulated other comprehensive loss are recognized in "Interest expense, net" with the tax impact recognized in "Income tax expense" on the Condensed Consolidated Statements of Income. All other amounts reclassified from Accumulated other comprehensive loss are recognized in "Other income (expense), net" with the tax impact recognized in "Income tax expense" on the Condensed Consolidated Statements of Income.</w:t>
      </w:r>
    </w:p>
    <w:p>
      <w:pPr>
        <w:spacing w:after="0" w:line="62" w:lineRule="exact"/>
        <w:rPr>
          <w:sz w:val="20"/>
          <w:szCs w:val="20"/>
          <w:color w:val="auto"/>
        </w:rPr>
      </w:pPr>
    </w:p>
    <w:p>
      <w:pPr>
        <w:ind w:right="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Stock </w:t>
      </w:r>
      <w:r>
        <w:rPr>
          <w:rFonts w:ascii="Times New Roman" w:cs="Times New Roman" w:eastAsia="Times New Roman" w:hAnsi="Times New Roman"/>
          <w:sz w:val="17"/>
          <w:szCs w:val="17"/>
          <w:color w:val="auto"/>
        </w:rPr>
        <w:t>During the first quarter of 2025, the Company retired 55 million shares of treasury stock. The retirement of treasury stock is recognized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deduction from common stock for the shares' par value and any excess over par as a deduction from retained earnings.</w:t>
      </w:r>
    </w:p>
    <w:p>
      <w:pPr>
        <w:spacing w:after="0" w:line="37"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 not result in a change in the classification of amounts due as Accounts payable in the Condensed Consolidated Balance Sheets. Suppliers utilized the program to accelerate receipt of payment from these financial institutions for $268 million and $285 million of the Company's outstanding Accounts payable as of March 31, 2026 and December 31, 2025,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05" w:lineRule="exact"/>
        <w:rPr>
          <w:sz w:val="20"/>
          <w:szCs w:val="20"/>
          <w:color w:val="auto"/>
        </w:rPr>
      </w:pPr>
    </w:p>
    <w:p>
      <w:pPr>
        <w:ind w:right="100" w:firstLine="464"/>
        <w:spacing w:after="0" w:line="248" w:lineRule="auto"/>
        <w:rPr>
          <w:sz w:val="20"/>
          <w:szCs w:val="20"/>
          <w:color w:val="auto"/>
        </w:rPr>
      </w:pPr>
      <w:r>
        <w:rPr>
          <w:rFonts w:ascii="Times New Roman" w:cs="Times New Roman" w:eastAsia="Times New Roman" w:hAnsi="Times New Roman"/>
          <w:sz w:val="17"/>
          <w:szCs w:val="17"/>
          <w:color w:val="auto"/>
        </w:rPr>
        <w:t>On February 10, 2026, Wabtec acquired Dellner Couplers, a global leader in highly engineered safety-critical train connection systems and services for passenger rail rolling stock, for approximately $1.053 billion. The acquisition brings highly attractive and complementary technologies to Wabtec and strengthens its portfolio of mission-critical passenger rail systems. Dellner Couplers reports within the Transit Segment. The acquisition was funded with a combination of cash on hand and borrowings under other sources of available liquidity.</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preliminary fair value of the Dellner Couplers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50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Unbilled accounts receivable</w:t>
            </w:r>
          </w:p>
        </w:tc>
        <w:tc>
          <w:tcPr>
            <w:tcW w:w="5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5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5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59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0" w:type="dxa"/>
            <w:vAlign w:val="bottom"/>
          </w:tcPr>
          <w:p>
            <w:pPr>
              <w:spacing w:after="0"/>
              <w:rPr>
                <w:sz w:val="1"/>
                <w:szCs w:val="1"/>
                <w:color w:val="auto"/>
              </w:rPr>
            </w:pPr>
          </w:p>
        </w:tc>
      </w:tr>
      <w:tr>
        <w:trPr>
          <w:trHeight w:val="219"/>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5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5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59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9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596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960" w:type="dxa"/>
            <w:vAlign w:val="bottom"/>
            <w:vMerge w:val="restart"/>
          </w:tcPr>
          <w:p>
            <w:pPr>
              <w:jc w:val="right"/>
              <w:ind w:right="4034"/>
              <w:spacing w:after="0"/>
              <w:rPr>
                <w:sz w:val="20"/>
                <w:szCs w:val="20"/>
                <w:color w:val="auto"/>
              </w:rPr>
            </w:pPr>
            <w:r>
              <w:rPr>
                <w:rFonts w:ascii="Times New Roman" w:cs="Times New Roman" w:eastAsia="Times New Roman" w:hAnsi="Times New Roman"/>
                <w:sz w:val="17"/>
                <w:szCs w:val="17"/>
                <w:color w:val="auto"/>
              </w:rPr>
              <w:t>11</w:t>
            </w: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5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 w:name="page12"/>
    <w:bookmarkEnd w:id="11"/>
    <w:p>
      <w:pPr>
        <w:ind w:right="20" w:firstLine="464"/>
        <w:spacing w:after="0" w:line="248" w:lineRule="auto"/>
        <w:rPr>
          <w:sz w:val="20"/>
          <w:szCs w:val="20"/>
          <w:color w:val="auto"/>
        </w:rPr>
      </w:pPr>
      <w:r>
        <w:rPr>
          <w:rFonts w:ascii="Times New Roman" w:cs="Times New Roman" w:eastAsia="Times New Roman" w:hAnsi="Times New Roman"/>
          <w:sz w:val="17"/>
          <w:szCs w:val="17"/>
          <w:color w:val="auto"/>
        </w:rPr>
        <w:t>On December 1, 2025, Wabtec acquired Frauscher Sensor Technology Group GmbH ("Frauscher"), a global market leader in train detection, wayside object control solutions and axle counting systems for approximately $792 million. The acquisition strengthens the Company’s product portfolio by adding highly attractive and complementary railway signaling technologies. Frauscher reports within the Digital Intelligence product line of the Freight Segment. The acquisition was funded with a combination of cash on hand, proceeds from the 2025 Term Credit Agreement and borrowings under other sources of available liquidity.</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preliminary fair value of the Frauscher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2" w:name="page13"/>
    <w:bookmarkEnd w:id="12"/>
    <w:p>
      <w:pPr>
        <w:ind w:right="20" w:firstLine="464"/>
        <w:spacing w:after="0" w:line="244" w:lineRule="auto"/>
        <w:rPr>
          <w:sz w:val="20"/>
          <w:szCs w:val="20"/>
          <w:color w:val="auto"/>
        </w:rPr>
      </w:pPr>
      <w:r>
        <w:rPr>
          <w:rFonts w:ascii="Times New Roman" w:cs="Times New Roman" w:eastAsia="Times New Roman" w:hAnsi="Times New Roman"/>
          <w:sz w:val="17"/>
          <w:szCs w:val="17"/>
          <w:color w:val="auto"/>
        </w:rPr>
        <w:t>On July 1, 2025, Wabtec acquired 100% ownership in Evident’s Inspection Technologies division ("Inspection Technologies") for approximately $1.797 billion. Inspection Technologies was formerly part of the Scientific Solutions Division of Olympus Corporation,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reports within the Digital Intelligence product line of the Freight Segment. The acquisition was funded with a combination of cash on hand, proceeds from the 2035 Notes, and borrowings under other sources of available liquidity.</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preliminary fair value of the Inspection Technologies assets acquired and liabilities assumed: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Customer relationships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Trade names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Acquired technology</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firstLine="464"/>
        <w:spacing w:after="0" w:line="248" w:lineRule="auto"/>
        <w:rPr>
          <w:sz w:val="20"/>
          <w:szCs w:val="20"/>
          <w:color w:val="auto"/>
        </w:rPr>
      </w:pPr>
      <w:r>
        <w:rPr>
          <w:rFonts w:ascii="Times New Roman" w:cs="Times New Roman" w:eastAsia="Times New Roman" w:hAnsi="Times New Roman"/>
          <w:sz w:val="17"/>
          <w:szCs w:val="17"/>
          <w:color w:val="auto"/>
        </w:rPr>
        <w:t>As of March 31, 2026, the measurement period remains open for these acquisitions, and the Company has not finalized the respective purchase accounting. The fair values of the assets acquired and liabilities assumed were determined using the income, cost and market approaches. Discounted cash flow models were used to estimate the fair values of acquired intangible assets. The fair value measurements were primarily based on significant inputs that are not observable in the market and are considered Level 3 in the fair value hierarchy.</w:t>
      </w:r>
    </w:p>
    <w:p>
      <w:pPr>
        <w:spacing w:after="0" w:line="69" w:lineRule="exact"/>
        <w:rPr>
          <w:sz w:val="20"/>
          <w:szCs w:val="20"/>
          <w:color w:val="auto"/>
        </w:rPr>
      </w:pPr>
    </w:p>
    <w:p>
      <w:pPr>
        <w:ind w:right="20" w:firstLine="464"/>
        <w:spacing w:after="0" w:line="241" w:lineRule="auto"/>
        <w:rPr>
          <w:sz w:val="20"/>
          <w:szCs w:val="20"/>
          <w:color w:val="auto"/>
        </w:rPr>
      </w:pPr>
      <w:r>
        <w:rPr>
          <w:rFonts w:ascii="Times New Roman" w:cs="Times New Roman" w:eastAsia="Times New Roman" w:hAnsi="Times New Roman"/>
          <w:sz w:val="17"/>
          <w:szCs w:val="17"/>
          <w:color w:val="auto"/>
        </w:rPr>
        <w:t>Intangible assets acquired for each of these acquisitions include customer relationships and acquired technology that are subject to amortization, and trade names that were assigned an indefinite life and are not subject to amortization. Additionally, the Dellner Couplers acquired intangible assets include backlog which is subject to amortization. Contingent liabilities assumed as part of each transaction were not material. These estimates are preliminary in nature and subject to adjustments, which could be material as the Company has not completed its valuation of acquired assets and liabilities. Certain information necessary to complete the valuations of assets acquired and liabilities assumed and final income tax computations is not yet available. Any necessary adjustments will be finalized within one year from the date of each respective acquisition, once the Company has received the necessary information.</w:t>
      </w:r>
    </w:p>
    <w:p>
      <w:pPr>
        <w:spacing w:after="0" w:line="73"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for Dellner Couplers or Frauscher, and approximately half of the purchased goodwill is expected to be deductible for tax purposes for Inspection Technologies. The pro forma impact on Wabtec’s sales and results of operations, including the pro forma effect of events that are directly attributable to these acquisitions, was not significant.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Also during 2025, the Freight Segment completed two additional acquisitions which were individually and collectively immaterial.</w:t>
      </w:r>
    </w:p>
    <w:p>
      <w:pPr>
        <w:spacing w:after="0" w:line="101" w:lineRule="exact"/>
        <w:rPr>
          <w:sz w:val="20"/>
          <w:szCs w:val="20"/>
          <w:color w:val="auto"/>
        </w:rPr>
      </w:pPr>
    </w:p>
    <w:p>
      <w:pPr>
        <w:ind w:right="480" w:firstLine="464"/>
        <w:spacing w:after="0" w:line="271" w:lineRule="auto"/>
        <w:rPr>
          <w:sz w:val="20"/>
          <w:szCs w:val="20"/>
          <w:color w:val="auto"/>
        </w:rPr>
      </w:pPr>
      <w:r>
        <w:rPr>
          <w:rFonts w:ascii="Times New Roman" w:cs="Times New Roman" w:eastAsia="Times New Roman" w:hAnsi="Times New Roman"/>
          <w:sz w:val="17"/>
          <w:szCs w:val="17"/>
          <w:color w:val="auto"/>
        </w:rPr>
        <w:t>Transaction costs related to the completed acquisitions for the three months ended March 31, 2026 and 2025 were approximately $13 million and $10 million, respectively, and are included in Selling, general, and administrative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4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6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79"/>
              <w:spacing w:after="0" w:line="121"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39"/>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0" w:type="dxa"/>
            <w:vAlign w:val="bottom"/>
          </w:tcPr>
          <w:p>
            <w:pPr>
              <w:spacing w:after="0"/>
              <w:rPr>
                <w:sz w:val="1"/>
                <w:szCs w:val="1"/>
                <w:color w:val="auto"/>
              </w:rPr>
            </w:pP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4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180" w:type="dxa"/>
            <w:vAlign w:val="bottom"/>
          </w:tcPr>
          <w:p>
            <w:pPr>
              <w:spacing w:after="0"/>
              <w:rPr>
                <w:sz w:val="14"/>
                <w:szCs w:val="14"/>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Transit Segment</w:t>
            </w:r>
          </w:p>
        </w:tc>
        <w:tc>
          <w:tcPr>
            <w:tcW w:w="240" w:type="dxa"/>
            <w:vAlign w:val="bottom"/>
          </w:tcPr>
          <w:p>
            <w:pPr>
              <w:spacing w:after="0"/>
              <w:rPr>
                <w:sz w:val="14"/>
                <w:szCs w:val="14"/>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10,216</w:t>
            </w:r>
          </w:p>
        </w:tc>
        <w:tc>
          <w:tcPr>
            <w:tcW w:w="0" w:type="dxa"/>
            <w:vAlign w:val="bottom"/>
          </w:tcPr>
          <w:p>
            <w:pPr>
              <w:spacing w:after="0"/>
              <w:rPr>
                <w:sz w:val="1"/>
                <w:szCs w:val="1"/>
                <w:color w:val="auto"/>
              </w:rPr>
            </w:pP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 2026</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the Company’s trade names had a net carrying amount of $906 million and $851 million, respectively. The Company believes these intangibles have indefinite lives.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40" w:type="dxa"/>
            <w:vAlign w:val="bottom"/>
          </w:tcPr>
          <w:p>
            <w:pPr>
              <w:spacing w:after="0"/>
              <w:rPr>
                <w:sz w:val="10"/>
                <w:szCs w:val="10"/>
                <w:color w:val="auto"/>
              </w:rPr>
            </w:pPr>
          </w:p>
        </w:tc>
        <w:tc>
          <w:tcPr>
            <w:tcW w:w="13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3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40"/>
        </w:trPr>
        <w:tc>
          <w:tcPr>
            <w:tcW w:w="2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2,278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0" w:type="dxa"/>
            <w:vAlign w:val="bottom"/>
          </w:tcPr>
          <w:p>
            <w:pPr>
              <w:spacing w:after="0"/>
              <w:rPr>
                <w:sz w:val="1"/>
                <w:szCs w:val="1"/>
                <w:color w:val="auto"/>
              </w:rPr>
            </w:pPr>
          </w:p>
        </w:tc>
      </w:tr>
      <w:tr>
        <w:trPr>
          <w:trHeight w:val="206"/>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1,669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w:t>
            </w:r>
          </w:p>
        </w:tc>
        <w:tc>
          <w:tcPr>
            <w:tcW w:w="0" w:type="dxa"/>
            <w:vAlign w:val="bottom"/>
          </w:tcPr>
          <w:p>
            <w:pPr>
              <w:spacing w:after="0"/>
              <w:rPr>
                <w:sz w:val="1"/>
                <w:szCs w:val="1"/>
                <w:color w:val="auto"/>
              </w:rPr>
            </w:pPr>
          </w:p>
        </w:tc>
      </w:tr>
      <w:tr>
        <w:trPr>
          <w:trHeight w:val="20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5,313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(1,894)</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At March 31, 2026, the weighted average remaining useful lives of backlog, customer relationships and acquired technology were 7 years, 17 years and 7 years, respectively. The backlog intangible asset primarily consists of in-place long-term agreements acquired by the Company in conjunction with the acquisition of GE Transportation and Dellner Couplers. Amortization expense for intangible assets was $87 million for the three months ended March 31, 2026, and $73 million for the three months ended March 31, 2025.</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2029</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2030</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$130 million at March 31, 2026 and $121 million at December 31, 2025. The Company has elected to use the practical expedient and does not consider unbilled amounts anticipated to be paid within one year as significant financing components.</w:t>
      </w:r>
    </w:p>
    <w:p>
      <w:pPr>
        <w:spacing w:after="0" w:line="72" w:lineRule="exact"/>
        <w:rPr>
          <w:sz w:val="20"/>
          <w:szCs w:val="20"/>
          <w:color w:val="auto"/>
        </w:rPr>
      </w:pPr>
    </w:p>
    <w:p>
      <w:pPr>
        <w:ind w:right="100" w:firstLine="464"/>
        <w:spacing w:after="0" w:line="257"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$224 million at March 31, 2026 and $259 million at December 31, 2025.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$61 million and $82 million at March 31, 2026 and December 31, 2025, respectively. These provisions for estimated losses are classified as current liabilities and included within the caption “Other accrued liabilities” on the Condensed Consolidated Balance Sheets.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three months ended March 31, 2026 and 2025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Acquisitions/adjustments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jc w:val="both"/>
        <w:ind w:right="420" w:firstLine="464"/>
        <w:spacing w:after="0" w:line="270" w:lineRule="auto"/>
        <w:rPr>
          <w:sz w:val="20"/>
          <w:szCs w:val="20"/>
          <w:color w:val="auto"/>
        </w:rPr>
      </w:pPr>
      <w:r>
        <w:rPr>
          <w:rFonts w:ascii="Times New Roman" w:cs="Times New Roman" w:eastAsia="Times New Roman" w:hAnsi="Times New Roman"/>
          <w:sz w:val="17"/>
          <w:szCs w:val="17"/>
          <w:color w:val="auto"/>
        </w:rPr>
        <w:t>Operating lease expense was $21 million and $16 million for the three months ended March 31, 2026 and 2025, respectively. New operating leases of $6 million and $8 million were added during the three months ended March 31, 2026 and 2025, respectively. Wabtec does not have material financing leases, short-term or variable leases or sublease income.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2026</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4"/>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2025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N/A  $</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Facility, due 2030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2025 Term Credit Agreement: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3.45%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1.25%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4.70%</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74"/>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4.90%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2030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274"/>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5.50%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2035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Uncommitted Money Market Line Credit Agreement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Revolving Receivables Program</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jc w:val="both"/>
        <w:ind w:right="4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and euro denominated borrowings under the Revolving Credit Facility.</w:t>
      </w:r>
    </w:p>
    <w:p>
      <w:pPr>
        <w:spacing w:after="0" w:line="48" w:lineRule="exact"/>
        <w:rPr>
          <w:sz w:val="20"/>
          <w:szCs w:val="20"/>
          <w:color w:val="auto"/>
        </w:rPr>
      </w:pPr>
    </w:p>
    <w:p>
      <w:pPr>
        <w:jc w:val="both"/>
        <w:ind w:right="40" w:firstLine="464"/>
        <w:spacing w:after="0" w:line="270" w:lineRule="auto"/>
        <w:rPr>
          <w:sz w:val="20"/>
          <w:szCs w:val="20"/>
          <w:color w:val="auto"/>
        </w:rPr>
      </w:pPr>
      <w:r>
        <w:rPr>
          <w:rFonts w:ascii="Times New Roman" w:cs="Times New Roman" w:eastAsia="Times New Roman" w:hAnsi="Times New Roman"/>
          <w:sz w:val="17"/>
          <w:szCs w:val="17"/>
          <w:color w:val="auto"/>
        </w:rPr>
        <w:t>The Company has debt issuance costs related to certain financing transactions which are also amortized through interest expense. As of March 31, 2026 and December 31, 2025, the Company had total combined unamortized discount and debt issuance costs of $24 million and $26 million, respectively. Amortization of discounts and debt issuance fees are included in the calculation of Effective Interest Rate.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20"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On November 28, 2025, the Company entered into a new stand-alone credit agreement (the "2025 Term Credit Agreement") for a term loan of $500 million. Borrowings under the 2025 Term Credit Agreement bear interest at a base rate plus an interest rate spread up to 1.50% based on the lower of the pricing corresponding to (i) the Company's Leverage Ratio or (ii) the Company's public credit rating. The frequency of interest payments varies based upon the Interest Election Request. The term loan issued under this agreement will mature on November 27, 2026. The obligations of the Company under this agreement are unsecured and have been guaranteed by certain of the Company's subsidiaries. The agreement contains affirmative, negative and financial covenants, and events of default customary for facilities of this type. Under the 2025 Term Credit Agreement, the Company has agreed to maintain the same Interest Coverage Ratio and Leverage Ratio as the 2025 Credit Agreement. The borrowing rate for the agreement is a variable rate assessed periodically in accordance with the terms of the agreement. At March 31, 2026, the interest rate was 4.7%.</w:t>
      </w:r>
    </w:p>
    <w:p>
      <w:pPr>
        <w:spacing w:after="0" w:line="72"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On April 23, 2025, the Company entered into a new unsecured credit agreement (the "2025 Credit Agreement"), which amended, restated, and refinanced the prior credit agreements.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outstanding borrowings with the remaining amount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 new incremental term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spacing w:after="0" w:line="287" w:lineRule="auto"/>
        <w:rPr>
          <w:sz w:val="20"/>
          <w:szCs w:val="20"/>
          <w:color w:val="auto"/>
        </w:rPr>
      </w:pPr>
      <w:r>
        <w:rPr>
          <w:rFonts w:ascii="Times New Roman" w:cs="Times New Roman" w:eastAsia="Times New Roman" w:hAnsi="Times New Roman"/>
          <w:sz w:val="17"/>
          <w:szCs w:val="17"/>
          <w:color w:val="auto"/>
        </w:rPr>
        <w:t>loan commitments (the "Incremental Facility"). The agreement contains affirmative, negative and financial covenants, and events of default customary for facilities of this type.</w:t>
      </w:r>
    </w:p>
    <w:p>
      <w:pPr>
        <w:spacing w:after="0" w:line="48"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7"/>
          <w:szCs w:val="17"/>
          <w:color w:val="auto"/>
        </w:rPr>
        <w:t>The Revolving Credit Facility matures on April 23, 2030. The Term Loan Facility was fully drawn at March 31, 2026, and all borrowings mature on April 23, 2030. Amounts borrowed and repaid under the Term Loan Facility may not be reborrowed. The applicable interest rate for borrowings under the 2025 Credit Agreement includes a base rate (per the Interest Election terms of the agreement) plus an interest rate spread up to 1.75% based on the lower of the pricing corresponding to (i) the Company’s financial leverage or (ii) the Company’s public credit rating. At March 31, 2026, the interest rate on the Term Loan Facility was 4.9%, and the interest rate on the Revolving Credit Facility was 4.9%. Obligations under the 2025 Credit Agreement have been guaranteed by certain of the Company’s subsidiaries.</w:t>
      </w:r>
    </w:p>
    <w:p>
      <w:pPr>
        <w:spacing w:after="0" w:line="70"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2025 Credit Agreement at March 31,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00" w:type="dxa"/>
            <w:vAlign w:val="bottom"/>
          </w:tcPr>
          <w:p>
            <w:pPr>
              <w:spacing w:after="0"/>
              <w:rPr>
                <w:sz w:val="15"/>
                <w:szCs w:val="15"/>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Term Loan Facility</w:t>
            </w:r>
          </w:p>
        </w:tc>
        <w:tc>
          <w:tcPr>
            <w:tcW w:w="340" w:type="dxa"/>
            <w:vAlign w:val="bottom"/>
          </w:tcPr>
          <w:p>
            <w:pPr>
              <w:spacing w:after="0"/>
              <w:rPr>
                <w:sz w:val="15"/>
                <w:szCs w:val="15"/>
                <w:color w:val="auto"/>
              </w:rPr>
            </w:pPr>
          </w:p>
        </w:tc>
        <w:tc>
          <w:tcPr>
            <w:tcW w:w="1180" w:type="dxa"/>
            <w:vAlign w:val="bottom"/>
            <w:vMerge w:val="restart"/>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1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2,725</w:t>
            </w:r>
          </w:p>
        </w:tc>
        <w:tc>
          <w:tcPr>
            <w:tcW w:w="0" w:type="dxa"/>
            <w:vAlign w:val="bottom"/>
          </w:tcPr>
          <w:p>
            <w:pPr>
              <w:spacing w:after="0"/>
              <w:rPr>
                <w:sz w:val="1"/>
                <w:szCs w:val="1"/>
                <w:color w:val="auto"/>
              </w:rPr>
            </w:pPr>
          </w:p>
        </w:tc>
      </w:tr>
      <w:tr>
        <w:trPr>
          <w:trHeight w:val="203"/>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0" w:type="dxa"/>
            <w:vAlign w:val="bottom"/>
          </w:tcPr>
          <w:p>
            <w:pPr>
              <w:spacing w:after="0"/>
              <w:rPr>
                <w:sz w:val="1"/>
                <w:szCs w:val="1"/>
                <w:color w:val="auto"/>
              </w:rPr>
            </w:pPr>
          </w:p>
        </w:tc>
      </w:tr>
      <w:tr>
        <w:trPr>
          <w:trHeight w:val="20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4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80" w:firstLine="464"/>
        <w:spacing w:after="0" w:line="364" w:lineRule="auto"/>
        <w:rPr>
          <w:sz w:val="20"/>
          <w:szCs w:val="20"/>
          <w:color w:val="auto"/>
        </w:rPr>
      </w:pPr>
      <w:r>
        <w:rPr>
          <w:rFonts w:ascii="Times New Roman" w:cs="Times New Roman" w:eastAsia="Times New Roman" w:hAnsi="Times New Roman"/>
          <w:sz w:val="17"/>
          <w:szCs w:val="17"/>
          <w:color w:val="auto"/>
        </w:rPr>
        <w:t xml:space="preserve">The Company was in compliance with all financial covenants in the 2025 Credit Agreement and the 2025 Term Credit Agreement as of March 31, 2026. </w:t>
      </w:r>
      <w:r>
        <w:rPr>
          <w:rFonts w:ascii="Times New Roman" w:cs="Times New Roman" w:eastAsia="Times New Roman" w:hAnsi="Times New Roman"/>
          <w:sz w:val="17"/>
          <w:szCs w:val="17"/>
          <w:i w:val="1"/>
          <w:iCs w:val="1"/>
          <w:color w:val="auto"/>
        </w:rPr>
        <w:t>Uncommitted Money Market Line Credit Agreement</w:t>
      </w: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At March 31, 2026, the interest rate was 4.2%.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3.45% Senior Notes due 2026 (the "2026 Notes"), 1.25% Senior Notes (EUR) due 2027 (the "Euro Notes"), 4.70% Senior Notes due 2028 (the "2028 Notes"), 4.90% Senior Notes due 2030 (the "2030 Notes"), 5.611% Senior Notes due 2034 (the "2034 Notes"), and 5.50% Senior Notes due 2035 (the "2035 Notes"). The 2026 Notes, 2028 Notes, 2030 Notes, 2034 Notes, and 2035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285"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w:t>
      </w:r>
    </w:p>
    <w:p>
      <w:pPr>
        <w:spacing w:after="0" w:line="68"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2030 Notes and cash on hand were utilized to repay the outstanding amount of notes due in 2025 at maturity. Proceeds from the 2035 Notes were utilized as part of funding for the Inspection Technologies acquisition, which closed July 1, 2025.</w:t>
      </w:r>
    </w:p>
    <w:p>
      <w:pPr>
        <w:spacing w:after="0" w:line="4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Parent Company.</w:t>
      </w:r>
    </w:p>
    <w:p>
      <w:pPr>
        <w:spacing w:after="0" w:line="62"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March 31, 2026, the number of shares available for future grants under the 2011 Plan was approximately 3.3 million shares. The Company also maintains a 1995 Non-Employee Directors’ Fee and Stock Option Plan as amended and restated (“the Directors Plan”).</w:t>
      </w:r>
    </w:p>
    <w:p>
      <w:pPr>
        <w:spacing w:after="0" w:line="6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Stock-based compensation expense was $30 million and $20 million for the three months ended March 31, 2026 and 2025, respectively. At March 31, 2026, unamortized compensation expense related to stock options, non-vested restricted shares and incentive stock units expected to vest was approximately $154 million.</w:t>
      </w:r>
    </w:p>
    <w:p>
      <w:pPr>
        <w:spacing w:after="0" w:line="260"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March 31, 2026, there were 85,947 shares issuable pursuant to exercisable stock options.</w:t>
      </w:r>
    </w:p>
    <w:p>
      <w:pPr>
        <w:spacing w:after="0" w:line="184" w:lineRule="exact"/>
        <w:rPr>
          <w:sz w:val="20"/>
          <w:szCs w:val="20"/>
          <w:color w:val="auto"/>
        </w:rPr>
      </w:pPr>
    </w:p>
    <w:p>
      <w:pPr>
        <w:ind w:right="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Units </w:t>
      </w:r>
      <w:r>
        <w:rPr>
          <w:rFonts w:ascii="Times New Roman" w:cs="Times New Roman" w:eastAsia="Times New Roman" w:hAnsi="Times New Roman"/>
          <w:sz w:val="17"/>
          <w:szCs w:val="17"/>
          <w:color w:val="auto"/>
        </w:rPr>
        <w:t>As provided for under the 2011 Plan and 2000 Plan, eligible employees are granted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and restricted stock units that generally vest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Annually, the Company issues incentive stock units to eligible employees that vest upon attainment of certain cumulative three-year performance goals, including a Relative Total Stockholder Return ("RTSR") modifier. The RTSR modifier can increase or decrease the payment by up to 20%.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Based on the Company’s performance for each three-year period then ended, the incentive stock units can vest and be awarded ranging from 0% to 200% of the initial incentive stock units granted. As of March 31, 2026, the Company estimates that it will achieve 200%, 171% and 127% for the incentive stock awards expected to vest, inclusive of the RTSR modifier, based on the estimated performance for the three-year periods ending December 31, 2026, 2027, and 2028, respectively, and has recorded incentive compensation expense accordingly.</w:t>
      </w:r>
    </w:p>
    <w:p>
      <w:pPr>
        <w:spacing w:after="0" w:line="76" w:lineRule="exact"/>
        <w:rPr>
          <w:sz w:val="20"/>
          <w:szCs w:val="20"/>
          <w:color w:val="auto"/>
        </w:rPr>
      </w:pPr>
    </w:p>
    <w:p>
      <w:pPr>
        <w:ind w:right="22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2026, the Company also issued an additional incentive stock unit grant for certain eligible employees. The grant has a one-year performance goal for 2026 and a three-year vesting period. Eligible employees vest from 0% to 100% of the initial incentive stock units granted based upon attainment of the 2026 performance goal. As of March 31, 2026, the Company estimates that it will achieve 80% of the one-year performance goal.</w:t>
      </w:r>
    </w:p>
    <w:p>
      <w:pPr>
        <w:spacing w:after="0" w:line="6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Quarterly, the Company reviews and updates performance estimates based on actual performance results and current projections.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 The incentive stock units included in the table below represent the number of incentive stock units that are expected to vest based on the Company’s estimate for meeting those established performance targets.</w:t>
      </w:r>
    </w:p>
    <w:p>
      <w:pPr>
        <w:spacing w:after="0" w:line="72"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right="44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three months ended March 31, 2026:</w:t>
      </w:r>
    </w:p>
    <w:tbl>
      <w:tblPr>
        <w:tblLayout w:type="fixed"/>
        <w:tblInd w:w="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592,576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872,053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171,314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209,179</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253.99</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(348,127)</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119.21</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50,959</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151.17</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515,660</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784,064</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overall effective tax rate for the three months ended March 31, 2026 and 2025 was 22.7% and 23.2%, respectively. The year over year decrease in the effective rate for the three months ended March 31, 2026 was primarily driven by higher discrete equity compensation tax deductions.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right="100" w:firstLine="464"/>
        <w:spacing w:after="0" w:line="259" w:lineRule="auto"/>
        <w:rPr>
          <w:sz w:val="20"/>
          <w:szCs w:val="20"/>
          <w:color w:val="auto"/>
        </w:rPr>
      </w:pPr>
      <w:r>
        <w:rPr>
          <w:rFonts w:ascii="Times New Roman" w:cs="Times New Roman" w:eastAsia="Times New Roman" w:hAnsi="Times New Roman"/>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0.2% and 0.3% of Net income attributable to Wabtec shareholders being allocated to non-vested restricted stock for the three months ended March 31, 2026 and 2025, respectively.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42"/>
        </w:trPr>
        <w:tc>
          <w:tcPr>
            <w:tcW w:w="8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earnings per common share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stock-based compensation plans excluding non-vested restricted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02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common share attributable to Wabtec shareholders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three months ended March 31, 2026 and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March 31, 2026 and December 31, 2025. The Senior Notes are considered Level 2 based on the fair value valuation hierarchy.</w:t>
      </w:r>
    </w:p>
    <w:p>
      <w:pPr>
        <w:spacing w:after="0" w:line="56"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9"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The Company may use interest rate hedge contracts on certain investing and borrowing transactions to manage its net exposure to interest rate changes and to manage its overall cost of borrowing. The Company may also use commodity forward swaps to manage its exposure to commodity price changes and to reduce its overall cost of manufacturing.</w:t>
      </w:r>
    </w:p>
    <w:p>
      <w:pPr>
        <w:spacing w:after="0" w:line="68"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Canadian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 Net gains and losses related to the Company's hedging activities, except as described below, were not material for the three months ended March 31, 2026 and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1" w:name="page22"/>
    <w:bookmarkEnd w:id="21"/>
    <w:p>
      <w:pPr>
        <w:ind w:firstLine="464"/>
        <w:spacing w:after="0" w:line="260" w:lineRule="auto"/>
        <w:rPr>
          <w:sz w:val="20"/>
          <w:szCs w:val="20"/>
          <w:color w:val="auto"/>
        </w:rPr>
      </w:pPr>
      <w:r>
        <w:rPr>
          <w:rFonts w:ascii="Times New Roman" w:cs="Times New Roman" w:eastAsia="Times New Roman" w:hAnsi="Times New Roman"/>
          <w:sz w:val="17"/>
          <w:szCs w:val="17"/>
          <w:color w:val="auto"/>
        </w:rPr>
        <w:t>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 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income (expense), net. For the three months ended March 31, 2026, these contracts resulted in a net gain of $2 million.</w:t>
      </w:r>
    </w:p>
    <w:p>
      <w:pPr>
        <w:spacing w:after="0" w:line="70" w:lineRule="exact"/>
        <w:rPr>
          <w:sz w:val="20"/>
          <w:szCs w:val="20"/>
          <w:color w:val="auto"/>
        </w:rPr>
      </w:pPr>
    </w:p>
    <w:p>
      <w:pPr>
        <w:ind w:right="620" w:firstLine="464"/>
        <w:spacing w:after="0" w:line="270" w:lineRule="auto"/>
        <w:rPr>
          <w:sz w:val="20"/>
          <w:szCs w:val="20"/>
          <w:color w:val="auto"/>
        </w:rPr>
      </w:pPr>
      <w:r>
        <w:rPr>
          <w:rFonts w:ascii="Times New Roman" w:cs="Times New Roman" w:eastAsia="Times New Roman" w:hAnsi="Times New Roman"/>
          <w:sz w:val="17"/>
          <w:szCs w:val="17"/>
          <w:color w:val="auto"/>
        </w:rPr>
        <w:t>At March 31, 2026, the Company had a total gross notional amount of designated and non-designated derivatives of $478 million and $496 million, respectively. At December 31, 2025, the Company had a total gross notional amount of designated and non-designated derivatives of $467 million and $1.355 billion, respectively. The related assets and liabilities at both March 31, 2026 and December 31, 2025 were not significant.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The complaint challenged the Wabtec-GE Transportation merger and contended that since the merger, Wabtec had unlawfully monopolized the markets for long-haul freight locomotives, Tier IV long-haul freight locomotives and energy management systems by, among other things, failing to ensure that Progress’ products are interoperable with Wabtec’s locomotives and cab electronics. Progress sought an order requiring Wabtec to divest GE Transportation, unspecified treble damages for its alleged lost profits from reduced sales of locomotive and cab systems and attorneys’ fees and costs. It also asked the court to enjoin Wabtec from engaging in the conduct and requiring the Company to comply with its agreements with Progress. On June 12, 2025, in response to a motion filed by Wabtec, the Court dismissed the antitrust claims against Wabtec saying that no harmful effects on competition resulting from the merger had been shown. Progress Rail subsequently filed an amended Complaint seeking to revive its antitrust claims. Wabtec filed another motion to dismiss the antitrust claims. In February 2026, the Company and</w:t>
      </w:r>
    </w:p>
    <w:p>
      <w:pPr>
        <w:spacing w:after="0" w:line="11"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Progress Rail agreed to settle all of Progress Rail’s claims without admission of liability by the Company, and the settlement did not have any impact on the Company’s operating results or cash flows.</w:t>
      </w:r>
    </w:p>
    <w:p>
      <w:pPr>
        <w:spacing w:after="0" w:line="48"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6" w:lineRule="exact"/>
        <w:rPr>
          <w:sz w:val="20"/>
          <w:szCs w:val="20"/>
          <w:color w:val="auto"/>
        </w:rPr>
      </w:pPr>
    </w:p>
    <w:p>
      <w:pPr>
        <w:ind w:right="360" w:firstLine="464"/>
        <w:spacing w:after="0" w:line="261" w:lineRule="auto"/>
        <w:rPr>
          <w:sz w:val="20"/>
          <w:szCs w:val="20"/>
          <w:color w:val="auto"/>
        </w:rPr>
      </w:pPr>
      <w:r>
        <w:rPr>
          <w:rFonts w:ascii="Times New Roman" w:cs="Times New Roman" w:eastAsia="Times New Roman" w:hAnsi="Times New Roman"/>
          <w:sz w:val="17"/>
          <w:szCs w:val="17"/>
          <w:color w:val="auto"/>
        </w:rPr>
        <w:t>Freight Segment 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ind w:right="180"/>
        <w:spacing w:after="0" w:line="287" w:lineRule="auto"/>
        <w:rPr>
          <w:sz w:val="20"/>
          <w:szCs w:val="20"/>
          <w:color w:val="auto"/>
        </w:rPr>
      </w:pPr>
      <w:r>
        <w:rPr>
          <w:rFonts w:ascii="Times New Roman" w:cs="Times New Roman" w:eastAsia="Times New Roman" w:hAnsi="Times New Roman"/>
          <w:sz w:val="17"/>
          <w:szCs w:val="17"/>
          <w:color w:val="auto"/>
        </w:rPr>
        <w:t>in the mining, marine, and industrial markets and applications. We refer to sales of both goods, such as spare parts and equipment upgrades, and related services, such as monitoring, maintenance and repairs, as sales in our Services product line.</w:t>
      </w:r>
    </w:p>
    <w:p>
      <w:pPr>
        <w:spacing w:after="0" w:line="48"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Transit Segment primarily manufactures and services components and train connection systems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76"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w:t>
      </w:r>
    </w:p>
    <w:p>
      <w:pPr>
        <w:spacing w:after="0" w:line="72"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7"/>
          <w:szCs w:val="17"/>
          <w:color w:val="auto"/>
        </w:rPr>
        <w:t>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2026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37.3 %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32.7 %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16,002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5,671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23,196</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2025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300" w:type="dxa"/>
            <w:vAlign w:val="bottom"/>
            <w:vMerge w:val="restart"/>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4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300" w:type="dxa"/>
            <w:vAlign w:val="bottom"/>
          </w:tcPr>
          <w:p>
            <w:pPr>
              <w:jc w:val="right"/>
              <w:ind w:right="435"/>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(494)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36.0 %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30.3 %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(36)</w:t>
            </w:r>
          </w:p>
        </w:tc>
        <w:tc>
          <w:tcPr>
            <w:tcW w:w="52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4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40" w:type="dxa"/>
            <w:vAlign w:val="bottom"/>
          </w:tcPr>
          <w:p>
            <w:pPr>
              <w:spacing w:after="0"/>
              <w:rPr>
                <w:sz w:val="18"/>
                <w:szCs w:val="18"/>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98"/>
              </w:rPr>
              <w:t>(36)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gridSpan w:val="2"/>
          </w:tcPr>
          <w:p>
            <w:pPr>
              <w:ind w:left="1000"/>
              <w:spacing w:after="0"/>
              <w:rPr>
                <w:sz w:val="20"/>
                <w:szCs w:val="20"/>
                <w:color w:val="auto"/>
              </w:rPr>
            </w:pPr>
            <w:r>
              <w:rPr>
                <w:rFonts w:ascii="Times New Roman" w:cs="Times New Roman" w:eastAsia="Times New Roman" w:hAnsi="Times New Roman"/>
                <w:sz w:val="17"/>
                <w:szCs w:val="17"/>
                <w:color w:val="auto"/>
                <w:w w:val="98"/>
              </w:rPr>
              <w:t>(84)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52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Segment assets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13,224</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4,145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20" w:type="dxa"/>
            <w:vAlign w:val="bottom"/>
          </w:tcPr>
          <w:p>
            <w:pPr>
              <w:spacing w:after="0"/>
              <w:rPr>
                <w:sz w:val="19"/>
                <w:szCs w:val="19"/>
                <w:color w:val="auto"/>
              </w:rPr>
            </w:pPr>
          </w:p>
        </w:tc>
        <w:tc>
          <w:tcPr>
            <w:tcW w:w="52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19,096</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20" w:type="dxa"/>
            <w:vAlign w:val="bottom"/>
          </w:tcPr>
          <w:p>
            <w:pPr>
              <w:spacing w:after="0"/>
              <w:rPr>
                <w:sz w:val="19"/>
                <w:szCs w:val="19"/>
                <w:color w:val="auto"/>
              </w:rPr>
            </w:pPr>
          </w:p>
        </w:tc>
        <w:tc>
          <w:tcPr>
            <w:tcW w:w="520" w:type="dxa"/>
            <w:vAlign w:val="bottom"/>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3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OTHER INCOME (EXPENSE), NET</w:t>
            </w:r>
          </w:p>
        </w:tc>
        <w:tc>
          <w:tcPr>
            <w:tcW w:w="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6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0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The components of Other income (expense), net are as follows: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Gain on mark-to-market derivatives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income,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ind w:right="20"/>
        <w:spacing w:after="0" w:line="270" w:lineRule="auto"/>
        <w:rPr>
          <w:sz w:val="20"/>
          <w:szCs w:val="20"/>
          <w:color w:val="auto"/>
        </w:rPr>
      </w:pPr>
      <w:r>
        <w:rPr>
          <w:rFonts w:ascii="Times New Roman" w:cs="Times New Roman" w:eastAsia="Times New Roman" w:hAnsi="Times New Roman"/>
          <w:sz w:val="17"/>
          <w:szCs w:val="17"/>
          <w:color w:val="auto"/>
        </w:rPr>
        <w:t>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income (expense), net. For the three months ended March 31, 2026, these contracts resulted in a net gain of $2 million.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600" w:firstLine="464"/>
        <w:spacing w:after="0" w:line="271"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key strategic initiatives aimed at achieving these focus areas.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3.0</w:t>
      </w:r>
    </w:p>
    <w:p>
      <w:pPr>
        <w:spacing w:after="0" w:line="105" w:lineRule="exact"/>
        <w:rPr>
          <w:sz w:val="20"/>
          <w:szCs w:val="20"/>
          <w:color w:val="auto"/>
        </w:rPr>
      </w:pPr>
    </w:p>
    <w:p>
      <w:pPr>
        <w:ind w:right="320" w:firstLine="464"/>
        <w:spacing w:after="0" w:line="254" w:lineRule="auto"/>
        <w:rPr>
          <w:sz w:val="20"/>
          <w:szCs w:val="20"/>
          <w:color w:val="auto"/>
        </w:rPr>
      </w:pPr>
      <w:r>
        <w:rPr>
          <w:rFonts w:ascii="Times New Roman" w:cs="Times New Roman" w:eastAsia="Times New Roman" w:hAnsi="Times New Roman"/>
          <w:sz w:val="17"/>
          <w:szCs w:val="17"/>
          <w:color w:val="auto"/>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Net charges to date of $39 million were primarily for employee-related costs.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3.0 initiative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Pr>
          <w:p>
            <w:pPr>
              <w:spacing w:after="0"/>
              <w:rPr>
                <w:sz w:val="17"/>
                <w:szCs w:val="17"/>
                <w:color w:val="auto"/>
              </w:rPr>
            </w:pPr>
          </w:p>
        </w:tc>
      </w:tr>
      <w:tr>
        <w:trPr>
          <w:trHeight w:val="158"/>
        </w:trPr>
        <w:tc>
          <w:tcPr>
            <w:tcW w:w="81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36"/>
              <w:spacing w:after="0" w:line="138" w:lineRule="exact"/>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15"/>
              <w:spacing w:after="0" w:line="138" w:lineRule="exact"/>
              <w:rPr>
                <w:sz w:val="20"/>
                <w:szCs w:val="20"/>
                <w:color w:val="auto"/>
              </w:rPr>
            </w:pPr>
            <w:r>
              <w:rPr>
                <w:rFonts w:ascii="Times New Roman" w:cs="Times New Roman" w:eastAsia="Times New Roman" w:hAnsi="Times New Roman"/>
                <w:sz w:val="15"/>
                <w:szCs w:val="15"/>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center"/>
              <w:ind w:left="856"/>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center"/>
              <w:ind w:left="856"/>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03"/>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9"/>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56"/>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90"/>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19"/>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Integration 3.0 restructuring charges,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Portfolio Optimization</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Wabtec is focused on exiting various low margin product offerings through Portfolio Optimization to improve profitability while reducing manufacturing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complexity. There were no material charges or cash payments during the three months ended March 31, 2026. Wabtec recorded net charges of approximately</w:t>
      </w:r>
    </w:p>
    <w:p>
      <w:pPr>
        <w:spacing w:after="0" w:line="237" w:lineRule="auto"/>
        <w:rPr>
          <w:sz w:val="20"/>
          <w:szCs w:val="20"/>
          <w:color w:val="auto"/>
        </w:rPr>
      </w:pPr>
      <w:r>
        <w:rPr>
          <w:rFonts w:ascii="Times New Roman" w:cs="Times New Roman" w:eastAsia="Times New Roman" w:hAnsi="Times New Roman"/>
          <w:sz w:val="17"/>
          <w:szCs w:val="17"/>
          <w:color w:val="auto"/>
        </w:rPr>
        <w:t>$3 million during the three months ended March 31, 2025, primarily for asset write downs related to Portfolio Optimization. Total one-time restructuring charges</w:t>
      </w:r>
    </w:p>
    <w:p>
      <w:pPr>
        <w:spacing w:after="0"/>
        <w:rPr>
          <w:sz w:val="20"/>
          <w:szCs w:val="20"/>
          <w:color w:val="auto"/>
        </w:rPr>
      </w:pPr>
      <w:r>
        <w:rPr>
          <w:rFonts w:ascii="Times New Roman" w:cs="Times New Roman" w:eastAsia="Times New Roman" w:hAnsi="Times New Roman"/>
          <w:sz w:val="17"/>
          <w:szCs w:val="17"/>
          <w:color w:val="auto"/>
        </w:rPr>
        <w:t>related to Portfolio Optimization to date are approximately $101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2.0</w:t>
      </w:r>
    </w:p>
    <w:p>
      <w:pPr>
        <w:spacing w:after="0" w:line="105" w:lineRule="exact"/>
        <w:rPr>
          <w:sz w:val="20"/>
          <w:szCs w:val="20"/>
          <w:color w:val="auto"/>
        </w:rPr>
      </w:pPr>
    </w:p>
    <w:p>
      <w:pPr>
        <w:ind w:right="80" w:firstLine="464"/>
        <w:spacing w:after="0" w:line="243" w:lineRule="auto"/>
        <w:rPr>
          <w:sz w:val="20"/>
          <w:szCs w:val="20"/>
          <w:color w:val="auto"/>
        </w:rPr>
      </w:pPr>
      <w:r>
        <w:rPr>
          <w:rFonts w:ascii="Times New Roman" w:cs="Times New Roman" w:eastAsia="Times New Roman" w:hAnsi="Times New Roman"/>
          <w:sz w:val="17"/>
          <w:szCs w:val="17"/>
          <w:color w:val="auto"/>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$150 million has been incurred to date. There were no material charges or cash payments during the three months ended March 31, 2026 and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10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2025, filed with the Securities and Exchange Commission on February 13,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2026, approximately half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105" w:lineRule="exact"/>
        <w:rPr>
          <w:sz w:val="20"/>
          <w:szCs w:val="20"/>
          <w:color w:val="auto"/>
        </w:rPr>
      </w:pPr>
    </w:p>
    <w:p>
      <w:pPr>
        <w:ind w:right="80" w:firstLine="464"/>
        <w:spacing w:after="0" w:line="271" w:lineRule="auto"/>
        <w:rPr>
          <w:sz w:val="20"/>
          <w:szCs w:val="20"/>
          <w:color w:val="auto"/>
        </w:rPr>
      </w:pPr>
      <w:r>
        <w:rPr>
          <w:rFonts w:ascii="Times New Roman" w:cs="Times New Roman" w:eastAsia="Times New Roman" w:hAnsi="Times New Roman"/>
          <w:sz w:val="17"/>
          <w:szCs w:val="17"/>
          <w:color w:val="auto"/>
        </w:rPr>
        <w:t>During the first quarter of 2025, Wabtec announced a definitive agreement to acquire Dellner Couplers, a global leader in highly engineered safety-critical train connection systems and services for passenger rail rolling stock. The acquisition subsequently closed on February 10, 2026 for approximately $1.053 billion.</w:t>
      </w:r>
    </w:p>
    <w:p>
      <w:pPr>
        <w:spacing w:after="0" w:line="48" w:lineRule="exact"/>
        <w:rPr>
          <w:sz w:val="20"/>
          <w:szCs w:val="20"/>
          <w:color w:val="auto"/>
        </w:rPr>
      </w:pPr>
    </w:p>
    <w:p>
      <w:pPr>
        <w:ind w:right="40" w:firstLine="464"/>
        <w:spacing w:after="0" w:line="248" w:lineRule="auto"/>
        <w:rPr>
          <w:sz w:val="20"/>
          <w:szCs w:val="20"/>
          <w:color w:val="auto"/>
        </w:rPr>
      </w:pPr>
      <w:r>
        <w:rPr>
          <w:rFonts w:ascii="Times New Roman" w:cs="Times New Roman" w:eastAsia="Times New Roman" w:hAnsi="Times New Roman"/>
          <w:sz w:val="17"/>
          <w:szCs w:val="17"/>
          <w:color w:val="auto"/>
        </w:rPr>
        <w:t>Additionally, during the first quarter of 2026, Wabtec secured a multi-year, multi-billion dollar mining contract for drive systems and aftermarket parts, won a multi-year modernization order in the U.S. for $210 million, and signed a $54 million Transit brake and couplers order, which contributed to the overall increase in backlog of $3.4 billion from December 31, 2025 to $30.8 billion at March 31, 2026. We also began executing the first EVO modernization build to support the commercial rollout to the installed base.</w:t>
      </w:r>
    </w:p>
    <w:p>
      <w:pPr>
        <w:spacing w:after="0" w:line="69" w:lineRule="exact"/>
        <w:rPr>
          <w:sz w:val="20"/>
          <w:szCs w:val="20"/>
          <w:color w:val="auto"/>
        </w:rPr>
      </w:pPr>
    </w:p>
    <w:p>
      <w:pPr>
        <w:ind w:firstLine="464"/>
        <w:spacing w:after="0" w:line="241"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three months of 2026 and 2025, Wabtec incurred $5 million and $9 million, respectively, of restructuring costs primarily for employee-related costs on programs under these initiatives. In addition, Transaction costs incurred during the three months ended March 31, 2026 and 2025 related to recent acquisitions were approximately $13 million and $10 million, respectively.</w:t>
      </w:r>
    </w:p>
    <w:p>
      <w:pPr>
        <w:spacing w:after="0" w:line="76" w:lineRule="exact"/>
        <w:rPr>
          <w:sz w:val="20"/>
          <w:szCs w:val="20"/>
          <w:color w:val="auto"/>
        </w:rPr>
      </w:pPr>
    </w:p>
    <w:p>
      <w:pPr>
        <w:ind w:right="160" w:firstLine="464"/>
        <w:spacing w:after="0" w:line="241" w:lineRule="auto"/>
        <w:rPr>
          <w:sz w:val="20"/>
          <w:szCs w:val="20"/>
          <w:color w:val="auto"/>
        </w:rPr>
      </w:pPr>
      <w:r>
        <w:rPr>
          <w:rFonts w:ascii="Times New Roman" w:cs="Times New Roman" w:eastAsia="Times New Roman" w:hAnsi="Times New Roman"/>
          <w:sz w:val="17"/>
          <w:szCs w:val="17"/>
          <w:color w:val="auto"/>
        </w:rPr>
        <w:t>Future macroeconomic volatility, changes to tariffs and trade policies, impacts from regional conflicts and war, supply chain disruptions, and labor availability, amongst other things, could cause a negative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including the impact of current tariffs.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strategic initiatives. The Company has experienced increased tariff costs which unfavorably impacted our operating results and cash from operations for the three months ended March 31, 2026. Although we do not expect a material impact to our results of operations in 2026 because of mitigation efforts, due to the volatility of trade policies, we are unable to reasonably predict the future impact.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2026 COMPARED TO FIRST QUARTER 2025</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March 31, 2026 from the three months ended March 31, 2025:</w:t>
      </w:r>
    </w:p>
    <w:tbl>
      <w:tblPr>
        <w:tblLayout w:type="fixed"/>
        <w:tblInd w:w="0" w:type="dxa"/>
        <w:tblCellMar>
          <w:top w:w="0" w:type="dxa"/>
          <w:left w:w="0" w:type="dxa"/>
          <w:bottom w:w="0" w:type="dxa"/>
          <w:right w:w="0" w:type="dxa"/>
        </w:tblCellMar>
      </w:tblPr>
      <w:tr>
        <w:trPr>
          <w:trHeight w:val="153"/>
        </w:trPr>
        <w:tc>
          <w:tcPr>
            <w:tcW w:w="64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Quarter 2026 Net sales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Net sales for the three months ended March 31, 2026 increased by $340 million, or 13.0%, to $2.95 billion compared to the same period in 2025. Organic sales increased $60 million which was attributable to both the Freight and Transit Segments. Freight sales increased primarily due to higher North American and international locomotive deliveries and higher mining sales, partially offset by lower deliveries of locomotive modernizations and engine overhauls and the exit of a low margin Digital project. Transit sales increased from higher demand for Aftermarket and Original Equipment Manufacturing products and services driven by increased investments in sustainable infrastructure, fleet expansion and renewals and increased passenger ridership levels. Sales from acquisitions contributed $225 million, and favorable changes in foreign exchange increased Net sales by $68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05" w:lineRule="exact"/>
        <w:rPr>
          <w:sz w:val="20"/>
          <w:szCs w:val="20"/>
          <w:color w:val="auto"/>
        </w:rPr>
      </w:pPr>
    </w:p>
    <w:p>
      <w:pPr>
        <w:ind w:right="40" w:firstLine="464"/>
        <w:spacing w:after="0" w:line="244" w:lineRule="auto"/>
        <w:rPr>
          <w:sz w:val="20"/>
          <w:szCs w:val="20"/>
          <w:color w:val="auto"/>
        </w:rPr>
      </w:pPr>
      <w:r>
        <w:rPr>
          <w:rFonts w:ascii="Times New Roman" w:cs="Times New Roman" w:eastAsia="Times New Roman" w:hAnsi="Times New Roman"/>
          <w:sz w:val="17"/>
          <w:szCs w:val="17"/>
          <w:color w:val="auto"/>
        </w:rPr>
        <w:t>Cost of sales for the three months ended March 31, 2026 increased by $179 million, or 10.5%, to $1.89 billion compared to the same period in 2025. The increase is primarily due to the increase in Net sales. Cost of sales as a percentage of Net sales was 64.0% and 65.5% for the three months ended March 31, 2026 and 2025, respectively. The improvement in gross margin is attributable to productivity and cost management, savings from restructuring initiatives, and accretion from recent acquisitions, partially offset by unfavorable mix within the Freight Segment. Cost of sales for the three months ended March 31, 2026 included $23 million of costs related to purchase price accounting for the step-up of inventory related to acquisitions to fair value on the date of acquisition. Cost of sales for the three months ended March 31, 2026 and 2025 both included $3 million of costs related to restructuring initiatives.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05" w:lineRule="exact"/>
        <w:rPr>
          <w:sz w:val="20"/>
          <w:szCs w:val="20"/>
          <w:color w:val="auto"/>
        </w:rPr>
      </w:pPr>
    </w:p>
    <w:p>
      <w:pPr>
        <w:ind w:right="40" w:firstLine="464"/>
        <w:spacing w:after="0" w:line="243" w:lineRule="auto"/>
        <w:rPr>
          <w:sz w:val="20"/>
          <w:szCs w:val="20"/>
          <w:color w:val="auto"/>
        </w:rPr>
      </w:pPr>
      <w:r>
        <w:rPr>
          <w:rFonts w:ascii="Times New Roman" w:cs="Times New Roman" w:eastAsia="Times New Roman" w:hAnsi="Times New Roman"/>
          <w:sz w:val="17"/>
          <w:szCs w:val="17"/>
          <w:color w:val="auto"/>
        </w:rPr>
        <w:t>Total operating expenses increased $118 million, or 27.7%, for the three months ended March 31, 2026 compared to the same period in 2025. Selling, general and administrative expenses ("SG&amp;A") increased $94 million for the three months ended March 31, 2026 compared to the same period in 2025. The increase is primarily due to incremental expense from acquisitions, higher employee compensation and benefit costs, and transaction costs associated with acquisitions, partially offset by the impacts of restructuring initiatives. Transaction costs associated with acquisitions included in SG&amp;A were $13 million and $10 million for three months ended March 31, 2026 and 2025, respectively. SG&amp;A for the three months ended March 31, 2026 and 2025 included $2 million and $5 million, respectively, of costs related to restructuring initiatives. Engineering expenses increased $10 million and Amortization expense increased $14 million both due to incremental expense from acquisitions.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increased $25 million to $71 million for the three months ended March 31, 2026 compared to the same period in 2025, due to higher average overall debt balances in the current period, primarily related to acquisitions.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18" w:lineRule="exact"/>
        <w:rPr>
          <w:sz w:val="20"/>
          <w:szCs w:val="20"/>
          <w:color w:val="auto"/>
        </w:rPr>
      </w:pPr>
    </w:p>
    <w:p>
      <w:pPr>
        <w:ind w:right="500" w:firstLine="464"/>
        <w:spacing w:after="0" w:line="287" w:lineRule="auto"/>
        <w:rPr>
          <w:sz w:val="20"/>
          <w:szCs w:val="20"/>
          <w:color w:val="auto"/>
        </w:rPr>
      </w:pPr>
      <w:r>
        <w:rPr>
          <w:rFonts w:ascii="Times New Roman" w:cs="Times New Roman" w:eastAsia="Times New Roman" w:hAnsi="Times New Roman"/>
          <w:sz w:val="17"/>
          <w:szCs w:val="17"/>
          <w:color w:val="auto"/>
        </w:rPr>
        <w:t>Other income (expense), net increased $25 million for the three months ended March 31, 2026 compared to the same period in 2025, primarily due to foreign exchange gains in the current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22.7% and 23.2% for the three months ended March 31, 2026 and 2025, respectively. The year over year decrease in the effective rate was primarily driven by higher discrete equity compensation tax deductions.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1,697</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1,450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62.7 %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64.0 %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21.3 %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22.1 %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27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quarter of 2026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Quarter 2026 Net sales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Freight Segment organic sales increased by $20 million driven primarily by Equipment sales from higher North American and international locomotive deliveries and higher mining sales. This was partially offset by decreased Services sales from lower deliveries of locomotive modernizations and engine overhauls, decreased Digital Intelligence sales driven by the exit of a low margin project, and decreased Components sales from lower North America rail car build, partially offset by strong industrial demand. Sales from acquisitions contributed $184 million, primarily from Inspection Technologies and Frauscher, and favorable changes in foreign exchange increased sales by $20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Freight Segment Cost of sales increased $111 million, primarily due to higher sales volume, and Cost of sales as a percentage of Net sales decreased 1.3 percentage points. The improvement in gross margin is attributable to productivity and cost management and accretion from recent acquisitions, partially offset by unfavorable mix within the Freight Segment and the exit of a low margin Digital project. Cost of sales for the three months ended March 31, 2026 included $20 million of costs related to purchase price accounting for the step-up of inventory related to acquisitions to fair value on the date of acquisition. Cost of sales for the three months ended March 31, 2026 and 2025 both included $2 million of costs related to restructuring initiatives.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Freight Segment Operating expenses increased by $73 million, and Operating expenses as a percentage of Net sales increased 2.0 percentage points. The increase in Freight Segment Operating expenses is primarily driven by incremental expense from acquisitions.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9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67.3 %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12.7 %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2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quarter of 2026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Portfolio Optimization (Divestitures/Exits)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Quarter 2026 Net sales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Transit Segment organic sales increased by $40 million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the Dellner Couplers acquisition contributed $41 million, and favorable changes in foreign exchange rates increased sales by $48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Transit Segment Cost of sales increased by $68 million, primarily due to higher sales volume, and Cost of sales as a percentage of Net sales decreased by 2.4 percentage points. The increase in gross margin was attributable to increased productivity and the benefits from structured cost actions taken through restructuring initiatives.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increased by $27 million and as a percentage of Net sales increased by 0.6 percentage points. Higher SG&amp;A expenses to support higher sales volume and incremental Operating expenses from acquisitions were partially offset by benefits from structured cost actions taken through restructuring initiatives. Transit SG&amp;A expenses for the three months ended March 31, 2026 and 2025 included $2 million and $4 million, respectively, of costs related to restructuring initiatives.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borrowings under our credit facilities,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776"/>
              <w:spacing w:after="0" w:line="162"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8"/>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bl>
    <w:p>
      <w:pPr>
        <w:spacing w:after="0" w:line="167" w:lineRule="exact"/>
        <w:rPr>
          <w:sz w:val="20"/>
          <w:szCs w:val="20"/>
          <w:color w:val="auto"/>
        </w:rPr>
      </w:pPr>
    </w:p>
    <w:p>
      <w:pPr>
        <w:ind w:right="3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three months of 2026, cash provided by operating activities was $199 million compared to $191 million in the first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of 2025. The increase was primarily driven by higher net income, partially offset by increased working capital requirements.</w:t>
      </w:r>
    </w:p>
    <w:p>
      <w:pPr>
        <w:spacing w:after="0" w:line="2" w:lineRule="exact"/>
        <w:rPr>
          <w:sz w:val="20"/>
          <w:szCs w:val="20"/>
          <w:color w:val="auto"/>
        </w:rPr>
      </w:pPr>
    </w:p>
    <w:p>
      <w:pPr>
        <w:jc w:val="both"/>
        <w:ind w:right="60" w:firstLine="464"/>
        <w:spacing w:after="0" w:line="234" w:lineRule="exact"/>
        <w:rPr>
          <w:sz w:val="20"/>
          <w:szCs w:val="20"/>
          <w:color w:val="auto"/>
        </w:rPr>
      </w:pPr>
      <w:r>
        <w:rPr>
          <w:rFonts w:ascii="Times New Roman" w:cs="Times New Roman" w:eastAsia="Times New Roman" w:hAnsi="Times New Roman"/>
          <w:sz w:val="17"/>
          <w:szCs w:val="17"/>
          <w:color w:val="auto"/>
        </w:rPr>
        <w:t>Net income was $363 million, an increase of $36 million compared to the prior year period.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adjustments, including depreciation and amortization of $139 million and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of $22 million, further supported cash provided by operating activities and increased year over year, primarily due to incremental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expense from acquisitions and higher equity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w:t>
      </w:r>
    </w:p>
    <w:p>
      <w:pPr>
        <w:spacing w:after="0" w:line="61"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These sources of cash were partially offset by changes in working capital. The increase in Receivables decreased cash from operations by $305 million, compared to a decrease in cash from operations of $226 million in the prior year period, driven by higher sales and the timing of collections from customers. The decrease in Customer deposits decreased cash from operations by $64 million, compared to a $31 million increase in cash from operations in the prior year, from changes in the timing of customer deposits. Other operating activities decreased cash from operations by $12 million, compared to an $83 million decrease in cash from operations in the prior year, primarily from changes in other accrued expenses due to the timing of payments.</w:t>
      </w:r>
    </w:p>
    <w:p>
      <w:pPr>
        <w:spacing w:after="0" w:line="66"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three months of 2026 and 2025, cash used for investing activities was $(1,105) million and $(44) million, respectively.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the first three months of 2026, Wabtec used $(1,062) million for acquisitions, primarily for Dellner Couplers, and used $(46) million for additions to property, plant and equipment for investments in our facilities and manufacturing processes. During the first three months of 2025, Wabtec used $(44) million for additions to property, plant, and equipment.</w:t>
      </w:r>
    </w:p>
    <w:p>
      <w:pPr>
        <w:spacing w:after="0" w:line="58" w:lineRule="exact"/>
        <w:rPr>
          <w:sz w:val="20"/>
          <w:szCs w:val="20"/>
          <w:color w:val="auto"/>
        </w:rPr>
      </w:pPr>
    </w:p>
    <w:p>
      <w:pPr>
        <w:ind w:right="16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three months of 2026, cash provided by financing activities was $656 million, which included $1,012 million from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changes in debt, $(242) million in stock repurchases, $(53) million of dividend payments, and $(53) million of payments for income tax withholding on share-based compensation. In the first three months of 2025, cash used for financing activities was $(172) million, which included $4 million from net changes in debt, $(98) million in stock repurchases, $(43) million of dividend payments, and $(34) million of payments for income tax withholding on share-based compensation.</w:t>
      </w:r>
    </w:p>
    <w:p>
      <w:pPr>
        <w:spacing w:after="0" w:line="64"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As of March 31, 2026, the Company held approximately $531 million of cash, cash equivalents and restricted cash, which was primarily held outside of the United States, mainly in Europe, South Africa, India, and Brazil. While repatriation of some cash held outside the United States may be restricted by local laws, most of the Company’s foreign cash could be repatriated to the United States net of any tax impacts. As of March 31, 2026, approximately $10 million of the Company's cash balance was classified as restricted, primarily for cash held in escrow related to acquisitions.</w:t>
      </w:r>
    </w:p>
    <w:p>
      <w:pPr>
        <w:spacing w:after="0" w:line="68"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The Company's goal is to maintain an investment-grade credit profile, which supports access to diverse sources of liquidity and favorably impacts borrowing costs. Rating agencies that are engaged by the Company periodically update our credit ratings as events occur. As of March 31, 2026, the long-term credit ratings assigned to the Company were BBB with a stable outlook by Fitch Ratings, Baa2 with a stable outlook by Moody's Investors Service, and BBB with a stable outlook by S&amp;P Global Ratings.</w:t>
      </w:r>
    </w:p>
    <w:p>
      <w:pPr>
        <w:spacing w:after="0" w:line="68"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color w:val="auto"/>
        </w:rPr>
        <w:t>Revolving Receivables Program</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Company utilizes its Revolving Receivables Program to request borrowings from a financial institution against certain collateralized receivables for up to $450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w:t>
      </w:r>
    </w:p>
    <w:p>
      <w:pPr>
        <w:spacing w:after="0" w:line="68"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2026, the Company borrowed $445 million against the collateralized receivables. There were no repayments against the collateralized receivables during the three months ended March 31, 2026. During the three months ended March 31, 2025, the Company borrowed and repaid $175 million against the collateralized receivables. Additional information with respect to the Revolving Receivables Program is included in Note 2 of "Notes to Condensed Consolidated Financial Statements" included in Part I, Item 1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Uncommitted Money Market Line Credit Agreement</w:t>
      </w:r>
    </w:p>
    <w:p>
      <w:pPr>
        <w:spacing w:after="0" w:line="118" w:lineRule="exact"/>
        <w:rPr>
          <w:sz w:val="20"/>
          <w:szCs w:val="20"/>
          <w:color w:val="auto"/>
        </w:rPr>
      </w:pPr>
    </w:p>
    <w:p>
      <w:pPr>
        <w:jc w:val="both"/>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Available Liquidity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total available liquidity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00" w:type="dxa"/>
            <w:vAlign w:val="bottom"/>
          </w:tcPr>
          <w:p>
            <w:pPr>
              <w:spacing w:after="0"/>
              <w:rPr>
                <w:sz w:val="15"/>
                <w:szCs w:val="15"/>
                <w:color w:val="auto"/>
              </w:rPr>
            </w:pP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55"/>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12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excluding restricted cash</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Receivables Program</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16"/>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Available Liquidity</w:t>
            </w: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3,207</w:t>
            </w:r>
          </w:p>
        </w:tc>
      </w:tr>
    </w:tbl>
    <w:p>
      <w:pPr>
        <w:spacing w:after="0" w:line="173" w:lineRule="exact"/>
        <w:rPr>
          <w:sz w:val="20"/>
          <w:szCs w:val="20"/>
          <w:color w:val="auto"/>
        </w:rPr>
      </w:pPr>
    </w:p>
    <w:p>
      <w:pPr>
        <w:jc w:val="both"/>
        <w:ind w:right="380" w:firstLine="464"/>
        <w:spacing w:after="0" w:line="270" w:lineRule="auto"/>
        <w:rPr>
          <w:sz w:val="20"/>
          <w:szCs w:val="20"/>
          <w:color w:val="auto"/>
        </w:rPr>
      </w:pPr>
      <w:r>
        <w:rPr>
          <w:rFonts w:ascii="Times New Roman" w:cs="Times New Roman" w:eastAsia="Times New Roman" w:hAnsi="Times New Roman"/>
          <w:sz w:val="17"/>
          <w:szCs w:val="17"/>
          <w:color w:val="auto"/>
        </w:rPr>
        <w:t>The Company believes that its existing cash balances, cash generated from operations, available borrowings under its credit facilities, and access to the capital markets will be sufficient to meet its working capital needs, planned capital expenditures, debt service requirements, dividends, share repurchases, and other known cash requirements for at least the next twelve months.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05"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Westinghouse Air Brake Technologies Corporation (the “Parent Company”) has issued 3.45% Senior Notes due 2026, 4.70% Senior Notes due 2028, 4.90% Senior Notes due 2030, 5.611% Senior Notes due 2034, and 5.50% Senior Notes due 2035 (collectively, the “US Notes”).</w:t>
      </w:r>
    </w:p>
    <w:p>
      <w:pPr>
        <w:spacing w:after="0" w:line="4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0"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 intercompany balances and transactions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among the Parent Company and Guarantor Subsidiaries and (ii) equity in earnings from and investments in any subsidiary that is not a Guarantor Subsidiary.</w:t>
      </w:r>
    </w:p>
    <w:p>
      <w:pPr>
        <w:spacing w:after="0" w:line="114"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the Parent Company, as the issuer of the US Notes, and Guarantor Subsidiaries.</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Parent Company and Guarantor</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0" w:type="dxa"/>
            <w:vAlign w:val="bottom"/>
          </w:tcPr>
          <w:p>
            <w:pPr>
              <w:spacing w:after="0"/>
              <w:rPr>
                <w:sz w:val="1"/>
                <w:szCs w:val="1"/>
                <w:color w:val="auto"/>
              </w:rPr>
            </w:pPr>
          </w:p>
        </w:tc>
      </w:tr>
      <w:tr>
        <w:trPr>
          <w:trHeight w:val="142"/>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2"/>
                <w:szCs w:val="12"/>
                <w:color w:val="auto"/>
              </w:rPr>
            </w:pPr>
          </w:p>
        </w:tc>
        <w:tc>
          <w:tcPr>
            <w:tcW w:w="2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5"/>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21"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w:t>
            </w:r>
          </w:p>
        </w:tc>
      </w:tr>
      <w:tr>
        <w:trPr>
          <w:trHeight w:val="223"/>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452"/>
        </w:trPr>
        <w:tc>
          <w:tcPr>
            <w:tcW w:w="20" w:type="dxa"/>
            <w:vAlign w:val="bottom"/>
          </w:tcPr>
          <w:p>
            <w:pPr>
              <w:spacing w:after="0"/>
              <w:rPr>
                <w:sz w:val="24"/>
                <w:szCs w:val="24"/>
                <w:color w:val="auto"/>
              </w:rPr>
            </w:pPr>
          </w:p>
        </w:tc>
        <w:tc>
          <w:tcPr>
            <w:tcW w:w="67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8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3,280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3,311</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4,071</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3,701</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Parent Company and Guarantor</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0" w:type="dxa"/>
            <w:vAlign w:val="bottom"/>
          </w:tcPr>
          <w:p>
            <w:pPr>
              <w:spacing w:after="0"/>
              <w:rPr>
                <w:sz w:val="1"/>
                <w:szCs w:val="1"/>
                <w:color w:val="auto"/>
              </w:rPr>
            </w:pPr>
          </w:p>
        </w:tc>
      </w:tr>
      <w:tr>
        <w:trPr>
          <w:trHeight w:val="142"/>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2"/>
                <w:szCs w:val="12"/>
                <w:color w:val="auto"/>
              </w:rPr>
            </w:pPr>
          </w:p>
        </w:tc>
        <w:tc>
          <w:tcPr>
            <w:tcW w:w="2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5"/>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21"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24"/>
              <w:spacing w:after="0" w:line="153" w:lineRule="exact"/>
              <w:rPr>
                <w:sz w:val="20"/>
                <w:szCs w:val="20"/>
                <w:color w:val="auto"/>
              </w:rPr>
            </w:pPr>
            <w:r>
              <w:rPr>
                <w:rFonts w:ascii="Times New Roman" w:cs="Times New Roman" w:eastAsia="Times New Roman" w:hAnsi="Times New Roman"/>
                <w:sz w:val="14"/>
                <w:szCs w:val="14"/>
                <w:b w:val="1"/>
                <w:bCs w:val="1"/>
                <w:color w:val="auto"/>
                <w:w w:val="97"/>
              </w:rPr>
              <w:t>Parent Company and Guarantor</w:t>
            </w: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r>
      <w:tr>
        <w:trPr>
          <w:trHeight w:val="153"/>
        </w:trPr>
        <w:tc>
          <w:tcPr>
            <w:tcW w:w="90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2060" w:type="dxa"/>
            <w:vAlign w:val="bottom"/>
          </w:tcPr>
          <w:p>
            <w:pPr>
              <w:jc w:val="center"/>
              <w:ind w:right="24"/>
              <w:spacing w:after="0" w:line="153" w:lineRule="exact"/>
              <w:rPr>
                <w:sz w:val="20"/>
                <w:szCs w:val="20"/>
                <w:color w:val="auto"/>
              </w:rPr>
            </w:pPr>
            <w:r>
              <w:rPr>
                <w:rFonts w:ascii="Times New Roman" w:cs="Times New Roman" w:eastAsia="Times New Roman" w:hAnsi="Times New Roman"/>
                <w:sz w:val="14"/>
                <w:szCs w:val="14"/>
                <w:b w:val="1"/>
                <w:bCs w:val="1"/>
                <w:color w:val="auto"/>
                <w:w w:val="98"/>
              </w:rPr>
              <w:t>March 31, 2026</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8"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right="340" w:firstLine="464"/>
        <w:spacing w:after="0" w:line="238"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4" w:name="page35"/>
    <w:bookmarkEnd w:id="34"/>
    <w:p>
      <w:pPr>
        <w:ind w:right="400" w:firstLine="464"/>
        <w:spacing w:after="0" w:line="255" w:lineRule="auto"/>
        <w:rPr>
          <w:sz w:val="20"/>
          <w:szCs w:val="20"/>
          <w:color w:val="auto"/>
        </w:rPr>
      </w:pPr>
      <w:r>
        <w:rPr>
          <w:rFonts w:ascii="Times New Roman" w:cs="Times New Roman" w:eastAsia="Times New Roman" w:hAnsi="Times New Roman"/>
          <w:sz w:val="17"/>
          <w:szCs w:val="17"/>
          <w:color w:val="auto"/>
        </w:rPr>
        <w:t>The summarized financial information is provided in accordance with the reporting requirements of Rule 13-01 under SEC Regulation S-X for Wabtec Netherlands, as the issuer of the Euro Notes, and Parent Company guarantor.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(Guarantor)</w:t>
            </w:r>
          </w:p>
        </w:tc>
        <w:tc>
          <w:tcPr>
            <w:tcW w:w="0" w:type="dxa"/>
            <w:vAlign w:val="bottom"/>
          </w:tcPr>
          <w:p>
            <w:pPr>
              <w:spacing w:after="0"/>
              <w:rPr>
                <w:sz w:val="1"/>
                <w:szCs w:val="1"/>
                <w:color w:val="auto"/>
              </w:rPr>
            </w:pPr>
          </w:p>
        </w:tc>
      </w:tr>
      <w:tr>
        <w:trPr>
          <w:trHeight w:val="140"/>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2"/>
                <w:szCs w:val="12"/>
                <w:color w:val="auto"/>
              </w:rPr>
            </w:pPr>
          </w:p>
        </w:tc>
        <w:tc>
          <w:tcPr>
            <w:tcW w:w="2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7"/>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3"/>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439"/>
        </w:trPr>
        <w:tc>
          <w:tcPr>
            <w:tcW w:w="20" w:type="dxa"/>
            <w:vAlign w:val="bottom"/>
          </w:tcPr>
          <w:p>
            <w:pPr>
              <w:spacing w:after="0"/>
              <w:rPr>
                <w:sz w:val="24"/>
                <w:szCs w:val="24"/>
                <w:color w:val="auto"/>
              </w:rPr>
            </w:pPr>
          </w:p>
        </w:tc>
        <w:tc>
          <w:tcPr>
            <w:tcW w:w="67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8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646</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4,702</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164" w:lineRule="exact"/>
        <w:rPr>
          <w:sz w:val="20"/>
          <w:szCs w:val="20"/>
          <w:color w:val="auto"/>
        </w:rPr>
      </w:pPr>
    </w:p>
    <w:p>
      <w:pPr>
        <w:ind w:right="200" w:firstLine="464"/>
        <w:spacing w:after="0" w:line="239"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(Guarantor)</w:t>
            </w:r>
          </w:p>
        </w:tc>
        <w:tc>
          <w:tcPr>
            <w:tcW w:w="0" w:type="dxa"/>
            <w:vAlign w:val="bottom"/>
          </w:tcPr>
          <w:p>
            <w:pPr>
              <w:spacing w:after="0"/>
              <w:rPr>
                <w:sz w:val="1"/>
                <w:szCs w:val="1"/>
                <w:color w:val="auto"/>
              </w:rPr>
            </w:pPr>
          </w:p>
        </w:tc>
      </w:tr>
      <w:tr>
        <w:trPr>
          <w:trHeight w:val="140"/>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2"/>
                <w:szCs w:val="12"/>
                <w:color w:val="auto"/>
              </w:rPr>
            </w:pPr>
          </w:p>
        </w:tc>
        <w:tc>
          <w:tcPr>
            <w:tcW w:w="2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7"/>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84"/>
              <w:spacing w:after="0" w:line="151" w:lineRule="exact"/>
              <w:rPr>
                <w:sz w:val="20"/>
                <w:szCs w:val="20"/>
                <w:color w:val="auto"/>
              </w:rPr>
            </w:pPr>
            <w:r>
              <w:rPr>
                <w:rFonts w:ascii="Times New Roman" w:cs="Times New Roman" w:eastAsia="Times New Roman" w:hAnsi="Times New Roman"/>
                <w:sz w:val="14"/>
                <w:szCs w:val="14"/>
                <w:b w:val="1"/>
                <w:bCs w:val="1"/>
                <w:color w:val="auto"/>
                <w:w w:val="97"/>
              </w:rPr>
              <w:t>Issuer and Parent Company</w:t>
            </w: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(Guarantor)</w:t>
            </w:r>
          </w:p>
        </w:tc>
      </w:tr>
      <w:tr>
        <w:trPr>
          <w:trHeight w:val="153"/>
        </w:trPr>
        <w:tc>
          <w:tcPr>
            <w:tcW w:w="90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2000" w:type="dxa"/>
            <w:vAlign w:val="bottom"/>
          </w:tcPr>
          <w:p>
            <w:pPr>
              <w:jc w:val="center"/>
              <w:ind w:right="84"/>
              <w:spacing w:after="0" w:line="153" w:lineRule="exact"/>
              <w:rPr>
                <w:sz w:val="20"/>
                <w:szCs w:val="20"/>
                <w:color w:val="auto"/>
              </w:rPr>
            </w:pPr>
            <w:r>
              <w:rPr>
                <w:rFonts w:ascii="Times New Roman" w:cs="Times New Roman" w:eastAsia="Times New Roman" w:hAnsi="Times New Roman"/>
                <w:sz w:val="14"/>
                <w:szCs w:val="14"/>
                <w:b w:val="1"/>
                <w:bCs w:val="1"/>
                <w:color w:val="auto"/>
                <w:w w:val="98"/>
              </w:rPr>
              <w:t>March 31, 2026</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9,280</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Stock Repurchase Plan</w:t>
      </w:r>
    </w:p>
    <w:p>
      <w:pPr>
        <w:spacing w:after="0" w:line="118"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7"/>
          <w:szCs w:val="17"/>
          <w:color w:val="auto"/>
        </w:rPr>
        <w:t>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2026, approximately $975 million was remaining under the stock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32" w:lineRule="exact"/>
        <w:rPr>
          <w:sz w:val="20"/>
          <w:szCs w:val="20"/>
          <w:color w:val="auto"/>
        </w:rPr>
      </w:pPr>
    </w:p>
    <w:p>
      <w:pPr>
        <w:ind w:left="580" w:right="400" w:hanging="306"/>
        <w:spacing w:after="0" w:line="253" w:lineRule="auto"/>
        <w:tabs>
          <w:tab w:leader="none" w:pos="5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ind w:left="580" w:right="320" w:hanging="306"/>
        <w:spacing w:after="0" w:line="253" w:lineRule="auto"/>
        <w:tabs>
          <w:tab w:leader="none" w:pos="5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significant recent shifts in trade policies, including the imposition of tariffs, retaliatory tariff measures, and subsequent modifications or suspensions thereof, and market reactions to such policies and resulting trade disputes;</w:t>
      </w:r>
    </w:p>
    <w:p>
      <w:pPr>
        <w:ind w:left="580" w:right="180" w:hanging="306"/>
        <w:spacing w:after="0" w:line="253" w:lineRule="auto"/>
        <w:tabs>
          <w:tab w:leader="none" w:pos="5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services in the freight and passenger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 and services;</w:t>
      </w:r>
    </w:p>
    <w:p>
      <w:pPr>
        <w:spacing w:after="0" w:line="10" w:lineRule="exact"/>
        <w:rPr>
          <w:rFonts w:ascii="Times New Roman" w:cs="Times New Roman" w:eastAsia="Times New Roman" w:hAnsi="Times New Roman"/>
          <w:sz w:val="17"/>
          <w:szCs w:val="17"/>
          <w:color w:val="auto"/>
        </w:rPr>
      </w:pPr>
    </w:p>
    <w:p>
      <w:pPr>
        <w:ind w:left="580" w:right="60" w:hanging="306"/>
        <w:spacing w:after="0" w:line="253" w:lineRule="auto"/>
        <w:tabs>
          <w:tab w:leader="none" w:pos="5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340" w:hanging="306"/>
        <w:spacing w:after="0" w:line="253" w:lineRule="auto"/>
        <w:tabs>
          <w:tab w:leader="none" w:pos="5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sustainability strategy; or</w:t>
      </w:r>
    </w:p>
    <w:p>
      <w:pPr>
        <w:ind w:left="580" w:hanging="306"/>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sustainability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the 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quality and reliability;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constraints and labor relations challenges;</w:t>
      </w:r>
    </w:p>
    <w:p>
      <w:pPr>
        <w:spacing w:after="0" w:line="10" w:lineRule="exact"/>
        <w:rPr>
          <w:rFonts w:ascii="Times New Roman" w:cs="Times New Roman" w:eastAsia="Times New Roman" w:hAnsi="Times New Roman"/>
          <w:sz w:val="17"/>
          <w:szCs w:val="17"/>
          <w:color w:val="auto"/>
        </w:rPr>
      </w:pPr>
    </w:p>
    <w:p>
      <w:pPr>
        <w:jc w:val="both"/>
        <w:ind w:left="580" w:right="52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and integrate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outcomes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federal and state income tax legislation;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6" w:name="page37"/>
    <w:bookmarkEnd w:id="36"/>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Natural hazards /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2025. In particular, judgment is used in areas such as inventories, business combinations, goodwill and indefinite-lived intangible assets, warranty reserves, income taxes, and revenue recognition. There have been no significant changes in the related accounting policies since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7" w:name="page38"/>
    <w:bookmarkEnd w:id="37"/>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Our exposure to market risk has not changed materially since December 31, 2025.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March 31, 2026.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accurately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05"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March 31, 2026,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2025.</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March 31, 2026:</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color w:val="auto"/>
                <w:w w:val="96"/>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Average Price Paid</w:t>
            </w:r>
          </w:p>
        </w:tc>
        <w:tc>
          <w:tcPr>
            <w:tcW w:w="16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9"/>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40" w:type="dxa"/>
            <w:vAlign w:val="bottom"/>
            <w:gridSpan w:val="4"/>
            <w:vMerge w:val="continue"/>
          </w:tcPr>
          <w:p>
            <w:pPr>
              <w:spacing w:after="0"/>
              <w:rPr>
                <w:sz w:val="12"/>
                <w:szCs w:val="12"/>
                <w:color w:val="auto"/>
              </w:rPr>
            </w:pPr>
          </w:p>
        </w:tc>
        <w:tc>
          <w:tcPr>
            <w:tcW w:w="1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19"/>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February 2026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64,734</w:t>
            </w:r>
          </w:p>
        </w:tc>
        <w:tc>
          <w:tcPr>
            <w:tcW w:w="12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r>
        <w:trPr>
          <w:trHeight w:val="219"/>
        </w:trPr>
        <w:tc>
          <w:tcPr>
            <w:tcW w:w="4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832,532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832,532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212"/>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March 31, 2026</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977,379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247.82</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977,379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467"/>
        <w:spacing w:after="0" w:line="258" w:lineRule="auto"/>
        <w:tabs>
          <w:tab w:leader="none" w:pos="87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2026, approximately $975 million was remaining under the stock repurchase plan.</w:t>
      </w:r>
    </w:p>
    <w:p>
      <w:pPr>
        <w:spacing w:after="0" w:line="35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first quarter ended March 31,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642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7100" w:type="dxa"/>
            <w:vAlign w:val="bottom"/>
            <w:gridSpan w:val="7"/>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Pr>
          <w:p>
            <w:pPr>
              <w:spacing w:after="0"/>
              <w:rPr>
                <w:sz w:val="24"/>
                <w:szCs w:val="24"/>
                <w:color w:val="auto"/>
              </w:rPr>
            </w:pPr>
          </w:p>
        </w:tc>
        <w:tc>
          <w:tcPr>
            <w:tcW w:w="1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Form of PSU Agreement*</w:t>
            </w:r>
          </w:p>
        </w:tc>
        <w:tc>
          <w:tcPr>
            <w:tcW w:w="3840" w:type="dxa"/>
            <w:vAlign w:val="bottom"/>
            <w:gridSpan w:val="4"/>
          </w:tcPr>
          <w:p>
            <w:pPr>
              <w:spacing w:after="0"/>
              <w:rPr>
                <w:sz w:val="24"/>
                <w:szCs w:val="24"/>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1"/>
                <w:szCs w:val="21"/>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right="3179" w:firstLine="20"/>
        <w:spacing w:after="0" w:line="667" w:lineRule="auto"/>
        <w:tabs>
          <w:tab w:leader="none" w:pos="144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Management contract or compensatory plan.</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180"/>
          </w:cols>
          <w:pgMar w:left="320" w:top="893" w:right="3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NOTICE OF GRANT OF [SPECIAL] PERFORMANCE UNIT AWARD</w:t>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b w:val="1"/>
          <w:bCs w:val="1"/>
          <w:color w:val="auto"/>
        </w:rPr>
        <w:t>WESTINGHOUSE AIR BRAKE TECHNOLOGIES CORPORATION 2011 STOCK INCENTIVE PLAN</w:t>
      </w:r>
    </w:p>
    <w:p>
      <w:pPr>
        <w:spacing w:after="0" w:line="3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Westinghouse Air Brake Technologies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grants this [Special] Performance Unit Award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of the number of target performance units (the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set forth in this Notice of Grant of [Special] Performance Unit Award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 Participant designated in this Notice, pursuant to the provisions of the Company’s 2011 Stock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subject to certain restrictions as outlined below in this Notice and the additional provisions set forth in the attached Terms and Conditions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Performance Unit Awards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Together, this Notice, the attached Terms and all exhibits and appendices hereto constitute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The terms and conditions of the Plan are incorporated by reference in their entirety into this Agreement. When used in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the terms that are defined in the Plan shall have the meanings given to them in the Plan, as modified herein (if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Award Details</w:t>
      </w:r>
      <w:r>
        <w:rPr>
          <w:rFonts w:ascii="Times New Roman" w:cs="Times New Roman" w:eastAsia="Times New Roman" w:hAnsi="Times New Roman"/>
          <w:sz w:val="19"/>
          <w:szCs w:val="19"/>
          <w:b w:val="1"/>
          <w:bCs w:val="1"/>
          <w:color w:val="auto"/>
        </w:rPr>
        <w:t>:</w:t>
      </w:r>
    </w:p>
    <w:p>
      <w:pPr>
        <w:spacing w:after="0" w:line="24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 xml:space="preserve">Participant Name: </w:t>
      </w:r>
      <w:r>
        <w:rPr>
          <w:rFonts w:ascii="Times New Roman" w:cs="Times New Roman" w:eastAsia="Times New Roman" w:hAnsi="Times New Roman"/>
          <w:sz w:val="19"/>
          <w:szCs w:val="19"/>
          <w:color w:val="auto"/>
        </w:rPr>
        <w:t>FIRST_NAME_MIDDLE_NAME_LAST_NAME</w:t>
      </w:r>
    </w:p>
    <w:p>
      <w:pPr>
        <w:spacing w:after="0" w:line="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 xml:space="preserve">Grant Date: </w:t>
      </w:r>
      <w:r>
        <w:rPr>
          <w:rFonts w:ascii="Times New Roman" w:cs="Times New Roman" w:eastAsia="Times New Roman" w:hAnsi="Times New Roman"/>
          <w:sz w:val="19"/>
          <w:szCs w:val="19"/>
          <w:color w:val="auto"/>
        </w:rPr>
        <w:t>OPTION_DATE,'MONTH DD, YYYY</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 xml:space="preserve">Target Number of Units: </w:t>
      </w:r>
      <w:r>
        <w:rPr>
          <w:rFonts w:ascii="Times New Roman" w:cs="Times New Roman" w:eastAsia="Times New Roman" w:hAnsi="Times New Roman"/>
          <w:sz w:val="19"/>
          <w:szCs w:val="19"/>
          <w:color w:val="auto"/>
        </w:rPr>
        <w:t>TOTAL_SHARES_GRANTED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 Period</w:t>
      </w:r>
      <w:r>
        <w:rPr>
          <w:rFonts w:ascii="Times New Roman" w:cs="Times New Roman" w:eastAsia="Times New Roman" w:hAnsi="Times New Roman"/>
          <w:sz w:val="19"/>
          <w:szCs w:val="19"/>
          <w:color w:val="auto"/>
        </w:rPr>
        <w:t>: [XX]</w:t>
      </w:r>
      <w:r>
        <w:rPr>
          <w:rFonts w:ascii="Times New Roman" w:cs="Times New Roman" w:eastAsia="Times New Roman" w:hAnsi="Times New Roman"/>
          <w:sz w:val="19"/>
          <w:szCs w:val="19"/>
          <w:b w:val="1"/>
          <w:bCs w:val="1"/>
          <w:color w:val="auto"/>
        </w:rPr>
        <w:t xml:space="preserve"> – </w:t>
      </w:r>
      <w:r>
        <w:rPr>
          <w:rFonts w:ascii="Times New Roman" w:cs="Times New Roman" w:eastAsia="Times New Roman" w:hAnsi="Times New Roman"/>
          <w:sz w:val="19"/>
          <w:szCs w:val="19"/>
          <w:color w:val="auto"/>
        </w:rPr>
        <w:t>[XX]</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Vesting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terms of the Plan and this Agreement, the Units shall become earned and vested as follows:</w:t>
      </w:r>
    </w:p>
    <w:p>
      <w:pPr>
        <w:spacing w:after="0" w:line="263" w:lineRule="exact"/>
        <w:rPr>
          <w:sz w:val="20"/>
          <w:szCs w:val="20"/>
          <w:color w:val="auto"/>
        </w:rPr>
      </w:pPr>
    </w:p>
    <w:p>
      <w:pPr>
        <w:ind w:right="780" w:firstLine="621"/>
        <w:spacing w:after="0" w:line="269" w:lineRule="auto"/>
        <w:tabs>
          <w:tab w:leader="none" w:pos="1035"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Performance-Vesting Condition</w:t>
      </w:r>
      <w:r>
        <w:rPr>
          <w:rFonts w:ascii="Times New Roman" w:cs="Times New Roman" w:eastAsia="Times New Roman" w:hAnsi="Times New Roman"/>
          <w:sz w:val="19"/>
          <w:szCs w:val="19"/>
          <w:color w:val="auto"/>
        </w:rPr>
        <w:t xml:space="preserve">. The number of Units that become earned and vested (if any) will be determined based on performance during the Performance Period in accordance with the provisions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ind w:right="500" w:firstLine="621"/>
        <w:spacing w:after="0" w:line="254" w:lineRule="auto"/>
        <w:tabs>
          <w:tab w:leader="none" w:pos="103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Time-Vesting Conditions</w:t>
      </w:r>
      <w:r>
        <w:rPr>
          <w:rFonts w:ascii="Times New Roman" w:cs="Times New Roman" w:eastAsia="Times New Roman" w:hAnsi="Times New Roman"/>
          <w:sz w:val="19"/>
          <w:szCs w:val="19"/>
          <w:color w:val="auto"/>
        </w:rPr>
        <w:t>. In addition to the performance-vesting conditions stated above, and except as expressly provided in this Notice below, as applicable, or as otherwise provided pursuant to the terms of the Plan, the Participant must remain continuously employed with the Company and its Subsidiaries through the following date (the “</w:t>
      </w: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to become earned and vested in any Units (after adjustment for performance):</w:t>
      </w:r>
    </w:p>
    <w:p>
      <w:pPr>
        <w:spacing w:after="0" w:line="313" w:lineRule="exact"/>
        <w:rPr>
          <w:sz w:val="20"/>
          <w:szCs w:val="20"/>
          <w:color w:val="auto"/>
        </w:rPr>
      </w:pPr>
    </w:p>
    <w:p>
      <w:pPr>
        <w:ind w:left="1180"/>
        <w:spacing w:after="0"/>
        <w:tabs>
          <w:tab w:leader="none" w:pos="2320" w:val="left"/>
          <w:tab w:leader="none" w:pos="4560" w:val="left"/>
        </w:tabs>
        <w:rPr>
          <w:sz w:val="20"/>
          <w:szCs w:val="20"/>
          <w:color w:val="auto"/>
        </w:rPr>
      </w:pPr>
      <w:r>
        <w:rPr>
          <w:rFonts w:ascii="Times New Roman" w:cs="Times New Roman" w:eastAsia="Times New Roman" w:hAnsi="Times New Roman"/>
          <w:sz w:val="19"/>
          <w:szCs w:val="19"/>
          <w:u w:val="single" w:color="auto"/>
          <w:color w:val="auto"/>
        </w:rPr>
        <w:t>Vesting Date</w:t>
      </w:r>
      <w:r>
        <w:rPr>
          <w:sz w:val="20"/>
          <w:szCs w:val="20"/>
          <w:color w:val="auto"/>
        </w:rPr>
        <w:tab/>
      </w:r>
      <w:r>
        <w:rPr>
          <w:rFonts w:ascii="Times New Roman" w:cs="Times New Roman" w:eastAsia="Times New Roman" w:hAnsi="Times New Roman"/>
          <w:sz w:val="19"/>
          <w:szCs w:val="19"/>
          <w:u w:val="single" w:color="auto"/>
          <w:color w:val="auto"/>
        </w:rPr>
        <w:t xml:space="preserve">% Vesting </w:t>
      </w:r>
      <w:r>
        <w:rPr>
          <w:rFonts w:ascii="Times New Roman" w:cs="Times New Roman" w:eastAsia="Times New Roman" w:hAnsi="Times New Roman"/>
          <w:sz w:val="19"/>
          <w:szCs w:val="19"/>
          <w:color w:val="auto"/>
        </w:rPr>
        <w:t>[Vesting Period]</w:t>
      </w:r>
      <w:r>
        <w:rPr>
          <w:sz w:val="20"/>
          <w:szCs w:val="20"/>
          <w:color w:val="auto"/>
        </w:rPr>
        <w:tab/>
      </w:r>
      <w:r>
        <w:rPr>
          <w:rFonts w:ascii="Times New Roman" w:cs="Times New Roman" w:eastAsia="Times New Roman" w:hAnsi="Times New Roman"/>
          <w:sz w:val="18"/>
          <w:szCs w:val="18"/>
          <w:color w:val="auto"/>
        </w:rPr>
        <w:t>[% Vest]</w:t>
      </w:r>
    </w:p>
    <w:p>
      <w:pPr>
        <w:spacing w:after="0" w:line="220" w:lineRule="exact"/>
        <w:rPr>
          <w:sz w:val="20"/>
          <w:szCs w:val="20"/>
          <w:color w:val="auto"/>
        </w:rPr>
      </w:pPr>
    </w:p>
    <w:p>
      <w:pPr>
        <w:ind w:right="1220"/>
        <w:spacing w:after="0" w:line="283" w:lineRule="auto"/>
        <w:rPr>
          <w:sz w:val="20"/>
          <w:szCs w:val="20"/>
          <w:color w:val="auto"/>
        </w:rPr>
      </w:pP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to this Notice sets forth the terms and provisions regarding treatment of the Award upon the Participant’s termination of employment with the Company or any of its Subsidiaries and upon a Section 11 Event, in each case, before the Vesting Date.</w:t>
      </w:r>
    </w:p>
    <w:p>
      <w:pPr>
        <w:spacing w:after="0" w:line="142" w:lineRule="exact"/>
        <w:rPr>
          <w:sz w:val="20"/>
          <w:szCs w:val="20"/>
          <w:color w:val="auto"/>
        </w:rPr>
      </w:pPr>
    </w:p>
    <w:p>
      <w:pPr>
        <w:ind w:right="420" w:firstLine="621"/>
        <w:spacing w:after="0" w:line="259" w:lineRule="auto"/>
        <w:tabs>
          <w:tab w:leader="none" w:pos="1035"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and Form of Settlement</w:t>
      </w:r>
      <w:r>
        <w:rPr>
          <w:rFonts w:ascii="Times New Roman" w:cs="Times New Roman" w:eastAsia="Times New Roman" w:hAnsi="Times New Roman"/>
          <w:sz w:val="19"/>
          <w:szCs w:val="19"/>
          <w:color w:val="auto"/>
        </w:rPr>
        <w:t xml:space="preserve">. Only a whole number of Units will become vested as of the Vesting Date. If the number of Units determined as of the Vesting Date (after adjustment for performance) is a fractional number, the number vesting will be rounded down to the nearest whole number. Notwithstanding any provision of the Terms to the contrary and subject to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of this Notice, (i) Units that become earned and vested shall be settled as soon as practicable (but no</w:t>
      </w:r>
    </w:p>
    <w:p>
      <w:pPr>
        <w:sectPr>
          <w:pgSz w:w="11900" w:h="16838" w:orient="portrait"/>
          <w:cols w:equalWidth="0" w:num="1">
            <w:col w:w="11040"/>
          </w:cols>
          <w:pgMar w:left="520" w:top="329" w:right="339" w:bottom="1440" w:gutter="0" w:footer="0" w:header="0"/>
        </w:sectPr>
      </w:pPr>
    </w:p>
    <w:bookmarkStart w:id="42" w:name="page43"/>
    <w:bookmarkEnd w:id="42"/>
    <w:p>
      <w:pPr>
        <w:spacing w:after="0" w:line="239"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19"/>
          <w:szCs w:val="19"/>
          <w:color w:val="auto"/>
        </w:rPr>
        <w:t xml:space="preserve">more than 30 days) following the Vesting Date, subject to written certification of the performance results under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by the Committee, and (ii) Units shall be settled by delivery of one share of Common Stock for each Unit that is earned and vested.</w:t>
      </w:r>
    </w:p>
    <w:p>
      <w:pPr>
        <w:spacing w:after="0" w:line="344"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9"/>
          <w:szCs w:val="19"/>
          <w:b w:val="1"/>
          <w:bCs w:val="1"/>
          <w:u w:val="single" w:color="auto"/>
          <w:color w:val="auto"/>
        </w:rPr>
        <w:t>Global and State compliance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this Notice sets forth additional terms and provisions which may apply to the Award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designated in this Notice is resident in certain countries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U.S. states. The relevant countries and states, and application of the additional terms and provisions, are indicated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ind w:left="60" w:right="240"/>
        <w:spacing w:after="0" w:line="252" w:lineRule="auto"/>
        <w:rPr>
          <w:sz w:val="20"/>
          <w:szCs w:val="20"/>
          <w:color w:val="auto"/>
        </w:rPr>
      </w:pPr>
      <w:r>
        <w:rPr>
          <w:rFonts w:ascii="Times New Roman" w:cs="Times New Roman" w:eastAsia="Times New Roman" w:hAnsi="Times New Roman"/>
          <w:sz w:val="19"/>
          <w:szCs w:val="19"/>
          <w:b w:val="1"/>
          <w:bCs w:val="1"/>
          <w:u w:val="single" w:color="auto"/>
          <w:color w:val="auto"/>
        </w:rPr>
        <w:t>Award Acceptance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Participant must accept or decline the Agreement electronically pursuant to the online acceptance procedure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established by the Company by no later than three months following the Grant Date. If the Participant does not accept the Agreement through the online acceptance process by that date, or such other date that may be communicated, the Company will automatically accept the Agreement on the Participant’s behalf. If the Participant declines the Agreement, the Award will be canceled and the Participant will not be entitled to any benefits from the Award nor any compensation or benefits in lieu of the canceled award.</w:t>
      </w:r>
    </w:p>
    <w:p>
      <w:pPr>
        <w:sectPr>
          <w:pgSz w:w="11900" w:h="16838" w:orient="portrait"/>
          <w:cols w:equalWidth="0" w:num="1">
            <w:col w:w="10680"/>
          </w:cols>
          <w:pgMar w:left="520" w:top="1440" w:right="699" w:bottom="1440" w:gutter="0" w:footer="0" w:header="0"/>
        </w:sectPr>
      </w:pPr>
    </w:p>
    <w:bookmarkStart w:id="43" w:name="page44"/>
    <w:bookmarkEnd w:id="43"/>
    <w:p>
      <w:pPr>
        <w:spacing w:after="0" w:line="377"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46"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Performance-Vesting Conditions</w:t>
      </w:r>
    </w:p>
    <w:p>
      <w:pPr>
        <w:spacing w:after="0" w:line="224" w:lineRule="exact"/>
        <w:rPr>
          <w:sz w:val="20"/>
          <w:szCs w:val="20"/>
          <w:color w:val="auto"/>
        </w:rPr>
      </w:pPr>
    </w:p>
    <w:p>
      <w:pPr>
        <w:ind w:left="-2" w:right="580" w:firstLine="2"/>
        <w:spacing w:after="0" w:line="269" w:lineRule="auto"/>
        <w:tabs>
          <w:tab w:leader="none" w:pos="41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Agreement, “[Performance Metric]” means [definition of applicable performance metric], as adjusted for [applicable adjustments].</w:t>
      </w:r>
    </w:p>
    <w:p>
      <w:pPr>
        <w:spacing w:after="0" w:line="399" w:lineRule="exact"/>
        <w:rPr>
          <w:rFonts w:ascii="Times New Roman" w:cs="Times New Roman" w:eastAsia="Times New Roman" w:hAnsi="Times New Roman"/>
          <w:sz w:val="19"/>
          <w:szCs w:val="19"/>
          <w:color w:val="auto"/>
        </w:rPr>
      </w:pPr>
    </w:p>
    <w:p>
      <w:pPr>
        <w:jc w:val="both"/>
        <w:ind w:left="-2" w:right="260" w:firstLine="2"/>
        <w:spacing w:after="0" w:line="312" w:lineRule="auto"/>
        <w:tabs>
          <w:tab w:leader="none" w:pos="4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Metric]</w:t>
      </w:r>
      <w:r>
        <w:rPr>
          <w:rFonts w:ascii="Times New Roman" w:cs="Times New Roman" w:eastAsia="Times New Roman" w:hAnsi="Times New Roman"/>
          <w:sz w:val="18"/>
          <w:szCs w:val="18"/>
          <w:color w:val="auto"/>
        </w:rPr>
        <w:t>. Pursuant to this Award, the number of Units earned, if any, will be based on achievement of [Performance Metric] goal for the Performance Period. The percentage of the target Units that are earned shall be determined based on the following:</w:t>
      </w:r>
    </w:p>
    <w:p>
      <w:pPr>
        <w:spacing w:after="0" w:line="210" w:lineRule="exact"/>
        <w:rPr>
          <w:sz w:val="20"/>
          <w:szCs w:val="20"/>
          <w:color w:val="auto"/>
        </w:rPr>
      </w:pPr>
    </w:p>
    <w:tbl>
      <w:tblPr>
        <w:tblLayout w:type="fixed"/>
        <w:tblInd w:w="748" w:type="dxa"/>
        <w:tblCellMar>
          <w:top w:w="0" w:type="dxa"/>
          <w:left w:w="0" w:type="dxa"/>
          <w:bottom w:w="0" w:type="dxa"/>
          <w:right w:w="0" w:type="dxa"/>
        </w:tblCellMar>
      </w:tblPr>
      <w:tr>
        <w:trPr>
          <w:trHeight w:val="267"/>
        </w:trPr>
        <w:tc>
          <w:tcPr>
            <w:tcW w:w="2120" w:type="dxa"/>
            <w:vAlign w:val="bottom"/>
            <w:tcBorders>
              <w:top w:val="single" w:sz="8" w:color="auto"/>
              <w:left w:val="single" w:sz="8" w:color="auto"/>
              <w:bottom w:val="single" w:sz="8" w:color="auto"/>
              <w:right w:val="single" w:sz="8" w:color="auto"/>
            </w:tcBorders>
            <w:shd w:val="clear" w:color="auto" w:fill="BDBDBD"/>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Achievement</w:t>
            </w:r>
          </w:p>
        </w:tc>
        <w:tc>
          <w:tcPr>
            <w:tcW w:w="2400" w:type="dxa"/>
            <w:vAlign w:val="bottom"/>
            <w:tcBorders>
              <w:top w:val="single" w:sz="8" w:color="auto"/>
              <w:bottom w:val="single" w:sz="8" w:color="auto"/>
              <w:right w:val="single" w:sz="8" w:color="auto"/>
            </w:tcBorders>
            <w:shd w:val="clear" w:color="auto" w:fill="BDBDBD"/>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[Performance Metric] Goal</w:t>
            </w:r>
          </w:p>
        </w:tc>
        <w:tc>
          <w:tcPr>
            <w:tcW w:w="2400" w:type="dxa"/>
            <w:vAlign w:val="bottom"/>
            <w:tcBorders>
              <w:top w:val="single" w:sz="8" w:color="auto"/>
              <w:bottom w:val="single" w:sz="8" w:color="auto"/>
              <w:right w:val="single" w:sz="8" w:color="auto"/>
            </w:tcBorders>
            <w:shd w:val="clear" w:color="auto" w:fill="BDBDBD"/>
          </w:tcPr>
          <w:p>
            <w:pPr>
              <w:ind w:left="240"/>
              <w:spacing w:after="0"/>
              <w:rPr>
                <w:sz w:val="20"/>
                <w:szCs w:val="20"/>
                <w:color w:val="auto"/>
              </w:rPr>
            </w:pPr>
            <w:r>
              <w:rPr>
                <w:rFonts w:ascii="Times New Roman" w:cs="Times New Roman" w:eastAsia="Times New Roman" w:hAnsi="Times New Roman"/>
                <w:sz w:val="19"/>
                <w:szCs w:val="19"/>
                <w:b w:val="1"/>
                <w:bCs w:val="1"/>
                <w:color w:val="auto"/>
                <w:w w:val="99"/>
              </w:rPr>
              <w:t>% of Target Units Earned</w:t>
            </w:r>
          </w:p>
        </w:tc>
      </w:tr>
      <w:tr>
        <w:trPr>
          <w:trHeight w:val="183"/>
        </w:trPr>
        <w:tc>
          <w:tcPr>
            <w:tcW w:w="212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w w:val="98"/>
              </w:rPr>
              <w:t>[ACHIEVEMENT]</w:t>
            </w:r>
          </w:p>
        </w:tc>
        <w:tc>
          <w:tcPr>
            <w:tcW w:w="24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rPr>
              <w:t>[Goal]</w:t>
            </w:r>
          </w:p>
        </w:tc>
        <w:tc>
          <w:tcPr>
            <w:tcW w:w="24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9"/>
                <w:szCs w:val="19"/>
                <w:color w:val="auto"/>
                <w:w w:val="99"/>
              </w:rPr>
              <w:t>[% of TARGET UNITS</w:t>
            </w:r>
          </w:p>
        </w:tc>
      </w:tr>
      <w:tr>
        <w:trPr>
          <w:trHeight w:val="244"/>
        </w:trPr>
        <w:tc>
          <w:tcPr>
            <w:tcW w:w="2120" w:type="dxa"/>
            <w:vAlign w:val="bottom"/>
            <w:tcBorders>
              <w:left w:val="single" w:sz="8" w:color="auto"/>
              <w:right w:val="single" w:sz="8" w:color="auto"/>
            </w:tcBorders>
          </w:tcPr>
          <w:p>
            <w:pPr>
              <w:spacing w:after="0"/>
              <w:rPr>
                <w:sz w:val="21"/>
                <w:szCs w:val="21"/>
                <w:color w:val="auto"/>
              </w:rPr>
            </w:pPr>
          </w:p>
        </w:tc>
        <w:tc>
          <w:tcPr>
            <w:tcW w:w="240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EARNED]</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9"/>
          <w:szCs w:val="19"/>
          <w:color w:val="auto"/>
        </w:rPr>
        <w:t>Achievement between any two levels at or above threshold shall be interpolated on a straight-line</w:t>
      </w:r>
    </w:p>
    <w:p>
      <w:pPr>
        <w:spacing w:after="0" w:line="21" w:lineRule="exact"/>
        <w:rPr>
          <w:sz w:val="20"/>
          <w:szCs w:val="20"/>
          <w:color w:val="auto"/>
        </w:rPr>
      </w:pPr>
    </w:p>
    <w:p>
      <w:pPr>
        <w:ind w:left="58"/>
        <w:spacing w:after="0"/>
        <w:rPr>
          <w:sz w:val="20"/>
          <w:szCs w:val="20"/>
          <w:color w:val="auto"/>
        </w:rPr>
      </w:pPr>
      <w:r>
        <w:rPr>
          <w:rFonts w:ascii="Times New Roman" w:cs="Times New Roman" w:eastAsia="Times New Roman" w:hAnsi="Times New Roman"/>
          <w:sz w:val="19"/>
          <w:szCs w:val="19"/>
          <w:color w:val="auto"/>
        </w:rPr>
        <w:t>basis.</w:t>
      </w:r>
    </w:p>
    <w:p>
      <w:pPr>
        <w:spacing w:after="0" w:line="187" w:lineRule="exact"/>
        <w:rPr>
          <w:sz w:val="20"/>
          <w:szCs w:val="20"/>
          <w:color w:val="auto"/>
        </w:rPr>
      </w:pPr>
    </w:p>
    <w:p>
      <w:pPr>
        <w:ind w:left="-2" w:firstLine="2"/>
        <w:spacing w:after="0" w:line="259" w:lineRule="auto"/>
        <w:tabs>
          <w:tab w:leader="none" w:pos="41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to Performance Results</w:t>
      </w:r>
      <w:r>
        <w:rPr>
          <w:rFonts w:ascii="Times New Roman" w:cs="Times New Roman" w:eastAsia="Times New Roman" w:hAnsi="Times New Roman"/>
          <w:sz w:val="19"/>
          <w:szCs w:val="19"/>
          <w:color w:val="auto"/>
        </w:rPr>
        <w:t>. For purposes of determining [Performance Metric], determination of performance shall be subject to adjustment for [applicable adjustments] specified in the meeting materials of the Committee in connection with the Committee’s approval of the Award, if any, as well as any other adjustments that the Committee may approve consistent with past practice including: [applicable adjustments].</w:t>
      </w:r>
    </w:p>
    <w:p>
      <w:pPr>
        <w:sectPr>
          <w:pgSz w:w="11900" w:h="16838" w:orient="portrait"/>
          <w:cols w:equalWidth="0" w:num="1">
            <w:col w:w="10478"/>
          </w:cols>
          <w:pgMar w:left="522" w:top="1440" w:right="899" w:bottom="1440" w:gutter="0" w:footer="0" w:header="0"/>
        </w:sectPr>
      </w:pPr>
    </w:p>
    <w:bookmarkStart w:id="44" w:name="page45"/>
    <w:bookmarkEnd w:id="44"/>
    <w:p>
      <w:pPr>
        <w:spacing w:after="0" w:line="14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u w:val="single" w:color="auto"/>
          <w:color w:val="auto"/>
        </w:rPr>
        <w:t>Treatment Upon Termination of Employment or Section 11 Event</w:t>
      </w:r>
    </w:p>
    <w:p>
      <w:pPr>
        <w:spacing w:after="0" w:line="250" w:lineRule="exact"/>
        <w:rPr>
          <w:sz w:val="20"/>
          <w:szCs w:val="20"/>
          <w:color w:val="auto"/>
        </w:rPr>
      </w:pPr>
    </w:p>
    <w:p>
      <w:pPr>
        <w:ind w:left="8" w:right="160" w:hanging="8"/>
        <w:spacing w:after="0" w:line="254" w:lineRule="auto"/>
        <w:tabs>
          <w:tab w:leader="none" w:pos="36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Conditioned on Continued Employment</w:t>
      </w:r>
      <w:r>
        <w:rPr>
          <w:rFonts w:ascii="Times New Roman" w:cs="Times New Roman" w:eastAsia="Times New Roman" w:hAnsi="Times New Roman"/>
          <w:sz w:val="19"/>
          <w:szCs w:val="19"/>
          <w:color w:val="auto"/>
        </w:rPr>
        <w:t>. Except as provided by Section 2, Section 3 or Section 4 of this Exhibit, vesting of any portion of the Award on the Vesting Date is conditioned on the Participant remaining in continuous employment with the Company or any of its Subsidiaries through the Vesting Date. Accordingly, and except as provided by Section 2, Section 3 or Section 4 of this Exhibit, if the Participant terminates employment with the Company or any Subsidiary for any reason, whether voluntary or involuntary, before the Vesting Date, the entire unvested portion of the Award as of the date of such termination of employment shall be immediately canceled and forfeited.</w:t>
      </w:r>
    </w:p>
    <w:p>
      <w:pPr>
        <w:spacing w:after="0" w:line="185" w:lineRule="exact"/>
        <w:rPr>
          <w:rFonts w:ascii="Times New Roman" w:cs="Times New Roman" w:eastAsia="Times New Roman" w:hAnsi="Times New Roman"/>
          <w:sz w:val="19"/>
          <w:szCs w:val="19"/>
          <w:color w:val="auto"/>
        </w:rPr>
      </w:pPr>
    </w:p>
    <w:p>
      <w:pPr>
        <w:ind w:left="8" w:right="80" w:hanging="8"/>
        <w:spacing w:after="0" w:line="254" w:lineRule="auto"/>
        <w:tabs>
          <w:tab w:leader="none" w:pos="36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or Disability</w:t>
      </w:r>
      <w:r>
        <w:rPr>
          <w:rFonts w:ascii="Times New Roman" w:cs="Times New Roman" w:eastAsia="Times New Roman" w:hAnsi="Times New Roman"/>
          <w:sz w:val="19"/>
          <w:szCs w:val="19"/>
          <w:color w:val="auto"/>
        </w:rPr>
        <w:t>. Notwithstanding the provisions of Section 1 of this Exhibit to the contrary, if the Participant’s employment with the Company or any of its Subsidiaries terminates before the Vesting Date as a result of the Participant's death or Disability, then [applicable vesting consequences]. Such [Amount of Award] shall be settled at the same time as awards are settled for other Participants who have remained in continuous employment with the Company and its Subsidiaries through the Vesting Date (and not more than 30 days following the Vesting Date).</w:t>
      </w:r>
    </w:p>
    <w:p>
      <w:pPr>
        <w:spacing w:after="0" w:line="184" w:lineRule="exact"/>
        <w:rPr>
          <w:rFonts w:ascii="Times New Roman" w:cs="Times New Roman" w:eastAsia="Times New Roman" w:hAnsi="Times New Roman"/>
          <w:sz w:val="19"/>
          <w:szCs w:val="19"/>
          <w:color w:val="auto"/>
        </w:rPr>
      </w:pPr>
    </w:p>
    <w:p>
      <w:pPr>
        <w:ind w:left="368" w:hanging="368"/>
        <w:spacing w:after="0"/>
        <w:tabs>
          <w:tab w:leader="none" w:pos="36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Retirement</w:t>
      </w:r>
      <w:r>
        <w:rPr>
          <w:rFonts w:ascii="Times New Roman" w:cs="Times New Roman" w:eastAsia="Times New Roman" w:hAnsi="Times New Roman"/>
          <w:sz w:val="19"/>
          <w:szCs w:val="19"/>
          <w:color w:val="auto"/>
        </w:rPr>
        <w:t>. Notwithstanding the provisions of Section 1 of this</w:t>
      </w:r>
    </w:p>
    <w:p>
      <w:pPr>
        <w:spacing w:after="0" w:line="21" w:lineRule="exact"/>
        <w:rPr>
          <w:sz w:val="20"/>
          <w:szCs w:val="20"/>
          <w:color w:val="auto"/>
        </w:rPr>
      </w:pPr>
    </w:p>
    <w:p>
      <w:pPr>
        <w:ind w:left="8"/>
        <w:spacing w:after="0" w:line="250" w:lineRule="auto"/>
        <w:rPr>
          <w:sz w:val="20"/>
          <w:szCs w:val="20"/>
          <w:color w:val="auto"/>
        </w:rPr>
      </w:pPr>
      <w:r>
        <w:rPr>
          <w:rFonts w:ascii="Times New Roman" w:cs="Times New Roman" w:eastAsia="Times New Roman" w:hAnsi="Times New Roman"/>
          <w:sz w:val="19"/>
          <w:szCs w:val="19"/>
          <w:color w:val="auto"/>
        </w:rPr>
        <w:t xml:space="preserve">Exhibit to the contrary, if the Participant’s employment with the Company or any of its Subsidiaries terminates before the Vesting Date either by action of the Company without Cause or by the Participant for Retirement, then (A) if the Participant has fewer than sixty-five (65) Retirement Points at the date of termination of employment, the Participant shall receive a Pro-rated Portion of the Award following the Vesting Date, subject to the provisions of this Section 3, and (B) if the Participant has sixty-five (65) or more Retirement Points at the date of termination of employment, the entire unvested Award shall continue to vest in accordance with the vesting schedule set forth in this Notice (as if the Participant had not terminated employment), including adjustment for performance results as provided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but subject to the provisions of this Section 3. In order to be eligible for the additional vesting provided by this Section 3, the Participant must (i) comply with all applicable post-employment covenants, including the Noncompete Covenant and Non-solicitation Covenant set forth in the Terms, and (ii) if requested by the Company, provide the Company with a release of claims in such form as required by the Company in its discretion. The Award, to the extent vested, shall be settled at the same time as awards are settled for other Participants who have remained in continuous employment with the Company and its Subsidiaries through the Vesting Date (and not more than 30 days following the Vesting Date).</w:t>
      </w:r>
    </w:p>
    <w:p>
      <w:pPr>
        <w:spacing w:after="0" w:line="176" w:lineRule="exact"/>
        <w:rPr>
          <w:sz w:val="20"/>
          <w:szCs w:val="20"/>
          <w:color w:val="auto"/>
        </w:rPr>
      </w:pPr>
    </w:p>
    <w:p>
      <w:pPr>
        <w:ind w:left="8" w:right="60" w:hanging="8"/>
        <w:spacing w:after="0" w:line="254" w:lineRule="auto"/>
        <w:tabs>
          <w:tab w:leader="none" w:pos="36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11 Event</w:t>
      </w:r>
      <w:r>
        <w:rPr>
          <w:rFonts w:ascii="Times New Roman" w:cs="Times New Roman" w:eastAsia="Times New Roman" w:hAnsi="Times New Roman"/>
          <w:sz w:val="19"/>
          <w:szCs w:val="19"/>
          <w:color w:val="auto"/>
        </w:rPr>
        <w:t xml:space="preserve">. If a Section 11 Event occurs before the end of the Performance Period, the entire unvested portion of the Award, to the extent not previously forfeited in accordance with this Agreement, shall become immediately vested assuming target (100%) performance results under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upon the applicable event in paragraphs (a) and (b) below. If a Section 11 Event occurs before the Vesting Date but after the end of the Performance Period, the entire unvested portion of the Award, to the extent not previously forfeited in accordance with this Agreement, shall become immediately vested based on actual performance results under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upon the applicable event in paragraphs (a) and (b) below.</w:t>
      </w:r>
    </w:p>
    <w:p>
      <w:pPr>
        <w:spacing w:after="0" w:line="185" w:lineRule="exact"/>
        <w:rPr>
          <w:rFonts w:ascii="Times New Roman" w:cs="Times New Roman" w:eastAsia="Times New Roman" w:hAnsi="Times New Roman"/>
          <w:sz w:val="19"/>
          <w:szCs w:val="19"/>
          <w:color w:val="auto"/>
        </w:rPr>
      </w:pPr>
    </w:p>
    <w:p>
      <w:pPr>
        <w:ind w:left="8" w:right="180" w:firstLine="1230"/>
        <w:spacing w:after="0" w:line="262" w:lineRule="auto"/>
        <w:tabs>
          <w:tab w:leader="none" w:pos="161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the Section 11 Event, if and to the extent the Award does not remain outstanding after the Section 11 Event (and is not assumed by or converted to a similar award with equivalent value as of the date of the Section 11 Event of, the surviving, resulting, or acquiring corporation (or a parent or subsidiary of such corporation)); or</w:t>
      </w:r>
    </w:p>
    <w:p>
      <w:pPr>
        <w:sectPr>
          <w:pgSz w:w="11900" w:h="16838" w:orient="portrait"/>
          <w:cols w:equalWidth="0" w:num="1">
            <w:col w:w="10708"/>
          </w:cols>
          <w:pgMar w:left="572" w:top="1440" w:right="619" w:bottom="1440" w:gutter="0" w:footer="0" w:header="0"/>
        </w:sectPr>
      </w:pPr>
    </w:p>
    <w:bookmarkStart w:id="45" w:name="page46"/>
    <w:bookmarkEnd w:id="45"/>
    <w:p>
      <w:pPr>
        <w:spacing w:after="0" w:line="136" w:lineRule="exact"/>
        <w:rPr>
          <w:sz w:val="20"/>
          <w:szCs w:val="20"/>
          <w:color w:val="auto"/>
        </w:rPr>
      </w:pPr>
    </w:p>
    <w:p>
      <w:pPr>
        <w:ind w:left="8" w:right="480" w:firstLine="1230"/>
        <w:spacing w:after="0" w:line="268" w:lineRule="auto"/>
        <w:tabs>
          <w:tab w:leader="none" w:pos="16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Participant’s employment, if and to the extent the Award does remain outstanding after the Section 11 Event (or is assumed by or converted to a similar award with equivalent value as of the date of the Section 11 Event of, the surviving, resulting, or acquiring corporation (or a parent or subsidiary of such corporation)) and upon or within [XX] year(s) after the Section 11 Event (i) the Company or a Subsidiary (or their respective successor) terminates the Participant’s employment without Cause or</w:t>
      </w:r>
    </w:p>
    <w:p>
      <w:pPr>
        <w:spacing w:after="0" w:line="3"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resigns from employment for Good Reason.</w:t>
      </w:r>
    </w:p>
    <w:p>
      <w:pPr>
        <w:spacing w:after="0" w:line="195" w:lineRule="exact"/>
        <w:rPr>
          <w:sz w:val="20"/>
          <w:szCs w:val="20"/>
          <w:color w:val="auto"/>
        </w:rPr>
      </w:pPr>
    </w:p>
    <w:p>
      <w:pPr>
        <w:ind w:left="8" w:right="340"/>
        <w:spacing w:after="0" w:line="259" w:lineRule="auto"/>
        <w:rPr>
          <w:sz w:val="20"/>
          <w:szCs w:val="20"/>
          <w:color w:val="auto"/>
        </w:rPr>
      </w:pPr>
      <w:r>
        <w:rPr>
          <w:rFonts w:ascii="Times New Roman" w:cs="Times New Roman" w:eastAsia="Times New Roman" w:hAnsi="Times New Roman"/>
          <w:sz w:val="19"/>
          <w:szCs w:val="19"/>
          <w:color w:val="auto"/>
        </w:rPr>
        <w:t>In this case, (x) the Company may elect to cause the vested Units to be settled in cash rather than shares based on the Fair Market Value of a share of Common Stock as of the time of the Section 11 Event or termination of employment, as applicable, and (y) the vested Units shall be paid or delivered as soon as administratively practicable (but no more than 30 days) after the Award becomes vested as specified in this Section 4.</w:t>
      </w:r>
    </w:p>
    <w:p>
      <w:pPr>
        <w:spacing w:after="0" w:line="179" w:lineRule="exact"/>
        <w:rPr>
          <w:sz w:val="20"/>
          <w:szCs w:val="20"/>
          <w:color w:val="auto"/>
        </w:rPr>
      </w:pPr>
    </w:p>
    <w:p>
      <w:pPr>
        <w:ind w:left="8" w:right="560" w:hanging="8"/>
        <w:spacing w:after="0" w:line="297" w:lineRule="auto"/>
        <w:tabs>
          <w:tab w:leader="none" w:pos="3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Exhibit, the terms listed in this Section 5 shall have the meanings provided in any individual written employment or severance agreement between the Participant and the Company or, if none, shall have the meanings set forth herein:</w:t>
      </w:r>
    </w:p>
    <w:p>
      <w:pPr>
        <w:spacing w:after="0" w:line="145" w:lineRule="exact"/>
        <w:rPr>
          <w:rFonts w:ascii="Times New Roman" w:cs="Times New Roman" w:eastAsia="Times New Roman" w:hAnsi="Times New Roman"/>
          <w:sz w:val="18"/>
          <w:szCs w:val="18"/>
          <w:color w:val="auto"/>
        </w:rPr>
      </w:pPr>
    </w:p>
    <w:p>
      <w:pPr>
        <w:ind w:left="8" w:firstLine="611"/>
        <w:spacing w:after="0" w:line="254" w:lineRule="auto"/>
        <w:tabs>
          <w:tab w:leader="none" w:pos="991"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shall mean any of the following grounds for the Participant's termination of employment: (i) theft or misappropriation of funds or conduct that has an adverse effect on the reputation of the Company; (ii) conviction of, or plea of nolo contendere to, a felony or a crime involving moral turpitude; (iii) material breach of the Company's written code of conduct, personnel policies, attendance policies, or other material written employment policies, applicable to the Participant; (iv) breach of any confidentiality, non-competition or non-solicitation obligation; (v) gross misconduct in the performance of duties; or (vi) intentional refusal or failure to perform the material duties of the Participant’s position.</w:t>
      </w:r>
    </w:p>
    <w:p>
      <w:pPr>
        <w:spacing w:after="0" w:line="172" w:lineRule="exact"/>
        <w:rPr>
          <w:rFonts w:ascii="Times New Roman" w:cs="Times New Roman" w:eastAsia="Times New Roman" w:hAnsi="Times New Roman"/>
          <w:sz w:val="19"/>
          <w:szCs w:val="19"/>
          <w:color w:val="auto"/>
        </w:rPr>
      </w:pPr>
    </w:p>
    <w:p>
      <w:pPr>
        <w:ind w:left="988" w:hanging="369"/>
        <w:spacing w:after="0"/>
        <w:tabs>
          <w:tab w:leader="none" w:pos="98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“Disability” shall have the meaning set forth in Section 409A(a)(2)(C) of the Code.</w:t>
      </w:r>
    </w:p>
    <w:p>
      <w:pPr>
        <w:spacing w:after="0" w:line="219" w:lineRule="exact"/>
        <w:rPr>
          <w:rFonts w:ascii="Times New Roman" w:cs="Times New Roman" w:eastAsia="Times New Roman" w:hAnsi="Times New Roman"/>
          <w:sz w:val="19"/>
          <w:szCs w:val="19"/>
          <w:color w:val="auto"/>
        </w:rPr>
      </w:pPr>
    </w:p>
    <w:p>
      <w:pPr>
        <w:ind w:left="988" w:hanging="369"/>
        <w:spacing w:after="0"/>
        <w:tabs>
          <w:tab w:leader="none" w:pos="98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Reason” shall mean the occurrence of one or more of the following, without the Participant's consent:</w:t>
      </w:r>
    </w:p>
    <w:p>
      <w:pPr>
        <w:spacing w:after="0" w:line="219" w:lineRule="exact"/>
        <w:rPr>
          <w:rFonts w:ascii="Times New Roman" w:cs="Times New Roman" w:eastAsia="Times New Roman" w:hAnsi="Times New Roman"/>
          <w:sz w:val="19"/>
          <w:szCs w:val="19"/>
          <w:color w:val="auto"/>
        </w:rPr>
      </w:pPr>
    </w:p>
    <w:p>
      <w:pPr>
        <w:ind w:left="1588" w:hanging="350"/>
        <w:spacing w:after="0"/>
        <w:tabs>
          <w:tab w:leader="none" w:pos="1588"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the Participant’s base compensation;</w:t>
      </w:r>
    </w:p>
    <w:p>
      <w:pPr>
        <w:spacing w:after="0" w:line="206" w:lineRule="exact"/>
        <w:rPr>
          <w:rFonts w:ascii="Times New Roman" w:cs="Times New Roman" w:eastAsia="Times New Roman" w:hAnsi="Times New Roman"/>
          <w:sz w:val="19"/>
          <w:szCs w:val="19"/>
          <w:color w:val="auto"/>
        </w:rPr>
      </w:pPr>
    </w:p>
    <w:p>
      <w:pPr>
        <w:ind w:left="1588" w:hanging="350"/>
        <w:spacing w:after="0"/>
        <w:tabs>
          <w:tab w:leader="none" w:pos="1588"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the Participant’s authority, duties, or responsibilities; or</w:t>
      </w:r>
    </w:p>
    <w:p>
      <w:pPr>
        <w:spacing w:after="0" w:line="219" w:lineRule="exact"/>
        <w:rPr>
          <w:rFonts w:ascii="Times New Roman" w:cs="Times New Roman" w:eastAsia="Times New Roman" w:hAnsi="Times New Roman"/>
          <w:sz w:val="19"/>
          <w:szCs w:val="19"/>
          <w:color w:val="auto"/>
        </w:rPr>
      </w:pPr>
    </w:p>
    <w:p>
      <w:pPr>
        <w:ind w:left="1608" w:hanging="370"/>
        <w:spacing w:after="0"/>
        <w:tabs>
          <w:tab w:leader="none" w:pos="1608"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geographic location of the Participant's offices of more than thirty-five (35) miles from the location of</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such offices immediately prior to the relocation.</w:t>
      </w:r>
    </w:p>
    <w:p>
      <w:pPr>
        <w:spacing w:after="0" w:line="200" w:lineRule="exact"/>
        <w:rPr>
          <w:sz w:val="20"/>
          <w:szCs w:val="20"/>
          <w:color w:val="auto"/>
        </w:rPr>
      </w:pPr>
    </w:p>
    <w:p>
      <w:pPr>
        <w:ind w:left="8" w:right="280"/>
        <w:spacing w:after="0" w:line="254" w:lineRule="auto"/>
        <w:rPr>
          <w:sz w:val="20"/>
          <w:szCs w:val="20"/>
          <w:color w:val="auto"/>
        </w:rPr>
      </w:pPr>
      <w:r>
        <w:rPr>
          <w:rFonts w:ascii="Times New Roman" w:cs="Times New Roman" w:eastAsia="Times New Roman" w:hAnsi="Times New Roman"/>
          <w:sz w:val="19"/>
          <w:szCs w:val="19"/>
          <w:color w:val="auto"/>
        </w:rPr>
        <w:t>The Participant must provide written notice of termination of employment for Good Reason to the Company within sixty (60) days after the event constituting Good Reason first occurs, which notice shall state such Good Reason in reasonable detail. The Company shall have a period of thirty (30) days in which it may correct the act or failure to act that constitutes the grounds for Good Reason as set forth in the Participant's notice of termination of employment. If the Company does not correct the act or failure to act, the Participant must terminate the Participant’s employment for Good Reason within sixty (60) days after the end of the cure period, in order for the termination of employment to be considered a Good Reason termination of employment.</w:t>
      </w:r>
    </w:p>
    <w:p>
      <w:pPr>
        <w:spacing w:after="0" w:line="173" w:lineRule="exact"/>
        <w:rPr>
          <w:sz w:val="20"/>
          <w:szCs w:val="20"/>
          <w:color w:val="auto"/>
        </w:rPr>
      </w:pPr>
    </w:p>
    <w:p>
      <w:pPr>
        <w:ind w:left="988" w:hanging="369"/>
        <w:spacing w:after="0"/>
        <w:tabs>
          <w:tab w:leader="none" w:pos="988"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“Pro-rated Portion” shall mean a pro-rated portion of the Award determined by multiplying</w:t>
      </w:r>
    </w:p>
    <w:p>
      <w:pPr>
        <w:spacing w:after="0" w:line="25" w:lineRule="exact"/>
        <w:rPr>
          <w:rFonts w:ascii="Times New Roman" w:cs="Times New Roman" w:eastAsia="Times New Roman" w:hAnsi="Times New Roman"/>
          <w:sz w:val="19"/>
          <w:szCs w:val="19"/>
          <w:color w:val="auto"/>
        </w:rPr>
      </w:pPr>
    </w:p>
    <w:p>
      <w:pPr>
        <w:ind w:left="8" w:right="180" w:hanging="8"/>
        <w:spacing w:after="0" w:line="255" w:lineRule="auto"/>
        <w:tabs>
          <w:tab w:leader="none" w:pos="233"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number of unvested Units that the Participant would have earned if the Participant had remained in employment until the Vesting Date based on the performance results under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including adjustment for performance results as provided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by (ii) a fraction, the numerator of which is the number of days the Participant was employed from the Grant Date until the date of termination of employment, and the denominator of which is the total number of days from the Grant Date until the Vesting Date.</w:t>
      </w:r>
    </w:p>
    <w:p>
      <w:pPr>
        <w:sectPr>
          <w:pgSz w:w="11900" w:h="16838" w:orient="portrait"/>
          <w:cols w:equalWidth="0" w:num="1">
            <w:col w:w="10988"/>
          </w:cols>
          <w:pgMar w:left="572" w:top="1440" w:right="339" w:bottom="1440" w:gutter="0" w:footer="0" w:header="0"/>
        </w:sectPr>
      </w:pPr>
    </w:p>
    <w:bookmarkStart w:id="46" w:name="page47"/>
    <w:bookmarkEnd w:id="46"/>
    <w:p>
      <w:pPr>
        <w:spacing w:after="0" w:line="136" w:lineRule="exact"/>
        <w:rPr>
          <w:sz w:val="20"/>
          <w:szCs w:val="20"/>
          <w:color w:val="auto"/>
        </w:rPr>
      </w:pPr>
    </w:p>
    <w:p>
      <w:pPr>
        <w:ind w:left="8" w:right="160" w:firstLine="611"/>
        <w:spacing w:after="0" w:line="268" w:lineRule="auto"/>
        <w:tabs>
          <w:tab w:leader="none" w:pos="9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shall mean a Participant’s termination of employment with the Company and its Subsidiaries, other than due to death or Disability and other than by action of the Company for Cause, provided that (i) the Participant has given the Company at least one year’s advance written notice of the intent to retire, and (ii) at the date of termination of employment the Participant is at least age fifty-five</w:t>
      </w:r>
    </w:p>
    <w:p>
      <w:pPr>
        <w:spacing w:after="0" w:line="2"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has at least five (5) Years of Service.</w:t>
      </w:r>
    </w:p>
    <w:p>
      <w:pPr>
        <w:spacing w:after="0" w:line="207" w:lineRule="exact"/>
        <w:rPr>
          <w:rFonts w:ascii="Times New Roman" w:cs="Times New Roman" w:eastAsia="Times New Roman" w:hAnsi="Times New Roman"/>
          <w:sz w:val="19"/>
          <w:szCs w:val="19"/>
          <w:color w:val="auto"/>
        </w:rPr>
      </w:pPr>
    </w:p>
    <w:p>
      <w:pPr>
        <w:ind w:left="8" w:right="220" w:firstLine="611"/>
        <w:spacing w:after="0" w:line="269" w:lineRule="auto"/>
        <w:tabs>
          <w:tab w:leader="none" w:pos="996"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Points” shall mean, for a Participant, the total of the Participant’s age as of the Participant’s most recent birthday and Years of Service.</w:t>
      </w:r>
    </w:p>
    <w:p>
      <w:pPr>
        <w:spacing w:after="0" w:line="167" w:lineRule="exact"/>
        <w:rPr>
          <w:rFonts w:ascii="Times New Roman" w:cs="Times New Roman" w:eastAsia="Times New Roman" w:hAnsi="Times New Roman"/>
          <w:sz w:val="19"/>
          <w:szCs w:val="19"/>
          <w:color w:val="auto"/>
        </w:rPr>
      </w:pPr>
    </w:p>
    <w:p>
      <w:pPr>
        <w:jc w:val="both"/>
        <w:ind w:left="8" w:right="60" w:firstLine="611"/>
        <w:spacing w:after="0" w:line="254" w:lineRule="auto"/>
        <w:tabs>
          <w:tab w:leader="none" w:pos="988"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of Service” shall mean, for a Participant, the Participant’s whole years of service with the Company and its Subsidiaries, as determined by the Company in its sole discretion. In that regard, if the Participant participates in a tax-qualified 401(k) plan sponsored by the Company, the Participant’s</w:t>
      </w:r>
    </w:p>
    <w:p>
      <w:pPr>
        <w:spacing w:after="0" w:line="1" w:lineRule="exact"/>
        <w:rPr>
          <w:rFonts w:ascii="Times New Roman" w:cs="Times New Roman" w:eastAsia="Times New Roman" w:hAnsi="Times New Roman"/>
          <w:sz w:val="19"/>
          <w:szCs w:val="19"/>
          <w:color w:val="auto"/>
        </w:rPr>
      </w:pPr>
    </w:p>
    <w:p>
      <w:pPr>
        <w:ind w:left="8"/>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of Service shall be determined based on the Participant’s “Vesting Service” under the tax-qualified 401(k) plan in which the Participant participates.</w:t>
      </w:r>
    </w:p>
    <w:p>
      <w:pPr>
        <w:sectPr>
          <w:pgSz w:w="11900" w:h="16838" w:orient="portrait"/>
          <w:cols w:equalWidth="0" w:num="1">
            <w:col w:w="10688"/>
          </w:cols>
          <w:pgMar w:left="572" w:top="1440" w:right="639" w:bottom="1440" w:gutter="0" w:footer="0" w:header="0"/>
        </w:sectPr>
      </w:pPr>
    </w:p>
    <w:bookmarkStart w:id="47" w:name="page48"/>
    <w:bookmarkEnd w:id="47"/>
    <w:p>
      <w:pPr>
        <w:spacing w:after="0" w:line="1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u w:val="single" w:color="auto"/>
          <w:color w:val="auto"/>
        </w:rPr>
        <w:t>Global and State compliance</w:t>
      </w:r>
    </w:p>
    <w:p>
      <w:pPr>
        <w:spacing w:after="0" w:line="20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u w:val="single" w:color="auto"/>
          <w:color w:val="auto"/>
        </w:rPr>
        <w:t>Section 1 (Australia)</w:t>
      </w:r>
    </w:p>
    <w:p>
      <w:pPr>
        <w:spacing w:after="0" w:line="250"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9"/>
          <w:szCs w:val="19"/>
          <w:u w:val="single" w:color="auto"/>
          <w:color w:val="auto"/>
        </w:rPr>
        <w:t>This Section 1 of Exhibit C applies if the Participant designated in the Notice to which this Exhibit C is attached is within Australia or is a national, resident or citizen of Australia</w:t>
      </w:r>
      <w:r>
        <w:rPr>
          <w:rFonts w:ascii="Times New Roman" w:cs="Times New Roman" w:eastAsia="Times New Roman" w:hAnsi="Times New Roman"/>
          <w:sz w:val="19"/>
          <w:szCs w:val="19"/>
          <w:color w:val="auto"/>
        </w:rPr>
        <w:t xml:space="preserve"> (an “Australian Employee”). This Section 1 of Exhibit C forms part of the Agreement.</w:t>
      </w:r>
    </w:p>
    <w:p>
      <w:pPr>
        <w:spacing w:after="0" w:line="181"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In reviewing the following information it is important to note that this Section 1 of Exhibit C has been prepared in compliance with the Australian Securities and Investments Commission (“ASIC”) Class Order 14/1000 (the “Class Order”). The Agreement is an offer made by the Company under the Plan to Australian Employees to acquire Units (the “Offer”), subject to the vesting requirements and other terms and conditions of the Agreement. The Class Order, among other things, relieves the Company, in respect of this Offer, from the normal obligation of having to prepare a disclosure document (e.g. a prospectus) that complies with the Corporations Act 2001 (Cth) (“Corporations Act”).</w:t>
      </w:r>
    </w:p>
    <w:p>
      <w:pPr>
        <w:spacing w:after="0" w:line="1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auto"/>
        </w:rPr>
        <w:t>As a result, the information contained in this Section 1 of Exhibit C relates only to the operation of the Plan and does not contain any material information about the Company. This Section 1 of Exhibit C does not constitute a prospectus for the purposes of the Corporations Act and, accordingly, does not contain all information that would usually be included in a prospectus prepared in accordance with the requirements of the Corporations Act.</w:t>
      </w:r>
    </w:p>
    <w:p>
      <w:pPr>
        <w:spacing w:after="0" w:line="185"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Any advice given by the Company in relation to the Units offered under the Plan does not take into account your objectives, financial situation and needs (including financial or taxation issues). This Section 1 of Exhibit C and all other documents provided to you at the time of the Offer contain general advice only and you should consider obtaining your own financial product advice from an independent person who is licensed by ASIC to give such advice. You are advised to seek independent professional advice regarding the Australian tax consequences of acquiring and any cash under the Plan according to your own particular circumstances.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share of stock?</w:t>
      </w:r>
    </w:p>
    <w:p>
      <w:pPr>
        <w:spacing w:after="0" w:line="224"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9"/>
          <w:szCs w:val="19"/>
          <w:color w:val="auto"/>
        </w:rPr>
        <w:t>A share of Common Stock in the Company is analogous to an ordinary share of an Australian corporation. Each holder of a share is entitled to one vote for every share held in the Company. Shares are not liable to any further calls for payment of capital or for other assessment by the Company and have no sinking fund provisions, pre-emptive rights, conversion rights or redemption provisions. As the market price is in USD, on the Vesting Date, the FMV of those shares will be converted from USD to AUD using the exchange rate published by the Reserve Bank of Australia to calculate the Australian dollar equivalent.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Terms of grant</w:t>
      </w:r>
    </w:p>
    <w:p>
      <w:pPr>
        <w:spacing w:after="0" w:line="211" w:lineRule="exact"/>
        <w:rPr>
          <w:sz w:val="20"/>
          <w:szCs w:val="20"/>
          <w:color w:val="auto"/>
        </w:rPr>
      </w:pPr>
    </w:p>
    <w:p>
      <w:pPr>
        <w:jc w:val="both"/>
        <w:ind w:right="260"/>
        <w:spacing w:after="0" w:line="283" w:lineRule="auto"/>
        <w:rPr>
          <w:sz w:val="20"/>
          <w:szCs w:val="20"/>
          <w:color w:val="auto"/>
        </w:rPr>
      </w:pPr>
      <w:r>
        <w:rPr>
          <w:rFonts w:ascii="Times New Roman" w:cs="Times New Roman" w:eastAsia="Times New Roman" w:hAnsi="Times New Roman"/>
          <w:sz w:val="19"/>
          <w:szCs w:val="19"/>
          <w:color w:val="auto"/>
        </w:rPr>
        <w:t>The terms of the grant are set out in the Plan and the Agreement. By accepting the Award, you will be bound by the Agreement. A copy of the Plan is available upon request to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Reliance on statements</w:t>
      </w:r>
    </w:p>
    <w:p>
      <w:pPr>
        <w:spacing w:after="0" w:line="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You should not rely upon any oral statements made to you in relation to the Offer. You should only rely upon the statements contained in the Agreement.</w:t>
      </w:r>
    </w:p>
    <w:p>
      <w:pPr>
        <w:sectPr>
          <w:pgSz w:w="11900" w:h="16838" w:orient="portrait"/>
          <w:cols w:equalWidth="0" w:num="1">
            <w:col w:w="10980"/>
          </w:cols>
          <w:pgMar w:left="580" w:top="1440" w:right="339" w:bottom="1440" w:gutter="0" w:footer="0" w:header="0"/>
        </w:sectPr>
      </w:pPr>
    </w:p>
    <w:bookmarkStart w:id="48" w:name="page49"/>
    <w:bookmarkEnd w:id="48"/>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How can I obtain the current share price?</w:t>
      </w:r>
    </w:p>
    <w:p>
      <w:pPr>
        <w:sectPr>
          <w:pgSz w:w="11900" w:h="16838" w:orient="portrait"/>
          <w:cols w:equalWidth="0" w:num="1">
            <w:col w:w="10728"/>
          </w:cols>
          <w:pgMar w:left="572" w:top="1440" w:right="599" w:bottom="1440" w:gutter="0" w:footer="0" w:header="0"/>
        </w:sectPr>
      </w:pPr>
    </w:p>
    <w:p>
      <w:pPr>
        <w:spacing w:after="0" w:line="235"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9"/>
          <w:szCs w:val="19"/>
          <w:color w:val="auto"/>
        </w:rPr>
        <w:t>You can ascertain the latest traded price of the Company’s shares https://www.nyse.com/quote/XNYS:WAB to obtain the latest traded price in US Reserve Bank of Australia to calculate the Australian dollar equivalent.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firstLine="20"/>
        <w:spacing w:after="0" w:line="269" w:lineRule="auto"/>
        <w:rPr>
          <w:sz w:val="20"/>
          <w:szCs w:val="20"/>
          <w:color w:val="auto"/>
        </w:rPr>
      </w:pPr>
      <w:r>
        <w:rPr>
          <w:rFonts w:ascii="Times New Roman" w:cs="Times New Roman" w:eastAsia="Times New Roman" w:hAnsi="Times New Roman"/>
          <w:sz w:val="19"/>
          <w:szCs w:val="19"/>
          <w:color w:val="auto"/>
        </w:rPr>
        <w:t>in Australian dollars at any time by visiting dollars and using the exchange rate published by the</w:t>
      </w:r>
    </w:p>
    <w:p>
      <w:pPr>
        <w:spacing w:after="0" w:line="399" w:lineRule="exact"/>
        <w:rPr>
          <w:sz w:val="20"/>
          <w:szCs w:val="20"/>
          <w:color w:val="auto"/>
        </w:rPr>
      </w:pPr>
    </w:p>
    <w:p>
      <w:pPr>
        <w:sectPr>
          <w:pgSz w:w="11900" w:h="16838" w:orient="portrait"/>
          <w:cols w:equalWidth="0" w:num="2">
            <w:col w:w="6368" w:space="80"/>
            <w:col w:w="4280"/>
          </w:cols>
          <w:pgMar w:left="572" w:top="1440" w:right="599" w:bottom="1440" w:gutter="0" w:footer="0" w:header="0"/>
          <w:type w:val="continuous"/>
        </w:sectPr>
      </w:pPr>
    </w:p>
    <w:p>
      <w:pPr>
        <w:jc w:val="both"/>
        <w:ind w:left="8"/>
        <w:spacing w:after="0" w:line="254" w:lineRule="auto"/>
        <w:rPr>
          <w:sz w:val="20"/>
          <w:szCs w:val="20"/>
          <w:color w:val="auto"/>
        </w:rPr>
      </w:pPr>
      <w:r>
        <w:rPr>
          <w:rFonts w:ascii="Times New Roman" w:cs="Times New Roman" w:eastAsia="Times New Roman" w:hAnsi="Times New Roman"/>
          <w:sz w:val="19"/>
          <w:szCs w:val="19"/>
          <w:color w:val="auto"/>
        </w:rPr>
        <w:t>You should direct any further questions, or a request for a current market price of the shares to the HR Department, Director of Compensation and Benefits, 30 Isabella St., Pittsburgh, Pennsylvania 15212, USA. Within a reasonable time following your request, the Company will provide you with the current market price for a share, and the Australian dollar equivalent of the current market price for a share, at the date of your request. The Australian dollar equivalent will be calculated using the USD:AUD exchange rate published by the Reserve Bank of Australia on the business day prior to your request.</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What additional risk factors apply?</w:t>
      </w:r>
    </w:p>
    <w:p>
      <w:pPr>
        <w:spacing w:after="0" w:line="211"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9"/>
          <w:szCs w:val="19"/>
          <w:color w:val="auto"/>
        </w:rPr>
        <w:t>An investment in the Company is not risk free. You should be aware that the business, assets and operations of the Company are subject to certain risk factors that have the potential to influence the operating and financial performance of the Company in the future. These risks can impact on the value of an investment in the securities, or acquiring a cash amount related to the value of those securities, of the Company.</w:t>
      </w:r>
    </w:p>
    <w:p>
      <w:pPr>
        <w:spacing w:after="0" w:line="174"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9"/>
          <w:szCs w:val="19"/>
          <w:color w:val="auto"/>
        </w:rPr>
        <w:t>You should be aware that the performance of the Company may be affected and the value of its shares may rise or fall over any given period. None of the directors or any person associated with the Company guarantee the Company's performance, the performance of the shares which are related to the cash amount which is the subject of the Offer or the market price at which the shares will trade.</w:t>
      </w:r>
    </w:p>
    <w:p>
      <w:pPr>
        <w:spacing w:after="0" w:line="17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9"/>
          <w:szCs w:val="19"/>
          <w:color w:val="auto"/>
        </w:rPr>
        <w:t>The proposed future activities of the Company are subject to a number of risks and other factors which may impact its future performance. See below for examples of such risks. Some of these risks can be mitigated by the use of safeguards and appropriate controls. However, many of the risks are outside the control of the directors and management of the Company and cannot be mitigated. The shares related to the cash amount which is the subject of the Offer carry no guarantee with respect to the payment of dividends, return of capital or the market value of those securities.</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Potential fluctuations in the price of shares</w:t>
      </w:r>
    </w:p>
    <w:p>
      <w:pPr>
        <w:spacing w:after="0" w:line="211" w:lineRule="exact"/>
        <w:rPr>
          <w:sz w:val="20"/>
          <w:szCs w:val="20"/>
          <w:color w:val="auto"/>
        </w:rPr>
      </w:pPr>
    </w:p>
    <w:p>
      <w:pPr>
        <w:jc w:val="both"/>
        <w:ind w:left="8" w:right="20"/>
        <w:spacing w:after="0" w:line="283" w:lineRule="auto"/>
        <w:rPr>
          <w:sz w:val="20"/>
          <w:szCs w:val="20"/>
          <w:color w:val="auto"/>
        </w:rPr>
      </w:pPr>
      <w:r>
        <w:rPr>
          <w:rFonts w:ascii="Times New Roman" w:cs="Times New Roman" w:eastAsia="Times New Roman" w:hAnsi="Times New Roman"/>
          <w:sz w:val="19"/>
          <w:szCs w:val="19"/>
          <w:color w:val="auto"/>
        </w:rPr>
        <w:t>There are risks associated with any listed company investment. Some of these risks are listed below. The price at which shares are quoted on the New York Stock Exchange may be subject to fluctuations in response to factors such as:</w:t>
      </w:r>
    </w:p>
    <w:p>
      <w:pPr>
        <w:spacing w:after="0" w:line="155" w:lineRule="exact"/>
        <w:rPr>
          <w:sz w:val="20"/>
          <w:szCs w:val="20"/>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government fiscal, monetary or regulatory policy, legislation or the regulatory environment in which the Company operates;</w:t>
      </w:r>
    </w:p>
    <w:p>
      <w:pPr>
        <w:spacing w:after="0" w:line="206"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financial outcomes estimated by securities analysts;</w:t>
      </w:r>
    </w:p>
    <w:p>
      <w:pPr>
        <w:spacing w:after="0" w:line="21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market valuation of other comparable companies and the nature of the market in which the Company operates;</w:t>
      </w:r>
    </w:p>
    <w:p>
      <w:pPr>
        <w:spacing w:after="0" w:line="206"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by the Company or its competitors of significant acquisitions;</w:t>
      </w:r>
    </w:p>
    <w:p>
      <w:pPr>
        <w:spacing w:after="0" w:line="21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force majeure, such as terrorism, fire, flood, earthquake, war or strikes;</w:t>
      </w:r>
    </w:p>
    <w:p>
      <w:pPr>
        <w:spacing w:after="0" w:line="194"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the domestic and international market for listed stocks;</w:t>
      </w:r>
    </w:p>
    <w:p>
      <w:pPr>
        <w:sectPr>
          <w:pgSz w:w="11900" w:h="16838" w:orient="portrait"/>
          <w:cols w:equalWidth="0" w:num="1">
            <w:col w:w="10728"/>
          </w:cols>
          <w:pgMar w:left="572" w:top="1440" w:right="599" w:bottom="1440" w:gutter="0" w:footer="0" w:header="0"/>
          <w:type w:val="continuous"/>
        </w:sectPr>
      </w:pPr>
    </w:p>
    <w:bookmarkStart w:id="49" w:name="page50"/>
    <w:bookmarkEnd w:id="49"/>
    <w:p>
      <w:pPr>
        <w:spacing w:after="0" w:line="136" w:lineRule="exact"/>
        <w:rPr>
          <w:sz w:val="20"/>
          <w:szCs w:val="20"/>
          <w:color w:val="auto"/>
        </w:rPr>
      </w:pPr>
    </w:p>
    <w:p>
      <w:pPr>
        <w:ind w:left="308" w:hanging="308"/>
        <w:spacing w:after="0"/>
        <w:tabs>
          <w:tab w:leader="none" w:pos="30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fluctuations in general domestic and global economic conditions, including interest rates and exchange rates; and</w:t>
      </w:r>
    </w:p>
    <w:p>
      <w:pPr>
        <w:spacing w:after="0" w:line="21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events or factors which may be beyond the Company’s control, including the COVID-19 pandemic.</w:t>
      </w:r>
    </w:p>
    <w:p>
      <w:pPr>
        <w:spacing w:after="0" w:line="207" w:lineRule="exact"/>
        <w:rPr>
          <w:sz w:val="20"/>
          <w:szCs w:val="20"/>
          <w:color w:val="auto"/>
        </w:rPr>
      </w:pPr>
    </w:p>
    <w:p>
      <w:pPr>
        <w:ind w:left="8" w:right="2540"/>
        <w:spacing w:after="0" w:line="283" w:lineRule="auto"/>
        <w:rPr>
          <w:sz w:val="20"/>
          <w:szCs w:val="20"/>
          <w:color w:val="auto"/>
        </w:rPr>
      </w:pPr>
      <w:r>
        <w:rPr>
          <w:rFonts w:ascii="Times New Roman" w:cs="Times New Roman" w:eastAsia="Times New Roman" w:hAnsi="Times New Roman"/>
          <w:sz w:val="19"/>
          <w:szCs w:val="19"/>
          <w:color w:val="auto"/>
        </w:rPr>
        <w:t>There is a risk that broader market and industry factors may materially and adversely impact the price of the shares, regardless of the Company’s operating performance.</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Limits under the Plan</w:t>
      </w:r>
    </w:p>
    <w:p>
      <w:pPr>
        <w:spacing w:after="0" w:line="224"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9"/>
          <w:szCs w:val="19"/>
          <w:color w:val="auto"/>
        </w:rPr>
        <w:t>The number of shares which is the subject of the Offer made available under the Plan to Australian Employees and the number of shares that may be issued as a result of offers made to Australian Employees under any other employee share scheme over the previous 3 years in reliance on ASIC Class Order 14/1000 or an ASIC exempt arrangement of a similar kind to an employee incentive scheme, but disregarding any offers:</w:t>
      </w:r>
    </w:p>
    <w:p>
      <w:pPr>
        <w:spacing w:after="0" w:line="166" w:lineRule="exact"/>
        <w:rPr>
          <w:sz w:val="20"/>
          <w:szCs w:val="20"/>
          <w:color w:val="auto"/>
        </w:rPr>
      </w:pPr>
    </w:p>
    <w:p>
      <w:pPr>
        <w:ind w:left="308" w:hanging="308"/>
        <w:spacing w:after="0"/>
        <w:tabs>
          <w:tab w:leader="none" w:pos="30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received outside Australia;</w:t>
      </w:r>
    </w:p>
    <w:p>
      <w:pPr>
        <w:spacing w:after="0" w:line="21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made in reliance on sections 708 or 1012D of the Corporations Act and therefore not requiring a disclosure document; or</w:t>
      </w:r>
    </w:p>
    <w:p>
      <w:pPr>
        <w:spacing w:after="0" w:line="219"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made under a disclosure document or product disclosure statement,</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must not exceed 5% of the total number of shares at the time of the offer of the Award.</w:t>
      </w:r>
    </w:p>
    <w:p>
      <w:pPr>
        <w:spacing w:after="0" w:line="39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u w:val="single" w:color="auto"/>
          <w:color w:val="auto"/>
        </w:rPr>
        <w:t>Section 2 (Canada)</w:t>
      </w:r>
    </w:p>
    <w:p>
      <w:pPr>
        <w:spacing w:after="0" w:line="237" w:lineRule="exact"/>
        <w:rPr>
          <w:sz w:val="20"/>
          <w:szCs w:val="20"/>
          <w:color w:val="auto"/>
        </w:rPr>
      </w:pPr>
    </w:p>
    <w:p>
      <w:pPr>
        <w:ind w:left="8" w:right="160"/>
        <w:spacing w:after="0" w:line="283" w:lineRule="auto"/>
        <w:rPr>
          <w:sz w:val="20"/>
          <w:szCs w:val="20"/>
          <w:color w:val="auto"/>
        </w:rPr>
      </w:pPr>
      <w:r>
        <w:rPr>
          <w:rFonts w:ascii="Times New Roman" w:cs="Times New Roman" w:eastAsia="Times New Roman" w:hAnsi="Times New Roman"/>
          <w:sz w:val="19"/>
          <w:szCs w:val="19"/>
          <w:u w:val="single" w:color="auto"/>
          <w:color w:val="auto"/>
        </w:rPr>
        <w:t>This Section 2 of Exhibit C applies if the Participant designated in the Notice to which this Exhibit C is attached is resident in Canada</w:t>
      </w:r>
      <w:r>
        <w:rPr>
          <w:rFonts w:ascii="Times New Roman" w:cs="Times New Roman" w:eastAsia="Times New Roman" w:hAnsi="Times New Roman"/>
          <w:sz w:val="19"/>
          <w:szCs w:val="19"/>
          <w:color w:val="auto"/>
        </w:rPr>
        <w:t>. This Section 2 of Exhibit C forms part of the Agreement.</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The Units relating to this Award may only be settled by the Company with shares of Common Stock and never with a cash payment.</w:t>
      </w:r>
    </w:p>
    <w:p>
      <w:pPr>
        <w:spacing w:after="0" w:line="200" w:lineRule="exact"/>
        <w:rPr>
          <w:sz w:val="20"/>
          <w:szCs w:val="20"/>
          <w:color w:val="auto"/>
        </w:rPr>
      </w:pPr>
    </w:p>
    <w:p>
      <w:pPr>
        <w:spacing w:after="0" w:line="24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u w:val="single" w:color="auto"/>
          <w:color w:val="auto"/>
        </w:rPr>
        <w:t>Section 3 (France)</w:t>
      </w:r>
    </w:p>
    <w:p>
      <w:pPr>
        <w:spacing w:after="0" w:line="224" w:lineRule="exact"/>
        <w:rPr>
          <w:sz w:val="20"/>
          <w:szCs w:val="20"/>
          <w:color w:val="auto"/>
        </w:rPr>
      </w:pPr>
    </w:p>
    <w:p>
      <w:pPr>
        <w:ind w:left="8" w:right="220"/>
        <w:spacing w:after="0" w:line="283" w:lineRule="auto"/>
        <w:rPr>
          <w:sz w:val="20"/>
          <w:szCs w:val="20"/>
          <w:color w:val="auto"/>
        </w:rPr>
      </w:pPr>
      <w:r>
        <w:rPr>
          <w:rFonts w:ascii="Times New Roman" w:cs="Times New Roman" w:eastAsia="Times New Roman" w:hAnsi="Times New Roman"/>
          <w:sz w:val="19"/>
          <w:szCs w:val="19"/>
          <w:u w:val="single" w:color="auto"/>
          <w:color w:val="auto"/>
        </w:rPr>
        <w:t>This Section 3 of Exhibit C applies if the Participant designated in the Notice to which this Exhibit C is attached is resident in France</w:t>
      </w:r>
      <w:r>
        <w:rPr>
          <w:rFonts w:ascii="Times New Roman" w:cs="Times New Roman" w:eastAsia="Times New Roman" w:hAnsi="Times New Roman"/>
          <w:sz w:val="19"/>
          <w:szCs w:val="19"/>
          <w:color w:val="auto"/>
        </w:rPr>
        <w:t>. This Section 3 of Exhibit C forms part of the Agreement.</w:t>
      </w:r>
    </w:p>
    <w:p>
      <w:pPr>
        <w:spacing w:after="0" w:line="181" w:lineRule="exact"/>
        <w:rPr>
          <w:sz w:val="20"/>
          <w:szCs w:val="20"/>
          <w:color w:val="auto"/>
        </w:rPr>
      </w:pPr>
    </w:p>
    <w:p>
      <w:pPr>
        <w:ind w:left="8" w:right="200"/>
        <w:spacing w:after="0" w:line="254" w:lineRule="auto"/>
        <w:rPr>
          <w:sz w:val="20"/>
          <w:szCs w:val="20"/>
          <w:color w:val="auto"/>
        </w:rPr>
      </w:pPr>
      <w:r>
        <w:rPr>
          <w:rFonts w:ascii="Times New Roman" w:cs="Times New Roman" w:eastAsia="Times New Roman" w:hAnsi="Times New Roman"/>
          <w:sz w:val="19"/>
          <w:szCs w:val="19"/>
          <w:color w:val="auto"/>
        </w:rPr>
        <w:t>The Units are granted to the Participant under the terms of the French Sub-Plan adopted under the Plan. In case of any conflict between the terms of the Agreement and the French Sub-Plan, the terms of the French Sub-Plan will control. A copy of the French Sub-Plan has been separately furnished to the Participant, and by accepting this Agreement, the Participant is acknowledging and accepting the terms of the French Sub-Plan.</w:t>
      </w:r>
    </w:p>
    <w:p>
      <w:pPr>
        <w:spacing w:after="0" w:line="20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u w:val="single" w:color="auto"/>
          <w:color w:val="auto"/>
        </w:rPr>
        <w:t>Section 4 (Hong Kong)</w:t>
      </w:r>
    </w:p>
    <w:p>
      <w:pPr>
        <w:sectPr>
          <w:pgSz w:w="11900" w:h="16838" w:orient="portrait"/>
          <w:cols w:equalWidth="0" w:num="1">
            <w:col w:w="10708"/>
          </w:cols>
          <w:pgMar w:left="572" w:top="1440" w:right="61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This Section 4 of Exhibit C applies if the Participant designated in the Notice to which this Exhibit C is attached is resident in Hong Kong</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Section 4 of Exhibit C forms part of the Agreement.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WARNING</w:t>
      </w:r>
    </w:p>
    <w:p>
      <w:pPr>
        <w:spacing w:after="0" w:line="52"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9"/>
          <w:szCs w:val="19"/>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Section 5 (Morocco)</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u w:val="single" w:color="auto"/>
          <w:color w:val="auto"/>
        </w:rPr>
        <w:t>This Section 5 of Exhibit C applies if the Participant designated in the Notice to which this Exhibit C is attached is resident in Morocco</w:t>
      </w:r>
      <w:r>
        <w:rPr>
          <w:rFonts w:ascii="Times New Roman" w:cs="Times New Roman" w:eastAsia="Times New Roman" w:hAnsi="Times New Roman"/>
          <w:sz w:val="19"/>
          <w:szCs w:val="19"/>
          <w:color w:val="auto"/>
        </w:rPr>
        <w:t>. This Section 5 of Exhibit C forms part of the Agreement.</w:t>
      </w:r>
    </w:p>
    <w:p>
      <w:pPr>
        <w:spacing w:after="0" w:line="19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9"/>
          <w:szCs w:val="19"/>
          <w:color w:val="auto"/>
        </w:rPr>
        <w:t>On vesting, each Unit that is earned and vested will be settled by delivery of a cash payment equivalent in value to one share of Common Stock on the Vesting Date and you shall have no right to acquire shares of Common Stock.</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Section 6 (Russia)</w:t>
      </w:r>
    </w:p>
    <w:p>
      <w:pPr>
        <w:spacing w:after="0" w:line="23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u w:val="single" w:color="auto"/>
          <w:color w:val="auto"/>
        </w:rPr>
        <w:t>This Section 6 of Exhibit C applies if the Participant designated in the Notice to which this Exhibit C is attached is resident in Russia</w:t>
      </w:r>
      <w:r>
        <w:rPr>
          <w:rFonts w:ascii="Times New Roman" w:cs="Times New Roman" w:eastAsia="Times New Roman" w:hAnsi="Times New Roman"/>
          <w:sz w:val="19"/>
          <w:szCs w:val="19"/>
          <w:color w:val="auto"/>
        </w:rPr>
        <w:t>. This Section 6 of Exhibit C forms part of the Agreement.</w:t>
      </w:r>
    </w:p>
    <w:p>
      <w:pPr>
        <w:spacing w:after="0" w:line="15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9"/>
          <w:szCs w:val="19"/>
          <w:color w:val="auto"/>
        </w:rPr>
        <w:t>On vesting, each Unit that is earned and vested will be settled by delivery of a cash payment equivalent in value to one share of Common Stock on the Vesting Date and you shall have no right to acquire shares of Common Stock.</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Agreement, the rules of the Plan and any other materials you receive about this Award do not constitute advertising or an offer of securities in Russia. The grant of this Award is made outside of Russia by the Company which is headquartered and listed in the USA and all decisions relating to the operation of the Plan will be made by the Company in the USA. Your employer has no role in the granting of the Award to you or the operation of the Plan.</w:t>
      </w: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u w:val="single" w:color="auto"/>
          <w:color w:val="auto"/>
        </w:rPr>
        <w:t>Section 7 (Selected U.S. States)</w:t>
      </w:r>
    </w:p>
    <w:p>
      <w:pPr>
        <w:spacing w:after="0" w:line="31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u w:val="single" w:color="auto"/>
          <w:color w:val="auto"/>
        </w:rPr>
        <w:t>This Section 7 of Exhibit C applies if the Participant designated in the Notice to which this Exhibit C is attached is (i) a permanent resident or (ii) a tax resident who is assigned to perform services for the Company or a Subsidiary in the indicated U.S. state</w:t>
      </w:r>
      <w:r>
        <w:rPr>
          <w:rFonts w:ascii="Times New Roman" w:cs="Times New Roman" w:eastAsia="Times New Roman" w:hAnsi="Times New Roman"/>
          <w:sz w:val="19"/>
          <w:szCs w:val="19"/>
          <w:color w:val="auto"/>
        </w:rPr>
        <w:t>. This Section 7 of Exhibit C forms part of the Agreement.</w:t>
      </w:r>
    </w:p>
    <w:p>
      <w:pPr>
        <w:spacing w:after="0" w:line="215" w:lineRule="exact"/>
        <w:rPr>
          <w:sz w:val="20"/>
          <w:szCs w:val="20"/>
          <w:color w:val="auto"/>
        </w:rPr>
      </w:pPr>
    </w:p>
    <w:p>
      <w:pPr>
        <w:ind w:left="620" w:right="260" w:hanging="319"/>
        <w:spacing w:after="0" w:line="256" w:lineRule="auto"/>
        <w:tabs>
          <w:tab w:leader="none" w:pos="61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California</w:t>
      </w:r>
      <w:r>
        <w:rPr>
          <w:rFonts w:ascii="Times New Roman" w:cs="Times New Roman" w:eastAsia="Times New Roman" w:hAnsi="Times New Roman"/>
          <w:sz w:val="19"/>
          <w:szCs w:val="19"/>
          <w:color w:val="auto"/>
        </w:rPr>
        <w:t>: Notwithstanding any provision of the Agreement to the contrary, the provisions of the Agreement related to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prohibition on competition with the Company or its Subsidiaries or solicitation of Company or Subsidiary customers, prospective customers, or suppliers, as set forth in</w:t>
      </w:r>
    </w:p>
    <w:p>
      <w:pPr>
        <w:spacing w:after="0" w:line="1" w:lineRule="exact"/>
        <w:rPr>
          <w:rFonts w:ascii="Times New Roman" w:cs="Times New Roman" w:eastAsia="Times New Roman" w:hAnsi="Times New Roman"/>
          <w:sz w:val="21"/>
          <w:szCs w:val="21"/>
          <w:color w:val="auto"/>
        </w:rPr>
      </w:pPr>
    </w:p>
    <w:p>
      <w:pPr>
        <w:jc w:val="both"/>
        <w:ind w:left="620" w:right="120"/>
        <w:spacing w:after="0" w:line="269" w:lineRule="auto"/>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Section 2.4 of the Plan (clauses (i) and (ii)) and (b) the Terms and Conditions of Performance Unit Awards at Section 4(b) (as it relates to the Noncompete Covenant and the Non-solicitation Covenant, but excluding the portion of the Non-solicitation Covenant that relates to solicitation of Company or Subsidiary employees), shall not apply to the Participant.</w:t>
      </w:r>
    </w:p>
    <w:p>
      <w:pPr>
        <w:sectPr>
          <w:pgSz w:w="11900" w:h="16838" w:orient="portrait"/>
          <w:cols w:equalWidth="0" w:num="1">
            <w:col w:w="10660"/>
          </w:cols>
          <w:pgMar w:left="580" w:top="1440" w:right="6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the 2025 Credit Agreement and the 2025 Term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w:t>
      </w:r>
    </w:p>
    <w:p>
      <w:pPr>
        <w:spacing w:after="0" w:line="239" w:lineRule="exact"/>
        <w:rPr>
          <w:sz w:val="20"/>
          <w:szCs w:val="20"/>
          <w:color w:val="auto"/>
        </w:rPr>
      </w:pPr>
    </w:p>
    <w:p>
      <w:pPr>
        <w:ind w:right="5340"/>
        <w:spacing w:after="0" w:line="250"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The US Notes, the 2025 Credit Agreement, and the 2025 Term Credit Agreement </w:t>
      </w: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 Westinghouse Air Brake Technologies Corporation</w:t>
      </w: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Wabtec Transportation Systems, LLC</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Wabtec US Rail,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22, 2026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22, 2026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March 31, 2026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22, 2026</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22, 2026</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lvl w:ilvl="1">
      <w:lvlJc w:val="left"/>
      <w:lvlText w:val="%2"/>
      <w:numFmt w:val="decimal"/>
      <w:start w:val="104"/>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3"/>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lvl w:ilvl="1">
      <w:lvlJc w:val="left"/>
      <w:lvlText w:val="(%2)"/>
      <w:numFmt w:val="lowerLetter"/>
      <w:start w:val="1"/>
    </w:lvl>
  </w:abstractNum>
  <w:abstractNum w:abstractNumId="14">
    <w:nsid w:val="628C895D"/>
    <w:multiLevelType w:val="hybridMultilevel"/>
    <w:lvl w:ilvl="0">
      <w:lvlJc w:val="left"/>
      <w:lvlText w:val="%1"/>
      <w:numFmt w:val="lowerLetter"/>
      <w:start w:val="1"/>
    </w:lvl>
    <w:lvl w:ilvl="1">
      <w:lvlJc w:val="left"/>
      <w:lvlText w:val="(%2)"/>
      <w:numFmt w:val="lowerLetter"/>
      <w:start w:val="2"/>
    </w:lvl>
  </w:abstractNum>
  <w:abstractNum w:abstractNumId="15">
    <w:nsid w:val="333AB105"/>
    <w:multiLevelType w:val="hybridMultilevel"/>
    <w:lvl w:ilvl="0">
      <w:lvlJc w:val="left"/>
      <w:lvlText w:val="(%1)"/>
      <w:numFmt w:val="lowerLetter"/>
      <w:start w:val="35"/>
    </w:lvl>
    <w:lvl w:ilvl="1">
      <w:lvlJc w:val="left"/>
      <w:lvlText w:val="%2"/>
      <w:numFmt w:val="lowerLetter"/>
      <w:start w:val="1"/>
    </w:lvl>
  </w:abstractNum>
  <w:abstractNum w:abstractNumId="16">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
    <w:nsid w:val="2443A858"/>
    <w:multiLevelType w:val="hybridMultilevel"/>
    <w:lvl w:ilvl="0">
      <w:lvlJc w:val="left"/>
      <w:lvlText w:val="%1"/>
      <w:numFmt w:val="lowerLetter"/>
      <w:start w:val="1"/>
    </w:lvl>
    <w:lvl w:ilvl="1">
      <w:lvlJc w:val="left"/>
      <w:lvlText w:val="(%2)"/>
      <w:numFmt w:val="lowerLetter"/>
      <w:start w:val="4"/>
    </w:lvl>
  </w:abstractNum>
  <w:abstractNum w:abstractNumId="18">
    <w:nsid w:val="2D1D5AE9"/>
    <w:multiLevelType w:val="hybridMultilevel"/>
    <w:lvl w:ilvl="0">
      <w:lvlJc w:val="left"/>
      <w:lvlText w:val="(%1)"/>
      <w:numFmt w:val="lowerLetter"/>
      <w:start w:val="9"/>
    </w:lvl>
    <w:lvl w:ilvl="1">
      <w:lvlJc w:val="left"/>
      <w:lvlText w:val="%2"/>
      <w:numFmt w:val="lowerLetter"/>
      <w:start w:val="1"/>
    </w:lvl>
  </w:abstractNum>
  <w:abstractNum w:abstractNumId="19">
    <w:nsid w:val="6763845E"/>
    <w:multiLevelType w:val="hybridMultilevel"/>
    <w:lvl w:ilvl="0">
      <w:lvlJc w:val="left"/>
      <w:lvlText w:val="%1"/>
      <w:numFmt w:val="decimal"/>
      <w:start w:val="1"/>
    </w:lvl>
    <w:lvl w:ilvl="1">
      <w:lvlJc w:val="left"/>
      <w:lvlText w:val="(%2)"/>
      <w:numFmt w:val="lowerLetter"/>
      <w:start w:val="5"/>
    </w:lvl>
  </w:abstractNum>
  <w:abstractNum w:abstractNumId="20">
    <w:nsid w:val="75A2A8D4"/>
    <w:multiLevelType w:val="hybridMultilevel"/>
    <w:lvl w:ilvl="0">
      <w:lvlJc w:val="left"/>
      <w:lvlText w:val="(%1)"/>
      <w:numFmt w:val="decimal"/>
      <w:start w:val="55"/>
    </w:lvl>
    <w:lvl w:ilvl="1">
      <w:lvlJc w:val="left"/>
      <w:lvlText w:val="(%2)"/>
      <w:numFmt w:val="lowerLetter"/>
      <w:start w:val="6"/>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2026-04-22T09:13:47Z</dcterms:created>
  <dcterms:modified xsi:type="dcterms:W3CDTF">2026-04-22T09:13:47Z</dcterms:modified>
</cp:coreProperties>
</file>