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8" w:lineRule="exact"/>
        <w:rPr>
          <w:sz w:val="24"/>
          <w:szCs w:val="24"/>
          <w:color w:val="auto"/>
        </w:rPr>
      </w:pPr>
    </w:p>
    <w:p>
      <w:pPr>
        <w:ind w:left="840" w:hanging="798"/>
        <w:spacing w:after="0"/>
        <w:tabs>
          <w:tab w:leader="none" w:pos="8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5" w:lineRule="exact"/>
        <w:rPr>
          <w:sz w:val="24"/>
          <w:szCs w:val="24"/>
          <w:color w:val="auto"/>
        </w:rPr>
      </w:pPr>
    </w:p>
    <w:p>
      <w:pPr>
        <w:ind w:left="4300"/>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32" w:lineRule="exact"/>
        <w:rPr>
          <w:sz w:val="24"/>
          <w:szCs w:val="24"/>
          <w:color w:val="auto"/>
        </w:rPr>
      </w:pPr>
    </w:p>
    <w:p>
      <w:pPr>
        <w:ind w:left="5500"/>
        <w:spacing w:after="0"/>
        <w:rPr>
          <w:sz w:val="20"/>
          <w:szCs w:val="20"/>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840" w:hanging="798"/>
        <w:spacing w:after="0"/>
        <w:tabs>
          <w:tab w:leader="none" w:pos="8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4200" w:type="dxa"/>
        <w:tblCellMar>
          <w:top w:w="0" w:type="dxa"/>
          <w:left w:w="0" w:type="dxa"/>
          <w:bottom w:w="0" w:type="dxa"/>
          <w:right w:w="0" w:type="dxa"/>
        </w:tblCellMar>
      </w:tblPr>
      <w:tr>
        <w:trPr>
          <w:trHeight w:val="195"/>
        </w:trPr>
        <w:tc>
          <w:tcPr>
            <w:tcW w:w="2300" w:type="dxa"/>
            <w:vAlign w:val="bottom"/>
          </w:tcPr>
          <w:p>
            <w:pPr>
              <w:spacing w:after="0"/>
              <w:rPr>
                <w:sz w:val="20"/>
                <w:szCs w:val="20"/>
                <w:color w:val="auto"/>
              </w:rPr>
            </w:pPr>
            <w:r>
              <w:rPr>
                <w:rFonts w:ascii="Arial" w:cs="Arial" w:eastAsia="Arial" w:hAnsi="Arial"/>
                <w:sz w:val="17"/>
                <w:szCs w:val="17"/>
                <w:b w:val="1"/>
                <w:bCs w:val="1"/>
                <w:color w:val="auto"/>
                <w:w w:val="95"/>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7"/>
                <w:szCs w:val="17"/>
                <w:b w:val="1"/>
                <w:bCs w:val="1"/>
                <w:color w:val="auto"/>
                <w:w w:val="74"/>
              </w:rPr>
              <w:t>to</w:t>
            </w:r>
          </w:p>
        </w:tc>
      </w:tr>
      <w:tr>
        <w:trPr>
          <w:trHeight w:val="228"/>
        </w:trPr>
        <w:tc>
          <w:tcPr>
            <w:tcW w:w="2780" w:type="dxa"/>
            <w:vAlign w:val="bottom"/>
            <w:gridSpan w:val="2"/>
          </w:tcPr>
          <w:p>
            <w:pPr>
              <w:ind w:left="100"/>
              <w:spacing w:after="0"/>
              <w:rPr>
                <w:sz w:val="20"/>
                <w:szCs w:val="20"/>
                <w:color w:val="auto"/>
              </w:rPr>
            </w:pPr>
            <w:r>
              <w:rPr>
                <w:rFonts w:ascii="Arial" w:cs="Arial" w:eastAsia="Arial" w:hAnsi="Arial"/>
                <w:sz w:val="17"/>
                <w:szCs w:val="17"/>
                <w:b w:val="1"/>
                <w:bCs w:val="1"/>
                <w:color w:val="auto"/>
                <w:w w:val="93"/>
              </w:rPr>
              <w:t>Commission file number 033-90866</w:t>
            </w:r>
          </w:p>
        </w:tc>
        <w:tc>
          <w:tcPr>
            <w:tcW w:w="1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-156845</wp:posOffset>
            </wp:positionV>
            <wp:extent cx="304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WESTINGHOUSE AIR BRAKE TECHNOLOGIES CORPORATION</w:t>
      </w:r>
    </w:p>
    <w:p>
      <w:pPr>
        <w:spacing w:after="0" w:line="32"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6220" w:type="dxa"/>
            <w:vAlign w:val="bottom"/>
          </w:tcPr>
          <w:p>
            <w:pPr>
              <w:ind w:left="298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6220" w:type="dxa"/>
            <w:vAlign w:val="bottom"/>
          </w:tcPr>
          <w:p>
            <w:pPr>
              <w:jc w:val="center"/>
              <w:ind w:right="2663"/>
              <w:spacing w:after="0"/>
              <w:rPr>
                <w:sz w:val="20"/>
                <w:szCs w:val="20"/>
                <w:color w:val="auto"/>
              </w:rPr>
            </w:pPr>
            <w:r>
              <w:rPr>
                <w:rFonts w:ascii="Arial" w:cs="Arial" w:eastAsia="Arial" w:hAnsi="Arial"/>
                <w:sz w:val="17"/>
                <w:szCs w:val="17"/>
                <w:b w:val="1"/>
                <w:bCs w:val="1"/>
                <w:color w:val="auto"/>
                <w:w w:val="96"/>
              </w:rPr>
              <w:t>Delaware</w:t>
            </w:r>
          </w:p>
        </w:tc>
        <w:tc>
          <w:tcPr>
            <w:tcW w:w="2060" w:type="dxa"/>
            <w:vAlign w:val="bottom"/>
          </w:tcPr>
          <w:p>
            <w:pPr>
              <w:jc w:val="center"/>
              <w:ind w:left="103"/>
              <w:spacing w:after="0"/>
              <w:rPr>
                <w:sz w:val="20"/>
                <w:szCs w:val="20"/>
                <w:color w:val="auto"/>
              </w:rPr>
            </w:pPr>
            <w:r>
              <w:rPr>
                <w:rFonts w:ascii="Arial" w:cs="Arial" w:eastAsia="Arial" w:hAnsi="Arial"/>
                <w:sz w:val="17"/>
                <w:szCs w:val="17"/>
                <w:b w:val="1"/>
                <w:bCs w:val="1"/>
                <w:color w:val="auto"/>
                <w:w w:val="92"/>
              </w:rPr>
              <w:t>25-1615902</w:t>
            </w:r>
          </w:p>
        </w:tc>
        <w:tc>
          <w:tcPr>
            <w:tcW w:w="0" w:type="dxa"/>
            <w:vAlign w:val="bottom"/>
          </w:tcPr>
          <w:p>
            <w:pPr>
              <w:spacing w:after="0"/>
              <w:rPr>
                <w:sz w:val="1"/>
                <w:szCs w:val="1"/>
                <w:color w:val="auto"/>
              </w:rPr>
            </w:pPr>
          </w:p>
        </w:tc>
      </w:tr>
      <w:tr>
        <w:trPr>
          <w:trHeight w:val="140"/>
        </w:trPr>
        <w:tc>
          <w:tcPr>
            <w:tcW w:w="6220" w:type="dxa"/>
            <w:vAlign w:val="bottom"/>
          </w:tcPr>
          <w:p>
            <w:pPr>
              <w:jc w:val="center"/>
              <w:ind w:right="2663"/>
              <w:spacing w:after="0" w:line="141" w:lineRule="exact"/>
              <w:rPr>
                <w:sz w:val="20"/>
                <w:szCs w:val="20"/>
                <w:color w:val="auto"/>
              </w:rPr>
            </w:pPr>
            <w:r>
              <w:rPr>
                <w:rFonts w:ascii="Arial" w:cs="Arial" w:eastAsia="Arial" w:hAnsi="Arial"/>
                <w:sz w:val="14"/>
                <w:szCs w:val="14"/>
                <w:b w:val="1"/>
                <w:bCs w:val="1"/>
                <w:color w:val="auto"/>
                <w:w w:val="91"/>
              </w:rPr>
              <w:t>(State or other jurisdiction of</w:t>
            </w:r>
          </w:p>
        </w:tc>
        <w:tc>
          <w:tcPr>
            <w:tcW w:w="2060" w:type="dxa"/>
            <w:vAlign w:val="bottom"/>
          </w:tcPr>
          <w:p>
            <w:pPr>
              <w:jc w:val="center"/>
              <w:ind w:left="103"/>
              <w:spacing w:after="0" w:line="141"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2"/>
        </w:trPr>
        <w:tc>
          <w:tcPr>
            <w:tcW w:w="6220" w:type="dxa"/>
            <w:vAlign w:val="bottom"/>
          </w:tcPr>
          <w:p>
            <w:pPr>
              <w:jc w:val="center"/>
              <w:ind w:right="2643"/>
              <w:spacing w:after="0"/>
              <w:rPr>
                <w:sz w:val="20"/>
                <w:szCs w:val="20"/>
                <w:color w:val="auto"/>
              </w:rPr>
            </w:pPr>
            <w:r>
              <w:rPr>
                <w:rFonts w:ascii="Arial" w:cs="Arial" w:eastAsia="Arial" w:hAnsi="Arial"/>
                <w:sz w:val="14"/>
                <w:szCs w:val="14"/>
                <w:b w:val="1"/>
                <w:bCs w:val="1"/>
                <w:color w:val="auto"/>
                <w:w w:val="91"/>
              </w:rPr>
              <w:t>incorporation or organization)</w:t>
            </w:r>
          </w:p>
        </w:tc>
        <w:tc>
          <w:tcPr>
            <w:tcW w:w="2060" w:type="dxa"/>
            <w:vAlign w:val="bottom"/>
          </w:tcPr>
          <w:p>
            <w:pPr>
              <w:jc w:val="center"/>
              <w:ind w:left="10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289"/>
        </w:trPr>
        <w:tc>
          <w:tcPr>
            <w:tcW w:w="6220" w:type="dxa"/>
            <w:vAlign w:val="bottom"/>
          </w:tcPr>
          <w:p>
            <w:pPr>
              <w:jc w:val="center"/>
              <w:ind w:right="2703"/>
              <w:spacing w:after="0"/>
              <w:rPr>
                <w:sz w:val="20"/>
                <w:szCs w:val="20"/>
                <w:color w:val="auto"/>
              </w:rPr>
            </w:pPr>
            <w:r>
              <w:rPr>
                <w:rFonts w:ascii="Arial" w:cs="Arial" w:eastAsia="Arial" w:hAnsi="Arial"/>
                <w:sz w:val="17"/>
                <w:szCs w:val="17"/>
                <w:b w:val="1"/>
                <w:bCs w:val="1"/>
                <w:color w:val="auto"/>
                <w:w w:val="92"/>
              </w:rPr>
              <w:t>30 Isabella Street</w:t>
            </w:r>
          </w:p>
        </w:tc>
        <w:tc>
          <w:tcPr>
            <w:tcW w:w="2060" w:type="dxa"/>
            <w:vAlign w:val="bottom"/>
            <w:vMerge w:val="restart"/>
          </w:tcPr>
          <w:p>
            <w:pPr>
              <w:jc w:val="center"/>
              <w:ind w:left="63"/>
              <w:spacing w:after="0"/>
              <w:rPr>
                <w:sz w:val="20"/>
                <w:szCs w:val="20"/>
                <w:color w:val="auto"/>
              </w:rPr>
            </w:pPr>
            <w:r>
              <w:rPr>
                <w:rFonts w:ascii="Arial" w:cs="Arial" w:eastAsia="Arial" w:hAnsi="Arial"/>
                <w:sz w:val="17"/>
                <w:szCs w:val="17"/>
                <w:b w:val="1"/>
                <w:bCs w:val="1"/>
                <w:color w:val="auto"/>
                <w:w w:val="92"/>
              </w:rPr>
              <w:t>(412) 825-1000</w:t>
            </w:r>
          </w:p>
        </w:tc>
        <w:tc>
          <w:tcPr>
            <w:tcW w:w="0" w:type="dxa"/>
            <w:vAlign w:val="bottom"/>
          </w:tcPr>
          <w:p>
            <w:pPr>
              <w:spacing w:after="0"/>
              <w:rPr>
                <w:sz w:val="1"/>
                <w:szCs w:val="1"/>
                <w:color w:val="auto"/>
              </w:rPr>
            </w:pPr>
          </w:p>
        </w:tc>
      </w:tr>
      <w:tr>
        <w:trPr>
          <w:trHeight w:val="213"/>
        </w:trPr>
        <w:tc>
          <w:tcPr>
            <w:tcW w:w="6220" w:type="dxa"/>
            <w:vAlign w:val="bottom"/>
          </w:tcPr>
          <w:p>
            <w:pPr>
              <w:jc w:val="center"/>
              <w:ind w:right="2703"/>
              <w:spacing w:after="0"/>
              <w:rPr>
                <w:sz w:val="20"/>
                <w:szCs w:val="20"/>
                <w:color w:val="auto"/>
              </w:rPr>
            </w:pPr>
            <w:r>
              <w:rPr>
                <w:rFonts w:ascii="Arial" w:cs="Arial" w:eastAsia="Arial" w:hAnsi="Arial"/>
                <w:sz w:val="17"/>
                <w:szCs w:val="17"/>
                <w:b w:val="1"/>
                <w:bCs w:val="1"/>
                <w:color w:val="auto"/>
                <w:w w:val="92"/>
              </w:rPr>
              <w:t>Pittsburgh, Pennsylvania 15212</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20" w:type="dxa"/>
            <w:vAlign w:val="bottom"/>
          </w:tcPr>
          <w:p>
            <w:pPr>
              <w:jc w:val="center"/>
              <w:ind w:right="2703"/>
              <w:spacing w:after="0"/>
              <w:rPr>
                <w:sz w:val="20"/>
                <w:szCs w:val="20"/>
                <w:color w:val="auto"/>
              </w:rPr>
            </w:pPr>
            <w:r>
              <w:rPr>
                <w:rFonts w:ascii="Arial" w:cs="Arial" w:eastAsia="Arial" w:hAnsi="Arial"/>
                <w:sz w:val="14"/>
                <w:szCs w:val="14"/>
                <w:b w:val="1"/>
                <w:bCs w:val="1"/>
                <w:color w:val="auto"/>
                <w:w w:val="87"/>
              </w:rPr>
              <w:t>(Address of principal executive offices, including zip code)</w:t>
            </w:r>
          </w:p>
        </w:tc>
        <w:tc>
          <w:tcPr>
            <w:tcW w:w="2060" w:type="dxa"/>
            <w:vAlign w:val="bottom"/>
          </w:tcPr>
          <w:p>
            <w:pPr>
              <w:ind w:left="140"/>
              <w:spacing w:after="0"/>
              <w:rPr>
                <w:sz w:val="20"/>
                <w:szCs w:val="20"/>
                <w:color w:val="auto"/>
              </w:rPr>
            </w:pPr>
            <w:r>
              <w:rPr>
                <w:rFonts w:ascii="Arial" w:cs="Arial" w:eastAsia="Arial" w:hAnsi="Arial"/>
                <w:sz w:val="14"/>
                <w:szCs w:val="14"/>
                <w:b w:val="1"/>
                <w:bCs w:val="1"/>
                <w:color w:val="auto"/>
                <w:w w:val="88"/>
              </w:rPr>
              <w:t>(Registrant’s telephone number)</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Borders>
              <w:bottom w:val="single" w:sz="8" w:color="auto"/>
            </w:tcBorders>
          </w:tcPr>
          <w:p>
            <w:pPr>
              <w:jc w:val="center"/>
              <w:ind w:left="306"/>
              <w:spacing w:after="0"/>
              <w:rPr>
                <w:sz w:val="20"/>
                <w:szCs w:val="20"/>
                <w:color w:val="auto"/>
              </w:rPr>
            </w:pPr>
            <w:r>
              <w:rPr>
                <w:rFonts w:ascii="Arial" w:cs="Arial" w:eastAsia="Arial" w:hAnsi="Arial"/>
                <w:sz w:val="15"/>
                <w:szCs w:val="15"/>
                <w:b w:val="1"/>
                <w:bCs w:val="1"/>
                <w:color w:val="auto"/>
                <w:w w:val="84"/>
              </w:rPr>
              <w:t>Class</w:t>
            </w:r>
          </w:p>
        </w:tc>
        <w:tc>
          <w:tcPr>
            <w:tcW w:w="3660" w:type="dxa"/>
            <w:vAlign w:val="bottom"/>
            <w:tcBorders>
              <w:bottom w:val="single" w:sz="8" w:color="auto"/>
            </w:tcBorders>
          </w:tcPr>
          <w:p>
            <w:pPr>
              <w:jc w:val="center"/>
              <w:ind w:left="806"/>
              <w:spacing w:after="0"/>
              <w:rPr>
                <w:sz w:val="20"/>
                <w:szCs w:val="20"/>
                <w:color w:val="auto"/>
              </w:rPr>
            </w:pPr>
            <w:r>
              <w:rPr>
                <w:rFonts w:ascii="Arial" w:cs="Arial" w:eastAsia="Arial" w:hAnsi="Arial"/>
                <w:sz w:val="15"/>
                <w:szCs w:val="15"/>
                <w:b w:val="1"/>
                <w:bCs w:val="1"/>
                <w:color w:val="auto"/>
                <w:w w:val="89"/>
              </w:rPr>
              <w:t>Trading Symbol</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Name of Exchange on which registered</w:t>
            </w:r>
          </w:p>
        </w:tc>
      </w:tr>
      <w:tr>
        <w:trPr>
          <w:trHeight w:val="186"/>
        </w:trPr>
        <w:tc>
          <w:tcPr>
            <w:tcW w:w="3360" w:type="dxa"/>
            <w:vAlign w:val="bottom"/>
          </w:tcPr>
          <w:p>
            <w:pPr>
              <w:jc w:val="center"/>
              <w:ind w:left="306"/>
              <w:spacing w:after="0"/>
              <w:rPr>
                <w:sz w:val="20"/>
                <w:szCs w:val="20"/>
                <w:color w:val="auto"/>
              </w:rPr>
            </w:pPr>
            <w:r>
              <w:rPr>
                <w:rFonts w:ascii="Arial" w:cs="Arial" w:eastAsia="Arial" w:hAnsi="Arial"/>
                <w:sz w:val="15"/>
                <w:szCs w:val="15"/>
                <w:color w:val="auto"/>
                <w:w w:val="88"/>
              </w:rPr>
              <w:t>Common Stock, par value $.01 per share</w:t>
            </w:r>
          </w:p>
        </w:tc>
        <w:tc>
          <w:tcPr>
            <w:tcW w:w="3660" w:type="dxa"/>
            <w:vAlign w:val="bottom"/>
          </w:tcPr>
          <w:p>
            <w:pPr>
              <w:jc w:val="center"/>
              <w:ind w:left="786"/>
              <w:spacing w:after="0"/>
              <w:rPr>
                <w:sz w:val="20"/>
                <w:szCs w:val="20"/>
                <w:color w:val="auto"/>
              </w:rPr>
            </w:pPr>
            <w:r>
              <w:rPr>
                <w:rFonts w:ascii="Arial" w:cs="Arial" w:eastAsia="Arial" w:hAnsi="Arial"/>
                <w:sz w:val="15"/>
                <w:szCs w:val="15"/>
                <w:color w:val="auto"/>
                <w:w w:val="93"/>
              </w:rPr>
              <w:t>WAB</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5"/>
                <w:szCs w:val="15"/>
                <w:color w:val="auto"/>
                <w:w w:val="91"/>
              </w:rPr>
              <w:t>New York Stock Exchange</w:t>
            </w:r>
          </w:p>
        </w:tc>
      </w:tr>
      <w:tr>
        <w:trPr>
          <w:trHeight w:val="262"/>
        </w:trPr>
        <w:tc>
          <w:tcPr>
            <w:tcW w:w="3360" w:type="dxa"/>
            <w:vAlign w:val="bottom"/>
          </w:tcPr>
          <w:p>
            <w:pPr>
              <w:spacing w:after="0"/>
              <w:rPr>
                <w:sz w:val="22"/>
                <w:szCs w:val="22"/>
                <w:color w:val="auto"/>
              </w:rPr>
            </w:pPr>
          </w:p>
        </w:tc>
        <w:tc>
          <w:tcPr>
            <w:tcW w:w="7880" w:type="dxa"/>
            <w:vAlign w:val="bottom"/>
            <w:gridSpan w:val="4"/>
          </w:tcPr>
          <w:p>
            <w:pPr>
              <w:jc w:val="center"/>
              <w:ind w:right="3306"/>
              <w:spacing w:after="0"/>
              <w:rPr>
                <w:sz w:val="20"/>
                <w:szCs w:val="20"/>
                <w:color w:val="auto"/>
              </w:rPr>
            </w:pPr>
            <w:r>
              <w:rPr>
                <w:rFonts w:ascii="Arial" w:cs="Arial" w:eastAsia="Arial" w:hAnsi="Arial"/>
                <w:sz w:val="15"/>
                <w:szCs w:val="15"/>
                <w:b w:val="1"/>
                <w:bCs w:val="1"/>
                <w:color w:val="auto"/>
                <w:w w:val="87"/>
              </w:rPr>
              <w:t>Securities registered pursuant to Section 12(g) of the Act: None</w:t>
            </w:r>
          </w:p>
        </w:tc>
      </w:tr>
      <w:tr>
        <w:trPr>
          <w:trHeight w:val="230"/>
        </w:trPr>
        <w:tc>
          <w:tcPr>
            <w:tcW w:w="7020" w:type="dxa"/>
            <w:vAlign w:val="bottom"/>
            <w:gridSpan w:val="2"/>
          </w:tcPr>
          <w:p>
            <w:pPr>
              <w:spacing w:after="0"/>
              <w:rPr>
                <w:sz w:val="20"/>
                <w:szCs w:val="20"/>
                <w:color w:val="auto"/>
              </w:rPr>
            </w:pPr>
            <w:r>
              <w:rPr>
                <w:rFonts w:ascii="Arial" w:cs="Arial" w:eastAsia="Arial" w:hAnsi="Arial"/>
                <w:sz w:val="15"/>
                <w:szCs w:val="15"/>
                <w:color w:val="auto"/>
                <w:w w:val="90"/>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Arial" w:cs="Arial" w:eastAsia="Arial" w:hAnsi="Arial"/>
                <w:sz w:val="15"/>
                <w:szCs w:val="15"/>
                <w:color w:val="auto"/>
                <w:w w:val="77"/>
              </w:rPr>
              <w:t>Yes</w:t>
            </w:r>
          </w:p>
        </w:tc>
        <w:tc>
          <w:tcPr>
            <w:tcW w:w="220" w:type="dxa"/>
            <w:vAlign w:val="bottom"/>
          </w:tcPr>
          <w:p>
            <w:pPr>
              <w:ind w:left="60"/>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368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tc>
      </w:tr>
      <w:tr>
        <w:trPr>
          <w:trHeight w:val="232"/>
        </w:trPr>
        <w:tc>
          <w:tcPr>
            <w:tcW w:w="7020" w:type="dxa"/>
            <w:vAlign w:val="bottom"/>
            <w:gridSpan w:val="2"/>
          </w:tcPr>
          <w:p>
            <w:pPr>
              <w:spacing w:after="0"/>
              <w:rPr>
                <w:sz w:val="20"/>
                <w:szCs w:val="20"/>
                <w:color w:val="auto"/>
              </w:rPr>
            </w:pPr>
            <w:r>
              <w:rPr>
                <w:rFonts w:ascii="Arial" w:cs="Arial" w:eastAsia="Arial" w:hAnsi="Arial"/>
                <w:sz w:val="15"/>
                <w:szCs w:val="15"/>
                <w:color w:val="auto"/>
                <w:w w:val="91"/>
              </w:rPr>
              <w:t>Indicate by check mark if the registrant is not required to file reports pursuant to Section 13 or 15(d) of the Act.  Yes</w:t>
            </w:r>
          </w:p>
        </w:tc>
        <w:tc>
          <w:tcPr>
            <w:tcW w:w="32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No</w:t>
            </w:r>
          </w:p>
        </w:tc>
        <w:tc>
          <w:tcPr>
            <w:tcW w:w="368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tc>
      </w:tr>
    </w:tbl>
    <w:p>
      <w:pPr>
        <w:spacing w:after="0" w:line="18" w:lineRule="exact"/>
        <w:rPr>
          <w:sz w:val="24"/>
          <w:szCs w:val="24"/>
          <w:color w:val="auto"/>
        </w:rPr>
      </w:pPr>
    </w:p>
    <w:p>
      <w:pPr>
        <w:ind w:right="80"/>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9" w:lineRule="exact"/>
        <w:rPr>
          <w:sz w:val="24"/>
          <w:szCs w:val="24"/>
          <w:color w:val="auto"/>
        </w:rPr>
      </w:pPr>
    </w:p>
    <w:p>
      <w:pPr>
        <w:ind w:right="60"/>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9" w:lineRule="exact"/>
        <w:rPr>
          <w:sz w:val="24"/>
          <w:szCs w:val="24"/>
          <w:color w:val="auto"/>
        </w:rPr>
      </w:pPr>
    </w:p>
    <w:p>
      <w:pPr>
        <w:ind w:right="10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63" w:right="339" w:bottom="1440" w:gutter="0" w:footer="0" w:header="0"/>
        </w:sectPr>
      </w:pPr>
    </w:p>
    <w:p>
      <w:pPr>
        <w:spacing w:after="0" w:line="22"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6">
            <w:col w:w="1640" w:space="720"/>
            <w:col w:w="60" w:space="360"/>
            <w:col w:w="1580" w:space="720"/>
            <w:col w:w="140" w:space="300"/>
            <w:col w:w="1260" w:space="580"/>
            <w:col w:w="3880"/>
          </w:cols>
          <w:pgMar w:left="320" w:top="963" w:right="339" w:bottom="144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214" w:lineRule="exact"/>
        <w:rPr>
          <w:sz w:val="24"/>
          <w:szCs w:val="24"/>
          <w:color w:val="auto"/>
        </w:rPr>
      </w:pPr>
    </w:p>
    <w:p>
      <w:pPr>
        <w:sectPr>
          <w:pgSz w:w="11900" w:h="16838" w:orient="portrait"/>
          <w:cols w:equalWidth="0" w:num="4">
            <w:col w:w="1640" w:space="720"/>
            <w:col w:w="120" w:space="300"/>
            <w:col w:w="1620" w:space="680"/>
            <w:col w:w="6160"/>
          </w:cols>
          <w:pgMar w:left="320" w:top="963" w:right="339" w:bottom="1440" w:gutter="0" w:footer="0" w:header="0"/>
          <w:type w:val="continuous"/>
        </w:sectPr>
      </w:pPr>
    </w:p>
    <w:p>
      <w:pPr>
        <w:ind w:right="24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9" w:lineRule="exact"/>
        <w:rPr>
          <w:sz w:val="24"/>
          <w:szCs w:val="24"/>
          <w:color w:val="auto"/>
        </w:rPr>
      </w:pPr>
    </w:p>
    <w:p>
      <w:pPr>
        <w:ind w:right="200"/>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3" w:lineRule="exact"/>
        <w:tabs>
          <w:tab w:leader="none" w:pos="6860" w:val="left"/>
          <w:tab w:leader="none" w:pos="74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69"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The registrant estimates that as of June 30, 2021, the aggregate market value of the voting shares held by non-affiliates of the registrant was approximately $15.4 billion based on the closing price on the New York Stock Exchange for such stock.</w:t>
      </w:r>
    </w:p>
    <w:p>
      <w:pPr>
        <w:spacing w:after="0" w:line="22" w:lineRule="exact"/>
        <w:rPr>
          <w:sz w:val="24"/>
          <w:szCs w:val="24"/>
          <w:color w:val="auto"/>
        </w:rPr>
      </w:pPr>
    </w:p>
    <w:p>
      <w:pPr>
        <w:ind w:left="480"/>
        <w:spacing w:after="0"/>
        <w:rPr>
          <w:sz w:val="20"/>
          <w:szCs w:val="20"/>
          <w:color w:val="auto"/>
        </w:rPr>
      </w:pPr>
      <w:r>
        <w:rPr>
          <w:rFonts w:ascii="Arial" w:cs="Arial" w:eastAsia="Arial" w:hAnsi="Arial"/>
          <w:sz w:val="15"/>
          <w:szCs w:val="15"/>
          <w:color w:val="auto"/>
        </w:rPr>
        <w:t>As of February 11, 2022, 185,290,114 shares of Common Stock of the registrant were issued and outstanding.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ind w:left="480"/>
        <w:spacing w:after="0"/>
        <w:rPr>
          <w:sz w:val="20"/>
          <w:szCs w:val="20"/>
          <w:color w:val="auto"/>
        </w:rPr>
      </w:pPr>
      <w:r>
        <w:rPr>
          <w:rFonts w:ascii="Arial" w:cs="Arial" w:eastAsia="Arial" w:hAnsi="Arial"/>
          <w:sz w:val="13"/>
          <w:szCs w:val="13"/>
          <w:color w:val="auto"/>
        </w:rPr>
        <w:t>Portions of the Proxy Statement for the registrant’s Annual Meeting of Stockholders to be held on May 18, 2022 are incorporated by reference into Part III of this Form</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8"/>
          </w:tcPr>
          <w:p>
            <w:pPr>
              <w:ind w:left="320"/>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7"/>
        </w:trPr>
        <w:tc>
          <w:tcPr>
            <w:tcW w:w="1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gridSpan w:val="6"/>
          </w:tcPr>
          <w:p>
            <w:pPr>
              <w:jc w:val="center"/>
              <w:ind w:right="4240"/>
              <w:spacing w:after="0"/>
              <w:rPr>
                <w:sz w:val="20"/>
                <w:szCs w:val="20"/>
                <w:color w:val="auto"/>
              </w:rPr>
            </w:pPr>
            <w:r>
              <w:rPr>
                <w:rFonts w:ascii="Arial" w:cs="Arial" w:eastAsia="Arial" w:hAnsi="Arial"/>
                <w:sz w:val="17"/>
                <w:szCs w:val="17"/>
                <w:b w:val="1"/>
                <w:bCs w:val="1"/>
                <w:color w:val="auto"/>
              </w:rPr>
              <w:t>PART I</w:t>
            </w:r>
          </w:p>
        </w:tc>
        <w:tc>
          <w:tcPr>
            <w:tcW w:w="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150"/>
        </w:trPr>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1.</w:t>
            </w:r>
          </w:p>
        </w:tc>
        <w:tc>
          <w:tcPr>
            <w:tcW w:w="620" w:type="dxa"/>
            <w:vAlign w:val="bottom"/>
          </w:tcPr>
          <w:p>
            <w:pPr>
              <w:spacing w:after="0" w:line="184" w:lineRule="exact"/>
              <w:rPr>
                <w:rFonts w:ascii="Arial" w:cs="Arial" w:eastAsia="Arial" w:hAnsi="Arial"/>
                <w:sz w:val="17"/>
                <w:szCs w:val="17"/>
                <w:color w:val="0000FF"/>
                <w:w w:val="86"/>
              </w:rPr>
            </w:pPr>
            <w:hyperlink w:anchor="page3">
              <w:r>
                <w:rPr>
                  <w:rFonts w:ascii="Arial" w:cs="Arial" w:eastAsia="Arial" w:hAnsi="Arial"/>
                  <w:sz w:val="17"/>
                  <w:szCs w:val="17"/>
                  <w:color w:val="0000FF"/>
                  <w:w w:val="86"/>
                </w:rPr>
                <w:t>Business</w:t>
              </w:r>
            </w:hyperlink>
          </w:p>
        </w:tc>
        <w:tc>
          <w:tcPr>
            <w:tcW w:w="8760" w:type="dxa"/>
            <w:vAlign w:val="bottom"/>
            <w:gridSpan w:val="17"/>
          </w:tcPr>
          <w:p>
            <w:pPr>
              <w:spacing w:after="0"/>
              <w:rPr>
                <w:sz w:val="15"/>
                <w:szCs w:val="15"/>
                <w:color w:val="auto"/>
              </w:rPr>
            </w:pPr>
          </w:p>
        </w:tc>
        <w:tc>
          <w:tcPr>
            <w:tcW w:w="720" w:type="dxa"/>
            <w:vAlign w:val="bottom"/>
            <w:gridSpan w:val="4"/>
          </w:tcPr>
          <w:p>
            <w:pPr>
              <w:jc w:val="right"/>
              <w:ind w:right="20"/>
              <w:spacing w:after="0" w:line="184"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1A.</w:t>
            </w:r>
          </w:p>
        </w:tc>
        <w:tc>
          <w:tcPr>
            <w:tcW w:w="880" w:type="dxa"/>
            <w:vAlign w:val="bottom"/>
            <w:gridSpan w:val="3"/>
            <w:shd w:val="clear" w:color="auto" w:fill="CCEEFF"/>
          </w:tcPr>
          <w:p>
            <w:pPr>
              <w:spacing w:after="0" w:line="193" w:lineRule="exact"/>
              <w:rPr>
                <w:rFonts w:ascii="Arial" w:cs="Arial" w:eastAsia="Arial" w:hAnsi="Arial"/>
                <w:sz w:val="17"/>
                <w:szCs w:val="17"/>
                <w:color w:val="0000FF"/>
                <w:w w:val="90"/>
              </w:rPr>
            </w:pPr>
            <w:hyperlink w:anchor="page16">
              <w:r>
                <w:rPr>
                  <w:rFonts w:ascii="Arial" w:cs="Arial" w:eastAsia="Arial" w:hAnsi="Arial"/>
                  <w:sz w:val="17"/>
                  <w:szCs w:val="17"/>
                  <w:color w:val="0000FF"/>
                  <w:w w:val="90"/>
                </w:rPr>
                <w:t>Risk Factors</w:t>
              </w:r>
            </w:hyperlink>
          </w:p>
        </w:tc>
        <w:tc>
          <w:tcPr>
            <w:tcW w:w="8500" w:type="dxa"/>
            <w:vAlign w:val="bottom"/>
            <w:gridSpan w:val="15"/>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16">
              <w:r>
                <w:rPr>
                  <w:rFonts w:ascii="Arial" w:cs="Arial" w:eastAsia="Arial" w:hAnsi="Arial"/>
                  <w:sz w:val="17"/>
                  <w:szCs w:val="17"/>
                  <w:color w:val="0000FF"/>
                </w:rPr>
                <w:t>16</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1B.</w:t>
            </w:r>
          </w:p>
        </w:tc>
        <w:tc>
          <w:tcPr>
            <w:tcW w:w="9380" w:type="dxa"/>
            <w:vAlign w:val="bottom"/>
            <w:gridSpan w:val="18"/>
          </w:tcPr>
          <w:p>
            <w:pPr>
              <w:spacing w:after="0" w:line="184" w:lineRule="exact"/>
              <w:rPr>
                <w:rFonts w:ascii="Arial" w:cs="Arial" w:eastAsia="Arial" w:hAnsi="Arial"/>
                <w:sz w:val="17"/>
                <w:szCs w:val="17"/>
                <w:color w:val="0000FF"/>
              </w:rPr>
            </w:pPr>
            <w:hyperlink w:anchor="page25">
              <w:r>
                <w:rPr>
                  <w:rFonts w:ascii="Arial" w:cs="Arial" w:eastAsia="Arial" w:hAnsi="Arial"/>
                  <w:sz w:val="17"/>
                  <w:szCs w:val="17"/>
                  <w:color w:val="0000FF"/>
                </w:rPr>
                <w:t>Unresolved Staff Comments</w:t>
              </w:r>
            </w:hyperlink>
          </w:p>
        </w:tc>
        <w:tc>
          <w:tcPr>
            <w:tcW w:w="700" w:type="dxa"/>
            <w:vAlign w:val="bottom"/>
            <w:gridSpan w:val="3"/>
          </w:tcPr>
          <w:p>
            <w:pPr>
              <w:jc w:val="right"/>
              <w:spacing w:after="0" w:line="184" w:lineRule="exact"/>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2.</w:t>
            </w:r>
          </w:p>
        </w:tc>
        <w:tc>
          <w:tcPr>
            <w:tcW w:w="1980" w:type="dxa"/>
            <w:vAlign w:val="bottom"/>
            <w:gridSpan w:val="7"/>
            <w:shd w:val="clear" w:color="auto" w:fill="CCEEFF"/>
          </w:tcPr>
          <w:p>
            <w:pPr>
              <w:spacing w:after="0" w:line="193" w:lineRule="exact"/>
              <w:rPr>
                <w:rFonts w:ascii="Arial" w:cs="Arial" w:eastAsia="Arial" w:hAnsi="Arial"/>
                <w:sz w:val="17"/>
                <w:szCs w:val="17"/>
                <w:color w:val="0000FF"/>
              </w:rPr>
            </w:pPr>
            <w:hyperlink w:anchor="page25">
              <w:r>
                <w:rPr>
                  <w:rFonts w:ascii="Arial" w:cs="Arial" w:eastAsia="Arial" w:hAnsi="Arial"/>
                  <w:sz w:val="17"/>
                  <w:szCs w:val="17"/>
                  <w:color w:val="0000FF"/>
                </w:rPr>
                <w:t>Properties</w:t>
              </w:r>
            </w:hyperlink>
          </w:p>
        </w:tc>
        <w:tc>
          <w:tcPr>
            <w:tcW w:w="7400" w:type="dxa"/>
            <w:vAlign w:val="bottom"/>
            <w:gridSpan w:val="11"/>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25">
              <w:r>
                <w:rPr>
                  <w:rFonts w:ascii="Arial" w:cs="Arial" w:eastAsia="Arial" w:hAnsi="Arial"/>
                  <w:sz w:val="17"/>
                  <w:szCs w:val="17"/>
                  <w:color w:val="0000FF"/>
                </w:rPr>
                <w:t>26</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3.</w:t>
            </w:r>
          </w:p>
        </w:tc>
        <w:tc>
          <w:tcPr>
            <w:tcW w:w="9380" w:type="dxa"/>
            <w:vAlign w:val="bottom"/>
            <w:gridSpan w:val="18"/>
          </w:tcPr>
          <w:p>
            <w:pPr>
              <w:spacing w:after="0" w:line="184" w:lineRule="exact"/>
              <w:rPr>
                <w:rFonts w:ascii="Arial" w:cs="Arial" w:eastAsia="Arial" w:hAnsi="Arial"/>
                <w:sz w:val="17"/>
                <w:szCs w:val="17"/>
                <w:color w:val="0000FF"/>
              </w:rPr>
            </w:pPr>
            <w:hyperlink w:anchor="page26">
              <w:r>
                <w:rPr>
                  <w:rFonts w:ascii="Arial" w:cs="Arial" w:eastAsia="Arial" w:hAnsi="Arial"/>
                  <w:sz w:val="17"/>
                  <w:szCs w:val="17"/>
                  <w:color w:val="0000FF"/>
                </w:rPr>
                <w:t>Legal Proceedings</w:t>
              </w:r>
            </w:hyperlink>
          </w:p>
        </w:tc>
        <w:tc>
          <w:tcPr>
            <w:tcW w:w="700" w:type="dxa"/>
            <w:vAlign w:val="bottom"/>
            <w:gridSpan w:val="3"/>
          </w:tcPr>
          <w:p>
            <w:pPr>
              <w:jc w:val="right"/>
              <w:spacing w:after="0" w:line="184" w:lineRule="exact"/>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4.</w:t>
            </w:r>
          </w:p>
        </w:tc>
        <w:tc>
          <w:tcPr>
            <w:tcW w:w="9380" w:type="dxa"/>
            <w:vAlign w:val="bottom"/>
            <w:gridSpan w:val="18"/>
            <w:shd w:val="clear" w:color="auto" w:fill="CCEEFF"/>
          </w:tcPr>
          <w:p>
            <w:pPr>
              <w:spacing w:after="0" w:line="193" w:lineRule="exact"/>
              <w:rPr>
                <w:rFonts w:ascii="Arial" w:cs="Arial" w:eastAsia="Arial" w:hAnsi="Arial"/>
                <w:sz w:val="17"/>
                <w:szCs w:val="17"/>
                <w:color w:val="0000FF"/>
              </w:rPr>
            </w:pPr>
            <w:hyperlink w:anchor="page26">
              <w:r>
                <w:rPr>
                  <w:rFonts w:ascii="Arial" w:cs="Arial" w:eastAsia="Arial" w:hAnsi="Arial"/>
                  <w:sz w:val="17"/>
                  <w:szCs w:val="17"/>
                  <w:color w:val="0000FF"/>
                </w:rPr>
                <w:t>Mine Safety Disclosures</w:t>
              </w:r>
            </w:hyperlink>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c>
          <w:tcPr>
            <w:tcW w:w="20" w:type="dxa"/>
            <w:vAlign w:val="bottom"/>
            <w:shd w:val="clear" w:color="auto" w:fill="CCEEFF"/>
          </w:tcPr>
          <w:p>
            <w:pPr>
              <w:spacing w:after="0"/>
              <w:rPr>
                <w:sz w:val="18"/>
                <w:szCs w:val="18"/>
                <w:color w:val="auto"/>
              </w:rPr>
            </w:pPr>
          </w:p>
        </w:tc>
      </w:tr>
      <w:tr>
        <w:trPr>
          <w:trHeight w:val="223"/>
        </w:trPr>
        <w:tc>
          <w:tcPr>
            <w:tcW w:w="110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40"/>
              <w:spacing w:after="0"/>
              <w:rPr>
                <w:sz w:val="20"/>
                <w:szCs w:val="20"/>
                <w:color w:val="auto"/>
              </w:rPr>
            </w:pPr>
            <w:r>
              <w:rPr>
                <w:rFonts w:ascii="Arial" w:cs="Arial" w:eastAsia="Arial" w:hAnsi="Arial"/>
                <w:sz w:val="17"/>
                <w:szCs w:val="17"/>
                <w:b w:val="1"/>
                <w:bCs w:val="1"/>
                <w:color w:val="auto"/>
              </w:rPr>
              <w:t>PART II</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7"/>
        </w:trPr>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5.</w:t>
            </w:r>
          </w:p>
        </w:tc>
        <w:tc>
          <w:tcPr>
            <w:tcW w:w="9380" w:type="dxa"/>
            <w:vAlign w:val="bottom"/>
            <w:gridSpan w:val="18"/>
            <w:shd w:val="clear" w:color="auto" w:fill="CCEEFF"/>
          </w:tcPr>
          <w:p>
            <w:pPr>
              <w:spacing w:after="0" w:line="184" w:lineRule="exact"/>
              <w:rPr>
                <w:rFonts w:ascii="Arial" w:cs="Arial" w:eastAsia="Arial" w:hAnsi="Arial"/>
                <w:sz w:val="17"/>
                <w:szCs w:val="17"/>
                <w:color w:val="0000FF"/>
              </w:rPr>
            </w:pPr>
            <w:hyperlink w:anchor="page27">
              <w:r>
                <w:rPr>
                  <w:rFonts w:ascii="Arial" w:cs="Arial" w:eastAsia="Arial" w:hAnsi="Arial"/>
                  <w:sz w:val="17"/>
                  <w:szCs w:val="17"/>
                  <w:color w:val="0000FF"/>
                </w:rPr>
                <w:t>Market for Registrant’s Common Equity, Related Stockholder Matters and Issuer Purchases of Equity Securities</w:t>
              </w:r>
            </w:hyperlink>
          </w:p>
        </w:tc>
        <w:tc>
          <w:tcPr>
            <w:tcW w:w="700" w:type="dxa"/>
            <w:vAlign w:val="bottom"/>
            <w:gridSpan w:val="3"/>
            <w:shd w:val="clear" w:color="auto" w:fill="CCEEFF"/>
          </w:tcPr>
          <w:p>
            <w:pPr>
              <w:jc w:val="right"/>
              <w:spacing w:after="0" w:line="184" w:lineRule="exact"/>
              <w:rPr>
                <w:rFonts w:ascii="Arial" w:cs="Arial" w:eastAsia="Arial" w:hAnsi="Arial"/>
                <w:sz w:val="17"/>
                <w:szCs w:val="17"/>
                <w:color w:val="0000FF"/>
              </w:rPr>
            </w:pPr>
            <w:hyperlink w:anchor="page27">
              <w:r>
                <w:rPr>
                  <w:rFonts w:ascii="Arial" w:cs="Arial" w:eastAsia="Arial" w:hAnsi="Arial"/>
                  <w:sz w:val="17"/>
                  <w:szCs w:val="17"/>
                  <w:color w:val="0000FF"/>
                </w:rPr>
                <w:t>27</w:t>
              </w:r>
            </w:hyperlink>
          </w:p>
        </w:tc>
        <w:tc>
          <w:tcPr>
            <w:tcW w:w="20" w:type="dxa"/>
            <w:vAlign w:val="bottom"/>
            <w:shd w:val="clear" w:color="auto" w:fill="CCEEFF"/>
          </w:tcPr>
          <w:p>
            <w:pPr>
              <w:spacing w:after="0"/>
              <w:rPr>
                <w:sz w:val="15"/>
                <w:szCs w:val="15"/>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6.</w:t>
            </w:r>
          </w:p>
        </w:tc>
        <w:tc>
          <w:tcPr>
            <w:tcW w:w="7820" w:type="dxa"/>
            <w:vAlign w:val="bottom"/>
            <w:gridSpan w:val="17"/>
          </w:tcPr>
          <w:p>
            <w:pPr>
              <w:spacing w:after="0" w:line="184" w:lineRule="exact"/>
              <w:rPr>
                <w:rFonts w:ascii="Arial" w:cs="Arial" w:eastAsia="Arial" w:hAnsi="Arial"/>
                <w:sz w:val="17"/>
                <w:szCs w:val="17"/>
                <w:color w:val="0000FF"/>
              </w:rPr>
            </w:pPr>
            <w:hyperlink w:anchor="page28">
              <w:r>
                <w:rPr>
                  <w:rFonts w:ascii="Arial" w:cs="Arial" w:eastAsia="Arial" w:hAnsi="Arial"/>
                  <w:sz w:val="17"/>
                  <w:szCs w:val="17"/>
                  <w:color w:val="0000FF"/>
                </w:rPr>
                <w:t>[Reserved]</w:t>
              </w:r>
            </w:hyperlink>
          </w:p>
        </w:tc>
        <w:tc>
          <w:tcPr>
            <w:tcW w:w="1560" w:type="dxa"/>
            <w:vAlign w:val="bottom"/>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7.</w:t>
            </w:r>
          </w:p>
        </w:tc>
        <w:tc>
          <w:tcPr>
            <w:tcW w:w="9380" w:type="dxa"/>
            <w:vAlign w:val="bottom"/>
            <w:gridSpan w:val="18"/>
            <w:shd w:val="clear" w:color="auto" w:fill="CCEEFF"/>
          </w:tcPr>
          <w:p>
            <w:pPr>
              <w:spacing w:after="0" w:line="193" w:lineRule="exact"/>
              <w:rPr>
                <w:rFonts w:ascii="Arial" w:cs="Arial" w:eastAsia="Arial" w:hAnsi="Arial"/>
                <w:sz w:val="17"/>
                <w:szCs w:val="17"/>
                <w:color w:val="0000FF"/>
              </w:rPr>
            </w:pPr>
            <w:hyperlink w:anchor="page28">
              <w:r>
                <w:rPr>
                  <w:rFonts w:ascii="Arial" w:cs="Arial" w:eastAsia="Arial" w:hAnsi="Arial"/>
                  <w:sz w:val="17"/>
                  <w:szCs w:val="17"/>
                  <w:color w:val="0000FF"/>
                </w:rPr>
                <w:t>Management’s Discussion and Analysis of Financial Condition and Results of Operations</w:t>
              </w:r>
            </w:hyperlink>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28">
              <w:r>
                <w:rPr>
                  <w:rFonts w:ascii="Arial" w:cs="Arial" w:eastAsia="Arial" w:hAnsi="Arial"/>
                  <w:sz w:val="17"/>
                  <w:szCs w:val="17"/>
                  <w:color w:val="0000FF"/>
                </w:rPr>
                <w:t>29</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7A.</w:t>
            </w:r>
          </w:p>
        </w:tc>
        <w:tc>
          <w:tcPr>
            <w:tcW w:w="6280" w:type="dxa"/>
            <w:vAlign w:val="bottom"/>
            <w:gridSpan w:val="15"/>
          </w:tcPr>
          <w:p>
            <w:pPr>
              <w:spacing w:after="0" w:line="184" w:lineRule="exact"/>
              <w:rPr>
                <w:rFonts w:ascii="Arial" w:cs="Arial" w:eastAsia="Arial" w:hAnsi="Arial"/>
                <w:sz w:val="17"/>
                <w:szCs w:val="17"/>
                <w:color w:val="0000FF"/>
              </w:rPr>
            </w:pPr>
            <w:hyperlink w:anchor="page44">
              <w:r>
                <w:rPr>
                  <w:rFonts w:ascii="Arial" w:cs="Arial" w:eastAsia="Arial" w:hAnsi="Arial"/>
                  <w:sz w:val="17"/>
                  <w:szCs w:val="17"/>
                  <w:color w:val="0000FF"/>
                </w:rPr>
                <w:t>Quantitative and Qualitative Disclosures About Market Risk</w:t>
              </w:r>
            </w:hyperlink>
          </w:p>
        </w:tc>
        <w:tc>
          <w:tcPr>
            <w:tcW w:w="3100" w:type="dxa"/>
            <w:vAlign w:val="bottom"/>
            <w:gridSpan w:val="3"/>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44">
              <w:r>
                <w:rPr>
                  <w:rFonts w:ascii="Arial" w:cs="Arial" w:eastAsia="Arial" w:hAnsi="Arial"/>
                  <w:sz w:val="17"/>
                  <w:szCs w:val="17"/>
                  <w:color w:val="0000FF"/>
                </w:rPr>
                <w:t>44</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8.</w:t>
            </w:r>
          </w:p>
        </w:tc>
        <w:tc>
          <w:tcPr>
            <w:tcW w:w="4220" w:type="dxa"/>
            <w:vAlign w:val="bottom"/>
            <w:gridSpan w:val="12"/>
            <w:shd w:val="clear" w:color="auto" w:fill="CCEEFF"/>
          </w:tcPr>
          <w:p>
            <w:pPr>
              <w:spacing w:after="0" w:line="193" w:lineRule="exact"/>
              <w:rPr>
                <w:rFonts w:ascii="Arial" w:cs="Arial" w:eastAsia="Arial" w:hAnsi="Arial"/>
                <w:sz w:val="17"/>
                <w:szCs w:val="17"/>
                <w:color w:val="0000FF"/>
              </w:rPr>
            </w:pPr>
            <w:hyperlink w:anchor="page45">
              <w:r>
                <w:rPr>
                  <w:rFonts w:ascii="Arial" w:cs="Arial" w:eastAsia="Arial" w:hAnsi="Arial"/>
                  <w:sz w:val="17"/>
                  <w:szCs w:val="17"/>
                  <w:color w:val="0000FF"/>
                </w:rPr>
                <w:t>Financial Statements and Supplementary Data</w:t>
              </w:r>
            </w:hyperlink>
          </w:p>
        </w:tc>
        <w:tc>
          <w:tcPr>
            <w:tcW w:w="5160" w:type="dxa"/>
            <w:vAlign w:val="bottom"/>
            <w:gridSpan w:val="6"/>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9.</w:t>
            </w:r>
          </w:p>
        </w:tc>
        <w:tc>
          <w:tcPr>
            <w:tcW w:w="6280" w:type="dxa"/>
            <w:vAlign w:val="bottom"/>
            <w:gridSpan w:val="15"/>
          </w:tcPr>
          <w:p>
            <w:pPr>
              <w:spacing w:after="0" w:line="184" w:lineRule="exact"/>
              <w:rPr>
                <w:rFonts w:ascii="Arial" w:cs="Arial" w:eastAsia="Arial" w:hAnsi="Arial"/>
                <w:sz w:val="17"/>
                <w:szCs w:val="17"/>
                <w:color w:val="0000FF"/>
                <w:w w:val="92"/>
              </w:rPr>
            </w:pPr>
            <w:hyperlink w:anchor="page45">
              <w:r>
                <w:rPr>
                  <w:rFonts w:ascii="Arial" w:cs="Arial" w:eastAsia="Arial" w:hAnsi="Arial"/>
                  <w:sz w:val="17"/>
                  <w:szCs w:val="17"/>
                  <w:color w:val="0000FF"/>
                  <w:w w:val="92"/>
                </w:rPr>
                <w:t>Changes in and Disagreements with Accountants on Accounting and Financial Disclosure</w:t>
              </w:r>
            </w:hyperlink>
          </w:p>
        </w:tc>
        <w:tc>
          <w:tcPr>
            <w:tcW w:w="3100" w:type="dxa"/>
            <w:vAlign w:val="bottom"/>
            <w:gridSpan w:val="3"/>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9A.</w:t>
            </w:r>
          </w:p>
        </w:tc>
        <w:tc>
          <w:tcPr>
            <w:tcW w:w="1740" w:type="dxa"/>
            <w:vAlign w:val="bottom"/>
            <w:tcBorders>
              <w:right w:val="single" w:sz="8" w:color="CCEEFF"/>
            </w:tcBorders>
            <w:gridSpan w:val="6"/>
            <w:shd w:val="clear" w:color="auto" w:fill="CCEEFF"/>
          </w:tcPr>
          <w:p>
            <w:pPr>
              <w:spacing w:after="0" w:line="193" w:lineRule="exact"/>
              <w:rPr>
                <w:rFonts w:ascii="Arial" w:cs="Arial" w:eastAsia="Arial" w:hAnsi="Arial"/>
                <w:sz w:val="17"/>
                <w:szCs w:val="17"/>
                <w:color w:val="0000FF"/>
                <w:w w:val="90"/>
              </w:rPr>
            </w:pPr>
            <w:hyperlink w:anchor="page45">
              <w:r>
                <w:rPr>
                  <w:rFonts w:ascii="Arial" w:cs="Arial" w:eastAsia="Arial" w:hAnsi="Arial"/>
                  <w:sz w:val="17"/>
                  <w:szCs w:val="17"/>
                  <w:color w:val="0000FF"/>
                  <w:w w:val="90"/>
                </w:rPr>
                <w:t>Controls and Procedures</w:t>
              </w:r>
            </w:hyperlink>
          </w:p>
        </w:tc>
        <w:tc>
          <w:tcPr>
            <w:tcW w:w="4540" w:type="dxa"/>
            <w:vAlign w:val="bottom"/>
            <w:tcBorders>
              <w:right w:val="single" w:sz="8" w:color="CCEEFF"/>
            </w:tcBorders>
            <w:gridSpan w:val="9"/>
            <w:shd w:val="clear" w:color="auto" w:fill="CCEEFF"/>
          </w:tcPr>
          <w:p>
            <w:pPr>
              <w:spacing w:after="0"/>
              <w:rPr>
                <w:sz w:val="16"/>
                <w:szCs w:val="16"/>
                <w:color w:val="auto"/>
              </w:rPr>
            </w:pPr>
          </w:p>
        </w:tc>
        <w:tc>
          <w:tcPr>
            <w:tcW w:w="3100" w:type="dxa"/>
            <w:vAlign w:val="bottom"/>
            <w:gridSpan w:val="3"/>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9B.</w:t>
            </w:r>
          </w:p>
        </w:tc>
        <w:tc>
          <w:tcPr>
            <w:tcW w:w="1280" w:type="dxa"/>
            <w:vAlign w:val="bottom"/>
            <w:gridSpan w:val="4"/>
          </w:tcPr>
          <w:p>
            <w:pPr>
              <w:spacing w:after="0" w:line="184" w:lineRule="exact"/>
              <w:rPr>
                <w:rFonts w:ascii="Arial" w:cs="Arial" w:eastAsia="Arial" w:hAnsi="Arial"/>
                <w:sz w:val="17"/>
                <w:szCs w:val="17"/>
                <w:color w:val="0000FF"/>
                <w:w w:val="95"/>
              </w:rPr>
            </w:pPr>
            <w:hyperlink w:anchor="page45">
              <w:r>
                <w:rPr>
                  <w:rFonts w:ascii="Arial" w:cs="Arial" w:eastAsia="Arial" w:hAnsi="Arial"/>
                  <w:sz w:val="17"/>
                  <w:szCs w:val="17"/>
                  <w:color w:val="0000FF"/>
                  <w:w w:val="95"/>
                </w:rPr>
                <w:t>Other Information</w:t>
              </w:r>
            </w:hyperlink>
          </w:p>
        </w:tc>
        <w:tc>
          <w:tcPr>
            <w:tcW w:w="460" w:type="dxa"/>
            <w:vAlign w:val="bottom"/>
            <w:gridSpan w:val="2"/>
          </w:tcPr>
          <w:p>
            <w:pPr>
              <w:spacing w:after="0"/>
              <w:rPr>
                <w:sz w:val="15"/>
                <w:szCs w:val="15"/>
                <w:color w:val="auto"/>
              </w:rPr>
            </w:pPr>
          </w:p>
        </w:tc>
        <w:tc>
          <w:tcPr>
            <w:tcW w:w="7640" w:type="dxa"/>
            <w:vAlign w:val="bottom"/>
            <w:gridSpan w:val="12"/>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9C.</w:t>
            </w:r>
          </w:p>
        </w:tc>
        <w:tc>
          <w:tcPr>
            <w:tcW w:w="9380" w:type="dxa"/>
            <w:vAlign w:val="bottom"/>
            <w:gridSpan w:val="18"/>
            <w:shd w:val="clear" w:color="auto" w:fill="CCEEFF"/>
          </w:tcPr>
          <w:p>
            <w:pPr>
              <w:spacing w:after="0" w:line="193" w:lineRule="exact"/>
              <w:rPr>
                <w:rFonts w:ascii="Arial" w:cs="Arial" w:eastAsia="Arial" w:hAnsi="Arial"/>
                <w:sz w:val="17"/>
                <w:szCs w:val="17"/>
                <w:color w:val="0000FF"/>
              </w:rPr>
            </w:pPr>
            <w:hyperlink w:anchor="page45">
              <w:r>
                <w:rPr>
                  <w:rFonts w:ascii="Arial" w:cs="Arial" w:eastAsia="Arial" w:hAnsi="Arial"/>
                  <w:sz w:val="17"/>
                  <w:szCs w:val="17"/>
                  <w:color w:val="0000FF"/>
                </w:rPr>
                <w:t>Disclosure Regarding Foreign Jurisdictions that Prevent Inspections</w:t>
              </w:r>
            </w:hyperlink>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shd w:val="clear" w:color="auto" w:fill="CCEEFF"/>
          </w:tcPr>
          <w:p>
            <w:pPr>
              <w:spacing w:after="0"/>
              <w:rPr>
                <w:sz w:val="18"/>
                <w:szCs w:val="18"/>
                <w:color w:val="auto"/>
              </w:rPr>
            </w:pPr>
          </w:p>
        </w:tc>
      </w:tr>
      <w:tr>
        <w:trPr>
          <w:trHeight w:val="223"/>
        </w:trPr>
        <w:tc>
          <w:tcPr>
            <w:tcW w:w="110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40"/>
              <w:spacing w:after="0"/>
              <w:rPr>
                <w:sz w:val="20"/>
                <w:szCs w:val="20"/>
                <w:color w:val="auto"/>
              </w:rPr>
            </w:pPr>
            <w:r>
              <w:rPr>
                <w:rFonts w:ascii="Arial" w:cs="Arial" w:eastAsia="Arial" w:hAnsi="Arial"/>
                <w:sz w:val="17"/>
                <w:szCs w:val="17"/>
                <w:b w:val="1"/>
                <w:bCs w:val="1"/>
                <w:color w:val="auto"/>
              </w:rPr>
              <w:t>PART III</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7"/>
        </w:trPr>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10.</w:t>
            </w:r>
          </w:p>
        </w:tc>
        <w:tc>
          <w:tcPr>
            <w:tcW w:w="9380" w:type="dxa"/>
            <w:vAlign w:val="bottom"/>
            <w:gridSpan w:val="18"/>
            <w:shd w:val="clear" w:color="auto" w:fill="CCEEFF"/>
          </w:tcPr>
          <w:p>
            <w:pPr>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Directors, Executive Officers and Corporate Governance</w:t>
              </w:r>
            </w:hyperlink>
          </w:p>
        </w:tc>
        <w:tc>
          <w:tcPr>
            <w:tcW w:w="700" w:type="dxa"/>
            <w:vAlign w:val="bottom"/>
            <w:gridSpan w:val="3"/>
            <w:shd w:val="clear" w:color="auto" w:fill="CCEEFF"/>
          </w:tcPr>
          <w:p>
            <w:pPr>
              <w:jc w:val="right"/>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shd w:val="clear" w:color="auto" w:fill="CCEEFF"/>
          </w:tcPr>
          <w:p>
            <w:pPr>
              <w:spacing w:after="0"/>
              <w:rPr>
                <w:sz w:val="15"/>
                <w:szCs w:val="15"/>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11.</w:t>
            </w:r>
          </w:p>
        </w:tc>
        <w:tc>
          <w:tcPr>
            <w:tcW w:w="3960" w:type="dxa"/>
            <w:vAlign w:val="bottom"/>
            <w:gridSpan w:val="11"/>
          </w:tcPr>
          <w:p>
            <w:pPr>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Executive Compensation</w:t>
              </w:r>
            </w:hyperlink>
          </w:p>
        </w:tc>
        <w:tc>
          <w:tcPr>
            <w:tcW w:w="5420" w:type="dxa"/>
            <w:vAlign w:val="bottom"/>
            <w:gridSpan w:val="7"/>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12.</w:t>
            </w:r>
          </w:p>
        </w:tc>
        <w:tc>
          <w:tcPr>
            <w:tcW w:w="9380" w:type="dxa"/>
            <w:vAlign w:val="bottom"/>
            <w:gridSpan w:val="18"/>
            <w:shd w:val="clear" w:color="auto" w:fill="CCEEFF"/>
          </w:tcPr>
          <w:p>
            <w:pPr>
              <w:spacing w:after="0" w:line="193" w:lineRule="exact"/>
              <w:rPr>
                <w:rFonts w:ascii="Arial" w:cs="Arial" w:eastAsia="Arial" w:hAnsi="Arial"/>
                <w:sz w:val="17"/>
                <w:szCs w:val="17"/>
                <w:color w:val="0000FF"/>
              </w:rPr>
            </w:pPr>
            <w:hyperlink w:anchor="page46">
              <w:r>
                <w:rPr>
                  <w:rFonts w:ascii="Arial" w:cs="Arial" w:eastAsia="Arial" w:hAnsi="Arial"/>
                  <w:sz w:val="17"/>
                  <w:szCs w:val="17"/>
                  <w:color w:val="0000FF"/>
                </w:rPr>
                <w:t>Security Ownership of Certain Beneficial Owners and Management and Related Stockholder Matters</w:t>
              </w:r>
            </w:hyperlink>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shd w:val="clear" w:color="auto" w:fill="CCEEFF"/>
          </w:tcPr>
          <w:p>
            <w:pPr>
              <w:spacing w:after="0"/>
              <w:rPr>
                <w:sz w:val="16"/>
                <w:szCs w:val="16"/>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13.</w:t>
            </w:r>
          </w:p>
        </w:tc>
        <w:tc>
          <w:tcPr>
            <w:tcW w:w="7060" w:type="dxa"/>
            <w:vAlign w:val="bottom"/>
            <w:gridSpan w:val="16"/>
          </w:tcPr>
          <w:p>
            <w:pPr>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Certain Relationships and Related Transactions, and Director Independence</w:t>
              </w:r>
            </w:hyperlink>
          </w:p>
        </w:tc>
        <w:tc>
          <w:tcPr>
            <w:tcW w:w="2320" w:type="dxa"/>
            <w:vAlign w:val="bottom"/>
            <w:gridSpan w:val="2"/>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tcPr>
          <w:p>
            <w:pPr>
              <w:spacing w:after="0"/>
              <w:rPr>
                <w:sz w:val="15"/>
                <w:szCs w:val="15"/>
                <w:color w:val="auto"/>
              </w:rPr>
            </w:pPr>
          </w:p>
        </w:tc>
      </w:tr>
      <w:tr>
        <w:trPr>
          <w:trHeight w:val="30"/>
        </w:trPr>
        <w:tc>
          <w:tcPr>
            <w:tcW w:w="11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Item 14.</w:t>
            </w:r>
          </w:p>
        </w:tc>
        <w:tc>
          <w:tcPr>
            <w:tcW w:w="5280" w:type="dxa"/>
            <w:vAlign w:val="bottom"/>
            <w:gridSpan w:val="14"/>
            <w:shd w:val="clear" w:color="auto" w:fill="CCEEFF"/>
          </w:tcPr>
          <w:p>
            <w:pPr>
              <w:spacing w:after="0" w:line="193" w:lineRule="exact"/>
              <w:rPr>
                <w:rFonts w:ascii="Arial" w:cs="Arial" w:eastAsia="Arial" w:hAnsi="Arial"/>
                <w:sz w:val="17"/>
                <w:szCs w:val="17"/>
                <w:color w:val="0000FF"/>
              </w:rPr>
            </w:pPr>
            <w:hyperlink w:anchor="page46">
              <w:r>
                <w:rPr>
                  <w:rFonts w:ascii="Arial" w:cs="Arial" w:eastAsia="Arial" w:hAnsi="Arial"/>
                  <w:sz w:val="17"/>
                  <w:szCs w:val="17"/>
                  <w:color w:val="0000FF"/>
                </w:rPr>
                <w:t>Principal Accountant Fees and Services</w:t>
              </w:r>
            </w:hyperlink>
          </w:p>
        </w:tc>
        <w:tc>
          <w:tcPr>
            <w:tcW w:w="4100" w:type="dxa"/>
            <w:vAlign w:val="bottom"/>
            <w:gridSpan w:val="4"/>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line="193" w:lineRule="exact"/>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shd w:val="clear" w:color="auto" w:fill="CCEEFF"/>
          </w:tcPr>
          <w:p>
            <w:pPr>
              <w:spacing w:after="0"/>
              <w:rPr>
                <w:sz w:val="18"/>
                <w:szCs w:val="18"/>
                <w:color w:val="auto"/>
              </w:rPr>
            </w:pPr>
          </w:p>
        </w:tc>
      </w:tr>
      <w:tr>
        <w:trPr>
          <w:trHeight w:val="223"/>
        </w:trPr>
        <w:tc>
          <w:tcPr>
            <w:tcW w:w="110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40"/>
              <w:spacing w:after="0"/>
              <w:rPr>
                <w:sz w:val="20"/>
                <w:szCs w:val="20"/>
                <w:color w:val="auto"/>
              </w:rPr>
            </w:pPr>
            <w:r>
              <w:rPr>
                <w:rFonts w:ascii="Arial" w:cs="Arial" w:eastAsia="Arial" w:hAnsi="Arial"/>
                <w:sz w:val="17"/>
                <w:szCs w:val="17"/>
                <w:b w:val="1"/>
                <w:bCs w:val="1"/>
                <w:color w:val="auto"/>
              </w:rPr>
              <w:t>PART IV</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7"/>
        </w:trPr>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15.</w:t>
            </w:r>
          </w:p>
        </w:tc>
        <w:tc>
          <w:tcPr>
            <w:tcW w:w="3060" w:type="dxa"/>
            <w:vAlign w:val="bottom"/>
            <w:gridSpan w:val="9"/>
            <w:shd w:val="clear" w:color="auto" w:fill="CCEEFF"/>
          </w:tcPr>
          <w:p>
            <w:pPr>
              <w:spacing w:after="0" w:line="184" w:lineRule="exact"/>
              <w:rPr>
                <w:rFonts w:ascii="Arial" w:cs="Arial" w:eastAsia="Arial" w:hAnsi="Arial"/>
                <w:sz w:val="17"/>
                <w:szCs w:val="17"/>
                <w:color w:val="0000FF"/>
                <w:w w:val="91"/>
              </w:rPr>
            </w:pPr>
            <w:hyperlink w:anchor="page47">
              <w:r>
                <w:rPr>
                  <w:rFonts w:ascii="Arial" w:cs="Arial" w:eastAsia="Arial" w:hAnsi="Arial"/>
                  <w:sz w:val="17"/>
                  <w:szCs w:val="17"/>
                  <w:color w:val="0000FF"/>
                  <w:w w:val="91"/>
                </w:rPr>
                <w:t>Exhibits and Financial Statement Schedules</w:t>
              </w:r>
            </w:hyperlink>
          </w:p>
        </w:tc>
        <w:tc>
          <w:tcPr>
            <w:tcW w:w="6320" w:type="dxa"/>
            <w:vAlign w:val="bottom"/>
            <w:gridSpan w:val="9"/>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line="184" w:lineRule="exact"/>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20" w:type="dxa"/>
            <w:vAlign w:val="bottom"/>
            <w:shd w:val="clear" w:color="auto" w:fill="CCEEFF"/>
          </w:tcPr>
          <w:p>
            <w:pPr>
              <w:spacing w:after="0"/>
              <w:rPr>
                <w:sz w:val="15"/>
                <w:szCs w:val="15"/>
                <w:color w:val="auto"/>
              </w:rPr>
            </w:pPr>
          </w:p>
        </w:tc>
      </w:tr>
      <w:tr>
        <w:trPr>
          <w:trHeight w:val="39"/>
        </w:trPr>
        <w:tc>
          <w:tcPr>
            <w:tcW w:w="11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Arial" w:cs="Arial" w:eastAsia="Arial" w:hAnsi="Arial"/>
                <w:sz w:val="17"/>
                <w:szCs w:val="17"/>
                <w:color w:val="auto"/>
              </w:rPr>
              <w:t>Item 16.</w:t>
            </w:r>
          </w:p>
        </w:tc>
        <w:tc>
          <w:tcPr>
            <w:tcW w:w="1500" w:type="dxa"/>
            <w:vAlign w:val="bottom"/>
            <w:gridSpan w:val="5"/>
          </w:tcPr>
          <w:p>
            <w:pPr>
              <w:spacing w:after="0" w:line="184" w:lineRule="exact"/>
              <w:rPr>
                <w:rFonts w:ascii="Arial" w:cs="Arial" w:eastAsia="Arial" w:hAnsi="Arial"/>
                <w:sz w:val="17"/>
                <w:szCs w:val="17"/>
                <w:color w:val="0000FF"/>
                <w:w w:val="93"/>
              </w:rPr>
            </w:pPr>
            <w:hyperlink w:anchor="page90">
              <w:r>
                <w:rPr>
                  <w:rFonts w:ascii="Arial" w:cs="Arial" w:eastAsia="Arial" w:hAnsi="Arial"/>
                  <w:sz w:val="17"/>
                  <w:szCs w:val="17"/>
                  <w:color w:val="0000FF"/>
                  <w:w w:val="93"/>
                </w:rPr>
                <w:t>Form 10-K Summary</w:t>
              </w:r>
            </w:hyperlink>
          </w:p>
        </w:tc>
        <w:tc>
          <w:tcPr>
            <w:tcW w:w="1560" w:type="dxa"/>
            <w:vAlign w:val="bottom"/>
            <w:gridSpan w:val="4"/>
          </w:tcPr>
          <w:p>
            <w:pPr>
              <w:spacing w:after="0"/>
              <w:rPr>
                <w:sz w:val="15"/>
                <w:szCs w:val="15"/>
                <w:color w:val="auto"/>
              </w:rPr>
            </w:pPr>
          </w:p>
        </w:tc>
        <w:tc>
          <w:tcPr>
            <w:tcW w:w="6320" w:type="dxa"/>
            <w:vAlign w:val="bottom"/>
            <w:gridSpan w:val="9"/>
          </w:tcPr>
          <w:p>
            <w:pPr>
              <w:spacing w:after="0"/>
              <w:rPr>
                <w:sz w:val="15"/>
                <w:szCs w:val="15"/>
                <w:color w:val="auto"/>
              </w:rPr>
            </w:pPr>
          </w:p>
        </w:tc>
        <w:tc>
          <w:tcPr>
            <w:tcW w:w="700" w:type="dxa"/>
            <w:vAlign w:val="bottom"/>
            <w:gridSpan w:val="3"/>
          </w:tcPr>
          <w:p>
            <w:pPr>
              <w:jc w:val="right"/>
              <w:spacing w:after="0" w:line="184" w:lineRule="exact"/>
              <w:rPr>
                <w:rFonts w:ascii="Arial" w:cs="Arial" w:eastAsia="Arial" w:hAnsi="Arial"/>
                <w:sz w:val="17"/>
                <w:szCs w:val="17"/>
                <w:color w:val="0000FF"/>
              </w:rPr>
            </w:pPr>
            <w:hyperlink w:anchor="page90">
              <w:r>
                <w:rPr>
                  <w:rFonts w:ascii="Arial" w:cs="Arial" w:eastAsia="Arial" w:hAnsi="Arial"/>
                  <w:sz w:val="17"/>
                  <w:szCs w:val="17"/>
                  <w:color w:val="0000FF"/>
                </w:rPr>
                <w:t>90</w:t>
              </w:r>
            </w:hyperlink>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86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5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5"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Arial" w:cs="Arial" w:eastAsia="Arial" w:hAnsi="Arial"/>
          <w:sz w:val="17"/>
          <w:szCs w:val="17"/>
          <w:i w:val="1"/>
          <w:iCs w:val="1"/>
          <w:color w:val="auto"/>
        </w:rPr>
        <w:t>www.wabteccorp.com</w:t>
      </w:r>
      <w:r>
        <w:rPr>
          <w:rFonts w:ascii="Arial" w:cs="Arial" w:eastAsia="Arial" w:hAnsi="Arial"/>
          <w:sz w:val="17"/>
          <w:szCs w:val="17"/>
          <w:color w:val="auto"/>
        </w:rPr>
        <w:t>. Except as the context otherwise requires,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77" w:lineRule="exact"/>
        <w:rPr>
          <w:sz w:val="20"/>
          <w:szCs w:val="20"/>
          <w:color w:val="auto"/>
        </w:rPr>
      </w:pPr>
    </w:p>
    <w:p>
      <w:pPr>
        <w:ind w:right="680" w:firstLine="472"/>
        <w:spacing w:after="0" w:line="289" w:lineRule="auto"/>
        <w:rPr>
          <w:sz w:val="20"/>
          <w:szCs w:val="20"/>
          <w:color w:val="auto"/>
        </w:rPr>
      </w:pPr>
      <w:r>
        <w:rPr>
          <w:rFonts w:ascii="Arial" w:cs="Arial" w:eastAsia="Arial" w:hAnsi="Arial"/>
          <w:sz w:val="17"/>
          <w:szCs w:val="17"/>
          <w:color w:val="auto"/>
        </w:rPr>
        <w:t>Throughout the years, the Company has made a number of strategic acquisitions leading the Company to where it is today. These have primarily included:</w:t>
      </w:r>
    </w:p>
    <w:p>
      <w:pPr>
        <w:spacing w:after="0" w:line="53" w:lineRule="exact"/>
        <w:rPr>
          <w:sz w:val="20"/>
          <w:szCs w:val="20"/>
          <w:color w:val="auto"/>
        </w:rPr>
      </w:pPr>
    </w:p>
    <w:p>
      <w:pPr>
        <w:ind w:left="640" w:right="740" w:hanging="321"/>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1999 merger with MotivePower Industries, Inc. whereby the Company adopted its current name of Westinghouse Air Brake Technologies Corporation, or Wabtec;</w:t>
      </w:r>
    </w:p>
    <w:p>
      <w:pPr>
        <w:spacing w:after="0" w:line="53" w:lineRule="exact"/>
        <w:rPr>
          <w:rFonts w:ascii="Arial" w:cs="Arial" w:eastAsia="Arial" w:hAnsi="Arial"/>
          <w:sz w:val="17"/>
          <w:szCs w:val="17"/>
          <w:color w:val="auto"/>
        </w:rPr>
      </w:pPr>
    </w:p>
    <w:p>
      <w:pPr>
        <w:ind w:left="640" w:right="160" w:hanging="321"/>
        <w:spacing w:after="0" w:line="27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66" w:lineRule="exact"/>
        <w:rPr>
          <w:rFonts w:ascii="Arial" w:cs="Arial" w:eastAsia="Arial" w:hAnsi="Arial"/>
          <w:sz w:val="17"/>
          <w:szCs w:val="17"/>
          <w:color w:val="auto"/>
        </w:rPr>
      </w:pPr>
    </w:p>
    <w:p>
      <w:pPr>
        <w:ind w:left="640" w:right="500" w:hanging="321"/>
        <w:spacing w:after="0" w:line="322"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30" w:lineRule="exact"/>
        <w:rPr>
          <w:sz w:val="20"/>
          <w:szCs w:val="20"/>
          <w:color w:val="auto"/>
        </w:rPr>
      </w:pPr>
    </w:p>
    <w:p>
      <w:pPr>
        <w:ind w:right="80" w:firstLine="472"/>
        <w:spacing w:after="0" w:line="265" w:lineRule="auto"/>
        <w:rPr>
          <w:sz w:val="20"/>
          <w:szCs w:val="20"/>
          <w:color w:val="auto"/>
        </w:rPr>
      </w:pPr>
      <w:r>
        <w:rPr>
          <w:rFonts w:ascii="Arial" w:cs="Arial" w:eastAsia="Arial" w:hAnsi="Arial"/>
          <w:sz w:val="17"/>
          <w:szCs w:val="17"/>
          <w:color w:val="auto"/>
        </w:rPr>
        <w:t>As a result of those strategic acquisitions, as well as other smaller acquisitions and organic growth, Wabtec is now one of the world’s largest providers of locomotives, value-added, technology-based equipment, systems and services for the global freight rail and passenger transit industries with approximately 25,000 employees, excluding contingent workers, and operations in over 50 countries. We believe we hold a leading market share for many of our core product lines globally. Our highly engineered products, which are intended to enhance safety, improve productivity, and reduce maintenance costs for customers, can be found on most locomotives, freight cars, passenger transit cars and buses around the world.</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Through both internal growth as well as acquisitions, Wabtec has positioned itself with the following strategic benefits:</w:t>
      </w:r>
    </w:p>
    <w:p>
      <w:pPr>
        <w:spacing w:after="0" w:line="106" w:lineRule="exact"/>
        <w:rPr>
          <w:sz w:val="20"/>
          <w:szCs w:val="20"/>
          <w:color w:val="auto"/>
        </w:rPr>
      </w:pPr>
    </w:p>
    <w:p>
      <w:pPr>
        <w:ind w:left="640" w:right="260" w:hanging="321"/>
        <w:spacing w:after="0" w:line="273"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Increased diversity of revenues by product, geography and market. </w:t>
      </w:r>
      <w:r>
        <w:rPr>
          <w:rFonts w:ascii="Arial" w:cs="Arial" w:eastAsia="Arial" w:hAnsi="Arial"/>
          <w:sz w:val="17"/>
          <w:szCs w:val="17"/>
          <w:color w:val="auto"/>
        </w:rPr>
        <w:t>Comprehensive product offerings spanning the freight rail and passenger transit</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as well as products in the bus, mining and marine, and discrete industrial markets help Wabtec to balance the cyclical nature of the global rail business.</w:t>
      </w:r>
    </w:p>
    <w:p>
      <w:pPr>
        <w:spacing w:after="0" w:line="66" w:lineRule="exact"/>
        <w:rPr>
          <w:rFonts w:ascii="Arial" w:cs="Arial" w:eastAsia="Arial" w:hAnsi="Arial"/>
          <w:sz w:val="17"/>
          <w:szCs w:val="17"/>
          <w:color w:val="auto"/>
        </w:rPr>
      </w:pPr>
    </w:p>
    <w:p>
      <w:pPr>
        <w:ind w:left="640" w:right="640" w:hanging="321"/>
        <w:spacing w:after="0" w:line="267"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Significant operating synergies and improved financial profile</w:t>
      </w:r>
      <w:r>
        <w:rPr>
          <w:rFonts w:ascii="Arial" w:cs="Arial" w:eastAsia="Arial" w:hAnsi="Arial"/>
          <w:sz w:val="17"/>
          <w:szCs w:val="17"/>
          <w:color w:val="auto"/>
        </w:rPr>
        <w:t>. The consummation of the GE Transportation acquisition is leading to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synergies across all of Wabtec. As a result, we achieved over $250 million in annual run-rate operating synergies, driven by cost and revenue opportunities. This will enhance Wabtec’s margins and revenue growth opportunities with strong free cash flow generation to enable strategic deleveraging through debt reduction and earnings growth.</w:t>
      </w:r>
    </w:p>
    <w:p>
      <w:pPr>
        <w:spacing w:after="0" w:line="73" w:lineRule="exact"/>
        <w:rPr>
          <w:rFonts w:ascii="Arial" w:cs="Arial" w:eastAsia="Arial" w:hAnsi="Arial"/>
          <w:sz w:val="17"/>
          <w:szCs w:val="17"/>
          <w:color w:val="auto"/>
        </w:rPr>
      </w:pPr>
    </w:p>
    <w:p>
      <w:pPr>
        <w:ind w:left="640" w:right="480" w:hanging="321"/>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Increased technical and engineering expertise. </w:t>
      </w:r>
      <w:r>
        <w:rPr>
          <w:rFonts w:ascii="Arial" w:cs="Arial" w:eastAsia="Arial" w:hAnsi="Arial"/>
          <w:sz w:val="17"/>
          <w:szCs w:val="17"/>
          <w:color w:val="auto"/>
        </w:rPr>
        <w:t>Particularly with the onboarding of Faiveley Transport and GE Transportation, Wabtec's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capabilities and product development efforts are strengthened.</w:t>
      </w:r>
    </w:p>
    <w:p>
      <w:pPr>
        <w:spacing w:after="0" w:line="53" w:lineRule="exact"/>
        <w:rPr>
          <w:rFonts w:ascii="Arial" w:cs="Arial" w:eastAsia="Arial" w:hAnsi="Arial"/>
          <w:sz w:val="17"/>
          <w:szCs w:val="17"/>
          <w:color w:val="auto"/>
        </w:rPr>
      </w:pPr>
    </w:p>
    <w:p>
      <w:pPr>
        <w:ind w:left="640" w:right="360" w:hanging="321"/>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Increased scale and diversification of Wabtec’s Freight product portfolio</w:t>
      </w:r>
      <w:r>
        <w:rPr>
          <w:rFonts w:ascii="Arial" w:cs="Arial" w:eastAsia="Arial" w:hAnsi="Arial"/>
          <w:sz w:val="17"/>
          <w:szCs w:val="17"/>
          <w:color w:val="auto"/>
        </w:rPr>
        <w:t>. Wabtec is one of the world’s largest providers of locomotives, freight car</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technology-enabled equipment, systems and services for the locomotive and freight rail industries.</w:t>
      </w:r>
    </w:p>
    <w:p>
      <w:pPr>
        <w:spacing w:after="0" w:line="53" w:lineRule="exact"/>
        <w:rPr>
          <w:rFonts w:ascii="Arial" w:cs="Arial" w:eastAsia="Arial" w:hAnsi="Arial"/>
          <w:sz w:val="17"/>
          <w:szCs w:val="17"/>
          <w:color w:val="auto"/>
        </w:rPr>
      </w:pPr>
    </w:p>
    <w:p>
      <w:pPr>
        <w:ind w:left="640" w:right="60" w:hanging="321"/>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Broadened product line and international presence in the transit market. </w:t>
      </w:r>
      <w:r>
        <w:rPr>
          <w:rFonts w:ascii="Arial" w:cs="Arial" w:eastAsia="Arial" w:hAnsi="Arial"/>
          <w:sz w:val="17"/>
          <w:szCs w:val="17"/>
          <w:color w:val="auto"/>
        </w:rPr>
        <w:t>Wabtec offers a comprehensive, broad and diversified portfolio of products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transit rail industries throughout the world.</w:t>
      </w:r>
    </w:p>
    <w:p>
      <w:pPr>
        <w:spacing w:after="0" w:line="53" w:lineRule="exact"/>
        <w:rPr>
          <w:rFonts w:ascii="Arial" w:cs="Arial" w:eastAsia="Arial" w:hAnsi="Arial"/>
          <w:sz w:val="17"/>
          <w:szCs w:val="17"/>
          <w:color w:val="auto"/>
        </w:rPr>
      </w:pPr>
    </w:p>
    <w:p>
      <w:pPr>
        <w:ind w:left="640" w:right="140" w:hanging="321"/>
        <w:spacing w:after="0" w:line="322"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Complementary Digital and Electronics technologies</w:t>
      </w:r>
      <w:r>
        <w:rPr>
          <w:rFonts w:ascii="Arial" w:cs="Arial" w:eastAsia="Arial" w:hAnsi="Arial"/>
          <w:sz w:val="16"/>
          <w:szCs w:val="16"/>
          <w:color w:val="auto"/>
        </w:rPr>
        <w:t>. Wabtec has a comprehensive digital portfolio and leading engineering and technical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which provides electronics and digital technologies to meet growing demand for train intelligence and network optimization.</w:t>
      </w:r>
    </w:p>
    <w:p>
      <w:pPr>
        <w:spacing w:after="0" w:line="30" w:lineRule="exact"/>
        <w:rPr>
          <w:rFonts w:ascii="Arial" w:cs="Arial" w:eastAsia="Arial" w:hAnsi="Arial"/>
          <w:sz w:val="16"/>
          <w:szCs w:val="16"/>
          <w:color w:val="auto"/>
        </w:rPr>
      </w:pPr>
    </w:p>
    <w:p>
      <w:pPr>
        <w:ind w:left="640" w:right="320" w:hanging="321"/>
        <w:spacing w:after="0" w:line="297"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Enhanced Aftermarket and Services opportunities</w:t>
      </w:r>
      <w:r>
        <w:rPr>
          <w:rFonts w:ascii="Arial" w:cs="Arial" w:eastAsia="Arial" w:hAnsi="Arial"/>
          <w:sz w:val="16"/>
          <w:szCs w:val="16"/>
          <w:color w:val="auto"/>
        </w:rPr>
        <w:t>. Wabtec has an installed base of more than 23,000 locomotives and content on virtually all North</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 locomotives and freight cars, as well as a diverse offering of Transit locomotives and cars both internationally and domestically, which enables significant opportunities in the higher-margin aftermarket parts and services business and mitigates the exposure to cycles.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Industry Overview</w:t>
      </w:r>
    </w:p>
    <w:p>
      <w:pPr>
        <w:spacing w:after="0" w:line="125" w:lineRule="exact"/>
        <w:rPr>
          <w:sz w:val="20"/>
          <w:szCs w:val="20"/>
          <w:color w:val="auto"/>
        </w:rPr>
      </w:pPr>
    </w:p>
    <w:p>
      <w:pPr>
        <w:ind w:right="20" w:firstLine="472"/>
        <w:spacing w:after="0" w:line="283" w:lineRule="auto"/>
        <w:rPr>
          <w:sz w:val="20"/>
          <w:szCs w:val="20"/>
          <w:color w:val="auto"/>
        </w:rPr>
      </w:pPr>
      <w:r>
        <w:rPr>
          <w:rFonts w:ascii="Arial" w:cs="Arial" w:eastAsia="Arial" w:hAnsi="Arial"/>
          <w:sz w:val="16"/>
          <w:szCs w:val="16"/>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freight rail and passenger transit.</w:t>
      </w:r>
    </w:p>
    <w:p>
      <w:pPr>
        <w:spacing w:after="0" w:line="61" w:lineRule="exact"/>
        <w:rPr>
          <w:sz w:val="20"/>
          <w:szCs w:val="20"/>
          <w:color w:val="auto"/>
        </w:rPr>
      </w:pPr>
    </w:p>
    <w:p>
      <w:pPr>
        <w:ind w:right="220" w:firstLine="472"/>
        <w:spacing w:after="0" w:line="262" w:lineRule="auto"/>
        <w:rPr>
          <w:sz w:val="20"/>
          <w:szCs w:val="20"/>
          <w:color w:val="auto"/>
        </w:rPr>
      </w:pPr>
      <w:r>
        <w:rPr>
          <w:rFonts w:ascii="Arial" w:cs="Arial" w:eastAsia="Arial" w:hAnsi="Arial"/>
          <w:sz w:val="17"/>
          <w:szCs w:val="17"/>
          <w:color w:val="auto"/>
        </w:rPr>
        <w:t>The Association of the European Rail Industry, UNIFE, advocates for and represents European train builders and rail suppliers. UNIFE publishes a biennial market study that provides an overview of the market in its current form and a forecast of its future development in different regions and market segments. According to the 2020 biennial edition of the study, the accessible global market for railway products and services is more than $120 billion and is expected to grow in the medium- and long-term at an average annual growth rate of 2.3% through 2025, despite an 8% COVID-induced decline in 2020. The 2020 study also concluded that the rail sector had grown 3.6% annually since 2017, supporting the appeal of rail transport for all sectors from urban metro to commercial freight. The three largest geographic markets, which represented about 85% of the total accessible market, were Europe, North America and Asia Pacific, all of which are projected to continue to grow.</w:t>
      </w:r>
    </w:p>
    <w:p>
      <w:pPr>
        <w:spacing w:after="0" w:line="78" w:lineRule="exact"/>
        <w:rPr>
          <w:sz w:val="20"/>
          <w:szCs w:val="20"/>
          <w:color w:val="auto"/>
        </w:rPr>
      </w:pPr>
    </w:p>
    <w:p>
      <w:pPr>
        <w:ind w:firstLine="472"/>
        <w:spacing w:after="0" w:line="302" w:lineRule="auto"/>
        <w:rPr>
          <w:sz w:val="20"/>
          <w:szCs w:val="20"/>
          <w:color w:val="auto"/>
        </w:rPr>
      </w:pPr>
      <w:r>
        <w:rPr>
          <w:rFonts w:ascii="Arial" w:cs="Arial" w:eastAsia="Arial" w:hAnsi="Arial"/>
          <w:sz w:val="15"/>
          <w:szCs w:val="15"/>
          <w:color w:val="auto"/>
        </w:rPr>
        <w:t>In Europe, only 19% of freight traffic is rail while the majority of the rail system serves the passenger transit market, which is expected to continue growing as energy and environmental policies encourage continued investment in public mass transit, and modal shift from car to rail, although this growth may be stunted in the near-term as a result of the COVID-19 pandemic. In North America, railroads carry about 40% of intercity freight, as measured by ton-miles, which is more than any other mode of transportation. North America’s rail network is regarded as the world’s most-efficient and lowest-cost freight rail service. There are more than 600 railroads operating in North America, with the largest railroads, referred to as “Class I”, accounting for more than 90% of the industry’s</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revenues. Growth in the Asia Pacific market has been driven mainly by the continued urbanization of China and India, and by continued investments in freight rail rolling stock and infrastructure in Australia to serve its mining and natural resources markets. India is making significant investments in rolling stock and infrastructure to modernize its rail system</w:t>
      </w:r>
    </w:p>
    <w:p>
      <w:pPr>
        <w:spacing w:after="0" w:line="66" w:lineRule="exact"/>
        <w:rPr>
          <w:sz w:val="20"/>
          <w:szCs w:val="20"/>
          <w:color w:val="auto"/>
        </w:rPr>
      </w:pPr>
    </w:p>
    <w:p>
      <w:pPr>
        <w:ind w:right="240" w:firstLine="472"/>
        <w:spacing w:after="0" w:line="267" w:lineRule="auto"/>
        <w:rPr>
          <w:sz w:val="20"/>
          <w:szCs w:val="20"/>
          <w:color w:val="auto"/>
        </w:rPr>
      </w:pPr>
      <w:r>
        <w:rPr>
          <w:rFonts w:ascii="Arial" w:cs="Arial" w:eastAsia="Arial" w:hAnsi="Arial"/>
          <w:sz w:val="17"/>
          <w:szCs w:val="17"/>
          <w:color w:val="auto"/>
        </w:rPr>
        <w:t>According to UNIFE, most emerging markets, including Russia-CIS (Commonwealth of Independent States) and Africa-Middle East, are expected to grow at above-average rates as global trade leads to increased freight volumes and urbanization leads to increased demand for efficient mass-transportation systems. With about 1.3 million freight cars and about 21,000 locomotives, Russia-CIS is among the largest freight rail markets in the world. The COVID-19 pandemic has impacted the expected growth in these emerging markets.</w:t>
      </w:r>
    </w:p>
    <w:p>
      <w:pPr>
        <w:spacing w:after="0" w:line="73"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As growth occurs, Wabtec expects to have additional opportunities to provide products and services in these markets. New technologies offered by Wabtec can provide solutions to improve safety, cost and reliability of rail, as well as support the modernization of the global rail fleets. In its study, UNIFE also said it expected increased investment in digitalization, automation, and predictive maintenance through artificial intelligence, all of which would improve efficiency in the global rail industry.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 and Products</w:t>
      </w:r>
    </w:p>
    <w:p>
      <w:pPr>
        <w:spacing w:after="0" w:line="125" w:lineRule="exact"/>
        <w:rPr>
          <w:sz w:val="20"/>
          <w:szCs w:val="20"/>
          <w:color w:val="auto"/>
        </w:rPr>
      </w:pPr>
    </w:p>
    <w:p>
      <w:pPr>
        <w:ind w:right="40" w:firstLine="472"/>
        <w:spacing w:after="0" w:line="277" w:lineRule="auto"/>
        <w:rPr>
          <w:sz w:val="20"/>
          <w:szCs w:val="20"/>
          <w:color w:val="auto"/>
        </w:rPr>
      </w:pPr>
      <w:r>
        <w:rPr>
          <w:rFonts w:ascii="Arial" w:cs="Arial" w:eastAsia="Arial" w:hAnsi="Arial"/>
          <w:sz w:val="16"/>
          <w:szCs w:val="16"/>
          <w:color w:val="auto"/>
        </w:rPr>
        <w:t>We provide our products and services through two principal business segments, the Freight Segment and the Transit Segment, both of which have different market characteristics and business drivers. The Freight Segment primarily manufactures and provides aftermarket parts and services for new locomotives; provides components for new and existing locomotives and freight cars; builds new commuter locomotives; supplies rail control and infrastructure products including electronics, positive train control equipment, signal design and engineering services; provides a comprehensive suite of software-enabled solutions designed to improve customer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and utilities. We are the largest global manufacturer of diesel-electric locomotives for freight railroads producing mission-critical products and solutions that help railroads reduce operating costs, decrease fuel use, minimize downtime and comply with emissions standards. As a result of the large base of approximately 23,000 locomotives currently in use, Wabtec's services product lines of rebuilding, remanufacturing, maintaining, and exchanging locomotives and components in the aftermarkets provides a significant, recurring revenue stream. In 2021, the Freight Segment accounted for approximately 67% of Wabtec’s total net sales, with approximately 57% of its net sales in the U.S. In 2021, approximately 68% of the Freight Segment’s net sales were in the aftermarket.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ind w:firstLine="472"/>
        <w:spacing w:after="0" w:line="283" w:lineRule="auto"/>
        <w:rPr>
          <w:sz w:val="20"/>
          <w:szCs w:val="20"/>
          <w:color w:val="auto"/>
        </w:rPr>
      </w:pPr>
      <w:r>
        <w:rPr>
          <w:rFonts w:ascii="Arial" w:cs="Arial" w:eastAsia="Arial" w:hAnsi="Arial"/>
          <w:sz w:val="16"/>
          <w:szCs w:val="16"/>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 Customers include public transit authorities and municipalities, leasing companies, and manufacturers of passenger transit vehicles and buses around the world. In 2021, the Transit Segment accounted for approximately 33% of our total net sales, with approximately 14% of its net sales in the U.S. Approximately half of the Transit Segment’s net sales are in the aftermarket with the remainder in the original equipment market. Geographically, Faiveley Transport significantly strengthened Wabtec’s presence in the European and Asia Pacific transit markets.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is a summary of our leading products in both aftermarket and original equipment across both of our business segments in 2021:</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Equipment:</w:t>
      </w:r>
    </w:p>
    <w:p>
      <w:pPr>
        <w:spacing w:after="0" w:line="119" w:lineRule="exact"/>
        <w:rPr>
          <w:sz w:val="20"/>
          <w:szCs w:val="20"/>
          <w:color w:val="auto"/>
        </w:rPr>
      </w:pPr>
    </w:p>
    <w:p>
      <w:pPr>
        <w:ind w:left="580" w:hanging="300"/>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Diesel-electric and battery powered locomotives for freight and transit</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Engines, electric motors and premium propulsion systems used in locomotives, mining, marine, stationary power and drilling applications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Marine and mining products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Digital &amp; Electronic Products:</w:t>
      </w:r>
    </w:p>
    <w:p>
      <w:pPr>
        <w:spacing w:after="0" w:line="119" w:lineRule="exact"/>
        <w:rPr>
          <w:sz w:val="20"/>
          <w:szCs w:val="20"/>
          <w:color w:val="auto"/>
        </w:rPr>
      </w:pPr>
    </w:p>
    <w:p>
      <w:pPr>
        <w:ind w:left="580" w:hanging="30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Positive Train Control ("PTC") equipment and electronically controlled pneumatic braking products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Railway electronics, including event recorders, monitoring equipment and end of train devices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Signal design and engineering services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Train performance such as distributed locomotive power, train 'cruise control', and train remote control</w:t>
      </w:r>
    </w:p>
    <w:p>
      <w:pPr>
        <w:spacing w:after="0" w:line="118" w:lineRule="exact"/>
        <w:rPr>
          <w:rFonts w:ascii="Arial" w:cs="Arial" w:eastAsia="Arial" w:hAnsi="Arial"/>
          <w:sz w:val="17"/>
          <w:szCs w:val="17"/>
          <w:color w:val="auto"/>
        </w:rPr>
      </w:pPr>
    </w:p>
    <w:p>
      <w:pPr>
        <w:ind w:left="600" w:right="200" w:hanging="320"/>
        <w:spacing w:after="0" w:line="289"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Transport intelligence such as Industrial/mobile Internet of Things (IoT) hardware &amp; software, edge-to-cloud, on and off-board analytics &amp; rules, and asset performance management</w:t>
      </w:r>
    </w:p>
    <w:p>
      <w:pPr>
        <w:spacing w:after="0" w:line="53" w:lineRule="exact"/>
        <w:rPr>
          <w:rFonts w:ascii="Arial" w:cs="Arial" w:eastAsia="Arial" w:hAnsi="Arial"/>
          <w:sz w:val="17"/>
          <w:szCs w:val="17"/>
          <w:color w:val="auto"/>
        </w:rPr>
      </w:pPr>
    </w:p>
    <w:p>
      <w:pPr>
        <w:ind w:left="580" w:hanging="300"/>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Transport logistics such as rail transportation management, shipper transportation management, and port visibility and optimization</w:t>
      </w:r>
    </w:p>
    <w:p>
      <w:pPr>
        <w:spacing w:after="0" w:line="118" w:lineRule="exact"/>
        <w:rPr>
          <w:rFonts w:ascii="Arial" w:cs="Arial" w:eastAsia="Arial" w:hAnsi="Arial"/>
          <w:sz w:val="17"/>
          <w:szCs w:val="17"/>
          <w:color w:val="auto"/>
        </w:rPr>
      </w:pPr>
    </w:p>
    <w:p>
      <w:pPr>
        <w:ind w:left="600" w:right="340" w:hanging="320"/>
        <w:spacing w:after="0" w:line="289"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Network optimization such as rail network scheduling, dispatch and optimization, intermodal, terminal management and optimization, and rail yard management and optimization</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Components:</w:t>
      </w:r>
    </w:p>
    <w:p>
      <w:pPr>
        <w:spacing w:after="0" w:line="119" w:lineRule="exact"/>
        <w:rPr>
          <w:sz w:val="20"/>
          <w:szCs w:val="20"/>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Freight car trucks and braking equipment and related components for Freight applications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Draft gears, couplers and slack adjusters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Air compressors and dryers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Heat exchangers and cooling products for locomotives and power generation equipment</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Track and switch products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commuter and switcher locomotives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Services:</w:t>
      </w:r>
    </w:p>
    <w:p>
      <w:pPr>
        <w:spacing w:after="0" w:line="119" w:lineRule="exact"/>
        <w:rPr>
          <w:sz w:val="20"/>
          <w:szCs w:val="20"/>
          <w:color w:val="auto"/>
        </w:rPr>
      </w:pPr>
    </w:p>
    <w:p>
      <w:pPr>
        <w:ind w:left="580" w:hanging="30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Freight locomotive overhaul, modernizations and refurbishment</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Master service agreements for locomotive and car maintenance</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Transit locomotive and car overhaul</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Unit exchange of locomotive components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Transit Products:</w:t>
      </w:r>
    </w:p>
    <w:p>
      <w:pPr>
        <w:spacing w:after="0" w:line="119" w:lineRule="exact"/>
        <w:rPr>
          <w:sz w:val="20"/>
          <w:szCs w:val="20"/>
          <w:color w:val="auto"/>
        </w:rPr>
      </w:pPr>
    </w:p>
    <w:p>
      <w:pPr>
        <w:ind w:left="580" w:hanging="300"/>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Railway braking equipment and related components for Transit applications, including high-speed passenger transit vehicles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Friction products, including brake shoes, discs and pads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Heating, ventilation and air conditioning equipment</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Doors for buses and subway cars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 w:name="page6"/>
    <w:bookmarkEnd w:id="5"/>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Platform screen doors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Pantographs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Window assemblies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Couplers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Accessibility lifts and ramps for buses and subway cars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Traction motors</w:t>
      </w:r>
    </w:p>
    <w:p>
      <w:pPr>
        <w:spacing w:after="0" w:line="119" w:lineRule="exact"/>
        <w:rPr>
          <w:sz w:val="20"/>
          <w:szCs w:val="20"/>
          <w:color w:val="auto"/>
        </w:rPr>
      </w:pPr>
    </w:p>
    <w:p>
      <w:pPr>
        <w:ind w:right="180" w:firstLine="472"/>
        <w:spacing w:after="0" w:line="267" w:lineRule="auto"/>
        <w:rPr>
          <w:sz w:val="20"/>
          <w:szCs w:val="20"/>
          <w:color w:val="auto"/>
        </w:rPr>
      </w:pPr>
      <w:r>
        <w:rPr>
          <w:rFonts w:ascii="Arial" w:cs="Arial" w:eastAsia="Arial" w:hAnsi="Arial"/>
          <w:sz w:val="17"/>
          <w:szCs w:val="17"/>
          <w:color w:val="auto"/>
        </w:rPr>
        <w:t>We have become a leader in the freight rail and passenger transit industries by capitalizing on the strength of our existing products, technological capabilities and new product innovations, and by our ability to harden products to protect them from severe conditions, including extreme temperatures and high-vibration environments. Supported by our technical staff of more than 5,700 engineers and specialists, we have extensive experience in a broad range of product lines, which enables us to provide comprehensive, systems-based solutions for our customers.</w:t>
      </w:r>
    </w:p>
    <w:p>
      <w:pPr>
        <w:spacing w:after="0" w:line="73" w:lineRule="exact"/>
        <w:rPr>
          <w:sz w:val="20"/>
          <w:szCs w:val="20"/>
          <w:color w:val="auto"/>
        </w:rPr>
      </w:pPr>
    </w:p>
    <w:p>
      <w:pPr>
        <w:ind w:right="20" w:firstLine="472"/>
        <w:spacing w:after="0" w:line="280" w:lineRule="auto"/>
        <w:rPr>
          <w:sz w:val="20"/>
          <w:szCs w:val="20"/>
          <w:color w:val="auto"/>
        </w:rPr>
      </w:pPr>
      <w:r>
        <w:rPr>
          <w:rFonts w:ascii="Arial" w:cs="Arial" w:eastAsia="Arial" w:hAnsi="Arial"/>
          <w:sz w:val="16"/>
          <w:szCs w:val="16"/>
          <w:color w:val="auto"/>
        </w:rPr>
        <w:t>We have continued to develop Energy Management Solutions for railroads to further reduce fuel consumption and emissions. These developments include the design of a battery electric locomotive that will be integrated with other diesel electric locomotives in a train. This hybrid consist, under the control of our Trip Optimizer software, will significantly reduce fuel consumption and have the ability to operate in a low emission state while in populated areas. In 2021, Wabtec and a Class I completed a three month pilot of a battery electric locomotive which reduced fuel consumption and greenhouse gas emissions by an average of 11% in a revenue service train. In recent years, we have also introduced a number of significant new products, including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Other new products include HVAC inverter integrated solutions, brake discs and brake controls, platform doors and gates and door controllers.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additional information on our business segments, see Note 19 of “Notes to Consolidated Financial Statements” included in Part IV, Item 15 of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report.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key strengths include:</w:t>
      </w:r>
    </w:p>
    <w:p>
      <w:pPr>
        <w:spacing w:after="0" w:line="113" w:lineRule="exact"/>
        <w:rPr>
          <w:sz w:val="20"/>
          <w:szCs w:val="20"/>
          <w:color w:val="auto"/>
        </w:rPr>
      </w:pPr>
    </w:p>
    <w:p>
      <w:pPr>
        <w:ind w:left="600" w:right="60" w:hanging="320"/>
        <w:spacing w:after="0" w:line="278" w:lineRule="auto"/>
        <w:tabs>
          <w:tab w:leader="none" w:pos="596"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Iconic legacy and strong reputation with a history of over 150 years of innovation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rail industry has been in operation for over 150 years and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at the forefront of shaping and transforming the rail landscape through various innovations and technologies. Dating back to 1869 and George Westinghouse’s invention of the air brake, we are an established leader in the rail industry for freight and passenger transit vehicles. For over 110 years, GE Transportation has served the worldwide rail industry, which is a critical component of the global transportation system and the global economy, with an installed base of more than 23,000 locomotives worldwide. Faiveley Transport, founded in 1919, has a long history and is a market leader for its core products, including pantographs, automatic door mechanisms and air conditioning systems. We have leveraged our leading positions by focusing on research and engineering to expand beyond pneumatic braking components to supplying integrated parts and assemblies from a full locomotive through the end of the train. We are a recognized leader in the development and production of electronic recording, measuring and communications systems, PTC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62" w:lineRule="exact"/>
        <w:rPr>
          <w:rFonts w:ascii="Arial" w:cs="Arial" w:eastAsia="Arial" w:hAnsi="Arial"/>
          <w:sz w:val="16"/>
          <w:szCs w:val="16"/>
          <w:color w:val="auto"/>
        </w:rPr>
      </w:pPr>
    </w:p>
    <w:p>
      <w:pPr>
        <w:ind w:left="600" w:hanging="320"/>
        <w:spacing w:after="0" w:line="262"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Breadth of product offering with a stable mix of original equipment market (OEM) and aftermarket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 portfolio is 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In addition, as OEMs and railroad operators attempt to modernize fleets with new products designed to improve and maintain safety and efficiency, these products must be designed to be interoperable with existing equipment. Sales of aftermarket parts and services have historically represented approximately 60% of our total net sales.</w:t>
      </w:r>
    </w:p>
    <w:p>
      <w:pPr>
        <w:spacing w:after="0" w:line="74" w:lineRule="exact"/>
        <w:rPr>
          <w:rFonts w:ascii="Arial" w:cs="Arial" w:eastAsia="Arial" w:hAnsi="Arial"/>
          <w:sz w:val="17"/>
          <w:szCs w:val="17"/>
          <w:color w:val="auto"/>
        </w:rPr>
      </w:pPr>
    </w:p>
    <w:p>
      <w:pPr>
        <w:ind w:left="600" w:right="760" w:hanging="320"/>
        <w:spacing w:after="0" w:line="296"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Leading design and engineering capabilities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a hallmark of our relationship with our customers has been our leading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practice, which has assisted in the improvement and modernization of global</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78" w:right="399" w:bottom="1440" w:gutter="0" w:footer="0" w:header="0"/>
        </w:sectPr>
      </w:pPr>
    </w:p>
    <w:bookmarkStart w:id="6" w:name="page7"/>
    <w:bookmarkEnd w:id="6"/>
    <w:p>
      <w:pPr>
        <w:ind w:left="320" w:right="120"/>
        <w:spacing w:after="0" w:line="261" w:lineRule="auto"/>
        <w:rPr>
          <w:sz w:val="20"/>
          <w:szCs w:val="20"/>
          <w:color w:val="auto"/>
        </w:rPr>
      </w:pPr>
      <w:r>
        <w:rPr>
          <w:rFonts w:ascii="Arial" w:cs="Arial" w:eastAsia="Arial" w:hAnsi="Arial"/>
          <w:sz w:val="17"/>
          <w:szCs w:val="17"/>
          <w:color w:val="auto"/>
        </w:rPr>
        <w:t>railway equipment.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The Company designs, develops and manufactures critical components and systems for the rail, mining and marine industries, which include proprietary propulsion systems, engine platforms and controls technology. These innovative and differentiated solutions serve as the building blocks for the rail, mining and marine industries, and help keep our global customers at the forefront of advancing technologies. When coupled with our advanced digital analytic capabilities, our solutions help drive increased energy management, performance and reliability to our products. To that end, we have assembled a wide range of patented products, which we believe provides us with a competitive advantage.</w:t>
      </w:r>
    </w:p>
    <w:p>
      <w:pPr>
        <w:spacing w:after="0" w:line="81" w:lineRule="exact"/>
        <w:rPr>
          <w:sz w:val="20"/>
          <w:szCs w:val="20"/>
          <w:color w:val="auto"/>
        </w:rPr>
      </w:pPr>
    </w:p>
    <w:p>
      <w:pPr>
        <w:ind w:left="320" w:right="60" w:hanging="320"/>
        <w:spacing w:after="0" w:line="301" w:lineRule="auto"/>
        <w:tabs>
          <w:tab w:leader="none" w:pos="316"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Market leader in decarbonizing the rail industry. </w:t>
      </w:r>
      <w:r>
        <w:rPr>
          <w:rFonts w:ascii="Arial" w:cs="Arial" w:eastAsia="Arial" w:hAnsi="Arial"/>
          <w:sz w:val="15"/>
          <w:szCs w:val="15"/>
          <w:color w:val="auto"/>
        </w:rPr>
        <w:t>Today, rail represents the cleanest, most energy efficient, and safest mode of moving freight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people on land. As global demands for growth increase, current trends indicate that freight and passenger rail activity will more than double by 2050, leading to an increased demand for sustainable transportation of people and goods. These converging forces highlight the critical interplay between market dynamics, the need for decarbonization and Wabtec’s business strategy. We are advancing our sustainability priorities both through our own commitments to our people, communities, and planet, as well as by innovating next generation technologies that reduce emissions, energy consumption and waste, and increase fuel efficiency for our customers through advancements in our equipment and digital solutions. We are helping our customers reduce their overall carbon footprint through the development of low-emitting locomotives like our Tier 4 and battery-electric locomotives, Trip Optimizer, Green Air and Green Friction products, and the use of alternative fuels such as biodiesel, renewable diesel, and hydrogen.</w:t>
      </w:r>
    </w:p>
    <w:p>
      <w:pPr>
        <w:spacing w:after="0" w:line="44" w:lineRule="exact"/>
        <w:rPr>
          <w:rFonts w:ascii="Arial" w:cs="Arial" w:eastAsia="Arial" w:hAnsi="Arial"/>
          <w:sz w:val="15"/>
          <w:szCs w:val="15"/>
          <w:color w:val="auto"/>
        </w:rPr>
      </w:pPr>
    </w:p>
    <w:p>
      <w:pPr>
        <w:ind w:left="320" w:hanging="320"/>
        <w:spacing w:after="0" w:line="267" w:lineRule="auto"/>
        <w:tabs>
          <w:tab w:leader="none" w:pos="316"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Driving the digital transformation of the rail industry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early investment in data analytics and software has allowed us to become a strategic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customers looking to derive new value from assets and digitally transform their operations. Through these initiatives, our digital solutions have helped to transform many distribution channels in the transportation industry including mine to ports, from shipper to receiver, from port to intermodal terminals to main line locomotives and railcars and across train yards and operation centers. The breadth of our Digital and Electronic solutions gives customers confidence in our ability to address their current and future needs.</w:t>
      </w:r>
    </w:p>
    <w:p>
      <w:pPr>
        <w:spacing w:after="0" w:line="71" w:lineRule="exact"/>
        <w:rPr>
          <w:rFonts w:ascii="Arial" w:cs="Arial" w:eastAsia="Arial" w:hAnsi="Arial"/>
          <w:sz w:val="17"/>
          <w:szCs w:val="17"/>
          <w:color w:val="auto"/>
        </w:rPr>
      </w:pPr>
    </w:p>
    <w:p>
      <w:pPr>
        <w:ind w:left="320" w:right="20" w:hanging="320"/>
        <w:spacing w:after="0" w:line="299" w:lineRule="auto"/>
        <w:tabs>
          <w:tab w:leader="none" w:pos="316"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Strategic partnerships with longstanding customers and other key stakeholders. </w:t>
      </w:r>
      <w:r>
        <w:rPr>
          <w:rFonts w:ascii="Arial" w:cs="Arial" w:eastAsia="Arial" w:hAnsi="Arial"/>
          <w:sz w:val="15"/>
          <w:szCs w:val="15"/>
          <w:color w:val="auto"/>
        </w:rPr>
        <w:t>For more than a century, rail has been a cornerstone of the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transportation system, and thus, the economy. Rail remains one of the most cost-effective, energy-efficient modes of transport, both domestically and internationally. As the largest global producer of diesel-electric locomotives, we have a significant market share both in North America and globally. We listen to our key stakeholders and focus on areas where Wabtec can enable the most meaningful impact for our customers, communities, and the world. Transformational change requires collaboration, so we are committed to accelerating progress by partnering with customers, government leaders, corporations, universities and other key stakeholders. For example, we have partnered with a customer, a leading short line and regional freight railroad, as well as a leading artificial intelligence and robotics institution to create technologies that will decarbonize freight rail transport, improve freight safety, and generate greater rail network utilization. We also have collaborated with a global transportation company focused on the development and commercialization of battery technology and hydrogen fuel cell systems for Wabtec locomotives. By working together with these partners and others, we are developing advanced solutions for the industry to realize the zero-emission rail network of the future.</w:t>
      </w:r>
    </w:p>
    <w:p>
      <w:pPr>
        <w:spacing w:after="0" w:line="51" w:lineRule="exact"/>
        <w:rPr>
          <w:rFonts w:ascii="Arial" w:cs="Arial" w:eastAsia="Arial" w:hAnsi="Arial"/>
          <w:sz w:val="15"/>
          <w:szCs w:val="15"/>
          <w:color w:val="auto"/>
        </w:rPr>
      </w:pPr>
    </w:p>
    <w:p>
      <w:pPr>
        <w:ind w:left="320" w:right="100" w:hanging="320"/>
        <w:spacing w:after="0" w:line="285" w:lineRule="auto"/>
        <w:tabs>
          <w:tab w:leader="none" w:pos="316"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 with industry regulatory requirements. </w:t>
      </w:r>
      <w:r>
        <w:rPr>
          <w:rFonts w:ascii="Arial" w:cs="Arial" w:eastAsia="Arial" w:hAnsi="Arial"/>
          <w:sz w:val="16"/>
          <w:szCs w:val="16"/>
          <w:color w:val="auto"/>
        </w:rPr>
        <w:t>The freight rail and passenger transit industries are governed by various government agencies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regulators in each country and region. These groups mandate rigorous manufacturer certification and a new product testing and approval processes that we believe are difficult for new entrants to meet cost-effectively and efficiently without the scale and extensive experience we possess. Certification processes are lengthy, and often require local presence and expertise. In addition, each transit agency places a high degree of importance on vehicle customization, which requires experience and technical expertise to meet ever-evolving specifications.</w:t>
      </w:r>
    </w:p>
    <w:p>
      <w:pPr>
        <w:spacing w:after="0" w:line="60" w:lineRule="exact"/>
        <w:rPr>
          <w:rFonts w:ascii="Arial" w:cs="Arial" w:eastAsia="Arial" w:hAnsi="Arial"/>
          <w:sz w:val="16"/>
          <w:szCs w:val="16"/>
          <w:color w:val="auto"/>
        </w:rPr>
      </w:pPr>
    </w:p>
    <w:p>
      <w:pPr>
        <w:ind w:left="320" w:right="60" w:hanging="320"/>
        <w:spacing w:after="0" w:line="262" w:lineRule="auto"/>
        <w:tabs>
          <w:tab w:leader="none" w:pos="316"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Streamlined cost structure and operational excellence provide operating leverage and support Wabtec’s growth. </w:t>
      </w:r>
      <w:r>
        <w:rPr>
          <w:rFonts w:ascii="Arial" w:cs="Arial" w:eastAsia="Arial" w:hAnsi="Arial"/>
          <w:sz w:val="17"/>
          <w:szCs w:val="17"/>
          <w:color w:val="auto"/>
        </w:rPr>
        <w:t>Wabtec’s lean manufacturing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improvement initiatives have been a part of the Company’s culture for more than 25 years and have enabled Wabtec to manage successfully through cycles in the rail supply market. We are continuing to expand our Operating Excellence focus in driving productivity and delighting customers. Our Operating Excellence Program leverages the breadth and depth of our One Wabtec expertise across the organization in sharing of best practices, instilling a culture of learning, problem solving, continuous improvement, and driving standard operating practices. This, coupled with our overall manufacturing and supply base footprint optimization initiatives, will drive increased flexibility and improved responsiveness to our customer needs while driving margin improvement through productivity.</w:t>
      </w:r>
    </w:p>
    <w:p>
      <w:pPr>
        <w:spacing w:after="0" w:line="200" w:lineRule="exact"/>
        <w:rPr>
          <w:sz w:val="20"/>
          <w:szCs w:val="20"/>
          <w:color w:val="auto"/>
        </w:rPr>
      </w:pPr>
    </w:p>
    <w:p>
      <w:pPr>
        <w:spacing w:after="0" w:line="31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600" w:top="9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Business Strategy</w:t>
      </w:r>
    </w:p>
    <w:p>
      <w:pPr>
        <w:spacing w:after="0" w:line="125" w:lineRule="exact"/>
        <w:rPr>
          <w:sz w:val="20"/>
          <w:szCs w:val="20"/>
          <w:color w:val="auto"/>
        </w:rPr>
      </w:pPr>
    </w:p>
    <w:p>
      <w:pPr>
        <w:ind w:firstLine="472"/>
        <w:spacing w:after="0" w:line="305" w:lineRule="auto"/>
        <w:rPr>
          <w:sz w:val="20"/>
          <w:szCs w:val="20"/>
          <w:color w:val="auto"/>
        </w:rPr>
      </w:pPr>
      <w:r>
        <w:rPr>
          <w:rFonts w:ascii="Arial" w:cs="Arial" w:eastAsia="Arial" w:hAnsi="Arial"/>
          <w:sz w:val="15"/>
          <w:szCs w:val="15"/>
          <w:color w:val="auto"/>
        </w:rPr>
        <w:t>We strive to generate sufficient cash to invest in our growth strategies and to build on what we consider to be a leading position as a low-cost producer in the industry while maintaining world-class product quality,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Company, while benchmarking against best-in-class competitors and peers. Over time, we expect to continue to increase operating margins, improve cash flow and strengthen our ability to invest in the following growth strategies:</w:t>
      </w:r>
    </w:p>
    <w:p>
      <w:pPr>
        <w:spacing w:after="0" w:line="159" w:lineRule="exact"/>
        <w:rPr>
          <w:sz w:val="20"/>
          <w:szCs w:val="20"/>
          <w:color w:val="auto"/>
        </w:rPr>
      </w:pPr>
    </w:p>
    <w:p>
      <w:pPr>
        <w:ind w:left="600" w:right="20" w:hanging="320"/>
        <w:spacing w:after="0" w:line="245" w:lineRule="auto"/>
        <w:tabs>
          <w:tab w:leader="none" w:pos="596"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Accelerate innovation of scalable technologies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emphasize innovation and development funding to create new products and capabilities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increase customer productivity, efficiency, capacity, utilization and safety, such as the battery electric locomotive, vehicle monitoring and data analytics. We will continue to lead the way with technologies that use less energy, reduce weight and size, and increase recyclability. We plan to invest in bringing new technologies to market for our customers. A significant portion of our investment will be focused on three customer-centric areas of innovation: zero-emissions operations, automation and digitization and advanced supply chain visibility. These investments will position our customers for success and make these technologies the standard going forward. We have a multi-year initiative to build on our existing expertise and technologies in the digital and electronics areas. In addition, we invest in developing enhancements and new features to existing products, such as brake discs and heat exchangers. We are focusing on technological advances, especially in the areas of electronics, battery power and alternative fuels, braking products and other on-board equipment, as a means to deliver new product growth. We seek to provide customers with incremental technological advances that offer immediate benefits with cost-effective investments.</w:t>
      </w:r>
    </w:p>
    <w:p>
      <w:pPr>
        <w:spacing w:after="0" w:line="197" w:lineRule="exact"/>
        <w:rPr>
          <w:rFonts w:ascii="Arial" w:cs="Arial" w:eastAsia="Arial" w:hAnsi="Arial"/>
          <w:sz w:val="16"/>
          <w:szCs w:val="16"/>
          <w:color w:val="auto"/>
        </w:rPr>
      </w:pPr>
    </w:p>
    <w:p>
      <w:pPr>
        <w:ind w:left="600" w:right="20" w:hanging="320"/>
        <w:spacing w:after="0" w:line="229" w:lineRule="auto"/>
        <w:tabs>
          <w:tab w:leader="none" w:pos="596"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Grow and refresh expansive installed base. </w:t>
      </w:r>
      <w:r>
        <w:rPr>
          <w:rFonts w:ascii="Arial" w:cs="Arial" w:eastAsia="Arial" w:hAnsi="Arial"/>
          <w:sz w:val="17"/>
          <w:szCs w:val="17"/>
          <w:color w:val="auto"/>
        </w:rPr>
        <w:t>We are a leading transportation and component manufacturer with a significant installed base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expansive product and service capabilities. We have over 23,000 locomotives in service, the majority of which are equipped with Digital technologies, like Positive Train Control. We have components on rail cars in over 100 countries and over 45,000 railway vehicles equipped with Wabtec braking systems. We intend to increase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We believe that international markets represent a significant opportunity for future growth. In Transit, we are focused on mature markets such as Europe and emerging markets such as India. In Freight, we are targeting markets that operate significant fleets of U.S.-style locomotives and freight cars, including Australia, Brazil, China, Egypt, India, Russia, South Africa and other select areas within Europe and South America. In addition, we have opportunities to increase the sale of certain products that we currently manufacture for the rail industry into other industrial markets, such as mining, off-highway and energy.</w:t>
      </w:r>
    </w:p>
    <w:p>
      <w:pPr>
        <w:spacing w:after="0" w:line="204" w:lineRule="exact"/>
        <w:rPr>
          <w:rFonts w:ascii="Arial" w:cs="Arial" w:eastAsia="Arial" w:hAnsi="Arial"/>
          <w:sz w:val="17"/>
          <w:szCs w:val="17"/>
          <w:b w:val="1"/>
          <w:bCs w:val="1"/>
          <w:i w:val="1"/>
          <w:iCs w:val="1"/>
          <w:color w:val="auto"/>
        </w:rPr>
      </w:pPr>
    </w:p>
    <w:p>
      <w:pPr>
        <w:ind w:left="600" w:hanging="320"/>
        <w:spacing w:after="0" w:line="253" w:lineRule="auto"/>
        <w:tabs>
          <w:tab w:leader="none" w:pos="596"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Lead the decarbonization of rail. </w:t>
      </w:r>
      <w:r>
        <w:rPr>
          <w:rFonts w:ascii="Arial" w:cs="Arial" w:eastAsia="Arial" w:hAnsi="Arial"/>
          <w:sz w:val="16"/>
          <w:szCs w:val="16"/>
          <w:color w:val="auto"/>
        </w:rPr>
        <w:t>We have taken significant steps to decarbonize global transport and make our world safer, smarter and greener. Today,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rail represents the cleanest, most energy efficient and safest mode of moving freight and people on land. As global demands for growth increase, current trends indicate that freight and passenger rail activity will more than double by 2050, leading to an increased demand for sustainable transportation of people and goods. These converging forces highlight the critical interplay between market dynamics, the need for decarbonization and Wabtec’s business strategy. Wabtec is leading the transition to a more utilized, efficient, and low-carbon rail network. Alternative clean energy technologies are critical in the fight against climate change and reducing greenhouse gas emissions. We are helping our customers reduce their overall carbon footprint through the development of low-emitting locomotives like our Tier 4 and battery-electric locomotives, Trip Optimizer, Green Air and Green Friction products, and the use of alternative fuels such as biodiesel, renewable diesel, and hydrogen.</w:t>
      </w:r>
    </w:p>
    <w:p>
      <w:pPr>
        <w:spacing w:after="0" w:line="190" w:lineRule="exact"/>
        <w:rPr>
          <w:rFonts w:ascii="Arial" w:cs="Arial" w:eastAsia="Arial" w:hAnsi="Arial"/>
          <w:sz w:val="16"/>
          <w:szCs w:val="16"/>
          <w:b w:val="1"/>
          <w:bCs w:val="1"/>
          <w:i w:val="1"/>
          <w:iCs w:val="1"/>
          <w:color w:val="auto"/>
        </w:rPr>
      </w:pPr>
    </w:p>
    <w:p>
      <w:pPr>
        <w:ind w:left="600" w:right="20" w:hanging="320"/>
        <w:spacing w:after="0" w:line="247" w:lineRule="auto"/>
        <w:tabs>
          <w:tab w:leader="none" w:pos="596"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high-margin recurring revenue streams. </w:t>
      </w:r>
      <w:r>
        <w:rPr>
          <w:rFonts w:ascii="Arial" w:cs="Arial" w:eastAsia="Arial" w:hAnsi="Arial"/>
          <w:sz w:val="16"/>
          <w:szCs w:val="16"/>
          <w:color w:val="auto"/>
        </w:rPr>
        <w:t>Our expansive installed base allows us to generate strong recurring revenues with replacement parts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components, digital solutions, overhauls and modernizations. Aftermarket sales are typically done at higher margins and are less cyclical than OEM sales because a certain level of aftermarket maintenance and service work must be performed, even during an industry slowdown. Sales of aftermarket parts and services have historically represented approximately 60% of total net sales. As a long time supplier of original equipment, we have an extensive installed base of equipment in the field and growing this installed base further will expand our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187" w:lineRule="exact"/>
        <w:rPr>
          <w:rFonts w:ascii="Arial" w:cs="Arial" w:eastAsia="Arial" w:hAnsi="Arial"/>
          <w:sz w:val="16"/>
          <w:szCs w:val="16"/>
          <w:color w:val="auto"/>
        </w:rPr>
      </w:pPr>
    </w:p>
    <w:p>
      <w:pPr>
        <w:ind w:left="600" w:right="80" w:hanging="320"/>
        <w:spacing w:after="0" w:line="244"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Drive continuous operational improvement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focused on continuous improvement to drive cost competitiveness, effectively deploy capital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accelerate Lean. Lean is a set of principles that emphasize customer focus, elimination of waste, high quality growth and ruthless prioritization of work to improve safety, quality, delivery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 w:name="page9"/>
    <w:bookmarkEnd w:id="8"/>
    <w:p>
      <w:pPr>
        <w:ind w:left="600" w:right="20"/>
        <w:spacing w:after="0" w:line="236" w:lineRule="auto"/>
        <w:rPr>
          <w:sz w:val="20"/>
          <w:szCs w:val="20"/>
          <w:color w:val="auto"/>
        </w:rPr>
      </w:pPr>
      <w:r>
        <w:rPr>
          <w:rFonts w:ascii="Arial" w:cs="Arial" w:eastAsia="Arial" w:hAnsi="Arial"/>
          <w:sz w:val="17"/>
          <w:szCs w:val="17"/>
          <w:color w:val="auto"/>
        </w:rPr>
        <w:t>and cost. Lean is being embedded in our culture and is fundamental to how we execute our strategy. We are using Lean principles to help examine processes and continuously improve them by solving problems at their root cause. Our Lean transformation model focuses on driving process improvements and management systems to maximize the flow of value produced for the customer, remove waste, empower employees and optimize the enterprise. These principles are also rigorously applied to sustainability and safety.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Acquisitions and Joint Ventures</w:t>
      </w:r>
    </w:p>
    <w:p>
      <w:pPr>
        <w:spacing w:after="0" w:line="125" w:lineRule="exact"/>
        <w:rPr>
          <w:sz w:val="20"/>
          <w:szCs w:val="20"/>
          <w:color w:val="auto"/>
        </w:rPr>
      </w:pPr>
    </w:p>
    <w:p>
      <w:pPr>
        <w:ind w:right="580" w:firstLine="472"/>
        <w:spacing w:after="0" w:line="289" w:lineRule="auto"/>
        <w:rPr>
          <w:sz w:val="20"/>
          <w:szCs w:val="20"/>
          <w:color w:val="auto"/>
        </w:rPr>
      </w:pPr>
      <w:r>
        <w:rPr>
          <w:rFonts w:ascii="Arial" w:cs="Arial" w:eastAsia="Arial" w:hAnsi="Arial"/>
          <w:sz w:val="17"/>
          <w:szCs w:val="17"/>
          <w:color w:val="auto"/>
        </w:rPr>
        <w:t>See Note 3 of the Notes to Consolidated Financial Statements included in Part IV, Item 5 of this report for additional information about our recent acquisitions and joint ventures.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25" w:lineRule="exact"/>
        <w:rPr>
          <w:sz w:val="20"/>
          <w:szCs w:val="20"/>
          <w:color w:val="auto"/>
        </w:rPr>
      </w:pPr>
    </w:p>
    <w:p>
      <w:pPr>
        <w:ind w:right="300" w:firstLine="472"/>
        <w:spacing w:after="0" w:line="289" w:lineRule="auto"/>
        <w:rPr>
          <w:sz w:val="20"/>
          <w:szCs w:val="20"/>
          <w:color w:val="auto"/>
        </w:rPr>
      </w:pPr>
      <w:r>
        <w:rPr>
          <w:rFonts w:ascii="Arial" w:cs="Arial" w:eastAsia="Arial" w:hAnsi="Arial"/>
          <w:sz w:val="17"/>
          <w:szCs w:val="17"/>
          <w:color w:val="auto"/>
        </w:rPr>
        <w:t>The Company’s backlog was approximately $22 billion at December 31, 2021. For 2021, approximately 60% of total net sales came from aftermarket orders, which typically carry lead times of less than 30 days and are not included in backlog for a significant period of time.</w:t>
      </w:r>
    </w:p>
    <w:p>
      <w:pPr>
        <w:spacing w:after="0" w:line="53" w:lineRule="exact"/>
        <w:rPr>
          <w:sz w:val="20"/>
          <w:szCs w:val="20"/>
          <w:color w:val="auto"/>
        </w:rPr>
      </w:pPr>
    </w:p>
    <w:p>
      <w:pPr>
        <w:ind w:right="240" w:firstLine="472"/>
        <w:spacing w:after="0" w:line="265" w:lineRule="auto"/>
        <w:rPr>
          <w:sz w:val="20"/>
          <w:szCs w:val="20"/>
          <w:color w:val="auto"/>
        </w:rPr>
      </w:pPr>
      <w:r>
        <w:rPr>
          <w:rFonts w:ascii="Arial" w:cs="Arial" w:eastAsia="Arial" w:hAnsi="Arial"/>
          <w:sz w:val="17"/>
          <w:szCs w:val="17"/>
          <w:color w:val="auto"/>
        </w:rPr>
        <w:t>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rollforward of the Company's backlog of firm customer orders and the expected year of completion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4580" w:type="dxa"/>
            <w:vAlign w:val="bottom"/>
            <w:gridSpan w:val="2"/>
          </w:tcPr>
          <w:p>
            <w:pPr>
              <w:ind w:left="40"/>
              <w:spacing w:after="0"/>
              <w:rPr>
                <w:sz w:val="20"/>
                <w:szCs w:val="20"/>
                <w:color w:val="auto"/>
              </w:rPr>
            </w:pPr>
            <w:r>
              <w:rPr>
                <w:rFonts w:ascii="Arial" w:cs="Arial" w:eastAsia="Arial" w:hAnsi="Arial"/>
                <w:sz w:val="17"/>
                <w:szCs w:val="17"/>
                <w:b w:val="1"/>
                <w:bCs w:val="1"/>
                <w:i w:val="1"/>
                <w:iCs w:val="1"/>
                <w:color w:val="auto"/>
              </w:rPr>
              <w:t>In millions</w:t>
            </w:r>
          </w:p>
        </w:tc>
        <w:tc>
          <w:tcPr>
            <w:tcW w:w="6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7"/>
                <w:szCs w:val="17"/>
                <w:b w:val="1"/>
                <w:bCs w:val="1"/>
                <w:color w:val="auto"/>
              </w:rPr>
              <w:t>Freight Segment</w:t>
            </w:r>
          </w:p>
        </w:tc>
        <w:tc>
          <w:tcPr>
            <w:tcW w:w="6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7"/>
                <w:szCs w:val="17"/>
                <w:b w:val="1"/>
                <w:bCs w:val="1"/>
                <w:color w:val="auto"/>
              </w:rPr>
              <w:t>Transit Segment</w:t>
            </w:r>
          </w:p>
        </w:tc>
        <w:tc>
          <w:tcPr>
            <w:tcW w:w="66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7"/>
                <w:szCs w:val="17"/>
                <w:b w:val="1"/>
                <w:bCs w:val="1"/>
                <w:color w:val="auto"/>
                <w:w w:val="96"/>
              </w:rPr>
              <w:t>Consolidated</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Balance at 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21,591</w:t>
            </w:r>
          </w:p>
        </w:tc>
      </w:tr>
      <w:tr>
        <w:trPr>
          <w:trHeight w:val="222"/>
        </w:trPr>
        <w:tc>
          <w:tcPr>
            <w:tcW w:w="50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7"/>
                <w:szCs w:val="17"/>
                <w:color w:val="auto"/>
              </w:rPr>
              <w:t>New orders</w:t>
            </w: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5,964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2,763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8,727</w:t>
            </w:r>
          </w:p>
        </w:tc>
      </w:tr>
      <w:tr>
        <w:trPr>
          <w:trHeight w:val="223"/>
        </w:trPr>
        <w:tc>
          <w:tcPr>
            <w:tcW w:w="50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Net sales</w:t>
            </w: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(7,822)</w:t>
            </w:r>
          </w:p>
        </w:tc>
      </w:tr>
      <w:tr>
        <w:trPr>
          <w:trHeight w:val="222"/>
        </w:trPr>
        <w:tc>
          <w:tcPr>
            <w:tcW w:w="50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Adjustments / foreign exchange</w:t>
            </w: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41"/>
        </w:trPr>
        <w:tc>
          <w:tcPr>
            <w:tcW w:w="5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at December 31, 2021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18,502</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22,169</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50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Expected Delivery</w:t>
            </w: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2"/>
        </w:trPr>
        <w:tc>
          <w:tcPr>
            <w:tcW w:w="1320" w:type="dxa"/>
            <w:vAlign w:val="bottom"/>
            <w:gridSpan w:val="2"/>
          </w:tcPr>
          <w:p>
            <w:pPr>
              <w:jc w:val="right"/>
              <w:ind w:right="393"/>
              <w:spacing w:after="0"/>
              <w:rPr>
                <w:sz w:val="20"/>
                <w:szCs w:val="20"/>
                <w:color w:val="auto"/>
              </w:rPr>
            </w:pPr>
            <w:r>
              <w:rPr>
                <w:rFonts w:ascii="Arial" w:cs="Arial" w:eastAsia="Arial" w:hAnsi="Arial"/>
                <w:sz w:val="17"/>
                <w:szCs w:val="17"/>
                <w:color w:val="auto"/>
              </w:rPr>
              <w:t>2022</w:t>
            </w:r>
          </w:p>
        </w:tc>
        <w:tc>
          <w:tcPr>
            <w:tcW w:w="3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4,520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1,748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6,268</w:t>
            </w:r>
          </w:p>
        </w:tc>
      </w:tr>
      <w:tr>
        <w:trPr>
          <w:trHeight w:val="223"/>
        </w:trPr>
        <w:tc>
          <w:tcPr>
            <w:tcW w:w="50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 years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15,901</w:t>
            </w:r>
          </w:p>
        </w:tc>
      </w:tr>
    </w:tbl>
    <w:p>
      <w:pPr>
        <w:spacing w:after="0" w:line="236"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color w:val="auto"/>
        </w:rPr>
        <w:t>The Company saw no significant cancellations of backlog during the year ended December 31, 2021 despite the unprecedented pandemic caused by COVID-19 and its effects on locomotive parkings, carbuilds, and transit ridership levels. However, the economic slowdown and disruptions that were caused by COVID-19 did impact the timing of some orders in backlog as in certain cases the delivery of goods and services previously expected to be completed in the current year has been pushed out to future years.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Engineering and Development</w:t>
      </w:r>
    </w:p>
    <w:p>
      <w:pPr>
        <w:spacing w:after="0" w:line="125" w:lineRule="exact"/>
        <w:rPr>
          <w:sz w:val="20"/>
          <w:szCs w:val="20"/>
          <w:color w:val="auto"/>
        </w:rPr>
      </w:pPr>
    </w:p>
    <w:p>
      <w:pPr>
        <w:ind w:right="80" w:firstLine="472"/>
        <w:spacing w:after="0" w:line="289" w:lineRule="auto"/>
        <w:rPr>
          <w:sz w:val="20"/>
          <w:szCs w:val="20"/>
          <w:color w:val="auto"/>
        </w:rPr>
      </w:pPr>
      <w:r>
        <w:rPr>
          <w:rFonts w:ascii="Arial" w:cs="Arial" w:eastAsia="Arial" w:hAnsi="Arial"/>
          <w:sz w:val="16"/>
          <w:szCs w:val="16"/>
          <w:color w:val="auto"/>
        </w:rPr>
        <w:t>To execute our strategy to develop new products, we invest in a variety of engineering and development activities. For the fiscal years ended December 31, 2021, 2020 and 2019, we invested $176 million, $162 million and $210 million, respectively, on product development and improvement activities. Significant incremental engineering expense is incurred with the execution of original equipment customer contracts. Across the corporation we have established multiple Centers of Competence, which have specialized, technical expertise in various disciplines and product areas.</w:t>
      </w:r>
    </w:p>
    <w:p>
      <w:pPr>
        <w:spacing w:after="0" w:line="57"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Our engineering and development program includes investments in data analytics, train control and other new technologies, with an emphasis on developing products that enhance safety, productivity and efficiency for our customers. For example, we have developed advanced cooling systems that enable lower emissions from diesel engines used in rail and other industrial markets. Sometimes we conduct specific research projects in conjunction with universities, customers and other industry suppliers.</w:t>
      </w:r>
    </w:p>
    <w:p>
      <w:pPr>
        <w:spacing w:after="0" w:line="73" w:lineRule="exact"/>
        <w:rPr>
          <w:sz w:val="20"/>
          <w:szCs w:val="20"/>
          <w:color w:val="auto"/>
        </w:rPr>
      </w:pPr>
    </w:p>
    <w:p>
      <w:pPr>
        <w:jc w:val="both"/>
        <w:ind w:right="240" w:firstLine="472"/>
        <w:spacing w:after="0" w:line="273" w:lineRule="auto"/>
        <w:rPr>
          <w:sz w:val="20"/>
          <w:szCs w:val="20"/>
          <w:color w:val="auto"/>
        </w:rPr>
      </w:pPr>
      <w:r>
        <w:rPr>
          <w:rFonts w:ascii="Arial" w:cs="Arial" w:eastAsia="Arial" w:hAnsi="Arial"/>
          <w:sz w:val="17"/>
          <w:szCs w:val="17"/>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ind w:right="100" w:firstLine="472"/>
        <w:spacing w:after="0" w:line="267" w:lineRule="auto"/>
        <w:rPr>
          <w:sz w:val="20"/>
          <w:szCs w:val="20"/>
          <w:color w:val="auto"/>
        </w:rPr>
      </w:pPr>
      <w:r>
        <w:rPr>
          <w:rFonts w:ascii="Arial" w:cs="Arial" w:eastAsia="Arial" w:hAnsi="Arial"/>
          <w:sz w:val="17"/>
          <w:szCs w:val="17"/>
          <w:color w:val="auto"/>
        </w:rPr>
        <w:t>We have approximately 6,000 active patents worldwide and on average file for approximately 300 new patents each year. We also rely on a combination of trade secrets and other intellectual property laws, nondisclosure agreements and other protective measures to establish and protect our proprietary rights in our intellectual property. We also follow the product development practices of our competitors to monitor any possible patent infringement by them, and to evaluate their strategies and plans.</w:t>
      </w:r>
    </w:p>
    <w:p>
      <w:pPr>
        <w:spacing w:after="0" w:line="73" w:lineRule="exact"/>
        <w:rPr>
          <w:sz w:val="20"/>
          <w:szCs w:val="20"/>
          <w:color w:val="auto"/>
        </w:rPr>
      </w:pPr>
    </w:p>
    <w:p>
      <w:pPr>
        <w:jc w:val="both"/>
        <w:ind w:right="40" w:firstLine="472"/>
        <w:spacing w:after="0" w:line="273" w:lineRule="auto"/>
        <w:rPr>
          <w:sz w:val="20"/>
          <w:szCs w:val="20"/>
          <w:color w:val="auto"/>
        </w:rPr>
      </w:pPr>
      <w:r>
        <w:rPr>
          <w:rFonts w:ascii="Arial" w:cs="Arial" w:eastAsia="Arial" w:hAnsi="Arial"/>
          <w:sz w:val="17"/>
          <w:szCs w:val="17"/>
          <w:color w:val="auto"/>
        </w:rPr>
        <w:t>Certain trademarks, among them the name WABCO</w:t>
      </w:r>
      <w:r>
        <w:rPr>
          <w:rFonts w:ascii="Arial" w:cs="Arial" w:eastAsia="Arial" w:hAnsi="Arial"/>
          <w:sz w:val="15"/>
          <w:szCs w:val="15"/>
          <w:color w:val="auto"/>
        </w:rPr>
        <w:t>®</w:t>
      </w:r>
      <w:r>
        <w:rPr>
          <w:rFonts w:ascii="Arial" w:cs="Arial" w:eastAsia="Arial" w:hAnsi="Arial"/>
          <w:sz w:val="17"/>
          <w:szCs w:val="17"/>
          <w:color w:val="auto"/>
        </w:rPr>
        <w:t>, were acquired or licensed from American Standard Inc., now known as Trane, in 1990 at the time of our acquisition of the North American operations of the Railway Products Group of Trane. Other trademarks have been developed through the normal course of business or acquired as a part of our ongoing merger and acquisition program.</w:t>
      </w:r>
    </w:p>
    <w:p>
      <w:pPr>
        <w:spacing w:after="0" w:line="66" w:lineRule="exact"/>
        <w:rPr>
          <w:sz w:val="20"/>
          <w:szCs w:val="20"/>
          <w:color w:val="auto"/>
        </w:rPr>
      </w:pPr>
    </w:p>
    <w:p>
      <w:pPr>
        <w:ind w:right="700" w:firstLine="472"/>
        <w:spacing w:after="0" w:line="289" w:lineRule="auto"/>
        <w:rPr>
          <w:sz w:val="20"/>
          <w:szCs w:val="20"/>
          <w:color w:val="auto"/>
        </w:rPr>
      </w:pPr>
      <w:r>
        <w:rPr>
          <w:rFonts w:ascii="Arial" w:cs="Arial" w:eastAsia="Arial" w:hAnsi="Arial"/>
          <w:sz w:val="17"/>
          <w:szCs w:val="17"/>
          <w:color w:val="auto"/>
        </w:rPr>
        <w:t>We have entered into a variety of license agreements as licensor and licensee. We do not believe that any single license agreement is of material importance to our business or either of our business segments as a whole.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25" w:lineRule="exact"/>
        <w:rPr>
          <w:sz w:val="20"/>
          <w:szCs w:val="20"/>
          <w:color w:val="auto"/>
        </w:rPr>
      </w:pPr>
    </w:p>
    <w:p>
      <w:pPr>
        <w:ind w:right="20" w:firstLine="472"/>
        <w:spacing w:after="0" w:line="273" w:lineRule="auto"/>
        <w:rPr>
          <w:sz w:val="20"/>
          <w:szCs w:val="20"/>
          <w:color w:val="auto"/>
        </w:rPr>
      </w:pPr>
      <w:r>
        <w:rPr>
          <w:rFonts w:ascii="Arial" w:cs="Arial" w:eastAsia="Arial" w:hAnsi="Arial"/>
          <w:sz w:val="17"/>
          <w:szCs w:val="17"/>
          <w:color w:val="auto"/>
        </w:rPr>
        <w:t>We provide products and services for more than 500 customers worldwide. Our customers include passenger transit authorities and railroads throughout North America, Europe, Asia Pacific, Africa and South America; manufacturers of transportation equipment, such as locomotives, freight cars, passenger transit vehicles and buses; and companies that own, lease, and maintain such equipment.</w:t>
      </w:r>
    </w:p>
    <w:p>
      <w:pPr>
        <w:spacing w:after="0" w:line="66" w:lineRule="exact"/>
        <w:rPr>
          <w:sz w:val="20"/>
          <w:szCs w:val="20"/>
          <w:color w:val="auto"/>
        </w:rPr>
      </w:pPr>
    </w:p>
    <w:p>
      <w:pPr>
        <w:ind w:right="180" w:firstLine="472"/>
        <w:spacing w:after="0" w:line="359" w:lineRule="auto"/>
        <w:rPr>
          <w:sz w:val="20"/>
          <w:szCs w:val="20"/>
          <w:color w:val="auto"/>
        </w:rPr>
      </w:pPr>
      <w:r>
        <w:rPr>
          <w:rFonts w:ascii="Arial" w:cs="Arial" w:eastAsia="Arial" w:hAnsi="Arial"/>
          <w:sz w:val="15"/>
          <w:szCs w:val="15"/>
          <w:color w:val="auto"/>
        </w:rPr>
        <w:t>Top customers can change from year to year. For the fiscal year ended December 31, 2021, our top five customers accounted for approximately 28% of net sales. No one customer represents 10% or more of consolidated net sales. We believe that we have strong relationships with all of our key customers.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ind w:right="40" w:firstLine="472"/>
        <w:spacing w:after="0" w:line="297" w:lineRule="auto"/>
        <w:rPr>
          <w:sz w:val="20"/>
          <w:szCs w:val="20"/>
          <w:color w:val="auto"/>
        </w:rPr>
      </w:pPr>
      <w:r>
        <w:rPr>
          <w:rFonts w:ascii="Arial" w:cs="Arial" w:eastAsia="Arial" w:hAnsi="Arial"/>
          <w:sz w:val="16"/>
          <w:szCs w:val="16"/>
          <w:color w:val="auto"/>
        </w:rPr>
        <w:t>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50" w:lineRule="exact"/>
        <w:rPr>
          <w:sz w:val="20"/>
          <w:szCs w:val="20"/>
          <w:color w:val="auto"/>
        </w:rPr>
      </w:pPr>
    </w:p>
    <w:p>
      <w:pPr>
        <w:ind w:firstLine="472"/>
        <w:spacing w:after="0" w:line="279" w:lineRule="auto"/>
        <w:rPr>
          <w:sz w:val="20"/>
          <w:szCs w:val="20"/>
          <w:color w:val="auto"/>
        </w:rPr>
      </w:pPr>
      <w:r>
        <w:rPr>
          <w:rFonts w:ascii="Arial" w:cs="Arial" w:eastAsia="Arial" w:hAnsi="Arial"/>
          <w:sz w:val="16"/>
          <w:szCs w:val="16"/>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competition for locomotive, freight and passenger transit service and repair is mostly from the railroads’ and passenger transit authorities’ in-house operations, Electro-Motive Diesel, a division of Caterpillar, and Knorr. We believe our key strengths, which include leading market positions in core products, including sustainable technologies, breadth of product offering with a stable mix of OEM and aftermarket business, leading design and engineering capabilities, significant barriers to entry, strategic partnerships and operational excellence, coupled with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Sustainability</w:t>
      </w:r>
    </w:p>
    <w:p>
      <w:pPr>
        <w:spacing w:after="0" w:line="125" w:lineRule="exact"/>
        <w:rPr>
          <w:sz w:val="20"/>
          <w:szCs w:val="20"/>
          <w:color w:val="auto"/>
        </w:rPr>
      </w:pPr>
    </w:p>
    <w:p>
      <w:pPr>
        <w:jc w:val="both"/>
        <w:ind w:right="400" w:firstLine="472"/>
        <w:spacing w:after="0" w:line="267" w:lineRule="auto"/>
        <w:rPr>
          <w:sz w:val="20"/>
          <w:szCs w:val="20"/>
          <w:color w:val="auto"/>
        </w:rPr>
      </w:pPr>
      <w:r>
        <w:rPr>
          <w:rFonts w:ascii="Arial" w:cs="Arial" w:eastAsia="Arial" w:hAnsi="Arial"/>
          <w:sz w:val="17"/>
          <w:szCs w:val="17"/>
          <w:color w:val="auto"/>
        </w:rPr>
        <w:t>Wabtec is committed to sustainable value creation. Our sustainability strategy is to contribute to a better, more sustainable world through our unique business offerings, leading technologies and sustainable business practices. Our strategy helps us capitalize on market opportunities and reduce safety and environmental risks, while creating value for our customers, employees and other stakeholders. Wabtec utilizes three Strategic Sustainability Principles to execute our sustainability strategy:</w:t>
      </w:r>
    </w:p>
    <w:p>
      <w:pPr>
        <w:spacing w:after="0" w:line="73" w:lineRule="exact"/>
        <w:rPr>
          <w:sz w:val="20"/>
          <w:szCs w:val="20"/>
          <w:color w:val="auto"/>
        </w:rPr>
      </w:pPr>
    </w:p>
    <w:p>
      <w:pPr>
        <w:ind w:left="580" w:hanging="300"/>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Innovating with Purpose. </w:t>
      </w:r>
      <w:r>
        <w:rPr>
          <w:rFonts w:ascii="Arial" w:cs="Arial" w:eastAsia="Arial" w:hAnsi="Arial"/>
          <w:sz w:val="17"/>
          <w:szCs w:val="17"/>
          <w:color w:val="auto"/>
        </w:rPr>
        <w:t>We are committed to developing responsible and sustainable products that minimize the impact on the planet.</w:t>
      </w:r>
    </w:p>
    <w:p>
      <w:pPr>
        <w:spacing w:after="0" w:line="118" w:lineRule="exact"/>
        <w:rPr>
          <w:rFonts w:ascii="Arial" w:cs="Arial" w:eastAsia="Arial" w:hAnsi="Arial"/>
          <w:sz w:val="17"/>
          <w:szCs w:val="17"/>
          <w:color w:val="auto"/>
        </w:rPr>
      </w:pPr>
    </w:p>
    <w:p>
      <w:pPr>
        <w:ind w:left="600" w:right="460" w:hanging="320"/>
        <w:spacing w:after="0" w:line="289"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Driving Responsible Operations. </w:t>
      </w:r>
      <w:r>
        <w:rPr>
          <w:rFonts w:ascii="Arial" w:cs="Arial" w:eastAsia="Arial" w:hAnsi="Arial"/>
          <w:sz w:val="17"/>
          <w:szCs w:val="17"/>
          <w:color w:val="auto"/>
        </w:rPr>
        <w:t>We are committed to providing safe work environments and products that enable productive and efficient use of</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w:t>
      </w:r>
    </w:p>
    <w:p>
      <w:pPr>
        <w:spacing w:after="0" w:line="53" w:lineRule="exact"/>
        <w:rPr>
          <w:rFonts w:ascii="Arial" w:cs="Arial" w:eastAsia="Arial" w:hAnsi="Arial"/>
          <w:sz w:val="17"/>
          <w:szCs w:val="17"/>
          <w:color w:val="auto"/>
        </w:rPr>
      </w:pPr>
    </w:p>
    <w:p>
      <w:pPr>
        <w:ind w:left="600" w:right="240" w:hanging="320"/>
        <w:spacing w:after="0" w:line="289"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Empowering People and Communities. </w:t>
      </w:r>
      <w:r>
        <w:rPr>
          <w:rFonts w:ascii="Arial" w:cs="Arial" w:eastAsia="Arial" w:hAnsi="Arial"/>
          <w:sz w:val="17"/>
          <w:szCs w:val="17"/>
          <w:color w:val="auto"/>
        </w:rPr>
        <w:t>We are committed to driving an inclusive culture grounded in integrity, committed to the development of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the communities where our teams live and work.</w:t>
      </w:r>
    </w:p>
    <w:p>
      <w:pPr>
        <w:spacing w:after="0" w:line="5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As we develop and refine our sustainability strategy, it is important that we listen to our key stakeholders and focus on areas where Wabtec can enable the most meaningful impact for our customers, communities and the world. In 2021, we conducted a comprehensive Environmental, Social and Governance (ESG) assessment that included internal and external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stakeholder involvement, to identify key ESG issues of focus for the Company. Based on the assessment, the following topics had the highest relative priority to</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Wabtec and its external stakeholders and are aligned to our overall sustainability strategy and action plans: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Topic</w:t>
            </w:r>
          </w:p>
        </w:tc>
        <w:tc>
          <w:tcPr>
            <w:tcW w:w="66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Definition</w:t>
            </w:r>
          </w:p>
        </w:tc>
        <w:tc>
          <w:tcPr>
            <w:tcW w:w="2640" w:type="dxa"/>
            <w:vAlign w:val="bottom"/>
            <w:tcBorders>
              <w:top w:val="single" w:sz="8" w:color="auto"/>
              <w:right w:val="single" w:sz="8" w:color="auto"/>
            </w:tcBorders>
          </w:tcPr>
          <w:p>
            <w:pPr>
              <w:ind w:left="20"/>
              <w:spacing w:after="0" w:line="171" w:lineRule="exact"/>
              <w:rPr>
                <w:sz w:val="20"/>
                <w:szCs w:val="20"/>
                <w:color w:val="auto"/>
              </w:rPr>
            </w:pPr>
            <w:r>
              <w:rPr>
                <w:rFonts w:ascii="Arial" w:cs="Arial" w:eastAsia="Arial" w:hAnsi="Arial"/>
                <w:sz w:val="16"/>
                <w:szCs w:val="16"/>
                <w:b w:val="1"/>
                <w:bCs w:val="1"/>
                <w:color w:val="auto"/>
              </w:rPr>
              <w:t>Alignment to Wabtec Strategic</w:t>
            </w:r>
          </w:p>
        </w:tc>
        <w:tc>
          <w:tcPr>
            <w:tcW w:w="0" w:type="dxa"/>
            <w:vAlign w:val="bottom"/>
          </w:tcPr>
          <w:p>
            <w:pPr>
              <w:spacing w:after="0"/>
              <w:rPr>
                <w:sz w:val="1"/>
                <w:szCs w:val="1"/>
                <w:color w:val="auto"/>
              </w:rPr>
            </w:pPr>
          </w:p>
        </w:tc>
      </w:tr>
      <w:tr>
        <w:trPr>
          <w:trHeight w:val="207"/>
        </w:trPr>
        <w:tc>
          <w:tcPr>
            <w:tcW w:w="18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6620" w:type="dxa"/>
            <w:vAlign w:val="bottom"/>
            <w:tcBorders>
              <w:bottom w:val="single" w:sz="8" w:color="auto"/>
              <w:right w:val="single" w:sz="8" w:color="auto"/>
            </w:tcBorders>
            <w:vMerge w:val="continue"/>
          </w:tcPr>
          <w:p>
            <w:pPr>
              <w:spacing w:after="0"/>
              <w:rPr>
                <w:sz w:val="17"/>
                <w:szCs w:val="17"/>
                <w:color w:val="auto"/>
              </w:rPr>
            </w:pP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Sustainability Principles</w:t>
            </w:r>
          </w:p>
        </w:tc>
        <w:tc>
          <w:tcPr>
            <w:tcW w:w="0" w:type="dxa"/>
            <w:vAlign w:val="bottom"/>
          </w:tcPr>
          <w:p>
            <w:pPr>
              <w:spacing w:after="0"/>
              <w:rPr>
                <w:sz w:val="1"/>
                <w:szCs w:val="1"/>
                <w:color w:val="auto"/>
              </w:rPr>
            </w:pPr>
          </w:p>
        </w:tc>
      </w:tr>
      <w:tr>
        <w:trPr>
          <w:trHeight w:val="156"/>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Greenhouse gas (GHG)</w:t>
            </w:r>
          </w:p>
        </w:tc>
        <w:tc>
          <w:tcPr>
            <w:tcW w:w="662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w w:val="90"/>
              </w:rPr>
              <w:t>Reducing GHG emissions across Wabtec’s value chain and helping Wabtec partners across their value</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Innovating with Purpose</w:t>
            </w: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vMerge w:val="continue"/>
          </w:tcPr>
          <w:p>
            <w:pPr>
              <w:spacing w:after="0"/>
              <w:rPr>
                <w:sz w:val="13"/>
                <w:szCs w:val="13"/>
                <w:color w:val="auto"/>
              </w:rPr>
            </w:pPr>
          </w:p>
        </w:tc>
        <w:tc>
          <w:tcPr>
            <w:tcW w:w="6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3"/>
              </w:rPr>
              <w:t>chain reduce GHG emissions. This includes reducing major sources of indirect emissions during the</w:t>
            </w:r>
          </w:p>
        </w:tc>
        <w:tc>
          <w:tcPr>
            <w:tcW w:w="26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emissions</w:t>
            </w:r>
          </w:p>
        </w:tc>
        <w:tc>
          <w:tcPr>
            <w:tcW w:w="6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1"/>
              </w:rPr>
              <w:t>procurement and processing of raw materials, during manufacturing and the operation of our facilities,</w:t>
            </w:r>
          </w:p>
        </w:tc>
        <w:tc>
          <w:tcPr>
            <w:tcW w:w="2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 Driving Responsible Operations</w:t>
            </w:r>
          </w:p>
        </w:tc>
        <w:tc>
          <w:tcPr>
            <w:tcW w:w="0" w:type="dxa"/>
            <w:vAlign w:val="bottom"/>
          </w:tcPr>
          <w:p>
            <w:pPr>
              <w:spacing w:after="0"/>
              <w:rPr>
                <w:sz w:val="1"/>
                <w:szCs w:val="1"/>
                <w:color w:val="auto"/>
              </w:rPr>
            </w:pPr>
          </w:p>
        </w:tc>
      </w:tr>
      <w:tr>
        <w:trPr>
          <w:trHeight w:val="203"/>
        </w:trPr>
        <w:tc>
          <w:tcPr>
            <w:tcW w:w="1800" w:type="dxa"/>
            <w:vAlign w:val="bottom"/>
            <w:tcBorders>
              <w:left w:val="single" w:sz="8" w:color="auto"/>
              <w:bottom w:val="single" w:sz="8" w:color="auto"/>
              <w:right w:val="single" w:sz="8" w:color="auto"/>
            </w:tcBorders>
          </w:tcPr>
          <w:p>
            <w:pPr>
              <w:spacing w:after="0"/>
              <w:rPr>
                <w:sz w:val="17"/>
                <w:szCs w:val="17"/>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and during product distribution and end use.</w:t>
            </w:r>
          </w:p>
        </w:tc>
        <w:tc>
          <w:tcPr>
            <w:tcW w:w="2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tcPr>
          <w:p>
            <w:pPr>
              <w:spacing w:after="0"/>
              <w:rPr>
                <w:sz w:val="13"/>
                <w:szCs w:val="13"/>
                <w:color w:val="auto"/>
              </w:rPr>
            </w:pPr>
          </w:p>
        </w:tc>
        <w:tc>
          <w:tcPr>
            <w:tcW w:w="662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5"/>
              </w:rPr>
              <w:t>Supporting policies and organizational partners that contribute to the renewable energy transition.</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Innovating with Purpose</w:t>
            </w: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Energy &amp; renewables</w:t>
            </w:r>
          </w:p>
        </w:tc>
        <w:tc>
          <w:tcPr>
            <w:tcW w:w="6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4"/>
              </w:rPr>
              <w:t>Contributing to the success of the energy transition by improving the energy efficiency of Wabtec’s</w:t>
            </w:r>
          </w:p>
        </w:tc>
        <w:tc>
          <w:tcPr>
            <w:tcW w:w="26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00" w:type="dxa"/>
            <w:vAlign w:val="bottom"/>
            <w:tcBorders>
              <w:left w:val="single" w:sz="8" w:color="auto"/>
              <w:right w:val="single" w:sz="8" w:color="auto"/>
            </w:tcBorders>
            <w:vMerge w:val="continue"/>
          </w:tcPr>
          <w:p>
            <w:pPr>
              <w:spacing w:after="0"/>
              <w:rPr>
                <w:sz w:val="10"/>
                <w:szCs w:val="10"/>
                <w:color w:val="auto"/>
              </w:rPr>
            </w:pP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88"/>
              </w:rPr>
              <w:t>products and operations. Integrating renewables into Wabtec’s products and operations and enabling the</w:t>
            </w: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 Driving Responsible Operations</w:t>
            </w:r>
          </w:p>
        </w:tc>
        <w:tc>
          <w:tcPr>
            <w:tcW w:w="0" w:type="dxa"/>
            <w:vAlign w:val="bottom"/>
          </w:tcPr>
          <w:p>
            <w:pPr>
              <w:spacing w:after="0"/>
              <w:rPr>
                <w:sz w:val="1"/>
                <w:szCs w:val="1"/>
                <w:color w:val="auto"/>
              </w:rPr>
            </w:pPr>
          </w:p>
        </w:tc>
      </w:tr>
      <w:tr>
        <w:trPr>
          <w:trHeight w:val="36"/>
        </w:trPr>
        <w:tc>
          <w:tcPr>
            <w:tcW w:w="1800" w:type="dxa"/>
            <w:vAlign w:val="bottom"/>
            <w:tcBorders>
              <w:left w:val="single" w:sz="8" w:color="auto"/>
              <w:right w:val="single" w:sz="8" w:color="auto"/>
            </w:tcBorders>
          </w:tcPr>
          <w:p>
            <w:pPr>
              <w:spacing w:after="0"/>
              <w:rPr>
                <w:sz w:val="3"/>
                <w:szCs w:val="3"/>
                <w:color w:val="auto"/>
              </w:rPr>
            </w:pPr>
          </w:p>
        </w:tc>
        <w:tc>
          <w:tcPr>
            <w:tcW w:w="6620" w:type="dxa"/>
            <w:vAlign w:val="bottom"/>
            <w:tcBorders>
              <w:right w:val="single" w:sz="8" w:color="auto"/>
            </w:tcBorders>
            <w:vMerge w:val="continue"/>
          </w:tcPr>
          <w:p>
            <w:pPr>
              <w:spacing w:after="0"/>
              <w:rPr>
                <w:sz w:val="3"/>
                <w:szCs w:val="3"/>
                <w:color w:val="auto"/>
              </w:rPr>
            </w:pPr>
          </w:p>
        </w:tc>
        <w:tc>
          <w:tcPr>
            <w:tcW w:w="26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tcBorders>
              <w:left w:val="single" w:sz="8" w:color="auto"/>
              <w:bottom w:val="single" w:sz="8" w:color="auto"/>
              <w:right w:val="single" w:sz="8" w:color="auto"/>
            </w:tcBorders>
          </w:tcPr>
          <w:p>
            <w:pPr>
              <w:spacing w:after="0"/>
              <w:rPr>
                <w:sz w:val="17"/>
                <w:szCs w:val="17"/>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adoption of new and emerging renewable energy solutions.</w:t>
            </w:r>
          </w:p>
        </w:tc>
        <w:tc>
          <w:tcPr>
            <w:tcW w:w="2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tcPr>
          <w:p>
            <w:pPr>
              <w:spacing w:after="0"/>
              <w:rPr>
                <w:sz w:val="13"/>
                <w:szCs w:val="13"/>
                <w:color w:val="auto"/>
              </w:rPr>
            </w:pPr>
          </w:p>
        </w:tc>
        <w:tc>
          <w:tcPr>
            <w:tcW w:w="662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3"/>
              </w:rPr>
              <w:t>Capitalizing on opportunities related to new product advancements and innovations that include the</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Innovating with Purpose</w:t>
            </w: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tcPr>
          <w:p>
            <w:pPr>
              <w:spacing w:after="0"/>
              <w:rPr>
                <w:sz w:val="6"/>
                <w:szCs w:val="6"/>
                <w:color w:val="auto"/>
              </w:rPr>
            </w:pP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93"/>
              </w:rPr>
              <w:t>adoption of emerging technology to help address key societal and transportation sector challenges.</w:t>
            </w: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Innovation &amp; technology</w:t>
            </w:r>
          </w:p>
        </w:tc>
        <w:tc>
          <w:tcPr>
            <w:tcW w:w="662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 Empowering People</w:t>
            </w: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vMerge w:val="continue"/>
          </w:tcPr>
          <w:p>
            <w:pPr>
              <w:spacing w:after="0"/>
              <w:rPr>
                <w:sz w:val="6"/>
                <w:szCs w:val="6"/>
                <w:color w:val="auto"/>
              </w:rPr>
            </w:pP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98"/>
              </w:rPr>
              <w:t>Developing a resilient business model capable of meeting societal expectations for continuous</w:t>
            </w: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tcPr>
          <w:p>
            <w:pPr>
              <w:spacing w:after="0"/>
              <w:rPr>
                <w:sz w:val="6"/>
                <w:szCs w:val="6"/>
                <w:color w:val="auto"/>
              </w:rPr>
            </w:pPr>
          </w:p>
        </w:tc>
        <w:tc>
          <w:tcPr>
            <w:tcW w:w="662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and Communities</w:t>
            </w:r>
          </w:p>
        </w:tc>
        <w:tc>
          <w:tcPr>
            <w:tcW w:w="0" w:type="dxa"/>
            <w:vAlign w:val="bottom"/>
          </w:tcPr>
          <w:p>
            <w:pPr>
              <w:spacing w:after="0"/>
              <w:rPr>
                <w:sz w:val="1"/>
                <w:szCs w:val="1"/>
                <w:color w:val="auto"/>
              </w:rPr>
            </w:pPr>
          </w:p>
        </w:tc>
      </w:tr>
      <w:tr>
        <w:trPr>
          <w:trHeight w:val="121"/>
        </w:trPr>
        <w:tc>
          <w:tcPr>
            <w:tcW w:w="1800" w:type="dxa"/>
            <w:vAlign w:val="bottom"/>
            <w:tcBorders>
              <w:left w:val="single" w:sz="8" w:color="auto"/>
              <w:right w:val="single" w:sz="8" w:color="auto"/>
            </w:tcBorders>
          </w:tcPr>
          <w:p>
            <w:pPr>
              <w:spacing w:after="0"/>
              <w:rPr>
                <w:sz w:val="10"/>
                <w:szCs w:val="10"/>
                <w:color w:val="auto"/>
              </w:rPr>
            </w:pPr>
          </w:p>
        </w:tc>
        <w:tc>
          <w:tcPr>
            <w:tcW w:w="6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improvement.</w:t>
            </w:r>
          </w:p>
        </w:tc>
        <w:tc>
          <w:tcPr>
            <w:tcW w:w="2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800" w:type="dxa"/>
            <w:vAlign w:val="bottom"/>
            <w:tcBorders>
              <w:left w:val="single" w:sz="8" w:color="auto"/>
              <w:bottom w:val="single" w:sz="8" w:color="auto"/>
              <w:right w:val="single" w:sz="8" w:color="auto"/>
            </w:tcBorders>
          </w:tcPr>
          <w:p>
            <w:pPr>
              <w:spacing w:after="0"/>
              <w:rPr>
                <w:sz w:val="7"/>
                <w:szCs w:val="7"/>
                <w:color w:val="auto"/>
              </w:rPr>
            </w:pPr>
          </w:p>
        </w:tc>
        <w:tc>
          <w:tcPr>
            <w:tcW w:w="6620" w:type="dxa"/>
            <w:vAlign w:val="bottom"/>
            <w:tcBorders>
              <w:bottom w:val="single" w:sz="8" w:color="auto"/>
              <w:right w:val="single" w:sz="8" w:color="auto"/>
            </w:tcBorders>
            <w:vMerge w:val="continue"/>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tcPr>
          <w:p>
            <w:pPr>
              <w:spacing w:after="0"/>
              <w:rPr>
                <w:sz w:val="13"/>
                <w:szCs w:val="13"/>
                <w:color w:val="auto"/>
              </w:rPr>
            </w:pPr>
          </w:p>
        </w:tc>
        <w:tc>
          <w:tcPr>
            <w:tcW w:w="662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4"/>
              </w:rPr>
              <w:t>Upholding ethics and integrity in every aspect of Wabtec’s business by ensuring transparency in all</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Driving Responsible Operations</w:t>
            </w: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Business Ethics &amp;</w:t>
            </w:r>
          </w:p>
        </w:tc>
        <w:tc>
          <w:tcPr>
            <w:tcW w:w="6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1"/>
              </w:rPr>
              <w:t>financial practices. Complying with all applicable national and local laws and regulations by promoting</w:t>
            </w:r>
          </w:p>
        </w:tc>
        <w:tc>
          <w:tcPr>
            <w:tcW w:w="26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vMerge w:val="continue"/>
          </w:tcPr>
          <w:p>
            <w:pPr>
              <w:spacing w:after="0"/>
              <w:rPr>
                <w:sz w:val="6"/>
                <w:szCs w:val="6"/>
                <w:color w:val="auto"/>
              </w:rPr>
            </w:pP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95"/>
              </w:rPr>
              <w:t>practices and policies that encourage reporting instances of non-compliance and by implementing</w:t>
            </w: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 Empowering People</w:t>
            </w: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Compliance</w:t>
            </w:r>
          </w:p>
        </w:tc>
        <w:tc>
          <w:tcPr>
            <w:tcW w:w="662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0" w:type="dxa"/>
            <w:vAlign w:val="bottom"/>
            <w:tcBorders>
              <w:left w:val="single" w:sz="8" w:color="auto"/>
              <w:right w:val="single" w:sz="8" w:color="auto"/>
            </w:tcBorders>
            <w:vMerge w:val="continue"/>
          </w:tcPr>
          <w:p>
            <w:pPr>
              <w:spacing w:after="0"/>
              <w:rPr>
                <w:sz w:val="10"/>
                <w:szCs w:val="10"/>
                <w:color w:val="auto"/>
              </w:rPr>
            </w:pP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89"/>
              </w:rPr>
              <w:t>corrective actions that prevent recurrence. Preventing bribery, corruption, and anti-competitive behavior.</w:t>
            </w: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and Communities</w:t>
            </w:r>
          </w:p>
        </w:tc>
        <w:tc>
          <w:tcPr>
            <w:tcW w:w="0" w:type="dxa"/>
            <w:vAlign w:val="bottom"/>
          </w:tcPr>
          <w:p>
            <w:pPr>
              <w:spacing w:after="0"/>
              <w:rPr>
                <w:sz w:val="1"/>
                <w:szCs w:val="1"/>
                <w:color w:val="auto"/>
              </w:rPr>
            </w:pPr>
          </w:p>
        </w:tc>
      </w:tr>
      <w:tr>
        <w:trPr>
          <w:trHeight w:val="36"/>
        </w:trPr>
        <w:tc>
          <w:tcPr>
            <w:tcW w:w="1800" w:type="dxa"/>
            <w:vAlign w:val="bottom"/>
            <w:tcBorders>
              <w:left w:val="single" w:sz="8" w:color="auto"/>
              <w:right w:val="single" w:sz="8" w:color="auto"/>
            </w:tcBorders>
          </w:tcPr>
          <w:p>
            <w:pPr>
              <w:spacing w:after="0"/>
              <w:rPr>
                <w:sz w:val="3"/>
                <w:szCs w:val="3"/>
                <w:color w:val="auto"/>
              </w:rPr>
            </w:pPr>
          </w:p>
        </w:tc>
        <w:tc>
          <w:tcPr>
            <w:tcW w:w="6620" w:type="dxa"/>
            <w:vAlign w:val="bottom"/>
            <w:tcBorders>
              <w:right w:val="single" w:sz="8" w:color="auto"/>
            </w:tcBorders>
            <w:vMerge w:val="continue"/>
          </w:tcPr>
          <w:p>
            <w:pPr>
              <w:spacing w:after="0"/>
              <w:rPr>
                <w:sz w:val="3"/>
                <w:szCs w:val="3"/>
                <w:color w:val="auto"/>
              </w:rPr>
            </w:pPr>
          </w:p>
        </w:tc>
        <w:tc>
          <w:tcPr>
            <w:tcW w:w="26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tcBorders>
              <w:left w:val="single" w:sz="8" w:color="auto"/>
              <w:bottom w:val="single" w:sz="8" w:color="auto"/>
              <w:right w:val="single" w:sz="8" w:color="auto"/>
            </w:tcBorders>
          </w:tcPr>
          <w:p>
            <w:pPr>
              <w:spacing w:after="0"/>
              <w:rPr>
                <w:sz w:val="17"/>
                <w:szCs w:val="17"/>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7"/>
              </w:rPr>
              <w:t>Promoting ethics and compliance throughout Wabtec’s value chain, especially among suppliers.</w:t>
            </w:r>
          </w:p>
        </w:tc>
        <w:tc>
          <w:tcPr>
            <w:tcW w:w="2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Data privacy &amp;</w:t>
            </w:r>
          </w:p>
        </w:tc>
        <w:tc>
          <w:tcPr>
            <w:tcW w:w="662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6"/>
              </w:rPr>
              <w:t>Investing in cybersecurity measures and adapting to business risks presented by technology and</w:t>
            </w:r>
          </w:p>
        </w:tc>
        <w:tc>
          <w:tcPr>
            <w:tcW w:w="2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0" w:type="dxa"/>
            <w:vAlign w:val="bottom"/>
            <w:tcBorders>
              <w:left w:val="single" w:sz="8" w:color="auto"/>
              <w:right w:val="single" w:sz="8" w:color="auto"/>
            </w:tcBorders>
            <w:vMerge w:val="continue"/>
          </w:tcPr>
          <w:p>
            <w:pPr>
              <w:spacing w:after="0"/>
              <w:rPr>
                <w:sz w:val="13"/>
                <w:szCs w:val="13"/>
                <w:color w:val="auto"/>
              </w:rPr>
            </w:pPr>
          </w:p>
        </w:tc>
        <w:tc>
          <w:tcPr>
            <w:tcW w:w="6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9"/>
              </w:rPr>
              <w:t>digitization. Protecting Wabtec’s proprietary information and intellectual property. Ensuring the</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 Innovating with Purpose</w:t>
            </w:r>
          </w:p>
        </w:tc>
        <w:tc>
          <w:tcPr>
            <w:tcW w:w="0" w:type="dxa"/>
            <w:vAlign w:val="bottom"/>
          </w:tcPr>
          <w:p>
            <w:pPr>
              <w:spacing w:after="0"/>
              <w:rPr>
                <w:sz w:val="1"/>
                <w:szCs w:val="1"/>
                <w:color w:val="auto"/>
              </w:rPr>
            </w:pPr>
          </w:p>
        </w:tc>
      </w:tr>
      <w:tr>
        <w:trPr>
          <w:trHeight w:val="121"/>
        </w:trPr>
        <w:tc>
          <w:tcPr>
            <w:tcW w:w="180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cybersecurity</w:t>
            </w:r>
          </w:p>
        </w:tc>
        <w:tc>
          <w:tcPr>
            <w:tcW w:w="6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w w:val="92"/>
              </w:rPr>
              <w:t>responsible management and use of data, including data from customers, employees, and suppliers.</w:t>
            </w:r>
          </w:p>
        </w:tc>
        <w:tc>
          <w:tcPr>
            <w:tcW w:w="2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right w:val="single" w:sz="8" w:color="auto"/>
            </w:tcBorders>
            <w:vMerge w:val="continue"/>
          </w:tcPr>
          <w:p>
            <w:pPr>
              <w:spacing w:after="0"/>
              <w:rPr>
                <w:sz w:val="3"/>
                <w:szCs w:val="3"/>
                <w:color w:val="auto"/>
              </w:rPr>
            </w:pPr>
          </w:p>
        </w:tc>
        <w:tc>
          <w:tcPr>
            <w:tcW w:w="6620" w:type="dxa"/>
            <w:vAlign w:val="bottom"/>
            <w:tcBorders>
              <w:right w:val="single" w:sz="8" w:color="auto"/>
            </w:tcBorders>
            <w:vMerge w:val="continue"/>
          </w:tcPr>
          <w:p>
            <w:pPr>
              <w:spacing w:after="0"/>
              <w:rPr>
                <w:sz w:val="3"/>
                <w:szCs w:val="3"/>
                <w:color w:val="auto"/>
              </w:rPr>
            </w:pPr>
          </w:p>
        </w:tc>
        <w:tc>
          <w:tcPr>
            <w:tcW w:w="2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tcBorders>
              <w:left w:val="single" w:sz="8" w:color="auto"/>
              <w:bottom w:val="single" w:sz="8" w:color="auto"/>
              <w:right w:val="single" w:sz="8" w:color="auto"/>
            </w:tcBorders>
          </w:tcPr>
          <w:p>
            <w:pPr>
              <w:spacing w:after="0"/>
              <w:rPr>
                <w:sz w:val="17"/>
                <w:szCs w:val="17"/>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Protecting data collected by Wabtec products.</w:t>
            </w:r>
          </w:p>
        </w:tc>
        <w:tc>
          <w:tcPr>
            <w:tcW w:w="2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72"/>
        <w:spacing w:after="0" w:line="285" w:lineRule="auto"/>
        <w:rPr>
          <w:sz w:val="20"/>
          <w:szCs w:val="20"/>
          <w:color w:val="auto"/>
        </w:rPr>
      </w:pPr>
      <w:r>
        <w:rPr>
          <w:rFonts w:ascii="Arial" w:cs="Arial" w:eastAsia="Arial" w:hAnsi="Arial"/>
          <w:sz w:val="16"/>
          <w:szCs w:val="16"/>
          <w:color w:val="auto"/>
        </w:rPr>
        <w:t>During 2021, Wabtec adopted its Green Finance Framework. Following the release of the Green Financing Framework, the Company issued its inaugural "green bond" – a €500 million issuance in the European bond market. The Company intends to utilize green financing instruments as part of its overall capital resources strategy to support the transition to a low-carbon transportation future and meet the sustainable transportation needs of growing cities around the world. Projects supported by green financing will largely target the objective of climate change mitigation by focusing on the efficiency of freight rail systems and public transport, as well as on the provision of energy-efficient customer solution services. Focus areas include:</w:t>
      </w:r>
    </w:p>
    <w:p>
      <w:pPr>
        <w:spacing w:after="0" w:line="60" w:lineRule="exact"/>
        <w:rPr>
          <w:sz w:val="20"/>
          <w:szCs w:val="20"/>
          <w:color w:val="auto"/>
        </w:rPr>
      </w:pPr>
    </w:p>
    <w:p>
      <w:pPr>
        <w:ind w:left="560" w:hanging="28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Clean transportation</w:t>
      </w:r>
    </w:p>
    <w:p>
      <w:pPr>
        <w:spacing w:after="0" w:line="118" w:lineRule="exact"/>
        <w:rPr>
          <w:rFonts w:ascii="Arial" w:cs="Arial" w:eastAsia="Arial" w:hAnsi="Arial"/>
          <w:sz w:val="17"/>
          <w:szCs w:val="17"/>
          <w:color w:val="auto"/>
        </w:rPr>
      </w:pPr>
    </w:p>
    <w:p>
      <w:pPr>
        <w:ind w:left="560" w:hanging="28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Eco-efficient and/or circular economy adapted products, production technologies and processes</w:t>
      </w:r>
    </w:p>
    <w:p>
      <w:pPr>
        <w:spacing w:after="0" w:line="118" w:lineRule="exact"/>
        <w:rPr>
          <w:rFonts w:ascii="Arial" w:cs="Arial" w:eastAsia="Arial" w:hAnsi="Arial"/>
          <w:sz w:val="17"/>
          <w:szCs w:val="17"/>
          <w:color w:val="auto"/>
        </w:rPr>
      </w:pPr>
    </w:p>
    <w:p>
      <w:pPr>
        <w:ind w:left="560" w:hanging="28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Renewable energy</w:t>
      </w:r>
    </w:p>
    <w:p>
      <w:pPr>
        <w:spacing w:after="0" w:line="118" w:lineRule="exact"/>
        <w:rPr>
          <w:rFonts w:ascii="Arial" w:cs="Arial" w:eastAsia="Arial" w:hAnsi="Arial"/>
          <w:sz w:val="17"/>
          <w:szCs w:val="17"/>
          <w:color w:val="auto"/>
        </w:rPr>
      </w:pPr>
    </w:p>
    <w:p>
      <w:pPr>
        <w:ind w:left="560" w:hanging="28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Pollution prevention and control</w:t>
      </w:r>
    </w:p>
    <w:p>
      <w:pPr>
        <w:spacing w:after="0" w:line="118" w:lineRule="exact"/>
        <w:rPr>
          <w:rFonts w:ascii="Arial" w:cs="Arial" w:eastAsia="Arial" w:hAnsi="Arial"/>
          <w:sz w:val="17"/>
          <w:szCs w:val="17"/>
          <w:color w:val="auto"/>
        </w:rPr>
      </w:pPr>
    </w:p>
    <w:p>
      <w:pPr>
        <w:ind w:left="560" w:hanging="28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Energy efficiency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Cybersecurity Framework</w:t>
      </w:r>
    </w:p>
    <w:p>
      <w:pPr>
        <w:spacing w:after="0" w:line="119" w:lineRule="exact"/>
        <w:rPr>
          <w:sz w:val="20"/>
          <w:szCs w:val="20"/>
          <w:color w:val="auto"/>
        </w:rPr>
      </w:pPr>
    </w:p>
    <w:p>
      <w:pPr>
        <w:ind w:firstLine="472"/>
        <w:spacing w:after="0" w:line="278" w:lineRule="auto"/>
        <w:rPr>
          <w:sz w:val="20"/>
          <w:szCs w:val="20"/>
          <w:color w:val="auto"/>
        </w:rPr>
      </w:pPr>
      <w:r>
        <w:rPr>
          <w:rFonts w:ascii="Arial" w:cs="Arial" w:eastAsia="Arial" w:hAnsi="Arial"/>
          <w:sz w:val="16"/>
          <w:szCs w:val="16"/>
          <w:color w:val="auto"/>
        </w:rPr>
        <w:t>Cybersecurity and data protection are important considerations in the design and production of Wabtec products, projects, and services. Information technology is used and relied upon extensively by our business. We collect, process, and retain sensitive and confidential customer information, including proprietary business information, personal data and other information, some of which may be subject to privacy and security laws, regulations and/or customer-imposed data protection controls. To address risks related to cybersecurity and privacy, Wabtec seeks to leverage industry cybersecurity practices that have been developed by organizations such as National Institute of Standards and Technology (NIST) and the International Standardization Organization (ISO) and also engages external independent advisors. Wabtec’s Data Protection Plan describes the technical, physical and administrative controls used to protect the confidentiality, integrity, and availability of information provided to and managed by Wabtec. Cybersecurity is addressed and discussed regularly with our Chief Information Officer, the Audit Committee and Board of Directors. Wabtec also maintains SOC 1 Type 2 certification for select digital products, as well as cyber liability insurance coverage. We also regularly evaluate our response readiness, including disaster recovery plans and business continuity considerations in the case of a cyber incident. Finally, Wabtec engages in regular security awareness training to highlight and educate its employees on how to identify and mitigate cybersecurity risks at the individual level.</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8"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auto"/>
        </w:rPr>
        <w:t>ESG Goals</w:t>
      </w:r>
    </w:p>
    <w:p>
      <w:pPr>
        <w:spacing w:after="0" w:line="119" w:lineRule="exact"/>
        <w:rPr>
          <w:sz w:val="20"/>
          <w:szCs w:val="20"/>
          <w:color w:val="auto"/>
        </w:rPr>
      </w:pPr>
    </w:p>
    <w:p>
      <w:pPr>
        <w:ind w:right="20" w:firstLine="472"/>
        <w:spacing w:after="0" w:line="289" w:lineRule="auto"/>
        <w:rPr>
          <w:sz w:val="20"/>
          <w:szCs w:val="20"/>
          <w:color w:val="auto"/>
        </w:rPr>
      </w:pPr>
      <w:r>
        <w:rPr>
          <w:rFonts w:ascii="Arial" w:cs="Arial" w:eastAsia="Arial" w:hAnsi="Arial"/>
          <w:sz w:val="16"/>
          <w:szCs w:val="16"/>
          <w:color w:val="auto"/>
        </w:rPr>
        <w:t xml:space="preserve">Wabtec is committed to transparency on ESG topics, including the opportunities and challenges we encounter as we work to enhance performance and conduct business in a responsible manner. In 2020, we established ESG goals around innovation, operations, safety, and people. We report our progress on these goals annually in our published Sustainability Report, which can be found on our website at </w:t>
      </w:r>
      <w:r>
        <w:rPr>
          <w:rFonts w:ascii="Arial" w:cs="Arial" w:eastAsia="Arial" w:hAnsi="Arial"/>
          <w:sz w:val="16"/>
          <w:szCs w:val="16"/>
          <w:i w:val="1"/>
          <w:iCs w:val="1"/>
          <w:color w:val="auto"/>
        </w:rPr>
        <w:t>www.wabteccorp.com/sustainability</w:t>
      </w:r>
      <w:r>
        <w:rPr>
          <w:rFonts w:ascii="Arial" w:cs="Arial" w:eastAsia="Arial" w:hAnsi="Arial"/>
          <w:sz w:val="16"/>
          <w:szCs w:val="16"/>
          <w:color w:val="auto"/>
        </w:rPr>
        <w:t>. The content referred to on any website referred to in this annual report, including the Sustainability Report, is not incorporated by reference into this Form 10-K.</w:t>
      </w:r>
    </w:p>
    <w:p>
      <w:pPr>
        <w:spacing w:after="0" w:line="57" w:lineRule="exact"/>
        <w:rPr>
          <w:sz w:val="20"/>
          <w:szCs w:val="20"/>
          <w:color w:val="auto"/>
        </w:rPr>
      </w:pPr>
    </w:p>
    <w:p>
      <w:pPr>
        <w:ind w:right="40" w:firstLine="472"/>
        <w:spacing w:after="0" w:line="265" w:lineRule="auto"/>
        <w:rPr>
          <w:sz w:val="20"/>
          <w:szCs w:val="20"/>
          <w:color w:val="auto"/>
        </w:rPr>
      </w:pPr>
      <w:r>
        <w:rPr>
          <w:rFonts w:ascii="Arial" w:cs="Arial" w:eastAsia="Arial" w:hAnsi="Arial"/>
          <w:sz w:val="17"/>
          <w:szCs w:val="17"/>
          <w:color w:val="auto"/>
        </w:rPr>
        <w:t>Wabtec developed an ESG governance framework to provide oversight for our climate action strategy. This structure starts with Wabtec's Board of Directors and its committees who oversee the execution of the Company’s ESG strategy as part of their oversight of Wabtec’s overall business. In particular, the Nominating and Corporate Governance Committee assists the Board in its oversight of Wabtec’s sustainability strategy and execution against key goals, as well as the review of climate-related risks and opportunities. To further facilitate the Board’s engagement and oversight, climate was added as a risk category in Wabtec’s enterprise risk management process.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Human Capital</w:t>
      </w:r>
    </w:p>
    <w:p>
      <w:pPr>
        <w:spacing w:after="0" w:line="119" w:lineRule="exact"/>
        <w:rPr>
          <w:sz w:val="20"/>
          <w:szCs w:val="20"/>
          <w:color w:val="auto"/>
        </w:rPr>
      </w:pPr>
    </w:p>
    <w:p>
      <w:pPr>
        <w:ind w:right="320" w:firstLine="472"/>
        <w:spacing w:after="0" w:line="297" w:lineRule="auto"/>
        <w:rPr>
          <w:sz w:val="20"/>
          <w:szCs w:val="20"/>
          <w:color w:val="auto"/>
        </w:rPr>
      </w:pPr>
      <w:r>
        <w:rPr>
          <w:rFonts w:ascii="Arial" w:cs="Arial" w:eastAsia="Arial" w:hAnsi="Arial"/>
          <w:sz w:val="16"/>
          <w:szCs w:val="16"/>
          <w:color w:val="auto"/>
        </w:rPr>
        <w:t>At Wabtec, we believe performance drives progress, and are committed to developing sustainable transportation solutions that move and improve the world. We are committed to driving an inclusive culture and integrating our talent and capabilities across the enterprise. As a company, we believe that protecting the health and safety of our people and the environment is the responsibility of everyone at Wabtec, especially during a global pandemic.</w:t>
      </w:r>
    </w:p>
    <w:p>
      <w:pPr>
        <w:spacing w:after="0" w:line="50" w:lineRule="exact"/>
        <w:rPr>
          <w:sz w:val="20"/>
          <w:szCs w:val="20"/>
          <w:color w:val="auto"/>
        </w:rPr>
      </w:pPr>
    </w:p>
    <w:p>
      <w:pPr>
        <w:ind w:right="120" w:firstLine="472"/>
        <w:spacing w:after="0" w:line="289" w:lineRule="auto"/>
        <w:rPr>
          <w:sz w:val="20"/>
          <w:szCs w:val="20"/>
          <w:color w:val="auto"/>
        </w:rPr>
      </w:pPr>
      <w:r>
        <w:rPr>
          <w:rFonts w:ascii="Arial" w:cs="Arial" w:eastAsia="Arial" w:hAnsi="Arial"/>
          <w:sz w:val="17"/>
          <w:szCs w:val="17"/>
          <w:color w:val="auto"/>
        </w:rPr>
        <w:t>Our headquarters are in Pittsburgh, Pennsylvania and we have offices and facilities in over 50 countries around the globe. As of December 31, 2021, we have a global workforce of approximately 25,000 employees, excluding contingent workers.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and Inclusion</w:t>
      </w:r>
    </w:p>
    <w:p>
      <w:pPr>
        <w:spacing w:after="0" w:line="119" w:lineRule="exact"/>
        <w:rPr>
          <w:sz w:val="20"/>
          <w:szCs w:val="20"/>
          <w:color w:val="auto"/>
        </w:rPr>
      </w:pPr>
    </w:p>
    <w:p>
      <w:pPr>
        <w:ind w:right="140" w:firstLine="472"/>
        <w:spacing w:after="0" w:line="302" w:lineRule="auto"/>
        <w:rPr>
          <w:sz w:val="20"/>
          <w:szCs w:val="20"/>
          <w:color w:val="auto"/>
        </w:rPr>
      </w:pPr>
      <w:r>
        <w:rPr>
          <w:rFonts w:ascii="Arial" w:cs="Arial" w:eastAsia="Arial" w:hAnsi="Arial"/>
          <w:sz w:val="15"/>
          <w:szCs w:val="15"/>
          <w:color w:val="auto"/>
        </w:rPr>
        <w:t>Wabtec is committed to ensuring a diverse and inclusive workplace that respects and seeks the unique talents, experiences and viewpoints of all our employees. Wabtec has a Diversity and Inclusion Council, led by members of Wabtec’s executive leadership team, who oversee global diversity and inclusion policies and initiatives. We strive to create an inclusive workplace where employees can be themselves. Our Board of Directors also plays a critical role in creating an organization that prioritizes, supports, and invests in diversity, inclusion, and equity. Over the last two years, Wabtec has named three diverse members to its Board. Currently, 40% of Wabtec’s Board is diverse (gender; race/ethnicity), and over 18% of Wabtec’s global senior management are female and roughly 18% are people of color based in the U.S. In 2020, women constituted approximately 16% of our global workforce and approximately 18% of our salaried employees and people of color constituted approximately 20% of our U.S. salaried workforce and approximately 24% of the total U.S. workforce.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Development</w:t>
      </w:r>
    </w:p>
    <w:p>
      <w:pPr>
        <w:spacing w:after="0" w:line="119" w:lineRule="exact"/>
        <w:rPr>
          <w:sz w:val="20"/>
          <w:szCs w:val="20"/>
          <w:color w:val="auto"/>
        </w:rPr>
      </w:pPr>
    </w:p>
    <w:p>
      <w:pPr>
        <w:ind w:right="200" w:firstLine="472"/>
        <w:spacing w:after="0" w:line="265" w:lineRule="auto"/>
        <w:rPr>
          <w:sz w:val="20"/>
          <w:szCs w:val="20"/>
          <w:color w:val="auto"/>
        </w:rPr>
      </w:pPr>
      <w:r>
        <w:rPr>
          <w:rFonts w:ascii="Arial" w:cs="Arial" w:eastAsia="Arial" w:hAnsi="Arial"/>
          <w:sz w:val="17"/>
          <w:szCs w:val="17"/>
          <w:color w:val="auto"/>
        </w:rPr>
        <w:t>We continually invest in our employees’ career growth and provide employees with a wide range of development opportunities, including face-to-face, virtual, social and self-directed learning, mentoring and coaching programs. We have invested in training courses through Wabtec’s Learning Management System (LMS). In 2021, Wabtec partnered with a third-party to provide diversity and inclusion training. Over 4,000 employees participated in the training, which was coupled with tools and resources for people leaders to help make diversity and inclusion part of a long-term conversation rather than a one-time training.</w:t>
      </w:r>
    </w:p>
    <w:p>
      <w:pPr>
        <w:spacing w:after="0" w:line="73" w:lineRule="exact"/>
        <w:rPr>
          <w:sz w:val="20"/>
          <w:szCs w:val="20"/>
          <w:color w:val="auto"/>
        </w:rPr>
      </w:pPr>
    </w:p>
    <w:p>
      <w:pPr>
        <w:ind w:firstLine="472"/>
        <w:spacing w:after="0" w:line="265" w:lineRule="auto"/>
        <w:rPr>
          <w:sz w:val="20"/>
          <w:szCs w:val="20"/>
          <w:color w:val="auto"/>
        </w:rPr>
      </w:pPr>
      <w:r>
        <w:rPr>
          <w:rFonts w:ascii="Arial" w:cs="Arial" w:eastAsia="Arial" w:hAnsi="Arial"/>
          <w:sz w:val="17"/>
          <w:szCs w:val="17"/>
          <w:color w:val="auto"/>
        </w:rPr>
        <w:t>Our two-year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every six months to work on strategic projects and assignments, gain exposure to senior leadership and build their global professional network. We are focused on strengthening this program to support our global talent pipeline.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w:t>
      </w:r>
    </w:p>
    <w:p>
      <w:pPr>
        <w:spacing w:after="0" w:line="119" w:lineRule="exact"/>
        <w:rPr>
          <w:sz w:val="20"/>
          <w:szCs w:val="20"/>
          <w:color w:val="auto"/>
        </w:rPr>
      </w:pPr>
    </w:p>
    <w:p>
      <w:pPr>
        <w:ind w:right="60" w:firstLine="472"/>
        <w:spacing w:after="0" w:line="283" w:lineRule="auto"/>
        <w:rPr>
          <w:sz w:val="20"/>
          <w:szCs w:val="20"/>
          <w:color w:val="auto"/>
        </w:rPr>
      </w:pPr>
      <w:r>
        <w:rPr>
          <w:rFonts w:ascii="Arial" w:cs="Arial" w:eastAsia="Arial" w:hAnsi="Arial"/>
          <w:sz w:val="16"/>
          <w:szCs w:val="16"/>
          <w:color w:val="auto"/>
        </w:rPr>
        <w:t>When it comes to employee safety, our commitment is to provide safe work environments for our employees and to meet or exceed environmental, health, and safety (EHS) laws and regulations in the places where we operate. In 2020, the Company relaunched the Environment, Health, and Safety component of the Wabtec Management System (known as the “EHS WMS”) to strengthen our management system approach to addressing EHS risks and promote the consistent implementation of best practices across all our global manufacturing and services sites, regardless of how local laws are implemented or enforced. The EHS WMS establishes standard expectations in 13 core competency areas, including leadership and accountability, regulatory applicability review, EHS processes and systems, risk assessment, safety defenses, exposure defenses, environmental defenses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2" w:name="page13"/>
    <w:bookmarkEnd w:id="12"/>
    <w:p>
      <w:pPr>
        <w:ind w:right="80"/>
        <w:spacing w:after="0" w:line="297" w:lineRule="auto"/>
        <w:rPr>
          <w:sz w:val="20"/>
          <w:szCs w:val="20"/>
          <w:color w:val="auto"/>
        </w:rPr>
      </w:pPr>
      <w:r>
        <w:rPr>
          <w:rFonts w:ascii="Arial" w:cs="Arial" w:eastAsia="Arial" w:hAnsi="Arial"/>
          <w:sz w:val="16"/>
          <w:szCs w:val="16"/>
          <w:color w:val="auto"/>
        </w:rPr>
        <w:t>and contractor management. Operational sites are measured against these EHS program expectations. In addition, the Company’s EHS WMS is directly aligned to accepted international standards, such as ISO 14001 for Environmental and ISO 45001 for Occupational Health and Safety. With zero fatalities and over 80 operational sites with zero recordable injuries, 2020 marked the 13th consecutive year of injury rate reductions across Wabtec's vast operations.</w:t>
      </w:r>
    </w:p>
    <w:p>
      <w:pPr>
        <w:spacing w:after="0" w:line="50" w:lineRule="exact"/>
        <w:rPr>
          <w:sz w:val="20"/>
          <w:szCs w:val="20"/>
          <w:color w:val="auto"/>
        </w:rPr>
      </w:pPr>
    </w:p>
    <w:p>
      <w:pPr>
        <w:ind w:right="80" w:firstLine="472"/>
        <w:spacing w:after="0" w:line="265" w:lineRule="auto"/>
        <w:rPr>
          <w:sz w:val="20"/>
          <w:szCs w:val="20"/>
          <w:color w:val="auto"/>
        </w:rPr>
      </w:pPr>
      <w:r>
        <w:rPr>
          <w:rFonts w:ascii="Arial" w:cs="Arial" w:eastAsia="Arial" w:hAnsi="Arial"/>
          <w:sz w:val="17"/>
          <w:szCs w:val="17"/>
          <w:color w:val="auto"/>
        </w:rPr>
        <w:t>In 2021, Wabtec continued its commitment to safety and launched a four week EHS leadership training course aimed at building the toolkits of front-line supervisors and plant managers. The course was designed to establish a common understanding of Wabtec’s EHS tools and terminology, initiate a partnership between the plant manager and their EHS leader on a personal action plan, connect plant managers to the broader network of global leaders, and encourage decision making at the site level that is informed by an understanding of EHS impacts and of legal and compliance responsibilities. In 2021, over 120 leaders from 26 countries attended the training.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w:t>
      </w:r>
    </w:p>
    <w:p>
      <w:pPr>
        <w:spacing w:after="0" w:line="119" w:lineRule="exact"/>
        <w:rPr>
          <w:sz w:val="20"/>
          <w:szCs w:val="20"/>
          <w:color w:val="auto"/>
        </w:rPr>
      </w:pPr>
    </w:p>
    <w:p>
      <w:pPr>
        <w:ind w:right="60" w:firstLine="472"/>
        <w:spacing w:after="0" w:line="263" w:lineRule="auto"/>
        <w:rPr>
          <w:sz w:val="20"/>
          <w:szCs w:val="20"/>
          <w:color w:val="auto"/>
        </w:rPr>
      </w:pPr>
      <w:r>
        <w:rPr>
          <w:rFonts w:ascii="Arial" w:cs="Arial" w:eastAsia="Arial" w:hAnsi="Arial"/>
          <w:sz w:val="17"/>
          <w:szCs w:val="17"/>
          <w:color w:val="auto"/>
        </w:rPr>
        <w:t>The pandemic has reinforced the importance of keeping Wabtec employees safe and healthy while keeping essential rail services and the global economy moving. When the pandemic began, Wabtec launched its COVID-19 Crisis Management Team, which met daily to focus on three key elements: protecting our people, serving our customers, and ensuring business continuity. Manufacturing and office locations were required to implement risk assessment methodologies and rethink work practices to allow for remote working or social distancing, develop new procedures for workplace entry, strengthen site-level crisis management teams and implement new tools for rapid communication with site employees. Site leaders and people managers were trained on techniques for communicating transparently and navigating complex business decisions during a crisis.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and Benefits</w:t>
      </w:r>
    </w:p>
    <w:p>
      <w:pPr>
        <w:spacing w:after="0" w:line="119" w:lineRule="exact"/>
        <w:rPr>
          <w:sz w:val="20"/>
          <w:szCs w:val="20"/>
          <w:color w:val="auto"/>
        </w:rPr>
      </w:pPr>
    </w:p>
    <w:p>
      <w:pPr>
        <w:ind w:right="380" w:firstLine="472"/>
        <w:spacing w:after="0" w:line="273" w:lineRule="auto"/>
        <w:rPr>
          <w:sz w:val="20"/>
          <w:szCs w:val="20"/>
          <w:color w:val="auto"/>
        </w:rPr>
      </w:pPr>
      <w:r>
        <w:rPr>
          <w:rFonts w:ascii="Arial" w:cs="Arial" w:eastAsia="Arial" w:hAnsi="Arial"/>
          <w:sz w:val="17"/>
          <w:szCs w:val="17"/>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66" w:lineRule="exact"/>
        <w:rPr>
          <w:sz w:val="20"/>
          <w:szCs w:val="20"/>
          <w:color w:val="auto"/>
        </w:rPr>
      </w:pPr>
    </w:p>
    <w:p>
      <w:pPr>
        <w:ind w:right="460" w:firstLine="472"/>
        <w:spacing w:after="0" w:line="322" w:lineRule="auto"/>
        <w:rPr>
          <w:sz w:val="20"/>
          <w:szCs w:val="20"/>
          <w:color w:val="auto"/>
        </w:rPr>
      </w:pPr>
      <w:r>
        <w:rPr>
          <w:rFonts w:ascii="Arial" w:cs="Arial" w:eastAsia="Arial" w:hAnsi="Arial"/>
          <w:sz w:val="16"/>
          <w:szCs w:val="16"/>
          <w:color w:val="auto"/>
        </w:rPr>
        <w:t>We provide our employees resources to help them succeed. We offer a wide range of benefits including healthcare and wellness benefits, retirement benefits, an Employee Assistance Program, Employee Resource Groups to build diverse communities at Wabtec, and paid time off.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25" w:lineRule="exact"/>
        <w:rPr>
          <w:sz w:val="20"/>
          <w:szCs w:val="20"/>
          <w:color w:val="auto"/>
        </w:rPr>
      </w:pPr>
    </w:p>
    <w:p>
      <w:pPr>
        <w:ind w:firstLine="472"/>
        <w:spacing w:after="0" w:line="278" w:lineRule="auto"/>
        <w:rPr>
          <w:sz w:val="20"/>
          <w:szCs w:val="20"/>
          <w:color w:val="auto"/>
        </w:rPr>
      </w:pPr>
      <w:r>
        <w:rPr>
          <w:rFonts w:ascii="Arial" w:cs="Arial" w:eastAsia="Arial" w:hAnsi="Arial"/>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69" w:lineRule="exact"/>
        <w:rPr>
          <w:sz w:val="20"/>
          <w:szCs w:val="20"/>
          <w:color w:val="auto"/>
        </w:rPr>
      </w:pPr>
    </w:p>
    <w:p>
      <w:pPr>
        <w:jc w:val="both"/>
        <w:ind w:right="20" w:firstLine="472"/>
        <w:spacing w:after="0" w:line="325" w:lineRule="auto"/>
        <w:rPr>
          <w:sz w:val="20"/>
          <w:szCs w:val="20"/>
          <w:color w:val="auto"/>
        </w:rPr>
      </w:pPr>
      <w:r>
        <w:rPr>
          <w:rFonts w:ascii="Arial" w:cs="Arial" w:eastAsia="Arial" w:hAnsi="Arial"/>
          <w:sz w:val="15"/>
          <w:szCs w:val="15"/>
          <w:color w:val="auto"/>
        </w:rPr>
        <w:t>Most countries and regions in which Wabtec does business have similar rule-making bodies. For example, in Russia, a GOST-R certificate of conformity is mandatory for all products related to the safety of individuals in Russian territory. In China, any product or system sold on the Chinese market must have been certified in accordance with national standards. In the local Indian market, most products are covered by regulations patterned after AAR and UIC standards.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Seasonality</w:t>
      </w:r>
    </w:p>
    <w:p>
      <w:pPr>
        <w:spacing w:after="0" w:line="125" w:lineRule="exact"/>
        <w:rPr>
          <w:sz w:val="20"/>
          <w:szCs w:val="20"/>
          <w:color w:val="auto"/>
        </w:rPr>
      </w:pPr>
    </w:p>
    <w:p>
      <w:pPr>
        <w:ind w:right="80" w:firstLine="472"/>
        <w:spacing w:after="0" w:line="297" w:lineRule="auto"/>
        <w:rPr>
          <w:sz w:val="20"/>
          <w:szCs w:val="20"/>
          <w:color w:val="auto"/>
        </w:rPr>
      </w:pPr>
      <w:r>
        <w:rPr>
          <w:rFonts w:ascii="Arial" w:cs="Arial" w:eastAsia="Arial" w:hAnsi="Arial"/>
          <w:sz w:val="16"/>
          <w:szCs w:val="16"/>
          <w:color w:val="auto"/>
        </w:rPr>
        <w:t>Our business has limited seasonality. Third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25" w:lineRule="exact"/>
        <w:rPr>
          <w:sz w:val="20"/>
          <w:szCs w:val="20"/>
          <w:color w:val="auto"/>
        </w:rPr>
      </w:pPr>
    </w:p>
    <w:p>
      <w:pPr>
        <w:ind w:right="220" w:firstLine="472"/>
        <w:spacing w:after="0" w:line="289" w:lineRule="auto"/>
        <w:rPr>
          <w:sz w:val="20"/>
          <w:szCs w:val="20"/>
          <w:color w:val="auto"/>
        </w:rPr>
      </w:pPr>
      <w:r>
        <w:rPr>
          <w:rFonts w:ascii="Arial" w:cs="Arial" w:eastAsia="Arial" w:hAnsi="Arial"/>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p>
      <w:pPr>
        <w:ind w:right="20"/>
        <w:spacing w:after="0" w:line="273" w:lineRule="auto"/>
        <w:rPr>
          <w:sz w:val="20"/>
          <w:szCs w:val="20"/>
          <w:color w:val="auto"/>
        </w:rPr>
      </w:pPr>
      <w:r>
        <w:rPr>
          <w:rFonts w:ascii="Arial" w:cs="Arial" w:eastAsia="Arial" w:hAnsi="Arial"/>
          <w:sz w:val="17"/>
          <w:szCs w:val="17"/>
          <w:color w:val="auto"/>
        </w:rPr>
        <w:t>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5" w:lineRule="exact"/>
        <w:rPr>
          <w:sz w:val="20"/>
          <w:szCs w:val="20"/>
          <w:color w:val="auto"/>
        </w:rPr>
      </w:pPr>
    </w:p>
    <w:p>
      <w:pPr>
        <w:ind w:firstLine="472"/>
        <w:spacing w:after="0" w:line="281"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www.wabteccorp.com</w:t>
      </w:r>
      <w:r>
        <w:rPr>
          <w:rFonts w:ascii="Arial" w:cs="Arial" w:eastAsia="Arial" w:hAnsi="Arial"/>
          <w:sz w:val="16"/>
          <w:szCs w:val="16"/>
          <w:color w:val="auto"/>
        </w:rPr>
        <w:t>.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 and our Sustainability Report.</w:t>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79" w:right="439" w:bottom="1440" w:gutter="0" w:footer="0" w:header="0"/>
        </w:sectPr>
      </w:pPr>
    </w:p>
    <w:bookmarkStart w:id="14" w:name="page15"/>
    <w:bookmarkEnd w:id="14"/>
    <w:p>
      <w:pPr>
        <w:ind w:left="3420"/>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on our executive officers as of February 17,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Officers</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bottom w:val="single" w:sz="8" w:color="CCEEFF"/>
            </w:tcBorders>
          </w:tcPr>
          <w:p>
            <w:pPr>
              <w:spacing w:after="0"/>
              <w:rPr>
                <w:sz w:val="18"/>
                <w:szCs w:val="18"/>
                <w:color w:val="auto"/>
              </w:rPr>
            </w:pPr>
          </w:p>
        </w:tc>
        <w:tc>
          <w:tcPr>
            <w:tcW w:w="59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Position</w:t>
            </w:r>
          </w:p>
        </w:tc>
      </w:tr>
      <w:tr>
        <w:trPr>
          <w:trHeight w:val="206"/>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Rafael Santana</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50</w:t>
            </w:r>
          </w:p>
        </w:tc>
        <w:tc>
          <w:tcPr>
            <w:tcW w:w="100" w:type="dxa"/>
            <w:vAlign w:val="bottom"/>
            <w:shd w:val="clear" w:color="auto" w:fill="CCEEFF"/>
          </w:tcPr>
          <w:p>
            <w:pPr>
              <w:spacing w:after="0"/>
              <w:rPr>
                <w:sz w:val="17"/>
                <w:szCs w:val="17"/>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President and Chief Executive Officer</w:t>
            </w:r>
          </w:p>
        </w:tc>
      </w:tr>
      <w:tr>
        <w:trPr>
          <w:trHeight w:val="206"/>
        </w:trPr>
        <w:tc>
          <w:tcPr>
            <w:tcW w:w="3960" w:type="dxa"/>
            <w:vAlign w:val="bottom"/>
            <w:gridSpan w:val="2"/>
          </w:tcPr>
          <w:p>
            <w:pPr>
              <w:ind w:left="500"/>
              <w:spacing w:after="0"/>
              <w:rPr>
                <w:sz w:val="20"/>
                <w:szCs w:val="20"/>
                <w:color w:val="auto"/>
              </w:rPr>
            </w:pPr>
            <w:r>
              <w:rPr>
                <w:rFonts w:ascii="Arial" w:cs="Arial" w:eastAsia="Arial" w:hAnsi="Arial"/>
                <w:sz w:val="16"/>
                <w:szCs w:val="16"/>
                <w:color w:val="auto"/>
              </w:rPr>
              <w:t>David L. DeNinno</w:t>
            </w:r>
          </w:p>
        </w:tc>
        <w:tc>
          <w:tcPr>
            <w:tcW w:w="1240" w:type="dxa"/>
            <w:vAlign w:val="bottom"/>
          </w:tcPr>
          <w:p>
            <w:pPr>
              <w:jc w:val="center"/>
              <w:ind w:left="401"/>
              <w:spacing w:after="0"/>
              <w:rPr>
                <w:sz w:val="20"/>
                <w:szCs w:val="20"/>
                <w:color w:val="auto"/>
              </w:rPr>
            </w:pPr>
            <w:r>
              <w:rPr>
                <w:rFonts w:ascii="Arial" w:cs="Arial" w:eastAsia="Arial" w:hAnsi="Arial"/>
                <w:sz w:val="16"/>
                <w:szCs w:val="16"/>
                <w:color w:val="auto"/>
                <w:w w:val="89"/>
              </w:rPr>
              <w:t>66</w:t>
            </w:r>
          </w:p>
        </w:tc>
        <w:tc>
          <w:tcPr>
            <w:tcW w:w="10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Executive Vice President, General Counsel and Secretary</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John A. Olin</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61</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6"/>
        </w:trPr>
        <w:tc>
          <w:tcPr>
            <w:tcW w:w="3960" w:type="dxa"/>
            <w:vAlign w:val="bottom"/>
            <w:gridSpan w:val="2"/>
          </w:tcPr>
          <w:p>
            <w:pPr>
              <w:ind w:left="500"/>
              <w:spacing w:after="0"/>
              <w:rPr>
                <w:sz w:val="20"/>
                <w:szCs w:val="20"/>
                <w:color w:val="auto"/>
              </w:rPr>
            </w:pPr>
            <w:r>
              <w:rPr>
                <w:rFonts w:ascii="Arial" w:cs="Arial" w:eastAsia="Arial" w:hAnsi="Arial"/>
                <w:sz w:val="16"/>
                <w:szCs w:val="16"/>
                <w:color w:val="auto"/>
              </w:rPr>
              <w:t>Nicole Theophilus</w:t>
            </w:r>
          </w:p>
        </w:tc>
        <w:tc>
          <w:tcPr>
            <w:tcW w:w="1240" w:type="dxa"/>
            <w:vAlign w:val="bottom"/>
          </w:tcPr>
          <w:p>
            <w:pPr>
              <w:jc w:val="center"/>
              <w:ind w:left="401"/>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Eric Gebhardt</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53</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Executive Vice President and Chief Technology Officer</w:t>
            </w:r>
          </w:p>
        </w:tc>
      </w:tr>
      <w:tr>
        <w:trPr>
          <w:trHeight w:val="160"/>
        </w:trPr>
        <w:tc>
          <w:tcPr>
            <w:tcW w:w="3960" w:type="dxa"/>
            <w:vAlign w:val="bottom"/>
            <w:gridSpan w:val="2"/>
          </w:tcPr>
          <w:p>
            <w:pPr>
              <w:ind w:left="500"/>
              <w:spacing w:after="0" w:line="161" w:lineRule="exact"/>
              <w:rPr>
                <w:sz w:val="20"/>
                <w:szCs w:val="20"/>
                <w:color w:val="auto"/>
              </w:rPr>
            </w:pPr>
            <w:r>
              <w:rPr>
                <w:rFonts w:ascii="Arial" w:cs="Arial" w:eastAsia="Arial" w:hAnsi="Arial"/>
                <w:sz w:val="16"/>
                <w:szCs w:val="16"/>
                <w:color w:val="auto"/>
              </w:rPr>
              <w:t>Gina Trombley</w:t>
            </w:r>
          </w:p>
        </w:tc>
        <w:tc>
          <w:tcPr>
            <w:tcW w:w="1240" w:type="dxa"/>
            <w:vAlign w:val="bottom"/>
          </w:tcPr>
          <w:p>
            <w:pPr>
              <w:jc w:val="center"/>
              <w:ind w:left="401"/>
              <w:spacing w:after="0" w:line="161" w:lineRule="exact"/>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3"/>
                <w:szCs w:val="13"/>
                <w:color w:val="auto"/>
              </w:rPr>
            </w:pPr>
          </w:p>
        </w:tc>
        <w:tc>
          <w:tcPr>
            <w:tcW w:w="5900" w:type="dxa"/>
            <w:vAlign w:val="bottom"/>
          </w:tcPr>
          <w:p>
            <w:pPr>
              <w:ind w:left="480"/>
              <w:spacing w:after="0" w:line="161" w:lineRule="exact"/>
              <w:rPr>
                <w:sz w:val="20"/>
                <w:szCs w:val="20"/>
                <w:color w:val="auto"/>
              </w:rPr>
            </w:pPr>
            <w:r>
              <w:rPr>
                <w:rFonts w:ascii="Arial" w:cs="Arial" w:eastAsia="Arial" w:hAnsi="Arial"/>
                <w:sz w:val="16"/>
                <w:szCs w:val="16"/>
                <w:color w:val="auto"/>
              </w:rPr>
              <w:t>Executive Vice President, Sales &amp; Marketing &amp; Chief Commercial Officer -</w:t>
            </w:r>
          </w:p>
        </w:tc>
      </w:tr>
      <w:tr>
        <w:trPr>
          <w:trHeight w:val="203"/>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tcPr>
          <w:p>
            <w:pPr>
              <w:ind w:left="20"/>
              <w:spacing w:after="0"/>
              <w:rPr>
                <w:sz w:val="20"/>
                <w:szCs w:val="20"/>
                <w:color w:val="auto"/>
              </w:rPr>
            </w:pPr>
            <w:r>
              <w:rPr>
                <w:rFonts w:ascii="Arial" w:cs="Arial" w:eastAsia="Arial" w:hAnsi="Arial"/>
                <w:sz w:val="16"/>
                <w:szCs w:val="16"/>
                <w:color w:val="auto"/>
              </w:rPr>
              <w:t>Americas</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Greg Sbrocco</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53</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Executive Vice President, Global Operations</w:t>
            </w:r>
          </w:p>
        </w:tc>
      </w:tr>
      <w:tr>
        <w:trPr>
          <w:trHeight w:val="206"/>
        </w:trPr>
        <w:tc>
          <w:tcPr>
            <w:tcW w:w="3960" w:type="dxa"/>
            <w:vAlign w:val="bottom"/>
            <w:gridSpan w:val="2"/>
          </w:tcPr>
          <w:p>
            <w:pPr>
              <w:ind w:left="500"/>
              <w:spacing w:after="0"/>
              <w:rPr>
                <w:sz w:val="20"/>
                <w:szCs w:val="20"/>
                <w:color w:val="auto"/>
              </w:rPr>
            </w:pPr>
            <w:r>
              <w:rPr>
                <w:rFonts w:ascii="Arial" w:cs="Arial" w:eastAsia="Arial" w:hAnsi="Arial"/>
                <w:sz w:val="16"/>
                <w:szCs w:val="16"/>
                <w:color w:val="auto"/>
              </w:rPr>
              <w:t>Michael E. Fetsko</w:t>
            </w:r>
          </w:p>
        </w:tc>
        <w:tc>
          <w:tcPr>
            <w:tcW w:w="1240" w:type="dxa"/>
            <w:vAlign w:val="bottom"/>
          </w:tcPr>
          <w:p>
            <w:pPr>
              <w:jc w:val="center"/>
              <w:ind w:left="401"/>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President, Freight and Industrial Components</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Pascal Schweitzer</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45</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President, Freight Services</w:t>
            </w:r>
          </w:p>
        </w:tc>
      </w:tr>
      <w:tr>
        <w:trPr>
          <w:trHeight w:val="206"/>
        </w:trPr>
        <w:tc>
          <w:tcPr>
            <w:tcW w:w="3960" w:type="dxa"/>
            <w:vAlign w:val="bottom"/>
            <w:gridSpan w:val="2"/>
          </w:tcPr>
          <w:p>
            <w:pPr>
              <w:ind w:left="500"/>
              <w:spacing w:after="0"/>
              <w:rPr>
                <w:sz w:val="20"/>
                <w:szCs w:val="20"/>
                <w:color w:val="auto"/>
              </w:rPr>
            </w:pPr>
            <w:r>
              <w:rPr>
                <w:rFonts w:ascii="Arial" w:cs="Arial" w:eastAsia="Arial" w:hAnsi="Arial"/>
                <w:sz w:val="16"/>
                <w:szCs w:val="16"/>
                <w:color w:val="auto"/>
              </w:rPr>
              <w:t>Rogerio Mendonca</w:t>
            </w:r>
          </w:p>
        </w:tc>
        <w:tc>
          <w:tcPr>
            <w:tcW w:w="1240" w:type="dxa"/>
            <w:vAlign w:val="bottom"/>
          </w:tcPr>
          <w:p>
            <w:pPr>
              <w:jc w:val="center"/>
              <w:ind w:left="401"/>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President, Freight Equipment</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Nalin Jain</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President, Digital Electronics</w:t>
            </w:r>
          </w:p>
        </w:tc>
      </w:tr>
      <w:tr>
        <w:trPr>
          <w:trHeight w:val="206"/>
        </w:trPr>
        <w:tc>
          <w:tcPr>
            <w:tcW w:w="3960" w:type="dxa"/>
            <w:vAlign w:val="bottom"/>
            <w:gridSpan w:val="2"/>
          </w:tcPr>
          <w:p>
            <w:pPr>
              <w:ind w:left="500"/>
              <w:spacing w:after="0"/>
              <w:rPr>
                <w:sz w:val="20"/>
                <w:szCs w:val="20"/>
                <w:color w:val="auto"/>
              </w:rPr>
            </w:pPr>
            <w:r>
              <w:rPr>
                <w:rFonts w:ascii="Arial" w:cs="Arial" w:eastAsia="Arial" w:hAnsi="Arial"/>
                <w:sz w:val="16"/>
                <w:szCs w:val="16"/>
                <w:color w:val="auto"/>
              </w:rPr>
              <w:t>Lillian Leroux</w:t>
            </w:r>
          </w:p>
        </w:tc>
        <w:tc>
          <w:tcPr>
            <w:tcW w:w="1240" w:type="dxa"/>
            <w:vAlign w:val="bottom"/>
          </w:tcPr>
          <w:p>
            <w:pPr>
              <w:jc w:val="center"/>
              <w:ind w:left="401"/>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President, Transit</w:t>
            </w:r>
          </w:p>
        </w:tc>
      </w:tr>
      <w:tr>
        <w:trPr>
          <w:trHeight w:val="213"/>
        </w:trPr>
        <w:tc>
          <w:tcPr>
            <w:tcW w:w="39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John A. Mastalerz</w:t>
            </w:r>
          </w:p>
        </w:tc>
        <w:tc>
          <w:tcPr>
            <w:tcW w:w="124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Vice President of Finance and Chief Accounting Officer</w:t>
            </w:r>
          </w:p>
        </w:tc>
      </w:tr>
    </w:tbl>
    <w:p>
      <w:pPr>
        <w:spacing w:after="0" w:line="236"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i w:val="1"/>
          <w:iCs w:val="1"/>
          <w:color w:val="auto"/>
        </w:rPr>
        <w:t xml:space="preserve">Rafael Santana </w:t>
      </w:r>
      <w:r>
        <w:rPr>
          <w:rFonts w:ascii="Arial" w:cs="Arial" w:eastAsia="Arial" w:hAnsi="Arial"/>
          <w:sz w:val="17"/>
          <w:szCs w:val="17"/>
          <w:color w:val="auto"/>
        </w:rPr>
        <w:t>was named President and Chief Executive Officer of the Company effective July 1, 2019. Previously, he served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7" w:lineRule="exact"/>
        <w:rPr>
          <w:sz w:val="20"/>
          <w:szCs w:val="20"/>
          <w:color w:val="auto"/>
        </w:rPr>
      </w:pPr>
    </w:p>
    <w:p>
      <w:pPr>
        <w:ind w:right="40" w:firstLine="472"/>
        <w:spacing w:after="0" w:line="273" w:lineRule="auto"/>
        <w:rPr>
          <w:sz w:val="20"/>
          <w:szCs w:val="20"/>
          <w:color w:val="auto"/>
        </w:rPr>
      </w:pPr>
      <w:r>
        <w:rPr>
          <w:rFonts w:ascii="Arial" w:cs="Arial" w:eastAsia="Arial" w:hAnsi="Arial"/>
          <w:sz w:val="17"/>
          <w:szCs w:val="17"/>
          <w:i w:val="1"/>
          <w:iCs w:val="1"/>
          <w:color w:val="auto"/>
        </w:rPr>
        <w:t xml:space="preserve">David L. DeNinno </w:t>
      </w:r>
      <w:r>
        <w:rPr>
          <w:rFonts w:ascii="Arial" w:cs="Arial" w:eastAsia="Arial" w:hAnsi="Arial"/>
          <w:sz w:val="17"/>
          <w:szCs w:val="17"/>
          <w:color w:val="auto"/>
        </w:rPr>
        <w:t>was named Executive Vice President, General Counsel and Secretary of the Company effective December 2016. Previously, Mr.</w:t>
      </w:r>
      <w:r>
        <w:rPr>
          <w:rFonts w:ascii="Arial" w:cs="Arial" w:eastAsia="Arial" w:hAnsi="Arial"/>
          <w:sz w:val="17"/>
          <w:szCs w:val="17"/>
          <w:i w:val="1"/>
          <w:iCs w:val="1"/>
          <w:color w:val="auto"/>
        </w:rPr>
        <w:t xml:space="preserve"> </w:t>
      </w:r>
      <w:r>
        <w:rPr>
          <w:rFonts w:ascii="Arial" w:cs="Arial" w:eastAsia="Arial" w:hAnsi="Arial"/>
          <w:sz w:val="17"/>
          <w:szCs w:val="17"/>
          <w:color w:val="auto"/>
        </w:rPr>
        <w:t>DeNinno served as Senior Vice President, General Counsel and Secretary since February 2012. Previously, Mr. DeNinno served as a partner at K&amp;L Gates LLP since May 2011 and prior to that with Reed Smith LLP.</w:t>
      </w:r>
    </w:p>
    <w:p>
      <w:pPr>
        <w:spacing w:after="0" w:line="66" w:lineRule="exact"/>
        <w:rPr>
          <w:sz w:val="20"/>
          <w:szCs w:val="20"/>
          <w:color w:val="auto"/>
        </w:rPr>
      </w:pPr>
    </w:p>
    <w:p>
      <w:pPr>
        <w:ind w:right="100" w:firstLine="472"/>
        <w:spacing w:after="0" w:line="265" w:lineRule="auto"/>
        <w:rPr>
          <w:sz w:val="20"/>
          <w:szCs w:val="20"/>
          <w:color w:val="auto"/>
        </w:rPr>
      </w:pPr>
      <w:r>
        <w:rPr>
          <w:rFonts w:ascii="Arial" w:cs="Arial" w:eastAsia="Arial" w:hAnsi="Arial"/>
          <w:sz w:val="17"/>
          <w:szCs w:val="17"/>
          <w:i w:val="1"/>
          <w:iCs w:val="1"/>
          <w:color w:val="auto"/>
        </w:rPr>
        <w:t xml:space="preserve">John A. Olin </w:t>
      </w:r>
      <w:r>
        <w:rPr>
          <w:rFonts w:ascii="Arial" w:cs="Arial" w:eastAsia="Arial" w:hAnsi="Arial"/>
          <w:sz w:val="17"/>
          <w:szCs w:val="17"/>
          <w:color w:val="auto"/>
        </w:rPr>
        <w:t>was named Executive Vice President and Chief Financial Officer effective October 1, 2021. Prior to joining Wabtec, Mr. Olin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and Chief Financial Officer of Harley-Davidson, where he was instrumental in driving strategic change amidst significant market disruption, including reshaping the company. Prior to Harley-Davidson, Mr. Olin served as Controller of Kraft Foods' Cheese Division, and had 12 years of financial leadership at Kraft, Oscar Mayer Foods, and Miller Brewing Company. Mr. Olin also held positions with financial services and specialized consulting firms including Ernst and Whinney (now Ernst and Young).</w:t>
      </w:r>
    </w:p>
    <w:p>
      <w:pPr>
        <w:spacing w:after="0" w:line="73" w:lineRule="exact"/>
        <w:rPr>
          <w:sz w:val="20"/>
          <w:szCs w:val="20"/>
          <w:color w:val="auto"/>
        </w:rPr>
      </w:pPr>
    </w:p>
    <w:p>
      <w:pPr>
        <w:ind w:firstLine="472"/>
        <w:spacing w:after="0" w:line="289" w:lineRule="auto"/>
        <w:rPr>
          <w:sz w:val="20"/>
          <w:szCs w:val="20"/>
          <w:color w:val="auto"/>
        </w:rPr>
      </w:pPr>
      <w:r>
        <w:rPr>
          <w:rFonts w:ascii="Arial" w:cs="Arial" w:eastAsia="Arial" w:hAnsi="Arial"/>
          <w:sz w:val="16"/>
          <w:szCs w:val="16"/>
          <w:i w:val="1"/>
          <w:iCs w:val="1"/>
          <w:color w:val="auto"/>
        </w:rPr>
        <w:t xml:space="preserve">Nicole Theophilus </w:t>
      </w:r>
      <w:r>
        <w:rPr>
          <w:rFonts w:ascii="Arial" w:cs="Arial" w:eastAsia="Arial" w:hAnsi="Arial"/>
          <w:sz w:val="16"/>
          <w:szCs w:val="16"/>
          <w:color w:val="auto"/>
        </w:rPr>
        <w:t>was named Executive Vice President &amp; Chief Human Resource Officer in October 2020. Prior to joining Wabtec, Ms. Theophilus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most recently as Chief Human Resource Officer of West Corporation from March 2016 through February 201. Previously she served as Executive Vice President and Chief Human Resource Officer, Vice President of Human Resources and Vice President and Chief Employment Counsel of ConAgra Corporation, where she was employed from 2006 through 2015. Prior to 2006, Ms. Theophilus was a partner with the law firm Husch Blackwell.</w:t>
      </w:r>
    </w:p>
    <w:p>
      <w:pPr>
        <w:spacing w:after="0" w:line="57" w:lineRule="exact"/>
        <w:rPr>
          <w:sz w:val="20"/>
          <w:szCs w:val="20"/>
          <w:color w:val="auto"/>
        </w:rPr>
      </w:pPr>
    </w:p>
    <w:p>
      <w:pPr>
        <w:ind w:right="40" w:firstLine="472"/>
        <w:spacing w:after="0" w:line="265" w:lineRule="auto"/>
        <w:rPr>
          <w:sz w:val="20"/>
          <w:szCs w:val="20"/>
          <w:color w:val="auto"/>
        </w:rPr>
      </w:pPr>
      <w:r>
        <w:rPr>
          <w:rFonts w:ascii="Arial" w:cs="Arial" w:eastAsia="Arial" w:hAnsi="Arial"/>
          <w:sz w:val="17"/>
          <w:szCs w:val="17"/>
          <w:i w:val="1"/>
          <w:iCs w:val="1"/>
          <w:color w:val="auto"/>
        </w:rPr>
        <w:t xml:space="preserve">Eric Gebhardt </w:t>
      </w:r>
      <w:r>
        <w:rPr>
          <w:rFonts w:ascii="Arial" w:cs="Arial" w:eastAsia="Arial" w:hAnsi="Arial"/>
          <w:sz w:val="17"/>
          <w:szCs w:val="17"/>
          <w:color w:val="auto"/>
        </w:rPr>
        <w:t>was named Executive Vice President and Chief Technology Officer in October 2020. Prior to joining Wabtec, Mr. Gebhardt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of KCK-US from May 2019 through September 2020. He also served in a variety of roles with General Electric including Chief Technology Officer of GE Power from August 2017 through January 2019, Chief Product Management Officer for GE Energy Connections from February 2017 through August 2017, Chief Platforms and Operations Officer for Current from January 2016 through January 2017, and Chief Technology Officer for GE Oil &amp; Gas from October 2012 through December 2015.</w:t>
      </w:r>
    </w:p>
    <w:p>
      <w:pPr>
        <w:spacing w:after="0" w:line="73"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i w:val="1"/>
          <w:iCs w:val="1"/>
          <w:color w:val="auto"/>
        </w:rPr>
        <w:t xml:space="preserve">Gina Trombley </w:t>
      </w:r>
      <w:r>
        <w:rPr>
          <w:rFonts w:ascii="Arial" w:cs="Arial" w:eastAsia="Arial" w:hAnsi="Arial"/>
          <w:sz w:val="17"/>
          <w:szCs w:val="17"/>
          <w:color w:val="auto"/>
        </w:rPr>
        <w:t>was named Executive Vice President, Sales &amp; Marketing &amp; Chief Commercial Officer - Americas, effective September 8, 2020.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Wabtec, Ms. Trombley served in various executive roles at Bombardier Transportation from 2017 to 2019, most recently as Vice President of Services and previously as Vice President Sales for Bombardier Transport - Americas. Ms. Trombley also held progressive commercial and marketing leadership roles at Parsons and GE Transportation.</w:t>
      </w:r>
    </w:p>
    <w:p>
      <w:pPr>
        <w:spacing w:after="0" w:line="73" w:lineRule="exact"/>
        <w:rPr>
          <w:sz w:val="20"/>
          <w:szCs w:val="20"/>
          <w:color w:val="auto"/>
        </w:rPr>
      </w:pPr>
    </w:p>
    <w:p>
      <w:pPr>
        <w:ind w:right="80" w:firstLine="472"/>
        <w:spacing w:after="0" w:line="289" w:lineRule="auto"/>
        <w:rPr>
          <w:sz w:val="20"/>
          <w:szCs w:val="20"/>
          <w:color w:val="auto"/>
        </w:rPr>
      </w:pPr>
      <w:r>
        <w:rPr>
          <w:rFonts w:ascii="Arial" w:cs="Arial" w:eastAsia="Arial" w:hAnsi="Arial"/>
          <w:sz w:val="17"/>
          <w:szCs w:val="17"/>
          <w:i w:val="1"/>
          <w:iCs w:val="1"/>
          <w:color w:val="auto"/>
        </w:rPr>
        <w:t xml:space="preserve">Greg Sbrocco </w:t>
      </w:r>
      <w:r>
        <w:rPr>
          <w:rFonts w:ascii="Arial" w:cs="Arial" w:eastAsia="Arial" w:hAnsi="Arial"/>
          <w:sz w:val="17"/>
          <w:szCs w:val="17"/>
          <w:color w:val="auto"/>
        </w:rPr>
        <w:t>was named Executive Vice President, Global Operations in February 2019. Prior to this, Mr. Sbrocco was Global Supply Chain Leader for</w:t>
      </w:r>
      <w:r>
        <w:rPr>
          <w:rFonts w:ascii="Arial" w:cs="Arial" w:eastAsia="Arial" w:hAnsi="Arial"/>
          <w:sz w:val="17"/>
          <w:szCs w:val="17"/>
          <w:i w:val="1"/>
          <w:iCs w:val="1"/>
          <w:color w:val="auto"/>
        </w:rPr>
        <w:t xml:space="preserve"> </w:t>
      </w:r>
      <w:r>
        <w:rPr>
          <w:rFonts w:ascii="Arial" w:cs="Arial" w:eastAsia="Arial" w:hAnsi="Arial"/>
          <w:sz w:val="17"/>
          <w:szCs w:val="17"/>
          <w:color w:val="auto"/>
        </w:rPr>
        <w:t>GE Transportation since September 2014. Mr. Sbrocco had been with GE since 1992 when he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5" w:name="page16"/>
    <w:bookmarkEnd w:id="15"/>
    <w:p>
      <w:pPr>
        <w:ind w:right="160"/>
        <w:spacing w:after="0" w:line="289" w:lineRule="auto"/>
        <w:rPr>
          <w:sz w:val="20"/>
          <w:szCs w:val="20"/>
          <w:color w:val="auto"/>
        </w:rPr>
      </w:pPr>
      <w:r>
        <w:rPr>
          <w:rFonts w:ascii="Arial" w:cs="Arial" w:eastAsia="Arial" w:hAnsi="Arial"/>
          <w:sz w:val="17"/>
          <w:szCs w:val="17"/>
          <w:color w:val="auto"/>
        </w:rPr>
        <w:t>joined as an Environmental Engineer for the GE Energy business. During his tenure with GE, Mr. Sbrocco held several leadership roles in GE Energy, GE Oil and Gas, and GE Transportation.</w:t>
      </w:r>
    </w:p>
    <w:p>
      <w:pPr>
        <w:spacing w:after="0" w:line="53" w:lineRule="exact"/>
        <w:rPr>
          <w:sz w:val="20"/>
          <w:szCs w:val="20"/>
          <w:color w:val="auto"/>
        </w:rPr>
      </w:pPr>
    </w:p>
    <w:p>
      <w:pPr>
        <w:ind w:right="60" w:firstLine="472"/>
        <w:spacing w:after="0" w:line="267" w:lineRule="auto"/>
        <w:rPr>
          <w:sz w:val="20"/>
          <w:szCs w:val="20"/>
          <w:color w:val="auto"/>
        </w:rPr>
      </w:pPr>
      <w:r>
        <w:rPr>
          <w:rFonts w:ascii="Arial" w:cs="Arial" w:eastAsia="Arial" w:hAnsi="Arial"/>
          <w:sz w:val="17"/>
          <w:szCs w:val="17"/>
          <w:i w:val="1"/>
          <w:iCs w:val="1"/>
          <w:color w:val="auto"/>
        </w:rPr>
        <w:t xml:space="preserve">Michael E. Fetsko </w:t>
      </w:r>
      <w:r>
        <w:rPr>
          <w:rFonts w:ascii="Arial" w:cs="Arial" w:eastAsia="Arial" w:hAnsi="Arial"/>
          <w:sz w:val="17"/>
          <w:szCs w:val="17"/>
          <w:color w:val="auto"/>
        </w:rPr>
        <w:t>was named President, Freight and Industrial Components effective January 2017. Previously, Mr. Fetsko served as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73" w:lineRule="exact"/>
        <w:rPr>
          <w:sz w:val="20"/>
          <w:szCs w:val="20"/>
          <w:color w:val="auto"/>
        </w:rPr>
      </w:pPr>
    </w:p>
    <w:p>
      <w:pPr>
        <w:ind w:right="60" w:firstLine="472"/>
        <w:spacing w:after="0" w:line="273" w:lineRule="auto"/>
        <w:rPr>
          <w:sz w:val="20"/>
          <w:szCs w:val="20"/>
          <w:color w:val="auto"/>
        </w:rPr>
      </w:pPr>
      <w:r>
        <w:rPr>
          <w:rFonts w:ascii="Arial" w:cs="Arial" w:eastAsia="Arial" w:hAnsi="Arial"/>
          <w:sz w:val="17"/>
          <w:szCs w:val="17"/>
          <w:i w:val="1"/>
          <w:iCs w:val="1"/>
          <w:color w:val="auto"/>
        </w:rPr>
        <w:t xml:space="preserve">Pascal Schweitzer </w:t>
      </w:r>
      <w:r>
        <w:rPr>
          <w:rFonts w:ascii="Arial" w:cs="Arial" w:eastAsia="Arial" w:hAnsi="Arial"/>
          <w:sz w:val="17"/>
          <w:szCs w:val="17"/>
          <w:color w:val="auto"/>
        </w:rPr>
        <w:t>was named President, Freight Services in February 2019. Previously Mr. Schweitzer was the Vice President—Services of GE</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since April 2017. He served as General Manger – Europe – Power Services for GE Power from November 2015 through April 2017 and prior to that several positions with Alstom Power.</w:t>
      </w:r>
    </w:p>
    <w:p>
      <w:pPr>
        <w:spacing w:after="0" w:line="66" w:lineRule="exact"/>
        <w:rPr>
          <w:sz w:val="20"/>
          <w:szCs w:val="20"/>
          <w:color w:val="auto"/>
        </w:rPr>
      </w:pPr>
    </w:p>
    <w:p>
      <w:pPr>
        <w:ind w:firstLine="472"/>
        <w:spacing w:after="0" w:line="273" w:lineRule="auto"/>
        <w:rPr>
          <w:sz w:val="20"/>
          <w:szCs w:val="20"/>
          <w:color w:val="auto"/>
        </w:rPr>
      </w:pPr>
      <w:r>
        <w:rPr>
          <w:rFonts w:ascii="Arial" w:cs="Arial" w:eastAsia="Arial" w:hAnsi="Arial"/>
          <w:sz w:val="17"/>
          <w:szCs w:val="17"/>
          <w:i w:val="1"/>
          <w:iCs w:val="1"/>
          <w:color w:val="auto"/>
        </w:rPr>
        <w:t xml:space="preserve">Rogerio Mendonca </w:t>
      </w:r>
      <w:r>
        <w:rPr>
          <w:rFonts w:ascii="Arial" w:cs="Arial" w:eastAsia="Arial" w:hAnsi="Arial"/>
          <w:sz w:val="17"/>
          <w:szCs w:val="17"/>
          <w:color w:val="auto"/>
        </w:rPr>
        <w:t>was named President, Freight Equipment in February 2021. Previously Mr. Mendonca served as Vice President for Baker Hughes</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2017. Prior to that he served as President of GE Transportation in Latin America from April 2016 through July 2017 and in several roles leading up to that including Commercial Director and Service Operations General Manager.</w:t>
      </w:r>
    </w:p>
    <w:p>
      <w:pPr>
        <w:spacing w:after="0" w:line="66"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i w:val="1"/>
          <w:iCs w:val="1"/>
          <w:color w:val="auto"/>
        </w:rPr>
        <w:t xml:space="preserve">Nalin Jain </w:t>
      </w:r>
      <w:r>
        <w:rPr>
          <w:rFonts w:ascii="Arial" w:cs="Arial" w:eastAsia="Arial" w:hAnsi="Arial"/>
          <w:sz w:val="17"/>
          <w:szCs w:val="17"/>
          <w:color w:val="auto"/>
        </w:rPr>
        <w:t>was named President, Digital Electronics business effective December 2020. Mr. Jain had served as President, Global Equipment since May</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previously as President &amp; CEO, International Markets since Aug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73" w:lineRule="exact"/>
        <w:rPr>
          <w:sz w:val="20"/>
          <w:szCs w:val="20"/>
          <w:color w:val="auto"/>
        </w:rPr>
      </w:pPr>
    </w:p>
    <w:p>
      <w:pPr>
        <w:ind w:right="360" w:firstLine="472"/>
        <w:spacing w:after="0" w:line="322" w:lineRule="auto"/>
        <w:rPr>
          <w:sz w:val="20"/>
          <w:szCs w:val="20"/>
          <w:color w:val="auto"/>
        </w:rPr>
      </w:pPr>
      <w:r>
        <w:rPr>
          <w:rFonts w:ascii="Arial" w:cs="Arial" w:eastAsia="Arial" w:hAnsi="Arial"/>
          <w:sz w:val="16"/>
          <w:szCs w:val="16"/>
          <w:i w:val="1"/>
          <w:iCs w:val="1"/>
          <w:color w:val="auto"/>
        </w:rPr>
        <w:t xml:space="preserve">Lilian Leroux </w:t>
      </w:r>
      <w:r>
        <w:rPr>
          <w:rFonts w:ascii="Arial" w:cs="Arial" w:eastAsia="Arial" w:hAnsi="Arial"/>
          <w:sz w:val="16"/>
          <w:szCs w:val="16"/>
          <w:color w:val="auto"/>
        </w:rPr>
        <w:t>was named President, Transit effective March 2019. Previously he served as Group President—Brakes &amp; Safety from January 2017 to</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2019. Prior to that, Mr. Leroux held various executive management roles with Faiveley Transport, starting in January 2001.</w:t>
      </w:r>
    </w:p>
    <w:p>
      <w:pPr>
        <w:spacing w:after="0" w:line="30" w:lineRule="exact"/>
        <w:rPr>
          <w:sz w:val="20"/>
          <w:szCs w:val="20"/>
          <w:color w:val="auto"/>
        </w:rPr>
      </w:pPr>
    </w:p>
    <w:p>
      <w:pPr>
        <w:ind w:right="60" w:firstLine="472"/>
        <w:spacing w:after="0" w:line="265" w:lineRule="auto"/>
        <w:rPr>
          <w:sz w:val="20"/>
          <w:szCs w:val="20"/>
          <w:color w:val="auto"/>
        </w:rPr>
      </w:pPr>
      <w:r>
        <w:rPr>
          <w:rFonts w:ascii="Arial" w:cs="Arial" w:eastAsia="Arial" w:hAnsi="Arial"/>
          <w:sz w:val="17"/>
          <w:szCs w:val="17"/>
          <w:i w:val="1"/>
          <w:iCs w:val="1"/>
          <w:color w:val="auto"/>
        </w:rPr>
        <w:t xml:space="preserve">John A. Mastalerz </w:t>
      </w:r>
      <w:r>
        <w:rPr>
          <w:rFonts w:ascii="Arial" w:cs="Arial" w:eastAsia="Arial" w:hAnsi="Arial"/>
          <w:sz w:val="17"/>
          <w:szCs w:val="17"/>
          <w:color w:val="auto"/>
        </w:rPr>
        <w:t>was named Senior Vice President of Finance and Chief Accounting Officer in February 2020. Previously, Mr. Mastalerz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34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 AND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key customers.</w:t>
      </w:r>
    </w:p>
    <w:p>
      <w:pPr>
        <w:spacing w:after="0" w:line="119" w:lineRule="exact"/>
        <w:rPr>
          <w:sz w:val="20"/>
          <w:szCs w:val="20"/>
          <w:color w:val="auto"/>
        </w:rPr>
      </w:pPr>
    </w:p>
    <w:p>
      <w:pPr>
        <w:ind w:right="80" w:firstLine="472"/>
        <w:spacing w:after="0" w:line="261" w:lineRule="auto"/>
        <w:rPr>
          <w:sz w:val="20"/>
          <w:szCs w:val="20"/>
          <w:color w:val="auto"/>
        </w:rPr>
      </w:pPr>
      <w:r>
        <w:rPr>
          <w:rFonts w:ascii="Arial" w:cs="Arial" w:eastAsia="Arial" w:hAnsi="Arial"/>
          <w:sz w:val="17"/>
          <w:szCs w:val="17"/>
          <w:color w:val="auto"/>
        </w:rPr>
        <w:t>We rely on several key customers who represent a significant portion of our business. While we believe our relationships with our customers are generally good, our top customers could choose to reduce or terminate their relationships with Wabtec.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operates in a highly competitive industry.</w:t>
      </w:r>
    </w:p>
    <w:p>
      <w:pPr>
        <w:spacing w:after="0" w:line="119" w:lineRule="exact"/>
        <w:rPr>
          <w:sz w:val="20"/>
          <w:szCs w:val="20"/>
          <w:color w:val="auto"/>
        </w:rPr>
      </w:pPr>
    </w:p>
    <w:p>
      <w:pPr>
        <w:ind w:right="80" w:firstLine="472"/>
        <w:spacing w:after="0" w:line="262" w:lineRule="auto"/>
        <w:rPr>
          <w:sz w:val="20"/>
          <w:szCs w:val="20"/>
          <w:color w:val="auto"/>
        </w:rPr>
      </w:pPr>
      <w:r>
        <w:rPr>
          <w:rFonts w:ascii="Arial" w:cs="Arial" w:eastAsia="Arial" w:hAnsi="Arial"/>
          <w:sz w:val="17"/>
          <w:szCs w:val="17"/>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 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A failure to predict and react to customer demand could adversely affect our business.</w:t>
      </w:r>
    </w:p>
    <w:p>
      <w:pPr>
        <w:spacing w:after="0" w:line="119" w:lineRule="exact"/>
        <w:rPr>
          <w:sz w:val="20"/>
          <w:szCs w:val="20"/>
          <w:color w:val="auto"/>
        </w:rPr>
      </w:pPr>
    </w:p>
    <w:p>
      <w:pPr>
        <w:ind w:right="240" w:firstLine="472"/>
        <w:spacing w:after="0" w:line="267" w:lineRule="auto"/>
        <w:rPr>
          <w:sz w:val="20"/>
          <w:szCs w:val="20"/>
          <w:color w:val="auto"/>
        </w:rPr>
      </w:pPr>
      <w:r>
        <w:rPr>
          <w:rFonts w:ascii="Arial" w:cs="Arial" w:eastAsia="Arial" w:hAnsi="Arial"/>
          <w:sz w:val="17"/>
          <w:szCs w:val="17"/>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3" w:lineRule="exact"/>
        <w:rPr>
          <w:sz w:val="20"/>
          <w:szCs w:val="20"/>
          <w:color w:val="auto"/>
        </w:rPr>
      </w:pPr>
    </w:p>
    <w:p>
      <w:pPr>
        <w:ind w:right="120" w:firstLine="472"/>
        <w:spacing w:after="0" w:line="263" w:lineRule="auto"/>
        <w:rPr>
          <w:sz w:val="20"/>
          <w:szCs w:val="20"/>
          <w:color w:val="auto"/>
        </w:rPr>
      </w:pPr>
      <w:r>
        <w:rPr>
          <w:rFonts w:ascii="Arial" w:cs="Arial" w:eastAsia="Arial" w:hAnsi="Arial"/>
          <w:sz w:val="17"/>
          <w:szCs w:val="17"/>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77" w:lineRule="exact"/>
        <w:rPr>
          <w:sz w:val="20"/>
          <w:szCs w:val="20"/>
          <w:color w:val="auto"/>
        </w:rPr>
      </w:pPr>
    </w:p>
    <w:p>
      <w:pPr>
        <w:ind w:right="500" w:firstLine="472"/>
        <w:spacing w:after="0" w:line="289" w:lineRule="auto"/>
        <w:rPr>
          <w:sz w:val="20"/>
          <w:szCs w:val="20"/>
          <w:color w:val="auto"/>
        </w:rPr>
      </w:pPr>
      <w:r>
        <w:rPr>
          <w:rFonts w:ascii="Arial" w:cs="Arial" w:eastAsia="Arial" w:hAnsi="Arial"/>
          <w:sz w:val="17"/>
          <w:szCs w:val="17"/>
          <w:color w:val="auto"/>
        </w:rPr>
        <w:t>Failure to accurately predict and react to customer demand could have a material adverse effect on our business, results of operations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respond adequately or in a timely manner to innovative changes in new technology.</w:t>
      </w:r>
    </w:p>
    <w:p>
      <w:pPr>
        <w:spacing w:after="0" w:line="119" w:lineRule="exact"/>
        <w:rPr>
          <w:sz w:val="20"/>
          <w:szCs w:val="20"/>
          <w:color w:val="auto"/>
        </w:rPr>
      </w:pPr>
    </w:p>
    <w:p>
      <w:pPr>
        <w:ind w:right="140" w:firstLine="472"/>
        <w:spacing w:after="0" w:line="285" w:lineRule="auto"/>
        <w:rPr>
          <w:sz w:val="20"/>
          <w:szCs w:val="20"/>
          <w:color w:val="auto"/>
        </w:rPr>
      </w:pPr>
      <w:r>
        <w:rPr>
          <w:rFonts w:ascii="Arial" w:cs="Arial" w:eastAsia="Arial" w:hAnsi="Arial"/>
          <w:sz w:val="16"/>
          <w:szCs w:val="16"/>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revenues are subject to cyclical variations in the railway and passenger transit markets and changes in government spending.</w:t>
      </w:r>
    </w:p>
    <w:p>
      <w:pPr>
        <w:spacing w:after="0" w:line="15" w:lineRule="exact"/>
        <w:rPr>
          <w:sz w:val="20"/>
          <w:szCs w:val="20"/>
          <w:color w:val="auto"/>
        </w:rPr>
      </w:pPr>
    </w:p>
    <w:p>
      <w:pPr>
        <w:ind w:right="120" w:firstLine="472"/>
        <w:spacing w:after="0" w:line="271" w:lineRule="auto"/>
        <w:rPr>
          <w:sz w:val="20"/>
          <w:szCs w:val="20"/>
          <w:color w:val="auto"/>
        </w:rPr>
      </w:pPr>
      <w:r>
        <w:rPr>
          <w:rFonts w:ascii="Arial" w:cs="Arial" w:eastAsia="Arial" w:hAnsi="Arial"/>
          <w:sz w:val="15"/>
          <w:szCs w:val="15"/>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For example, the economic slowdown that was caused by COVID-19 impacted the timing of some orders, as customers deferred the delivery of some goods and services to future years. Reductions in freight traffic may reduce demand for our replacement products.</w:t>
      </w:r>
    </w:p>
    <w:p>
      <w:pPr>
        <w:spacing w:after="0" w:line="58" w:lineRule="exact"/>
        <w:rPr>
          <w:sz w:val="20"/>
          <w:szCs w:val="20"/>
          <w:color w:val="auto"/>
        </w:rPr>
      </w:pPr>
    </w:p>
    <w:p>
      <w:pPr>
        <w:ind w:right="100" w:firstLine="472"/>
        <w:spacing w:after="0" w:line="283" w:lineRule="auto"/>
        <w:rPr>
          <w:sz w:val="20"/>
          <w:szCs w:val="20"/>
          <w:color w:val="auto"/>
        </w:rPr>
      </w:pPr>
      <w:r>
        <w:rPr>
          <w:rFonts w:ascii="Arial" w:cs="Arial" w:eastAsia="Arial" w:hAnsi="Arial"/>
          <w:sz w:val="16"/>
          <w:szCs w:val="16"/>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Wabtec.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is not necessarily indicative of the level of our future revenues.</w:t>
      </w:r>
    </w:p>
    <w:p>
      <w:pPr>
        <w:spacing w:after="0" w:line="15" w:lineRule="exact"/>
        <w:rPr>
          <w:sz w:val="20"/>
          <w:szCs w:val="20"/>
          <w:color w:val="auto"/>
        </w:rPr>
      </w:pPr>
    </w:p>
    <w:p>
      <w:pPr>
        <w:ind w:firstLine="472"/>
        <w:spacing w:after="0" w:line="244" w:lineRule="auto"/>
        <w:rPr>
          <w:sz w:val="20"/>
          <w:szCs w:val="20"/>
          <w:color w:val="auto"/>
        </w:rPr>
      </w:pPr>
      <w:r>
        <w:rPr>
          <w:rFonts w:ascii="Arial" w:cs="Arial" w:eastAsia="Arial" w:hAnsi="Arial"/>
          <w:sz w:val="16"/>
          <w:szCs w:val="16"/>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 For example, although the Company saw no material cancellations of backlog during the year ended December 31, 2021, the economic slowdown that was caused by COVID-19 did impact the timing of some orders in backlog as the delivery of goods and services previously expected to be completed in the current year were pushed out to subsequent periods.</w:t>
      </w:r>
    </w:p>
    <w:p>
      <w:pPr>
        <w:spacing w:after="0" w:line="78"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53"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color w:val="auto"/>
        </w:rPr>
        <w:t>All of our facilities, equipment, supply chains, distribution systems and information technology systems are subject to the risk of catastrophic loss due to unanticipated events, such as cyber attacks,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7" w:name="page18"/>
    <w:bookmarkEnd w:id="17"/>
    <w:p>
      <w:pPr>
        <w:ind w:right="120" w:firstLine="472"/>
        <w:spacing w:after="0" w:line="273" w:lineRule="auto"/>
        <w:rPr>
          <w:sz w:val="20"/>
          <w:szCs w:val="20"/>
          <w:color w:val="auto"/>
        </w:rPr>
      </w:pPr>
      <w:r>
        <w:rPr>
          <w:rFonts w:ascii="Arial" w:cs="Arial" w:eastAsia="Arial" w:hAnsi="Arial"/>
          <w:sz w:val="17"/>
          <w:szCs w:val="17"/>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 of our supply chain could have an adverse impact on our business, financial condition, and results of operations.</w:t>
      </w:r>
    </w:p>
    <w:p>
      <w:pPr>
        <w:spacing w:after="0" w:line="119" w:lineRule="exact"/>
        <w:rPr>
          <w:sz w:val="20"/>
          <w:szCs w:val="20"/>
          <w:color w:val="auto"/>
        </w:rPr>
      </w:pPr>
    </w:p>
    <w:p>
      <w:pPr>
        <w:ind w:right="40" w:firstLine="472"/>
        <w:spacing w:after="0" w:line="279" w:lineRule="auto"/>
        <w:rPr>
          <w:sz w:val="20"/>
          <w:szCs w:val="20"/>
          <w:color w:val="auto"/>
        </w:rPr>
      </w:pPr>
      <w:r>
        <w:rPr>
          <w:rFonts w:ascii="Arial" w:cs="Arial" w:eastAsia="Arial" w:hAnsi="Arial"/>
          <w:sz w:val="16"/>
          <w:szCs w:val="16"/>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Due to the ongoing impacts and uncertainty of continued impacts of the COVID-19 pandemic and the global government actions to contain it, some of our supply chains, particularly in China, India, the U.S., and Europe, have been, and continue to be, impacted. Supply chain disruptions and labor availability have caused component and chip shortages resulting in an adverse effect on the timing of the Company’s revenue generation. Additionally, broad-based inflation, escalation of metals and commodities costs, transportation and logistics costs and labor costs have all resulted from the COVID-19 pandemic. There can be no assurance that there will not be further, or deeper, supply chain disruptions, or that the steps we are taking to mitigate such disruptions will be effective or achieve their desired results in a timely fashion.</w:t>
      </w:r>
    </w:p>
    <w:p>
      <w:pPr>
        <w:spacing w:after="0" w:line="66" w:lineRule="exact"/>
        <w:rPr>
          <w:sz w:val="20"/>
          <w:szCs w:val="20"/>
          <w:color w:val="auto"/>
        </w:rPr>
      </w:pPr>
    </w:p>
    <w:p>
      <w:pPr>
        <w:ind w:right="40" w:firstLine="472"/>
        <w:spacing w:after="0" w:line="289" w:lineRule="auto"/>
        <w:rPr>
          <w:sz w:val="20"/>
          <w:szCs w:val="20"/>
          <w:color w:val="auto"/>
        </w:rPr>
      </w:pPr>
      <w:r>
        <w:rPr>
          <w:rFonts w:ascii="Arial" w:cs="Arial" w:eastAsia="Arial" w:hAnsi="Arial"/>
          <w:sz w:val="17"/>
          <w:szCs w:val="17"/>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53"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We intend to pursue acquisitions, joint ventures and alliances that involve a number of inherent risks, any of which may cause us not to realize anticipated benefits.</w:t>
      </w:r>
    </w:p>
    <w:p>
      <w:pPr>
        <w:spacing w:after="0" w:line="5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66" w:lineRule="exact"/>
        <w:rPr>
          <w:sz w:val="20"/>
          <w:szCs w:val="20"/>
          <w:color w:val="auto"/>
        </w:rPr>
      </w:pPr>
    </w:p>
    <w:p>
      <w:pPr>
        <w:ind w:left="580" w:hanging="300"/>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achieving identified financial and operating synergies, including the integration of operations, services and products;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assumption of unknown liabilities; and</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unanticipated changes in the market conditions, business and economic factors affecting such an acquisition, joint venture or alliance.</w:t>
      </w:r>
    </w:p>
    <w:p>
      <w:pPr>
        <w:spacing w:after="0" w:line="119" w:lineRule="exact"/>
        <w:rPr>
          <w:sz w:val="20"/>
          <w:szCs w:val="20"/>
          <w:color w:val="auto"/>
        </w:rPr>
      </w:pPr>
    </w:p>
    <w:p>
      <w:pPr>
        <w:ind w:right="120" w:firstLine="472"/>
        <w:spacing w:after="0" w:line="289" w:lineRule="auto"/>
        <w:rPr>
          <w:sz w:val="20"/>
          <w:szCs w:val="20"/>
          <w:color w:val="auto"/>
        </w:rPr>
      </w:pPr>
      <w:r>
        <w:rPr>
          <w:rFonts w:ascii="Arial" w:cs="Arial" w:eastAsia="Arial" w:hAnsi="Arial"/>
          <w:sz w:val="16"/>
          <w:szCs w:val="16"/>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57"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53" w:lineRule="exact"/>
        <w:rPr>
          <w:sz w:val="20"/>
          <w:szCs w:val="20"/>
          <w:color w:val="auto"/>
        </w:rPr>
      </w:pPr>
    </w:p>
    <w:p>
      <w:pPr>
        <w:ind w:right="200" w:firstLine="472"/>
        <w:spacing w:after="0" w:line="267" w:lineRule="auto"/>
        <w:rPr>
          <w:sz w:val="20"/>
          <w:szCs w:val="20"/>
          <w:color w:val="auto"/>
        </w:rPr>
      </w:pPr>
      <w:r>
        <w:rPr>
          <w:rFonts w:ascii="Arial" w:cs="Arial" w:eastAsia="Arial" w:hAnsi="Arial"/>
          <w:sz w:val="17"/>
          <w:szCs w:val="17"/>
          <w:color w:val="auto"/>
        </w:rPr>
        <w:t>Although we believe that our recent acquisitions will improve our market position and realize positive operating results, including operating synergies, operating expense reductions and overhead cost savings, we cannot be assured that these 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73" w:lineRule="exact"/>
        <w:rPr>
          <w:sz w:val="20"/>
          <w:szCs w:val="20"/>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uncertainty that an acquired business will achieve anticipated operating results;</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 expenses to integrate;</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of management’s attention from business operations to integration matters;</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departure of key personnel from the acquired business;</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effectively managing entrepreneurial spirit and decision-making;</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integration of different information systems;</w:t>
      </w:r>
    </w:p>
    <w:p>
      <w:pPr>
        <w:spacing w:after="0" w:line="118" w:lineRule="exact"/>
        <w:rPr>
          <w:rFonts w:ascii="Arial" w:cs="Arial" w:eastAsia="Arial" w:hAnsi="Arial"/>
          <w:sz w:val="17"/>
          <w:szCs w:val="17"/>
          <w:color w:val="auto"/>
        </w:rPr>
      </w:pPr>
    </w:p>
    <w:p>
      <w:pPr>
        <w:ind w:left="480" w:hanging="318"/>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unanticipated costs and exposure to unforeseen liabilities; and</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8" w:name="page19"/>
    <w:bookmarkEnd w:id="18"/>
    <w:p>
      <w:pPr>
        <w:ind w:left="480" w:hanging="318"/>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impairment of assets.</w:t>
      </w:r>
    </w:p>
    <w:p>
      <w:pPr>
        <w:spacing w:after="0" w:line="11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The effects of COVID-19 and other potential future public health crises, epidemics, pandemics or similar events on our business, operating results and cash flows are uncertain.</w:t>
      </w:r>
    </w:p>
    <w:p>
      <w:pPr>
        <w:spacing w:after="0" w:line="53" w:lineRule="exact"/>
        <w:rPr>
          <w:sz w:val="20"/>
          <w:szCs w:val="20"/>
          <w:color w:val="auto"/>
        </w:rPr>
      </w:pPr>
    </w:p>
    <w:p>
      <w:pPr>
        <w:ind w:firstLine="472"/>
        <w:spacing w:after="0" w:line="277" w:lineRule="auto"/>
        <w:rPr>
          <w:sz w:val="20"/>
          <w:szCs w:val="20"/>
          <w:color w:val="auto"/>
        </w:rPr>
      </w:pPr>
      <w:r>
        <w:rPr>
          <w:rFonts w:ascii="Arial" w:cs="Arial" w:eastAsia="Arial" w:hAnsi="Arial"/>
          <w:sz w:val="16"/>
          <w:szCs w:val="16"/>
          <w:color w:val="auto"/>
        </w:rPr>
        <w:t>We face a wide variety of risks related to health epidemics, pandemics and similar outbreaks, including the global outbreak of COVID-19. Since first reported in late 2019, the COVID-19 pandemic has dramatically impacted the global health and economic environment, including millions of confirmed cases, business slowdowns or shutdowns, government challenges and market volatility of an unprecedented nature. Although we have, to date, managed to continue most of our operations, we cannot predict the future course of events nor can we assure that this global pandemic, including its economic impact, will not have a material adverse impact on our business, financial position, results of operations and/or cash flows. The extent of the impact of the COVID-19 pandemic on our operational and financial performance remains uncertain and will depend on future pandemic related developments, including the duration of the pandemic, any potential subsequent waves of COVID-19 and new strains of the virus, the effectiveness, distribution and acceptance of COVID-19 vaccines, and related government actions to prevent and manage disease spread, all of which are uncertain and cannot be predicted. Our operations may be further impacted by the COVID-19 pandemic if significant portions of our workforce are unable to work effectively, including because of illness, quarantines, travel restrictions or absenteeism; steps the company has taken to protect health and well-being; government actions; facility closures; work slowdowns or stoppages; inadequate supplies or resources (such as reliable personal protective equipment, testing and vaccines); or other circumstances related to COVID-19. Governments around the world have taken steps to mitigate some of the more severe anticipated economic effects, but there can be no assurance that such steps will be effective or achieve their desired results in a timely fashion.</w:t>
      </w:r>
    </w:p>
    <w:p>
      <w:pPr>
        <w:spacing w:after="0" w:line="69" w:lineRule="exact"/>
        <w:rPr>
          <w:sz w:val="20"/>
          <w:szCs w:val="20"/>
          <w:color w:val="auto"/>
        </w:rPr>
      </w:pPr>
    </w:p>
    <w:p>
      <w:pPr>
        <w:ind w:right="60" w:firstLine="472"/>
        <w:spacing w:after="0" w:line="295" w:lineRule="auto"/>
        <w:rPr>
          <w:sz w:val="20"/>
          <w:szCs w:val="20"/>
          <w:color w:val="auto"/>
        </w:rPr>
      </w:pPr>
      <w:r>
        <w:rPr>
          <w:rFonts w:ascii="Arial" w:cs="Arial" w:eastAsia="Arial" w:hAnsi="Arial"/>
          <w:sz w:val="15"/>
          <w:szCs w:val="15"/>
          <w:color w:val="auto"/>
        </w:rPr>
        <w:t>The COVID-19 pandemic has resulted in operational and supply chain disruptions for us and our customers and may further adversely affect operations and the operations of our customers and suppliers. Accordingly, COVID-19 had a materially adverse impact on our operations and business results for the years ended December 31, 2021, and 2020. Supply chain disruptions and shortages in labor availability have caused component and chip shortages, which have resulted in adverse effects on the timing of our revenue generation. Additionally, broad-based inflation, escalation of metals and commodities costs,</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transportation and logistics costs and labor costs have all resulted from the COVID-19 pandemic and have adversely impacted our business. </w:t>
      </w:r>
      <w:r>
        <w:rPr>
          <w:rFonts w:ascii="Arial" w:cs="Arial" w:eastAsia="Arial" w:hAnsi="Arial"/>
          <w:sz w:val="18"/>
          <w:szCs w:val="18"/>
          <w:color w:val="auto"/>
        </w:rPr>
        <w:t>W</w:t>
      </w:r>
      <w:r>
        <w:rPr>
          <w:rFonts w:ascii="Arial" w:cs="Arial" w:eastAsia="Arial" w:hAnsi="Arial"/>
          <w:sz w:val="16"/>
          <w:szCs w:val="16"/>
          <w:color w:val="auto"/>
        </w:rPr>
        <w:t>e expect COVID-19 to continue to have a materially adverse impact on our operations and business results into 2022. The spread of COVID-19, and the emergence of new strains of the virus, have caused us to modify our business practices and to implement significant proactive measures to protect the health and safety of employees, and we may take further actions as may be required by government authorities or as we determine are appropriate under the circumstances. There is no certainty that such measures will be sufficient to mitigate the continued risks posed by the pandemic.</w:t>
      </w:r>
    </w:p>
    <w:p>
      <w:pPr>
        <w:spacing w:after="0" w:line="60" w:lineRule="exact"/>
        <w:rPr>
          <w:sz w:val="20"/>
          <w:szCs w:val="20"/>
          <w:color w:val="auto"/>
        </w:rPr>
      </w:pPr>
    </w:p>
    <w:p>
      <w:pPr>
        <w:ind w:right="200" w:firstLine="472"/>
        <w:spacing w:after="0" w:line="273" w:lineRule="auto"/>
        <w:rPr>
          <w:sz w:val="20"/>
          <w:szCs w:val="20"/>
          <w:color w:val="auto"/>
        </w:rPr>
      </w:pPr>
      <w:r>
        <w:rPr>
          <w:rFonts w:ascii="Arial" w:cs="Arial" w:eastAsia="Arial" w:hAnsi="Arial"/>
          <w:sz w:val="17"/>
          <w:szCs w:val="17"/>
          <w:color w:val="auto"/>
        </w:rPr>
        <w:t>The COVID-19 pandemic and related volatility in financial markets and deterioration of national and global economic conditions could affect our business and operations in a variety of ways. For example, we have experienced and could experience further operational disruptions and financial losses as a result of the following:</w:t>
      </w:r>
    </w:p>
    <w:p>
      <w:pPr>
        <w:spacing w:after="0" w:line="66" w:lineRule="exact"/>
        <w:rPr>
          <w:sz w:val="20"/>
          <w:szCs w:val="20"/>
          <w:color w:val="auto"/>
        </w:rPr>
      </w:pPr>
    </w:p>
    <w:p>
      <w:pPr>
        <w:ind w:left="480" w:hanging="161"/>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decrease in demand for our products as a result of COVID-19 and cost control measures implemented by our customers;</w:t>
      </w:r>
    </w:p>
    <w:p>
      <w:pPr>
        <w:spacing w:after="0" w:line="118" w:lineRule="exact"/>
        <w:rPr>
          <w:rFonts w:ascii="Arial" w:cs="Arial" w:eastAsia="Arial" w:hAnsi="Arial"/>
          <w:sz w:val="17"/>
          <w:szCs w:val="17"/>
          <w:color w:val="auto"/>
        </w:rPr>
      </w:pPr>
    </w:p>
    <w:p>
      <w:pPr>
        <w:ind w:left="480" w:hanging="161"/>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orders or delivery of orders, the occurrence of which negatively impacts our cash conversion cycle and ability to convert our backlog into cash;</w:t>
      </w:r>
    </w:p>
    <w:p>
      <w:pPr>
        <w:spacing w:after="0" w:line="130" w:lineRule="exact"/>
        <w:rPr>
          <w:rFonts w:ascii="Arial" w:cs="Arial" w:eastAsia="Arial" w:hAnsi="Arial"/>
          <w:sz w:val="16"/>
          <w:szCs w:val="16"/>
          <w:color w:val="auto"/>
        </w:rPr>
      </w:pPr>
    </w:p>
    <w:p>
      <w:pPr>
        <w:ind w:left="480" w:hanging="161"/>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collect full or partial payments from customers due to deterioration in customer liquidity, including customer bankruptcies;</w:t>
      </w:r>
    </w:p>
    <w:p>
      <w:pPr>
        <w:spacing w:after="0" w:line="119" w:lineRule="exact"/>
        <w:rPr>
          <w:sz w:val="20"/>
          <w:szCs w:val="20"/>
          <w:color w:val="auto"/>
        </w:rPr>
      </w:pPr>
    </w:p>
    <w:p>
      <w:pPr>
        <w:ind w:left="320"/>
        <w:spacing w:after="0"/>
        <w:tabs>
          <w:tab w:leader="none" w:pos="8780" w:val="left"/>
        </w:tabs>
        <w:rPr>
          <w:sz w:val="20"/>
          <w:szCs w:val="20"/>
          <w:color w:val="auto"/>
        </w:rPr>
      </w:pPr>
      <w:r>
        <w:rPr>
          <w:rFonts w:ascii="Arial" w:cs="Arial" w:eastAsia="Arial" w:hAnsi="Arial"/>
          <w:sz w:val="17"/>
          <w:szCs w:val="17"/>
          <w:color w:val="auto"/>
        </w:rPr>
        <w:t>• a shutdown of one or multiple of our manufacturing facilities due to government restrictions or illness in connection</w:t>
      </w:r>
      <w:r>
        <w:rPr>
          <w:sz w:val="20"/>
          <w:szCs w:val="20"/>
          <w:color w:val="auto"/>
        </w:rPr>
        <w:tab/>
      </w:r>
      <w:r>
        <w:rPr>
          <w:rFonts w:ascii="Arial" w:cs="Arial" w:eastAsia="Arial" w:hAnsi="Arial"/>
          <w:sz w:val="16"/>
          <w:szCs w:val="16"/>
          <w:color w:val="auto"/>
        </w:rPr>
        <w:t>with COVID-19.</w:t>
      </w:r>
    </w:p>
    <w:p>
      <w:pPr>
        <w:spacing w:after="0" w:line="119" w:lineRule="exact"/>
        <w:rPr>
          <w:sz w:val="20"/>
          <w:szCs w:val="20"/>
          <w:color w:val="auto"/>
        </w:rPr>
      </w:pPr>
    </w:p>
    <w:p>
      <w:pPr>
        <w:ind w:right="120" w:firstLine="472"/>
        <w:spacing w:after="0" w:line="285" w:lineRule="auto"/>
        <w:rPr>
          <w:sz w:val="20"/>
          <w:szCs w:val="20"/>
          <w:color w:val="auto"/>
        </w:rPr>
      </w:pPr>
      <w:r>
        <w:rPr>
          <w:rFonts w:ascii="Arial" w:cs="Arial" w:eastAsia="Arial" w:hAnsi="Arial"/>
          <w:sz w:val="16"/>
          <w:szCs w:val="16"/>
          <w:color w:val="auto"/>
        </w:rPr>
        <w:t>The continued spread of COVID-19 has also led to disruption and volatility in the global capital markets, which depending on future developments may make it more costly or difficult for us to obtain debt or equity financing, including to refinance our existing debt, or to identify or execute on investment opportunities, in each case on terms and within time periods acceptable to us. We are also monitoring the impacts of COVID-19 on the fair value of our assets. While we do not currently anticipate any material impairments on our assets as a result of COVID-19, future changes in expectations for sales, earnings and cash flows related to intangible assets and goodwill below our current projections could cause these assets to be impaired.</w:t>
      </w:r>
    </w:p>
    <w:p>
      <w:pPr>
        <w:spacing w:after="0" w:line="60" w:lineRule="exact"/>
        <w:rPr>
          <w:sz w:val="20"/>
          <w:szCs w:val="20"/>
          <w:color w:val="auto"/>
        </w:rPr>
      </w:pPr>
    </w:p>
    <w:p>
      <w:pPr>
        <w:ind w:right="220" w:firstLine="472"/>
        <w:spacing w:after="0" w:line="289" w:lineRule="auto"/>
        <w:rPr>
          <w:sz w:val="20"/>
          <w:szCs w:val="20"/>
          <w:color w:val="auto"/>
        </w:rPr>
      </w:pPr>
      <w:r>
        <w:rPr>
          <w:rFonts w:ascii="Arial" w:cs="Arial" w:eastAsia="Arial" w:hAnsi="Arial"/>
          <w:sz w:val="16"/>
          <w:szCs w:val="16"/>
          <w:color w:val="auto"/>
        </w:rPr>
        <w:t>We continue to work with our stakeholders (including customers, employees, suppliers and local communities) in an effort to address responsibly this global pandemic. We continue to monitor the situation, to assess further possible implications to our employees, business, supply chain and customers, and to take certain actions in an effort to mitigate various adverse consequences. However, uncertainty around general global economic and market conditions, exacerbated by the COVID-19 pandemic, will have an impact on our sales and operations in 2022 and beyond.</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19" w:name="page20"/>
    <w:bookmarkEnd w:id="19"/>
    <w:p>
      <w:pPr>
        <w:ind w:firstLine="472"/>
        <w:spacing w:after="0" w:line="267" w:lineRule="auto"/>
        <w:rPr>
          <w:sz w:val="20"/>
          <w:szCs w:val="20"/>
          <w:color w:val="auto"/>
        </w:rPr>
      </w:pPr>
      <w:r>
        <w:rPr>
          <w:rFonts w:ascii="Arial" w:cs="Arial" w:eastAsia="Arial" w:hAnsi="Arial"/>
          <w:sz w:val="17"/>
          <w:szCs w:val="17"/>
          <w:color w:val="auto"/>
        </w:rPr>
        <w:t>We expect that the longer the COVID-19 pandemic, including its economic disruption, continues, the greater the adverse impact on our business operations, financial performance and results of operations could be. Given the tremendous uncertainties and variables, we cannot at this time predict the impact of the global COVID-19 pandemic, or any future pandemic, but any one could have a material adverse impact on our business, financial position, results of operations and/or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INTERNATIONAL OPERATIONS</w:t>
      </w:r>
    </w:p>
    <w:p>
      <w:pPr>
        <w:spacing w:after="0" w:line="106"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b w:val="1"/>
          <w:bCs w:val="1"/>
          <w:i w:val="1"/>
          <w:iCs w:val="1"/>
          <w:color w:val="auto"/>
        </w:rPr>
        <w:t>A growing portion of our sales may be derived from our international operations, which exposes us to certain risks inherent in doing business on an international level.</w:t>
      </w:r>
    </w:p>
    <w:p>
      <w:pPr>
        <w:spacing w:after="0" w:line="53"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color w:val="auto"/>
        </w:rPr>
        <w:t>For the fiscal year ended December 31, 2021, approximately 60%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Kazakhstan, Macedonia, Mexico, the Netherlands, Poland, Russia, Spain, South Africa, Turkey, and the United Kingdom. As a result, we are subject to various risks, any one of which could have a material adverse effect on those operations and on our business as a whole, including:</w:t>
      </w:r>
    </w:p>
    <w:p>
      <w:pPr>
        <w:spacing w:after="0" w:line="77" w:lineRule="exact"/>
        <w:rPr>
          <w:sz w:val="20"/>
          <w:szCs w:val="20"/>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complete operating control;</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local business experience;</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currency exchange fluctuations and devaluations;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currency conversion or the transfer of funds or limitations on our ability to repatriate income or capital;</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complexities of operating within multiple tax jurisdictions;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foreign trade restrictions and exchange controls;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impacts of international trade policies, such as import quotas, capital controls or tariffs;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enforcing agreements and intellectual property rights;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challenges of complying with complex and changing laws, regulations, and policies of foreign governments;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difficulties involved in staffing and managing widespread operations;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potential for nationalization of enterprises;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political and social instability;</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possible local catastrophes, such as natural disasters and epidemics; and</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possible terrorist attacks, conflicts and wars, including those against American interests.</w:t>
      </w:r>
    </w:p>
    <w:p>
      <w:pPr>
        <w:spacing w:after="0" w:line="119" w:lineRule="exact"/>
        <w:rPr>
          <w:sz w:val="20"/>
          <w:szCs w:val="20"/>
          <w:color w:val="auto"/>
        </w:rPr>
      </w:pPr>
    </w:p>
    <w:p>
      <w:pPr>
        <w:ind w:right="1380" w:firstLine="472"/>
        <w:spacing w:after="0" w:line="385" w:lineRule="auto"/>
        <w:rPr>
          <w:sz w:val="20"/>
          <w:szCs w:val="20"/>
          <w:color w:val="auto"/>
        </w:rPr>
      </w:pPr>
      <w:r>
        <w:rPr>
          <w:rFonts w:ascii="Arial" w:cs="Arial" w:eastAsia="Arial" w:hAnsi="Arial"/>
          <w:sz w:val="17"/>
          <w:szCs w:val="17"/>
          <w:color w:val="auto"/>
        </w:rPr>
        <w:t xml:space="preserve">Our exposure to the risks associated with international operations may intensify if our international operations expand in the future. </w:t>
      </w:r>
      <w:r>
        <w:rPr>
          <w:rFonts w:ascii="Arial" w:cs="Arial" w:eastAsia="Arial" w:hAnsi="Arial"/>
          <w:sz w:val="17"/>
          <w:szCs w:val="17"/>
          <w:b w:val="1"/>
          <w:bCs w:val="1"/>
          <w:i w:val="1"/>
          <w:iCs w:val="1"/>
          <w:color w:val="auto"/>
        </w:rPr>
        <w:t>We may incur increased costs due to fluctuations in interest rates and foreign currency exchange rates</w:t>
      </w:r>
    </w:p>
    <w:p>
      <w:pPr>
        <w:spacing w:after="0" w:line="2" w:lineRule="exact"/>
        <w:rPr>
          <w:sz w:val="20"/>
          <w:szCs w:val="20"/>
          <w:color w:val="auto"/>
        </w:rPr>
      </w:pPr>
    </w:p>
    <w:p>
      <w:pPr>
        <w:ind w:right="60" w:firstLine="472"/>
        <w:spacing w:after="0" w:line="305" w:lineRule="auto"/>
        <w:rPr>
          <w:sz w:val="20"/>
          <w:szCs w:val="20"/>
          <w:color w:val="auto"/>
        </w:rPr>
      </w:pPr>
      <w:r>
        <w:rPr>
          <w:rFonts w:ascii="Arial" w:cs="Arial" w:eastAsia="Arial" w:hAnsi="Arial"/>
          <w:sz w:val="15"/>
          <w:szCs w:val="15"/>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substantial operations located in emerging markets, and are subject to regulatory, economic, social and political uncertainties in such markets.</w:t>
      </w:r>
    </w:p>
    <w:p>
      <w:pPr>
        <w:spacing w:after="0" w:line="142" w:lineRule="exact"/>
        <w:rPr>
          <w:sz w:val="20"/>
          <w:szCs w:val="20"/>
          <w:color w:val="auto"/>
        </w:rPr>
      </w:pPr>
    </w:p>
    <w:p>
      <w:pPr>
        <w:ind w:right="140" w:firstLine="472"/>
        <w:spacing w:after="0" w:line="265" w:lineRule="auto"/>
        <w:rPr>
          <w:sz w:val="20"/>
          <w:szCs w:val="20"/>
          <w:color w:val="auto"/>
        </w:rPr>
      </w:pPr>
      <w:r>
        <w:rPr>
          <w:rFonts w:ascii="Arial" w:cs="Arial" w:eastAsia="Arial" w:hAnsi="Arial"/>
          <w:sz w:val="17"/>
          <w:szCs w:val="17"/>
          <w:color w:val="auto"/>
        </w:rPr>
        <w:t>We have substantial operations located in emerging markets, such as Brazil, India, Kazakhstan, the Russian Federation and Ukraine.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20" w:name="page21"/>
    <w:bookmarkEnd w:id="20"/>
    <w:p>
      <w:pPr>
        <w:ind w:right="100" w:firstLine="472"/>
        <w:spacing w:after="0" w:line="273" w:lineRule="auto"/>
        <w:rPr>
          <w:sz w:val="20"/>
          <w:szCs w:val="20"/>
          <w:color w:val="auto"/>
        </w:rPr>
      </w:pPr>
      <w:r>
        <w:rPr>
          <w:rFonts w:ascii="Arial" w:cs="Arial" w:eastAsia="Arial" w:hAnsi="Arial"/>
          <w:sz w:val="17"/>
          <w:szCs w:val="17"/>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66"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MACRO-ECONOMIC CONDITIONS AND POLICIES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Prolonged unfavorable economic and market conditions could adversely affect our business.</w:t>
      </w:r>
    </w:p>
    <w:p>
      <w:pPr>
        <w:spacing w:after="0" w:line="119" w:lineRule="exact"/>
        <w:rPr>
          <w:sz w:val="20"/>
          <w:szCs w:val="20"/>
          <w:color w:val="auto"/>
        </w:rPr>
      </w:pPr>
    </w:p>
    <w:p>
      <w:pPr>
        <w:ind w:right="120" w:firstLine="472"/>
        <w:spacing w:after="0" w:line="267" w:lineRule="auto"/>
        <w:rPr>
          <w:sz w:val="20"/>
          <w:szCs w:val="20"/>
          <w:color w:val="auto"/>
        </w:rPr>
      </w:pPr>
      <w:r>
        <w:rPr>
          <w:rFonts w:ascii="Arial" w:cs="Arial" w:eastAsia="Arial" w:hAnsi="Arial"/>
          <w:sz w:val="17"/>
          <w:szCs w:val="17"/>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exposed to raw material shortages, supply shortages and fluctuations in raw material, energy and commodity prices.</w:t>
      </w:r>
    </w:p>
    <w:p>
      <w:pPr>
        <w:spacing w:after="0" w:line="119" w:lineRule="exact"/>
        <w:rPr>
          <w:sz w:val="20"/>
          <w:szCs w:val="20"/>
          <w:color w:val="auto"/>
        </w:rPr>
      </w:pPr>
    </w:p>
    <w:p>
      <w:pPr>
        <w:ind w:right="160" w:firstLine="472"/>
        <w:spacing w:after="0" w:line="265" w:lineRule="auto"/>
        <w:rPr>
          <w:sz w:val="20"/>
          <w:szCs w:val="20"/>
          <w:color w:val="auto"/>
        </w:rPr>
      </w:pPr>
      <w:r>
        <w:rPr>
          <w:rFonts w:ascii="Arial" w:cs="Arial" w:eastAsia="Arial" w:hAnsi="Arial"/>
          <w:sz w:val="17"/>
          <w:szCs w:val="17"/>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73" w:lineRule="exact"/>
        <w:rPr>
          <w:sz w:val="20"/>
          <w:szCs w:val="20"/>
          <w:color w:val="auto"/>
        </w:rPr>
      </w:pPr>
    </w:p>
    <w:p>
      <w:pPr>
        <w:ind w:right="40" w:firstLine="472"/>
        <w:spacing w:after="0" w:line="265" w:lineRule="auto"/>
        <w:rPr>
          <w:sz w:val="20"/>
          <w:szCs w:val="20"/>
          <w:color w:val="auto"/>
        </w:rPr>
      </w:pPr>
      <w:r>
        <w:rPr>
          <w:rFonts w:ascii="Arial" w:cs="Arial" w:eastAsia="Arial" w:hAnsi="Arial"/>
          <w:sz w:val="17"/>
          <w:szCs w:val="17"/>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international trade policies, including tariffs and foreign trade restrictions, could adversely affect our business.</w:t>
      </w:r>
    </w:p>
    <w:p>
      <w:pPr>
        <w:spacing w:after="0" w:line="119"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78" w:lineRule="exact"/>
        <w:rPr>
          <w:sz w:val="20"/>
          <w:szCs w:val="20"/>
          <w:color w:val="auto"/>
        </w:rPr>
      </w:pPr>
    </w:p>
    <w:p>
      <w:pPr>
        <w:ind w:right="80" w:firstLine="472"/>
        <w:spacing w:after="0" w:line="297" w:lineRule="auto"/>
        <w:rPr>
          <w:sz w:val="20"/>
          <w:szCs w:val="20"/>
          <w:color w:val="auto"/>
        </w:rPr>
      </w:pPr>
      <w:r>
        <w:rPr>
          <w:rFonts w:ascii="Arial" w:cs="Arial" w:eastAsia="Arial" w:hAnsi="Arial"/>
          <w:sz w:val="16"/>
          <w:szCs w:val="16"/>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RISKS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a variety of laws and regulations, including anti-corruption laws, in various jurisdictions.</w:t>
      </w:r>
    </w:p>
    <w:p>
      <w:pPr>
        <w:spacing w:after="0" w:line="119" w:lineRule="exact"/>
        <w:rPr>
          <w:sz w:val="20"/>
          <w:szCs w:val="20"/>
          <w:color w:val="auto"/>
        </w:rPr>
      </w:pPr>
    </w:p>
    <w:p>
      <w:pPr>
        <w:ind w:firstLine="472"/>
        <w:spacing w:after="0" w:line="261" w:lineRule="auto"/>
        <w:rPr>
          <w:sz w:val="20"/>
          <w:szCs w:val="20"/>
          <w:color w:val="auto"/>
        </w:rPr>
      </w:pPr>
      <w:r>
        <w:rPr>
          <w:rFonts w:ascii="Arial" w:cs="Arial" w:eastAsia="Arial" w:hAnsi="Arial"/>
          <w:sz w:val="17"/>
          <w:szCs w:val="17"/>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1" w:name="page22"/>
    <w:bookmarkEnd w:id="21"/>
    <w:p>
      <w:pPr>
        <w:ind w:right="240"/>
        <w:spacing w:after="0" w:line="289" w:lineRule="auto"/>
        <w:rPr>
          <w:sz w:val="20"/>
          <w:szCs w:val="20"/>
          <w:color w:val="auto"/>
        </w:rPr>
      </w:pPr>
      <w:r>
        <w:rPr>
          <w:rFonts w:ascii="Arial" w:cs="Arial" w:eastAsia="Arial" w:hAnsi="Arial"/>
          <w:sz w:val="17"/>
          <w:szCs w:val="17"/>
          <w:color w:val="auto"/>
        </w:rPr>
        <w:t>damage our reputation, subject us to civil or criminal judgments, fines or penalties, and could otherwise disrupt our business, and as a result, could materially adversely impact our business, results of operations and financial condition.</w:t>
      </w:r>
    </w:p>
    <w:p>
      <w:pPr>
        <w:spacing w:after="0" w:line="53" w:lineRule="exact"/>
        <w:rPr>
          <w:sz w:val="20"/>
          <w:szCs w:val="20"/>
          <w:color w:val="auto"/>
        </w:rPr>
      </w:pPr>
    </w:p>
    <w:p>
      <w:pPr>
        <w:ind w:right="40" w:firstLine="472"/>
        <w:spacing w:after="0" w:line="283" w:lineRule="auto"/>
        <w:rPr>
          <w:sz w:val="20"/>
          <w:szCs w:val="20"/>
          <w:color w:val="auto"/>
        </w:rPr>
      </w:pPr>
      <w:r>
        <w:rPr>
          <w:rFonts w:ascii="Arial" w:cs="Arial" w:eastAsia="Arial" w:hAnsi="Arial"/>
          <w:sz w:val="16"/>
          <w:szCs w:val="16"/>
          <w:color w:val="auto"/>
        </w:rPr>
        <w:t>In addition, our manufacturing operations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a variety of environmental laws and regulations.</w:t>
      </w:r>
    </w:p>
    <w:p>
      <w:pPr>
        <w:spacing w:after="0" w:line="119" w:lineRule="exact"/>
        <w:rPr>
          <w:sz w:val="20"/>
          <w:szCs w:val="20"/>
          <w:color w:val="auto"/>
        </w:rPr>
      </w:pPr>
    </w:p>
    <w:p>
      <w:pPr>
        <w:ind w:right="20" w:firstLine="472"/>
        <w:spacing w:after="0" w:line="280" w:lineRule="auto"/>
        <w:rPr>
          <w:sz w:val="20"/>
          <w:szCs w:val="20"/>
          <w:color w:val="auto"/>
        </w:rPr>
      </w:pPr>
      <w:r>
        <w:rPr>
          <w:rFonts w:ascii="Arial" w:cs="Arial" w:eastAsia="Arial" w:hAnsi="Arial"/>
          <w:sz w:val="16"/>
          <w:szCs w:val="16"/>
          <w:color w:val="auto"/>
        </w:rPr>
        <w:t>We are subject to a variety of increasingly stringent environmental laws and regulations governing discharges to air and water, substances in products, the handling, storage and disposal of hazardous or solid waste materials and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64" w:lineRule="exact"/>
        <w:rPr>
          <w:sz w:val="20"/>
          <w:szCs w:val="20"/>
          <w:color w:val="auto"/>
        </w:rPr>
      </w:pPr>
    </w:p>
    <w:p>
      <w:pPr>
        <w:ind w:right="100" w:firstLine="472"/>
        <w:spacing w:after="0" w:line="283" w:lineRule="auto"/>
        <w:rPr>
          <w:sz w:val="20"/>
          <w:szCs w:val="20"/>
          <w:color w:val="auto"/>
        </w:rPr>
      </w:pPr>
      <w:r>
        <w:rPr>
          <w:rFonts w:ascii="Arial" w:cs="Arial" w:eastAsia="Arial" w:hAnsi="Arial"/>
          <w:sz w:val="16"/>
          <w:szCs w:val="16"/>
          <w:color w:val="auto"/>
        </w:rPr>
        <w:t xml:space="preserve">In addition, certain of our products are subject to extensive, and increasingly stringent, statutory and regulatory requirements governing, </w:t>
      </w:r>
      <w:r>
        <w:rPr>
          <w:rFonts w:ascii="Arial" w:cs="Arial" w:eastAsia="Arial" w:hAnsi="Arial"/>
          <w:sz w:val="16"/>
          <w:szCs w:val="16"/>
          <w:i w:val="1"/>
          <w:iCs w:val="1"/>
          <w:color w:val="auto"/>
        </w:rPr>
        <w:t>e.g.</w:t>
      </w:r>
      <w:r>
        <w:rPr>
          <w:rFonts w:ascii="Arial" w:cs="Arial" w:eastAsia="Arial" w:hAnsi="Arial"/>
          <w:sz w:val="16"/>
          <w:szCs w:val="16"/>
          <w:color w:val="auto"/>
        </w:rPr>
        <w:t>,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6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Future climate change regulation could result in increased operating costs, affect the demand for our products or affect the ability of our critical suppliers to meet our needs.</w:t>
      </w:r>
    </w:p>
    <w:p>
      <w:pPr>
        <w:spacing w:after="0" w:line="53" w:lineRule="exact"/>
        <w:rPr>
          <w:sz w:val="20"/>
          <w:szCs w:val="20"/>
          <w:color w:val="auto"/>
        </w:rPr>
      </w:pPr>
    </w:p>
    <w:p>
      <w:pPr>
        <w:ind w:firstLine="472"/>
        <w:spacing w:after="0" w:line="277" w:lineRule="auto"/>
        <w:rPr>
          <w:sz w:val="20"/>
          <w:szCs w:val="20"/>
          <w:color w:val="auto"/>
        </w:rPr>
      </w:pPr>
      <w:r>
        <w:rPr>
          <w:rFonts w:ascii="Arial" w:cs="Arial" w:eastAsia="Arial" w:hAnsi="Arial"/>
          <w:sz w:val="16"/>
          <w:szCs w:val="16"/>
          <w:color w:val="auto"/>
        </w:rPr>
        <w:t>Management believes it is reasonably likely that the scientific and political attention to issues concerning the existence and extent of climate change, and the role of human activity in it, will continue, with the potential for further regulation that affects the company’s operations. The potential challenges posed by evolving climate change policy and prospective legislation are heavily dependent on the nature and degree of climate change legislation and the extent to which it applies to our industry. Although uncertain, these developments could increase costs or reduce the demand for the products the company sells. The company’s production and processing operations typically result in emissions of greenhouse gases. Likewise, emissions arise from midstream and downstream operations, including operations of our locomotives and other products. Finally, although beyond the control of the company, the use of fuels and related products by operators also results in greenhouse gas emissions that may be regulated. International agreements, domestic legislation and regulatory measures to limit greenhouse gas emissions are currently in various phases of discussion or implementation. While we are carefully monitoring developments and reviewing the challenges associated with alternative proposals, at this time, we cannot predict the ultimate impact of climate change and climate change legislation on our operations. Further, when or if these impacts may occur cannot be assessed until legislative policy is more developed and specific legislative proposals begin to take shape.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occurrence of litigation in which we are, or could be, named as a defendant is unpredictable.</w:t>
      </w:r>
    </w:p>
    <w:p>
      <w:pPr>
        <w:spacing w:after="0" w:line="119" w:lineRule="exact"/>
        <w:rPr>
          <w:sz w:val="20"/>
          <w:szCs w:val="20"/>
          <w:color w:val="auto"/>
        </w:rPr>
      </w:pPr>
    </w:p>
    <w:p>
      <w:pPr>
        <w:ind w:right="540" w:firstLine="472"/>
        <w:spacing w:after="0" w:line="273" w:lineRule="auto"/>
        <w:rPr>
          <w:sz w:val="20"/>
          <w:szCs w:val="20"/>
          <w:color w:val="auto"/>
        </w:rPr>
      </w:pPr>
      <w:r>
        <w:rPr>
          <w:rFonts w:ascii="Arial" w:cs="Arial" w:eastAsia="Arial" w:hAnsi="Arial"/>
          <w:sz w:val="17"/>
          <w:szCs w:val="17"/>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2" w:name="page23"/>
    <w:bookmarkEnd w:id="22"/>
    <w:p>
      <w:pPr>
        <w:ind w:right="420" w:firstLine="472"/>
        <w:spacing w:after="0" w:line="283" w:lineRule="auto"/>
        <w:rPr>
          <w:sz w:val="20"/>
          <w:szCs w:val="20"/>
          <w:color w:val="auto"/>
        </w:rPr>
      </w:pPr>
      <w:r>
        <w:rPr>
          <w:rFonts w:ascii="Arial" w:cs="Arial" w:eastAsia="Arial" w:hAnsi="Arial"/>
          <w:sz w:val="16"/>
          <w:szCs w:val="16"/>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61" w:lineRule="exact"/>
        <w:rPr>
          <w:sz w:val="20"/>
          <w:szCs w:val="20"/>
          <w:color w:val="auto"/>
        </w:rPr>
      </w:pPr>
    </w:p>
    <w:p>
      <w:pPr>
        <w:ind w:right="320" w:firstLine="472"/>
        <w:spacing w:after="0" w:line="289" w:lineRule="auto"/>
        <w:rPr>
          <w:sz w:val="20"/>
          <w:szCs w:val="20"/>
          <w:color w:val="auto"/>
        </w:rPr>
      </w:pPr>
      <w:r>
        <w:rPr>
          <w:rFonts w:ascii="Arial" w:cs="Arial" w:eastAsia="Arial" w:hAnsi="Arial"/>
          <w:sz w:val="17"/>
          <w:szCs w:val="17"/>
          <w:color w:val="auto"/>
        </w:rPr>
        <w:t>Any litigation, even a claim without merit, could result in substantial costs and diversion of resources and could have a material adverse effect on our business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manufacturer’s warranties or product liability may expose us to potentially significant claims.</w:t>
      </w:r>
    </w:p>
    <w:p>
      <w:pPr>
        <w:spacing w:after="0" w:line="119" w:lineRule="exact"/>
        <w:rPr>
          <w:sz w:val="20"/>
          <w:szCs w:val="20"/>
          <w:color w:val="auto"/>
        </w:rPr>
      </w:pPr>
    </w:p>
    <w:p>
      <w:pPr>
        <w:ind w:right="80" w:firstLine="472"/>
        <w:spacing w:after="0" w:line="263" w:lineRule="auto"/>
        <w:rPr>
          <w:sz w:val="20"/>
          <w:szCs w:val="20"/>
          <w:color w:val="auto"/>
        </w:rPr>
      </w:pPr>
      <w:r>
        <w:rPr>
          <w:rFonts w:ascii="Arial" w:cs="Arial" w:eastAsia="Arial" w:hAnsi="Arial"/>
          <w:sz w:val="17"/>
          <w:szCs w:val="17"/>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DATA SECURITY AND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protect our intellectual property and other proprietary rights, we may be adversely affected.</w:t>
      </w:r>
    </w:p>
    <w:p>
      <w:pPr>
        <w:spacing w:after="0" w:line="119" w:lineRule="exact"/>
        <w:rPr>
          <w:sz w:val="20"/>
          <w:szCs w:val="20"/>
          <w:color w:val="auto"/>
        </w:rPr>
      </w:pPr>
    </w:p>
    <w:p>
      <w:pPr>
        <w:ind w:right="120" w:firstLine="472"/>
        <w:spacing w:after="0" w:line="278" w:lineRule="auto"/>
        <w:rPr>
          <w:sz w:val="20"/>
          <w:szCs w:val="20"/>
          <w:color w:val="auto"/>
        </w:rPr>
      </w:pPr>
      <w:r>
        <w:rPr>
          <w:rFonts w:ascii="Arial" w:cs="Arial" w:eastAsia="Arial" w:hAnsi="Arial"/>
          <w:sz w:val="16"/>
          <w:szCs w:val="16"/>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66" w:lineRule="exact"/>
        <w:rPr>
          <w:sz w:val="20"/>
          <w:szCs w:val="20"/>
          <w:color w:val="auto"/>
        </w:rPr>
      </w:pPr>
    </w:p>
    <w:p>
      <w:pPr>
        <w:ind w:right="260" w:firstLine="472"/>
        <w:spacing w:after="0" w:line="289" w:lineRule="auto"/>
        <w:rPr>
          <w:sz w:val="20"/>
          <w:szCs w:val="20"/>
          <w:color w:val="auto"/>
        </w:rPr>
      </w:pPr>
      <w:r>
        <w:rPr>
          <w:rFonts w:ascii="Arial" w:cs="Arial" w:eastAsia="Arial" w:hAnsi="Arial"/>
          <w:sz w:val="16"/>
          <w:szCs w:val="16"/>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57" w:lineRule="exact"/>
        <w:rPr>
          <w:sz w:val="20"/>
          <w:szCs w:val="20"/>
          <w:color w:val="auto"/>
        </w:rPr>
      </w:pPr>
    </w:p>
    <w:p>
      <w:pPr>
        <w:ind w:right="780"/>
        <w:spacing w:after="0" w:line="289" w:lineRule="auto"/>
        <w:rPr>
          <w:sz w:val="20"/>
          <w:szCs w:val="20"/>
          <w:color w:val="auto"/>
        </w:rPr>
      </w:pPr>
      <w:r>
        <w:rPr>
          <w:rFonts w:ascii="Arial" w:cs="Arial" w:eastAsia="Arial" w:hAnsi="Arial"/>
          <w:sz w:val="17"/>
          <w:szCs w:val="17"/>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40" w:lineRule="exact"/>
        <w:rPr>
          <w:sz w:val="20"/>
          <w:szCs w:val="20"/>
          <w:color w:val="auto"/>
        </w:rPr>
      </w:pPr>
    </w:p>
    <w:p>
      <w:pPr>
        <w:ind w:firstLine="629"/>
        <w:spacing w:after="0" w:line="255" w:lineRule="auto"/>
        <w:rPr>
          <w:sz w:val="20"/>
          <w:szCs w:val="20"/>
          <w:color w:val="auto"/>
        </w:rPr>
      </w:pPr>
      <w:r>
        <w:rPr>
          <w:rFonts w:ascii="Arial" w:cs="Arial" w:eastAsia="Arial" w:hAnsi="Arial"/>
          <w:sz w:val="16"/>
          <w:szCs w:val="16"/>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187" w:lineRule="exact"/>
        <w:rPr>
          <w:sz w:val="20"/>
          <w:szCs w:val="20"/>
          <w:color w:val="auto"/>
        </w:rPr>
      </w:pPr>
    </w:p>
    <w:p>
      <w:pPr>
        <w:ind w:firstLine="629"/>
        <w:spacing w:after="0" w:line="231" w:lineRule="auto"/>
        <w:rPr>
          <w:sz w:val="20"/>
          <w:szCs w:val="20"/>
          <w:color w:val="auto"/>
        </w:rPr>
      </w:pPr>
      <w:r>
        <w:rPr>
          <w:rFonts w:ascii="Arial" w:cs="Arial" w:eastAsia="Arial" w:hAnsi="Arial"/>
          <w:sz w:val="17"/>
          <w:szCs w:val="17"/>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 For instance, one of our vendors publicly disclosed vulnerabilities in its operating system that we use for certain Wabtec products. A successful exploitation of our own or our vendors’ information technology infrastructure could result in service interruptions, safety hazards, misappropriation of confidential information, process failures, security breaches or other operational difficulties. Such an event could result in decreased revenues and increased capital, insurance or operating costs, including the increased costs of security to protect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23" w:name="page24"/>
    <w:bookmarkEnd w:id="23"/>
    <w:p>
      <w:pPr>
        <w:ind w:right="320"/>
        <w:spacing w:after="0" w:line="241" w:lineRule="auto"/>
        <w:rPr>
          <w:sz w:val="20"/>
          <w:szCs w:val="20"/>
          <w:color w:val="auto"/>
        </w:rPr>
      </w:pPr>
      <w:r>
        <w:rPr>
          <w:rFonts w:ascii="Arial" w:cs="Arial" w:eastAsia="Arial" w:hAnsi="Arial"/>
          <w:sz w:val="17"/>
          <w:szCs w:val="17"/>
          <w:color w:val="auto"/>
        </w:rPr>
        <w:t>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HUMAN CAPITAL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shortages and labor disputes may have a material adverse effect on our operations and profitability.</w:t>
      </w:r>
    </w:p>
    <w:p>
      <w:pPr>
        <w:spacing w:after="0" w:line="119" w:lineRule="exact"/>
        <w:rPr>
          <w:sz w:val="20"/>
          <w:szCs w:val="20"/>
          <w:color w:val="auto"/>
        </w:rPr>
      </w:pPr>
    </w:p>
    <w:p>
      <w:pPr>
        <w:ind w:firstLine="472"/>
        <w:spacing w:after="0" w:line="273" w:lineRule="auto"/>
        <w:rPr>
          <w:sz w:val="20"/>
          <w:szCs w:val="20"/>
          <w:color w:val="auto"/>
        </w:rPr>
      </w:pPr>
      <w:r>
        <w:rPr>
          <w:rFonts w:ascii="Arial" w:cs="Arial" w:eastAsia="Arial" w:hAnsi="Arial"/>
          <w:sz w:val="17"/>
          <w:szCs w:val="17"/>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66" w:lineRule="exact"/>
        <w:rPr>
          <w:sz w:val="20"/>
          <w:szCs w:val="20"/>
          <w:color w:val="auto"/>
        </w:rPr>
      </w:pPr>
    </w:p>
    <w:p>
      <w:pPr>
        <w:ind w:right="220" w:firstLine="472"/>
        <w:spacing w:after="0" w:line="314" w:lineRule="auto"/>
        <w:rPr>
          <w:sz w:val="20"/>
          <w:szCs w:val="20"/>
          <w:color w:val="auto"/>
        </w:rPr>
      </w:pPr>
      <w:r>
        <w:rPr>
          <w:rFonts w:ascii="Arial" w:cs="Arial" w:eastAsia="Arial" w:hAnsi="Arial"/>
          <w:sz w:val="15"/>
          <w:szCs w:val="15"/>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40" w:lineRule="exact"/>
        <w:rPr>
          <w:sz w:val="20"/>
          <w:szCs w:val="20"/>
          <w:color w:val="auto"/>
        </w:rPr>
      </w:pPr>
    </w:p>
    <w:p>
      <w:pPr>
        <w:ind w:right="180" w:firstLine="472"/>
        <w:spacing w:after="0" w:line="289" w:lineRule="auto"/>
        <w:rPr>
          <w:sz w:val="20"/>
          <w:szCs w:val="20"/>
          <w:color w:val="auto"/>
        </w:rPr>
      </w:pPr>
      <w:r>
        <w:rPr>
          <w:rFonts w:ascii="Arial" w:cs="Arial" w:eastAsia="Arial" w:hAnsi="Arial"/>
          <w:sz w:val="17"/>
          <w:szCs w:val="17"/>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management team and other key personnel.</w:t>
      </w:r>
    </w:p>
    <w:p>
      <w:pPr>
        <w:spacing w:after="0" w:line="119" w:lineRule="exact"/>
        <w:rPr>
          <w:sz w:val="20"/>
          <w:szCs w:val="20"/>
          <w:color w:val="auto"/>
        </w:rPr>
      </w:pPr>
    </w:p>
    <w:p>
      <w:pPr>
        <w:ind w:right="20" w:firstLine="472"/>
        <w:spacing w:after="0" w:line="280" w:lineRule="auto"/>
        <w:rPr>
          <w:sz w:val="20"/>
          <w:szCs w:val="20"/>
          <w:color w:val="auto"/>
        </w:rPr>
      </w:pPr>
      <w:r>
        <w:rPr>
          <w:rFonts w:ascii="Arial" w:cs="Arial" w:eastAsia="Arial" w:hAnsi="Arial"/>
          <w:sz w:val="16"/>
          <w:szCs w:val="16"/>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INDEBTEDNESS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w:t>
      </w:r>
    </w:p>
    <w:p>
      <w:pPr>
        <w:spacing w:after="0" w:line="119" w:lineRule="exact"/>
        <w:rPr>
          <w:sz w:val="20"/>
          <w:szCs w:val="20"/>
          <w:color w:val="auto"/>
        </w:rPr>
      </w:pPr>
    </w:p>
    <w:p>
      <w:pPr>
        <w:ind w:right="80" w:firstLine="472"/>
        <w:spacing w:after="0" w:line="289" w:lineRule="auto"/>
        <w:rPr>
          <w:sz w:val="20"/>
          <w:szCs w:val="20"/>
          <w:color w:val="auto"/>
        </w:rPr>
      </w:pPr>
      <w:r>
        <w:rPr>
          <w:rFonts w:ascii="Arial" w:cs="Arial" w:eastAsia="Arial" w:hAnsi="Arial"/>
          <w:sz w:val="17"/>
          <w:szCs w:val="17"/>
          <w:color w:val="auto"/>
        </w:rPr>
        <w:t>At December 31, 2021, we had total debt of $4.1 billion, primarily related to Senior Notes. Being indebted could have important consequences to us. For example, our indebtedness could:</w:t>
      </w:r>
    </w:p>
    <w:p>
      <w:pPr>
        <w:spacing w:after="0" w:line="53" w:lineRule="exact"/>
        <w:rPr>
          <w:sz w:val="20"/>
          <w:szCs w:val="20"/>
          <w:color w:val="auto"/>
        </w:rPr>
      </w:pPr>
    </w:p>
    <w:p>
      <w:pPr>
        <w:ind w:left="580" w:hanging="300"/>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8" w:lineRule="exact"/>
        <w:rPr>
          <w:rFonts w:ascii="Arial" w:cs="Arial" w:eastAsia="Arial" w:hAnsi="Arial"/>
          <w:sz w:val="17"/>
          <w:szCs w:val="17"/>
          <w:color w:val="auto"/>
        </w:rPr>
      </w:pPr>
    </w:p>
    <w:p>
      <w:pPr>
        <w:ind w:left="600" w:right="200" w:hanging="320"/>
        <w:spacing w:after="0" w:line="289"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spacing w:after="0" w:line="53" w:lineRule="exact"/>
        <w:rPr>
          <w:rFonts w:ascii="Arial" w:cs="Arial" w:eastAsia="Arial" w:hAnsi="Arial"/>
          <w:sz w:val="17"/>
          <w:szCs w:val="17"/>
          <w:color w:val="auto"/>
        </w:rPr>
      </w:pPr>
    </w:p>
    <w:p>
      <w:pPr>
        <w:ind w:left="580" w:hanging="300"/>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industries in which we operate;</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place us at a disadvantage compared to competitors that have less debt; and</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119"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Moreover, our Credit Agreement and the indentures governing our senior notes permit us to incur substantial additional indebtedness, which may further contribute to, or exacerbate the impact of, the foregoing impacts.</w:t>
      </w:r>
    </w:p>
    <w:p>
      <w:pPr>
        <w:spacing w:after="0" w:line="53"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b w:val="1"/>
          <w:bCs w:val="1"/>
          <w:i w:val="1"/>
          <w:iCs w:val="1"/>
          <w:color w:val="auto"/>
        </w:rPr>
        <w:t>The indentures for our outstanding senior notes and our Credit Agreement contain various covenants that limit our management’s discretion in the operation of our businesses.</w:t>
      </w:r>
    </w:p>
    <w:p>
      <w:pPr>
        <w:spacing w:after="0" w:line="53" w:lineRule="exact"/>
        <w:rPr>
          <w:sz w:val="20"/>
          <w:szCs w:val="20"/>
          <w:color w:val="auto"/>
        </w:rPr>
      </w:pPr>
    </w:p>
    <w:p>
      <w:pPr>
        <w:ind w:right="80" w:firstLine="472"/>
        <w:spacing w:after="0" w:line="294" w:lineRule="auto"/>
        <w:rPr>
          <w:sz w:val="20"/>
          <w:szCs w:val="20"/>
          <w:color w:val="auto"/>
        </w:rPr>
      </w:pPr>
      <w:r>
        <w:rPr>
          <w:rFonts w:ascii="Arial" w:cs="Arial" w:eastAsia="Arial" w:hAnsi="Arial"/>
          <w:sz w:val="15"/>
          <w:szCs w:val="15"/>
          <w:color w:val="auto"/>
        </w:rPr>
        <w:t>Our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as of the last day of a fiscal quarter for a period of four consecutive fiscal quarters, of 3.25 to 1.00 or less; provided that, in the second quarter of 2021, the Credit Agreement was amended so that we may, upon our request, increase the maximum Leverage Ratio to (x) 3.75 to</w:t>
      </w:r>
    </w:p>
    <w:p>
      <w:pPr>
        <w:spacing w:after="0" w:line="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1.00 at the end of the fiscal quarter in which our acquisition of Nordco was consummated and each of the three fiscal quarters immediately following such fiscal quarter and (y)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4" w:name="page25"/>
    <w:bookmarkEnd w:id="24"/>
    <w:p>
      <w:pPr>
        <w:spacing w:after="0" w:line="289" w:lineRule="auto"/>
        <w:rPr>
          <w:sz w:val="20"/>
          <w:szCs w:val="20"/>
          <w:color w:val="auto"/>
        </w:rPr>
      </w:pPr>
      <w:r>
        <w:rPr>
          <w:rFonts w:ascii="Arial" w:cs="Arial" w:eastAsia="Arial" w:hAnsi="Arial"/>
          <w:sz w:val="17"/>
          <w:szCs w:val="17"/>
          <w:color w:val="auto"/>
        </w:rPr>
        <w:t>3.50 to 1.00 at the end of each of the fourth and fifth full fiscal quarters after the consummation of such acquisition. The Company has not requested any such increase in the leverage ratio at this time.</w:t>
      </w:r>
    </w:p>
    <w:p>
      <w:pPr>
        <w:spacing w:after="0" w:line="53"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107"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979" w:right="539" w:bottom="1440" w:gutter="0" w:footer="0" w:header="0"/>
        </w:sectPr>
      </w:pPr>
    </w:p>
    <w:bookmarkStart w:id="25" w:name="page26"/>
    <w:bookmarkEnd w:id="25"/>
    <w:p>
      <w:pPr>
        <w:ind w:left="20"/>
        <w:spacing w:after="0"/>
        <w:tabs>
          <w:tab w:leader="none" w:pos="13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5" w:lineRule="exact"/>
        <w:rPr>
          <w:sz w:val="20"/>
          <w:szCs w:val="20"/>
          <w:color w:val="auto"/>
        </w:rPr>
      </w:pPr>
    </w:p>
    <w:p>
      <w:pPr>
        <w:ind w:firstLine="472"/>
        <w:spacing w:after="0" w:line="286" w:lineRule="auto"/>
        <w:rPr>
          <w:sz w:val="20"/>
          <w:szCs w:val="20"/>
          <w:color w:val="auto"/>
        </w:rPr>
      </w:pPr>
      <w:r>
        <w:rPr>
          <w:rFonts w:ascii="Arial" w:cs="Arial" w:eastAsia="Arial" w:hAnsi="Arial"/>
          <w:sz w:val="16"/>
          <w:szCs w:val="16"/>
          <w:color w:val="auto"/>
        </w:rPr>
        <w:t>The following table provides certain summary information about the principal facilities owned or leased by the Company as of December 31, 2021.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1"/>
        </w:trPr>
        <w:tc>
          <w:tcPr>
            <w:tcW w:w="28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326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Primary Use</w:t>
            </w:r>
          </w:p>
        </w:tc>
        <w:tc>
          <w:tcPr>
            <w:tcW w:w="16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Segment</w:t>
            </w:r>
          </w:p>
        </w:tc>
        <w:tc>
          <w:tcPr>
            <w:tcW w:w="12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Own/Lease</w:t>
            </w:r>
          </w:p>
        </w:tc>
        <w:tc>
          <w:tcPr>
            <w:tcW w:w="1820" w:type="dxa"/>
            <w:vAlign w:val="bottom"/>
          </w:tcPr>
          <w:p>
            <w:pPr>
              <w:jc w:val="right"/>
              <w:ind w:right="35"/>
              <w:spacing w:after="0" w:line="141" w:lineRule="exact"/>
              <w:rPr>
                <w:sz w:val="20"/>
                <w:szCs w:val="20"/>
                <w:color w:val="auto"/>
              </w:rPr>
            </w:pPr>
            <w:r>
              <w:rPr>
                <w:rFonts w:ascii="Arial" w:cs="Arial" w:eastAsia="Arial" w:hAnsi="Arial"/>
                <w:sz w:val="14"/>
                <w:szCs w:val="14"/>
                <w:b w:val="1"/>
                <w:bCs w:val="1"/>
                <w:color w:val="auto"/>
              </w:rPr>
              <w:t>Approximate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20" w:type="dxa"/>
            <w:vAlign w:val="bottom"/>
            <w:gridSpan w:val="2"/>
            <w:vMerge w:val="continue"/>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8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Square Feet</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Domestic</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Erie, PA</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Manufacturing/Warehouse/Office</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3,800,000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Grove City, PA</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Manufacturing/Warehouse</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Own</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486,000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Wilmerding, PA</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Manufacturing/Service</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365,000</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Salem, VA</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Own</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320,000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Justin, Texas</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Manufacturing/Warehouse</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305,000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Fort Worth, Texas</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Manufacturing/Warehouse</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Own</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304,000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Houston, Texas</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Manufacturing/Service</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280,000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Hanover Park, Illinois</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250,000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Pittsburgh, PA</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Office</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Global HQ</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84,000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500"/>
              <w:spacing w:after="0"/>
              <w:rPr>
                <w:sz w:val="20"/>
                <w:szCs w:val="20"/>
                <w:color w:val="auto"/>
              </w:rPr>
            </w:pPr>
            <w:r>
              <w:rPr>
                <w:rFonts w:ascii="Arial" w:cs="Arial" w:eastAsia="Arial" w:hAnsi="Arial"/>
                <w:sz w:val="17"/>
                <w:szCs w:val="17"/>
                <w:b w:val="1"/>
                <w:bCs w:val="1"/>
                <w:color w:val="auto"/>
              </w:rPr>
              <w:t>International</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Shenyang, China</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Manufacturing/Warehouse/Office</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Own</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336,000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Doncaster, UK</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330,000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Changzhou, China</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Own</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316,000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Northampton, UK</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300,000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Shenyang City, China</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291,000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Piossasco, Italy</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Own</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301,000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Burton-on-Trent, UK</w:t>
            </w: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Manufacturing/Office</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Transit</w:t>
            </w: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260,000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ind w:left="500"/>
              <w:spacing w:after="0"/>
              <w:rPr>
                <w:sz w:val="20"/>
                <w:szCs w:val="20"/>
                <w:color w:val="auto"/>
              </w:rPr>
            </w:pPr>
            <w:r>
              <w:rPr>
                <w:rFonts w:ascii="Arial" w:cs="Arial" w:eastAsia="Arial" w:hAnsi="Arial"/>
                <w:sz w:val="17"/>
                <w:szCs w:val="17"/>
                <w:color w:val="auto"/>
              </w:rPr>
              <w:t>Bangalore, India</w:t>
            </w:r>
          </w:p>
        </w:tc>
        <w:tc>
          <w:tcPr>
            <w:tcW w:w="3260" w:type="dxa"/>
            <w:vAlign w:val="bottom"/>
            <w:gridSpan w:val="2"/>
          </w:tcPr>
          <w:p>
            <w:pPr>
              <w:ind w:left="480"/>
              <w:spacing w:after="0"/>
              <w:rPr>
                <w:sz w:val="20"/>
                <w:szCs w:val="20"/>
                <w:color w:val="auto"/>
              </w:rPr>
            </w:pPr>
            <w:r>
              <w:rPr>
                <w:rFonts w:ascii="Arial" w:cs="Arial" w:eastAsia="Arial" w:hAnsi="Arial"/>
                <w:sz w:val="17"/>
                <w:szCs w:val="17"/>
                <w:color w:val="auto"/>
              </w:rPr>
              <w:t>Manufacturing</w:t>
            </w:r>
          </w:p>
        </w:tc>
        <w:tc>
          <w:tcPr>
            <w:tcW w:w="1660" w:type="dxa"/>
            <w:vAlign w:val="bottom"/>
            <w:gridSpan w:val="2"/>
          </w:tcPr>
          <w:p>
            <w:pPr>
              <w:ind w:left="500"/>
              <w:spacing w:after="0"/>
              <w:rPr>
                <w:sz w:val="20"/>
                <w:szCs w:val="20"/>
                <w:color w:val="auto"/>
              </w:rPr>
            </w:pPr>
            <w:r>
              <w:rPr>
                <w:rFonts w:ascii="Arial" w:cs="Arial" w:eastAsia="Arial" w:hAnsi="Arial"/>
                <w:sz w:val="17"/>
                <w:szCs w:val="17"/>
                <w:color w:val="auto"/>
              </w:rPr>
              <w:t>Freight/Transit</w:t>
            </w:r>
          </w:p>
        </w:tc>
        <w:tc>
          <w:tcPr>
            <w:tcW w:w="1280" w:type="dxa"/>
            <w:vAlign w:val="bottom"/>
            <w:gridSpan w:val="2"/>
          </w:tcPr>
          <w:p>
            <w:pPr>
              <w:ind w:left="620"/>
              <w:spacing w:after="0"/>
              <w:rPr>
                <w:sz w:val="20"/>
                <w:szCs w:val="20"/>
                <w:color w:val="auto"/>
              </w:rPr>
            </w:pPr>
            <w:r>
              <w:rPr>
                <w:rFonts w:ascii="Arial" w:cs="Arial" w:eastAsia="Arial" w:hAnsi="Arial"/>
                <w:sz w:val="17"/>
                <w:szCs w:val="17"/>
                <w:color w:val="auto"/>
              </w:rPr>
              <w:t>Lease</w:t>
            </w:r>
          </w:p>
        </w:tc>
        <w:tc>
          <w:tcPr>
            <w:tcW w:w="1820" w:type="dxa"/>
            <w:vAlign w:val="bottom"/>
          </w:tcPr>
          <w:p>
            <w:pPr>
              <w:jc w:val="right"/>
              <w:ind w:right="475"/>
              <w:spacing w:after="0"/>
              <w:rPr>
                <w:sz w:val="20"/>
                <w:szCs w:val="20"/>
                <w:color w:val="auto"/>
              </w:rPr>
            </w:pPr>
            <w:r>
              <w:rPr>
                <w:rFonts w:ascii="Arial" w:cs="Arial" w:eastAsia="Arial" w:hAnsi="Arial"/>
                <w:sz w:val="17"/>
                <w:szCs w:val="17"/>
                <w:color w:val="auto"/>
              </w:rPr>
              <w:t>168,000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480" w:right="280" w:hanging="318"/>
        <w:spacing w:after="0" w:line="289" w:lineRule="auto"/>
        <w:tabs>
          <w:tab w:leader="none" w:pos="47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250,000 square feet are currently used in connection with the Company’s manufacturing operations. The remainder is leased to a third party.</w:t>
      </w:r>
    </w:p>
    <w:p>
      <w:pPr>
        <w:spacing w:after="0" w:line="86"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17" w:lineRule="exact"/>
        <w:rPr>
          <w:sz w:val="20"/>
          <w:szCs w:val="20"/>
          <w:color w:val="auto"/>
        </w:rPr>
      </w:pPr>
    </w:p>
    <w:p>
      <w:pPr>
        <w:ind w:right="80" w:firstLine="472"/>
        <w:spacing w:after="0" w:line="289" w:lineRule="auto"/>
        <w:rPr>
          <w:sz w:val="20"/>
          <w:szCs w:val="20"/>
          <w:color w:val="auto"/>
        </w:rPr>
      </w:pPr>
      <w:r>
        <w:rPr>
          <w:rFonts w:ascii="Arial" w:cs="Arial" w:eastAsia="Arial" w:hAnsi="Arial"/>
          <w:sz w:val="17"/>
          <w:szCs w:val="17"/>
          <w:color w:val="auto"/>
        </w:rPr>
        <w:t>Information with respect to legal proceedings is included in Note 18 of “Notes to Consolidated Financial Statements” included in Part IV, Item 15 of this report and incorporated by reference herein.</w:t>
      </w:r>
    </w:p>
    <w:p>
      <w:pPr>
        <w:spacing w:after="0" w:line="86"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53" w:lineRule="exact"/>
        <w:rPr>
          <w:sz w:val="20"/>
          <w:szCs w:val="20"/>
          <w:color w:val="auto"/>
        </w:rPr>
      </w:pPr>
    </w:p>
    <w:p>
      <w:pPr>
        <w:ind w:left="1320" w:hanging="1296"/>
        <w:spacing w:after="0" w:line="248" w:lineRule="auto"/>
        <w:tabs>
          <w:tab w:leader="none" w:pos="13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78" w:lineRule="exact"/>
        <w:rPr>
          <w:sz w:val="20"/>
          <w:szCs w:val="20"/>
          <w:color w:val="auto"/>
        </w:rPr>
      </w:pPr>
    </w:p>
    <w:p>
      <w:pPr>
        <w:ind w:right="680" w:firstLine="472"/>
        <w:spacing w:after="0" w:line="289" w:lineRule="auto"/>
        <w:rPr>
          <w:sz w:val="20"/>
          <w:szCs w:val="20"/>
          <w:color w:val="auto"/>
        </w:rPr>
      </w:pPr>
      <w:r>
        <w:rPr>
          <w:rFonts w:ascii="Arial" w:cs="Arial" w:eastAsia="Arial" w:hAnsi="Arial"/>
          <w:sz w:val="17"/>
          <w:szCs w:val="17"/>
          <w:color w:val="auto"/>
        </w:rPr>
        <w:t>The Common Stock of the Company is listed on the New York Stock Exchange under the symbol “WAB.” As of February 11, 2022, there were 185,290,114 shares of Common Stock outstanding held by approximately 109,650 holders of record.</w:t>
      </w:r>
    </w:p>
    <w:p>
      <w:pPr>
        <w:spacing w:after="0" w:line="171" w:lineRule="exact"/>
        <w:rPr>
          <w:sz w:val="20"/>
          <w:szCs w:val="20"/>
          <w:color w:val="auto"/>
        </w:rPr>
      </w:pPr>
    </w:p>
    <w:p>
      <w:pPr>
        <w:ind w:right="320" w:firstLine="472"/>
        <w:spacing w:after="0" w:line="305" w:lineRule="auto"/>
        <w:rPr>
          <w:sz w:val="20"/>
          <w:szCs w:val="20"/>
          <w:color w:val="auto"/>
        </w:rPr>
      </w:pPr>
      <w:r>
        <w:rPr>
          <w:rFonts w:ascii="Arial" w:cs="Arial" w:eastAsia="Arial" w:hAnsi="Arial"/>
          <w:sz w:val="17"/>
          <w:szCs w:val="17"/>
          <w:color w:val="auto"/>
        </w:rPr>
        <w:t>The Company has historically paid quarterly dividends to shareholders, subject to quarterly approval by our Board of Directors, currently at a rate of approximately $111 million annually. The declaration and payment of future dividends are at the discretion of the Board of Directors.</w:t>
      </w:r>
    </w:p>
    <w:p>
      <w:pPr>
        <w:spacing w:after="0" w:line="27" w:lineRule="exact"/>
        <w:rPr>
          <w:sz w:val="20"/>
          <w:szCs w:val="20"/>
          <w:color w:val="auto"/>
        </w:rPr>
      </w:pPr>
    </w:p>
    <w:p>
      <w:pPr>
        <w:ind w:right="80" w:firstLine="472"/>
        <w:spacing w:after="0" w:line="283" w:lineRule="auto"/>
        <w:rPr>
          <w:sz w:val="20"/>
          <w:szCs w:val="20"/>
          <w:color w:val="auto"/>
        </w:rPr>
      </w:pPr>
      <w:r>
        <w:rPr>
          <w:rFonts w:ascii="Arial" w:cs="Arial" w:eastAsia="Arial" w:hAnsi="Arial"/>
          <w:sz w:val="16"/>
          <w:szCs w:val="16"/>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2021, of Wabtec’s common stock to (i) the S&amp;P 500 and (ii) our peer group of manufacturing companies which consists of the following publicly traded companies: AGCO, AMETEK, CSX, Cummins, Dover, Emerson Electric, Fortive, Howmet Aerospace, Illinois Tool Works, Norfolk Southern, Oshkosh, Parker-Hannifin, Rockwell Automation, Terex, Textron, The Greenbrier Companies, Trinity Industries,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5688965" cy="3019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8965" cy="301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27" w:name="page28"/>
    <w:bookmarkEnd w:id="27"/>
    <w:p>
      <w:pPr>
        <w:ind w:left="4980"/>
        <w:spacing w:after="0"/>
        <w:rPr>
          <w:sz w:val="20"/>
          <w:szCs w:val="20"/>
          <w:color w:val="auto"/>
        </w:rPr>
      </w:pPr>
      <w:r>
        <w:rPr>
          <w:rFonts w:ascii="Arial" w:cs="Arial" w:eastAsia="Arial" w:hAnsi="Arial"/>
          <w:sz w:val="17"/>
          <w:szCs w:val="17"/>
          <w:b w:val="1"/>
          <w:bCs w:val="1"/>
          <w:color w:val="auto"/>
        </w:rPr>
        <w:t>Issuer 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-120015</wp:posOffset>
            </wp:positionV>
            <wp:extent cx="6898640" cy="141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8640" cy="141605"/>
                    </a:xfrm>
                    <a:prstGeom prst="rect">
                      <a:avLst/>
                    </a:prstGeom>
                    <a:noFill/>
                  </pic:spPr>
                </pic:pic>
              </a:graphicData>
            </a:graphic>
          </wp:anchor>
        </w:drawing>
      </w:r>
    </w:p>
    <w:p>
      <w:pPr>
        <w:spacing w:after="0" w:line="12"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3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ind w:left="500"/>
              <w:spacing w:after="0" w:line="164" w:lineRule="exact"/>
              <w:rPr>
                <w:sz w:val="20"/>
                <w:szCs w:val="20"/>
                <w:color w:val="auto"/>
              </w:rPr>
            </w:pPr>
            <w:r>
              <w:rPr>
                <w:rFonts w:ascii="Arial" w:cs="Arial" w:eastAsia="Arial" w:hAnsi="Arial"/>
                <w:sz w:val="17"/>
                <w:szCs w:val="17"/>
                <w:b w:val="1"/>
                <w:bCs w:val="1"/>
                <w:color w:val="auto"/>
              </w:rPr>
              <w:t>Total Number</w:t>
            </w:r>
          </w:p>
        </w:tc>
        <w:tc>
          <w:tcPr>
            <w:tcW w:w="17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7"/>
                <w:szCs w:val="17"/>
                <w:b w:val="1"/>
                <w:bCs w:val="1"/>
                <w:color w:val="auto"/>
              </w:rPr>
              <w:t>Maximum Doll</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89"/>
              </w:rPr>
              <w:t>of Shares Purchased</w:t>
            </w:r>
          </w:p>
        </w:tc>
        <w:tc>
          <w:tcPr>
            <w:tcW w:w="1700" w:type="dxa"/>
            <w:vAlign w:val="bottom"/>
          </w:tcPr>
          <w:p>
            <w:pPr>
              <w:jc w:val="right"/>
              <w:ind w:right="33"/>
              <w:spacing w:after="0" w:line="171" w:lineRule="exact"/>
              <w:rPr>
                <w:sz w:val="20"/>
                <w:szCs w:val="20"/>
                <w:color w:val="auto"/>
              </w:rPr>
            </w:pPr>
            <w:r>
              <w:rPr>
                <w:rFonts w:ascii="Arial" w:cs="Arial" w:eastAsia="Arial" w:hAnsi="Arial"/>
                <w:sz w:val="17"/>
                <w:szCs w:val="17"/>
                <w:b w:val="1"/>
                <w:bCs w:val="1"/>
                <w:color w:val="auto"/>
                <w:w w:val="92"/>
              </w:rPr>
              <w:t>Value of Shares That</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Total Number</w:t>
            </w:r>
          </w:p>
        </w:tc>
        <w:tc>
          <w:tcPr>
            <w:tcW w:w="2120" w:type="dxa"/>
            <w:vAlign w:val="bottom"/>
            <w:gridSpan w:val="3"/>
            <w:vMerge w:val="restart"/>
          </w:tcPr>
          <w:p>
            <w:pPr>
              <w:ind w:left="520"/>
              <w:spacing w:after="0"/>
              <w:rPr>
                <w:sz w:val="20"/>
                <w:szCs w:val="20"/>
                <w:color w:val="auto"/>
              </w:rPr>
            </w:pPr>
            <w:r>
              <w:rPr>
                <w:rFonts w:ascii="Arial" w:cs="Arial" w:eastAsia="Arial" w:hAnsi="Arial"/>
                <w:sz w:val="17"/>
                <w:szCs w:val="17"/>
                <w:b w:val="1"/>
                <w:bCs w:val="1"/>
                <w:color w:val="auto"/>
              </w:rPr>
              <w:t>Average Price Paid</w:t>
            </w:r>
          </w:p>
        </w:tc>
        <w:tc>
          <w:tcPr>
            <w:tcW w:w="16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3"/>
              </w:rPr>
              <w:t>as Part of Publicly</w:t>
            </w:r>
          </w:p>
        </w:tc>
        <w:tc>
          <w:tcPr>
            <w:tcW w:w="1700" w:type="dxa"/>
            <w:vAlign w:val="bottom"/>
          </w:tcPr>
          <w:p>
            <w:pPr>
              <w:jc w:val="right"/>
              <w:spacing w:after="0" w:line="171" w:lineRule="exact"/>
              <w:rPr>
                <w:sz w:val="20"/>
                <w:szCs w:val="20"/>
                <w:color w:val="auto"/>
              </w:rPr>
            </w:pPr>
            <w:r>
              <w:rPr>
                <w:rFonts w:ascii="Arial" w:cs="Arial" w:eastAsia="Arial" w:hAnsi="Arial"/>
                <w:sz w:val="17"/>
                <w:szCs w:val="17"/>
                <w:b w:val="1"/>
                <w:bCs w:val="1"/>
                <w:color w:val="auto"/>
                <w:w w:val="95"/>
              </w:rPr>
              <w:t>Yet Be Purchased Un</w:t>
            </w:r>
          </w:p>
        </w:tc>
        <w:tc>
          <w:tcPr>
            <w:tcW w:w="0" w:type="dxa"/>
            <w:vAlign w:val="bottom"/>
          </w:tcPr>
          <w:p>
            <w:pPr>
              <w:spacing w:after="0"/>
              <w:rPr>
                <w:sz w:val="1"/>
                <w:szCs w:val="1"/>
                <w:color w:val="auto"/>
              </w:rPr>
            </w:pPr>
          </w:p>
        </w:tc>
      </w:tr>
      <w:tr>
        <w:trPr>
          <w:trHeight w:val="170"/>
        </w:trPr>
        <w:tc>
          <w:tcPr>
            <w:tcW w:w="3560" w:type="dxa"/>
            <w:vAlign w:val="bottom"/>
            <w:vMerge w:val="restart"/>
          </w:tcPr>
          <w:p>
            <w:pPr>
              <w:ind w:left="480"/>
              <w:spacing w:after="0"/>
              <w:rPr>
                <w:sz w:val="20"/>
                <w:szCs w:val="20"/>
                <w:color w:val="auto"/>
              </w:rPr>
            </w:pPr>
            <w:r>
              <w:rPr>
                <w:rFonts w:ascii="Arial" w:cs="Arial" w:eastAsia="Arial" w:hAnsi="Arial"/>
                <w:sz w:val="17"/>
                <w:szCs w:val="17"/>
                <w:b w:val="1"/>
                <w:bCs w:val="1"/>
                <w:color w:val="auto"/>
              </w:rPr>
              <w:t>Month</w:t>
            </w:r>
          </w:p>
        </w:tc>
        <w:tc>
          <w:tcPr>
            <w:tcW w:w="100" w:type="dxa"/>
            <w:vAlign w:val="bottom"/>
            <w:vMerge w:val="restart"/>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16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1"/>
              </w:rPr>
              <w:t>Announced</w:t>
            </w:r>
          </w:p>
        </w:tc>
        <w:tc>
          <w:tcPr>
            <w:tcW w:w="1700" w:type="dxa"/>
            <w:vAlign w:val="bottom"/>
          </w:tcPr>
          <w:p>
            <w:pPr>
              <w:jc w:val="right"/>
              <w:spacing w:after="0" w:line="171" w:lineRule="exact"/>
              <w:rPr>
                <w:sz w:val="20"/>
                <w:szCs w:val="20"/>
                <w:color w:val="auto"/>
              </w:rPr>
            </w:pPr>
            <w:r>
              <w:rPr>
                <w:rFonts w:ascii="Arial" w:cs="Arial" w:eastAsia="Arial" w:hAnsi="Arial"/>
                <w:sz w:val="17"/>
                <w:szCs w:val="17"/>
                <w:b w:val="1"/>
                <w:bCs w:val="1"/>
                <w:color w:val="auto"/>
              </w:rPr>
              <w:t>the Programs (1)</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of Shares Purchased</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w w:val="94"/>
              </w:rPr>
              <w:t>per Share</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Programs (1)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In millions</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October 2021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660" w:type="dxa"/>
            <w:vAlign w:val="bottom"/>
            <w:gridSpan w:val="2"/>
          </w:tcPr>
          <w:p>
            <w:pPr>
              <w:ind w:left="480"/>
              <w:spacing w:after="0"/>
              <w:rPr>
                <w:sz w:val="20"/>
                <w:szCs w:val="20"/>
                <w:color w:val="auto"/>
              </w:rPr>
            </w:pPr>
            <w:r>
              <w:rPr>
                <w:rFonts w:ascii="Arial" w:cs="Arial" w:eastAsia="Arial" w:hAnsi="Arial"/>
                <w:sz w:val="17"/>
                <w:szCs w:val="17"/>
                <w:color w:val="auto"/>
              </w:rPr>
              <w:t>November 2021</w:t>
            </w:r>
          </w:p>
        </w:tc>
        <w:tc>
          <w:tcPr>
            <w:tcW w:w="1580" w:type="dxa"/>
            <w:vAlign w:val="bottom"/>
          </w:tcPr>
          <w:p>
            <w:pPr>
              <w:jc w:val="right"/>
              <w:spacing w:after="0"/>
              <w:rPr>
                <w:sz w:val="20"/>
                <w:szCs w:val="20"/>
                <w:color w:val="auto"/>
              </w:rPr>
            </w:pPr>
            <w:r>
              <w:rPr>
                <w:rFonts w:ascii="Arial" w:cs="Arial" w:eastAsia="Arial" w:hAnsi="Arial"/>
                <w:sz w:val="17"/>
                <w:szCs w:val="17"/>
                <w:color w:val="auto"/>
              </w:rPr>
              <w:t>1,048,036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95.40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1,048,036</w:t>
            </w:r>
          </w:p>
        </w:tc>
        <w:tc>
          <w:tcPr>
            <w:tcW w:w="100" w:type="dxa"/>
            <w:vAlign w:val="bottom"/>
          </w:tcPr>
          <w:p>
            <w:pPr>
              <w:spacing w:after="0"/>
              <w:rPr>
                <w:sz w:val="19"/>
                <w:szCs w:val="19"/>
                <w:color w:val="auto"/>
              </w:rPr>
            </w:pPr>
          </w:p>
        </w:tc>
        <w:tc>
          <w:tcPr>
            <w:tcW w:w="170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December 2021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480"/>
              <w:spacing w:after="0"/>
              <w:rPr>
                <w:sz w:val="20"/>
                <w:szCs w:val="20"/>
                <w:color w:val="auto"/>
              </w:rPr>
            </w:pPr>
            <w:r>
              <w:rPr>
                <w:rFonts w:ascii="Arial" w:cs="Arial" w:eastAsia="Arial" w:hAnsi="Arial"/>
                <w:sz w:val="17"/>
                <w:szCs w:val="17"/>
                <w:color w:val="auto"/>
              </w:rPr>
              <w:t>Total quarter ended December 31, 2021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1,048,036</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95.40</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1,048,036</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10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40" w:right="160" w:hanging="635"/>
        <w:spacing w:after="0" w:line="276" w:lineRule="auto"/>
        <w:tabs>
          <w:tab w:leader="none" w:pos="3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February 10, 2022, the Board of Directors increased its stock repurchase authorization to increase the amount available for stock repurchases to $750 million of the Company’s outstanding shares. This new stock repurchase authorization supersedes the previous authorization of $500 million, of which $151 million remained at the reauthorization date.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87"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2" w:right="239" w:bottom="1440" w:gutter="0" w:footer="0" w:header="0"/>
        </w:sectPr>
      </w:pPr>
    </w:p>
    <w:bookmarkStart w:id="28" w:name="page29"/>
    <w:bookmarkEnd w:id="28"/>
    <w:p>
      <w:pPr>
        <w:ind w:left="1320" w:right="2080" w:hanging="1296"/>
        <w:spacing w:after="0" w:line="248" w:lineRule="auto"/>
        <w:tabs>
          <w:tab w:leader="none" w:pos="13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40" w:firstLine="472"/>
        <w:spacing w:after="0" w:line="308" w:lineRule="auto"/>
        <w:rPr>
          <w:sz w:val="20"/>
          <w:szCs w:val="20"/>
          <w:color w:val="auto"/>
        </w:rPr>
      </w:pPr>
      <w:r>
        <w:rPr>
          <w:rFonts w:ascii="Arial" w:cs="Arial" w:eastAsia="Arial" w:hAnsi="Arial"/>
          <w:sz w:val="15"/>
          <w:szCs w:val="15"/>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2021, approximately 60% of the Company’s net sales came from customers outside the U.S.</w:t>
      </w:r>
    </w:p>
    <w:p>
      <w:pPr>
        <w:spacing w:after="0" w:line="46" w:lineRule="exact"/>
        <w:rPr>
          <w:sz w:val="20"/>
          <w:szCs w:val="20"/>
          <w:color w:val="auto"/>
        </w:rPr>
      </w:pPr>
    </w:p>
    <w:p>
      <w:pPr>
        <w:ind w:right="80" w:firstLine="472"/>
        <w:spacing w:after="0" w:line="289" w:lineRule="auto"/>
        <w:rPr>
          <w:sz w:val="20"/>
          <w:szCs w:val="20"/>
          <w:color w:val="auto"/>
        </w:rPr>
      </w:pPr>
      <w:r>
        <w:rPr>
          <w:rFonts w:ascii="Arial" w:cs="Arial" w:eastAsia="Arial" w:hAnsi="Arial"/>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safety, quality and on-time delivery.</w:t>
      </w:r>
    </w:p>
    <w:p>
      <w:pPr>
        <w:spacing w:after="0" w:line="57" w:lineRule="exact"/>
        <w:rPr>
          <w:sz w:val="20"/>
          <w:szCs w:val="20"/>
          <w:color w:val="auto"/>
        </w:rPr>
      </w:pPr>
    </w:p>
    <w:p>
      <w:pPr>
        <w:ind w:right="20" w:firstLine="472"/>
        <w:spacing w:after="0" w:line="263" w:lineRule="auto"/>
        <w:rPr>
          <w:sz w:val="20"/>
          <w:szCs w:val="20"/>
          <w:color w:val="auto"/>
        </w:rPr>
      </w:pPr>
      <w:r>
        <w:rPr>
          <w:rFonts w:ascii="Arial" w:cs="Arial" w:eastAsia="Arial" w:hAnsi="Arial"/>
          <w:sz w:val="17"/>
          <w:szCs w:val="17"/>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77" w:lineRule="exact"/>
        <w:rPr>
          <w:sz w:val="20"/>
          <w:szCs w:val="20"/>
          <w:color w:val="auto"/>
        </w:rPr>
      </w:pPr>
    </w:p>
    <w:p>
      <w:pPr>
        <w:jc w:val="both"/>
        <w:ind w:right="180" w:firstLine="472"/>
        <w:spacing w:after="0" w:line="273" w:lineRule="auto"/>
        <w:rPr>
          <w:sz w:val="20"/>
          <w:szCs w:val="20"/>
          <w:color w:val="auto"/>
        </w:rPr>
      </w:pPr>
      <w:r>
        <w:rPr>
          <w:rFonts w:ascii="Arial" w:cs="Arial" w:eastAsia="Arial" w:hAnsi="Arial"/>
          <w:sz w:val="17"/>
          <w:szCs w:val="17"/>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Update</w:t>
      </w:r>
    </w:p>
    <w:p>
      <w:pPr>
        <w:spacing w:after="0" w:line="119" w:lineRule="exact"/>
        <w:rPr>
          <w:sz w:val="20"/>
          <w:szCs w:val="20"/>
          <w:color w:val="auto"/>
        </w:rPr>
      </w:pPr>
    </w:p>
    <w:p>
      <w:pPr>
        <w:ind w:right="40" w:firstLine="472"/>
        <w:spacing w:after="0" w:line="280" w:lineRule="auto"/>
        <w:rPr>
          <w:sz w:val="20"/>
          <w:szCs w:val="20"/>
          <w:color w:val="auto"/>
        </w:rPr>
      </w:pPr>
      <w:r>
        <w:rPr>
          <w:rFonts w:ascii="Arial" w:cs="Arial" w:eastAsia="Arial" w:hAnsi="Arial"/>
          <w:sz w:val="16"/>
          <w:szCs w:val="16"/>
          <w:color w:val="auto"/>
        </w:rPr>
        <w:t>The COVID-19 pandemic has continued to impact our sales channels, supply chain, manufacturing operations, workforce and other key aspects of our operations. The Company continues to monitor the situation and guidance from international and domestic authorities, including federal, state, and local public health authorities; however, there are numerous uncertainties, including the duration and severity of the pandemic, availability and effectiveness of vaccines, impact of variants of the disease, actions that may be taken by governmental authorities and private industry, including preventing or curtailing the operations of our plants, the potential impact on global economic activity, global supply chain operations, our employees, our customers, suppliers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w:t>
      </w:r>
    </w:p>
    <w:p>
      <w:pPr>
        <w:spacing w:after="0" w:line="64" w:lineRule="exact"/>
        <w:rPr>
          <w:sz w:val="20"/>
          <w:szCs w:val="20"/>
          <w:color w:val="auto"/>
        </w:rPr>
      </w:pPr>
    </w:p>
    <w:p>
      <w:pPr>
        <w:ind w:right="40" w:firstLine="472"/>
        <w:spacing w:after="0" w:line="305" w:lineRule="auto"/>
        <w:rPr>
          <w:sz w:val="20"/>
          <w:szCs w:val="20"/>
          <w:color w:val="auto"/>
        </w:rPr>
      </w:pPr>
      <w:r>
        <w:rPr>
          <w:rFonts w:ascii="Arial" w:cs="Arial" w:eastAsia="Arial" w:hAnsi="Arial"/>
          <w:sz w:val="15"/>
          <w:szCs w:val="15"/>
          <w:color w:val="auto"/>
        </w:rPr>
        <w:t>The COVID-19 pandemic has increased the uncertainty around global economic and market conditions, which impacts our sales and operations. To the extent that these factors cause, or exacerbate, instability of capital markets, shortages of raw materials or component parts, longer sales cycles, deferral or delay of customer orders or an inability to market our products effectively, our business and results of operations could be materially adversely affected, and the materially adverse impacts that we have experienced as a result of the COVID-19 pandemic could continue or worsen.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47" w:lineRule="exact"/>
        <w:rPr>
          <w:sz w:val="20"/>
          <w:szCs w:val="20"/>
          <w:color w:val="auto"/>
        </w:rPr>
      </w:pPr>
    </w:p>
    <w:p>
      <w:pPr>
        <w:ind w:firstLine="472"/>
        <w:spacing w:after="0" w:line="261" w:lineRule="auto"/>
        <w:rPr>
          <w:sz w:val="20"/>
          <w:szCs w:val="20"/>
          <w:color w:val="auto"/>
        </w:rPr>
      </w:pPr>
      <w:r>
        <w:rPr>
          <w:rFonts w:ascii="Arial" w:cs="Arial" w:eastAsia="Arial" w:hAnsi="Arial"/>
          <w:sz w:val="17"/>
          <w:szCs w:val="17"/>
          <w:color w:val="auto"/>
        </w:rPr>
        <w:t>Although the U.S. and other international governments deemed rail transportation as “critical infrastructure” providing essential services during the COVID-19 pandemic, the COVID-19 pandemic had a materially adverse impact on our operations and business results for the years ended December 31, 2021 and 2020, which is discussed in more detail in the Results of Operations section below. Supply chain disruptions and labor availability have caused component, raw material and chip shortages resulting in an adverse effect on the timing of the Company’s revenue generation. Additionally, broad-based inflation, escalation of metals and commodities costs, transportation and logistics costs and labor costs have all resulted from the COVID-19 pandemic. The Company has implemented various mitigating actions to lessen the impact of supply chain disruptions caused by the COVID-19 pandemic. These actions include price escalations in long-term contracts, implementing price surcharges, driving operational efficiencies through various cost mitigation efforts and discretionary spend management,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9" w:name="page30"/>
    <w:bookmarkEnd w:id="29"/>
    <w:p>
      <w:pPr>
        <w:ind w:right="80"/>
        <w:spacing w:after="0" w:line="289" w:lineRule="auto"/>
        <w:rPr>
          <w:sz w:val="20"/>
          <w:szCs w:val="20"/>
          <w:color w:val="auto"/>
        </w:rPr>
      </w:pPr>
      <w:r>
        <w:rPr>
          <w:rFonts w:ascii="Arial" w:cs="Arial" w:eastAsia="Arial" w:hAnsi="Arial"/>
          <w:sz w:val="17"/>
          <w:szCs w:val="17"/>
          <w:color w:val="auto"/>
        </w:rPr>
        <w:t>strategic sourcing alignments, and accelerating integration synergies where possible. The Company expects to continue to realize these increased costs over the next few quarters.</w:t>
      </w:r>
    </w:p>
    <w:p>
      <w:pPr>
        <w:spacing w:after="0" w:line="53" w:lineRule="exact"/>
        <w:rPr>
          <w:sz w:val="20"/>
          <w:szCs w:val="20"/>
          <w:color w:val="auto"/>
        </w:rPr>
      </w:pPr>
    </w:p>
    <w:p>
      <w:pPr>
        <w:ind w:firstLine="472"/>
        <w:spacing w:after="0" w:line="267" w:lineRule="auto"/>
        <w:rPr>
          <w:sz w:val="20"/>
          <w:szCs w:val="20"/>
          <w:color w:val="auto"/>
        </w:rPr>
      </w:pPr>
      <w:r>
        <w:rPr>
          <w:rFonts w:ascii="Arial" w:cs="Arial" w:eastAsia="Arial" w:hAnsi="Arial"/>
          <w:sz w:val="17"/>
          <w:szCs w:val="17"/>
          <w:color w:val="auto"/>
        </w:rPr>
        <w:t>Uncertainty around general global economic and market conditions, exacerbated by the COVID-19 pandemic, will have an impact on our sales and operations in 2022 and beyond. To the extent that these factors cause instability of capital markets, supply chain disruptions including shortages of raw materials or component parts, labor availability, longer sales cycles, deferral or delay of customer orders, or an inability to market our products effectively, our business and results of operations could be materially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Cybersecurity Exposure</w:t>
      </w:r>
    </w:p>
    <w:p>
      <w:pPr>
        <w:spacing w:after="0" w:line="119" w:lineRule="exact"/>
        <w:rPr>
          <w:sz w:val="20"/>
          <w:szCs w:val="20"/>
          <w:color w:val="auto"/>
        </w:rPr>
      </w:pPr>
    </w:p>
    <w:p>
      <w:pPr>
        <w:ind w:right="100" w:firstLine="472"/>
        <w:spacing w:after="0" w:line="285" w:lineRule="auto"/>
        <w:rPr>
          <w:sz w:val="20"/>
          <w:szCs w:val="20"/>
          <w:color w:val="auto"/>
        </w:rPr>
      </w:pPr>
      <w:r>
        <w:rPr>
          <w:rFonts w:ascii="Arial" w:cs="Arial" w:eastAsia="Arial" w:hAnsi="Arial"/>
          <w:sz w:val="16"/>
          <w:szCs w:val="16"/>
          <w:color w:val="auto"/>
        </w:rPr>
        <w:t>During the third quarter 2021, one of our vendors publicly disclosed vulnerabilities in one of its operating systems that is used in a range of products across the rail sector and other industries, including in certain Wabtec products. In response, Wabtec reviewed its digital onboard locomotive products and locomotive control systems to determine which products may be affected and the potential impact to Wabtec, our customers and other relevant parties. To date, we are unaware of any exploitation of these vulnerabilities; however, we are working closely with our vendor to appropriately address potentially impacted products. Additionally, we have communicated with potentially affected customers and discussed mitigation strategies.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164" w:lineRule="exact"/>
        <w:rPr>
          <w:sz w:val="20"/>
          <w:szCs w:val="20"/>
          <w:color w:val="auto"/>
        </w:rPr>
      </w:pPr>
    </w:p>
    <w:p>
      <w:pPr>
        <w:ind w:right="520" w:firstLine="472"/>
        <w:spacing w:after="0" w:line="273" w:lineRule="auto"/>
        <w:rPr>
          <w:sz w:val="20"/>
          <w:szCs w:val="20"/>
          <w:color w:val="auto"/>
        </w:rPr>
      </w:pPr>
      <w:r>
        <w:rPr>
          <w:rFonts w:ascii="Arial" w:cs="Arial" w:eastAsia="Arial" w:hAnsi="Arial"/>
          <w:sz w:val="17"/>
          <w:szCs w:val="17"/>
          <w:color w:val="auto"/>
        </w:rPr>
        <w:t>Wabtec acquired Nordco, a leading North American supplier of new, rebuilt and used maintenance of way equipment, on March 31, 2021, and GE Transportation, a former business unit of GE, on February 25, 2019. For additional information related to these acquisitions refer to Note 3 of "Notes to Consolidated Financial Statements" included in Part IV, Item 15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53"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2021 COMPARED TO 2020</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our Consolidated Statements of Operations for the years indicated.</w:t>
      </w:r>
    </w:p>
    <w:p>
      <w:pPr>
        <w:spacing w:after="0" w:line="52"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21"/>
              <w:spacing w:after="0" w:line="170"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21"/>
              <w:spacing w:after="0" w:line="170"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8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6"/>
        </w:trPr>
        <w:tc>
          <w:tcPr>
            <w:tcW w:w="500" w:type="dxa"/>
            <w:vAlign w:val="bottom"/>
          </w:tcPr>
          <w:p>
            <w:pPr>
              <w:spacing w:after="0"/>
              <w:rPr>
                <w:sz w:val="17"/>
                <w:szCs w:val="17"/>
                <w:color w:val="auto"/>
              </w:rPr>
            </w:pPr>
          </w:p>
        </w:tc>
        <w:tc>
          <w:tcPr>
            <w:tcW w:w="6820" w:type="dxa"/>
            <w:vAlign w:val="bottom"/>
            <w:gridSpan w:val="2"/>
          </w:tcPr>
          <w:p>
            <w:pPr>
              <w:ind w:left="200"/>
              <w:spacing w:after="0"/>
              <w:rPr>
                <w:sz w:val="20"/>
                <w:szCs w:val="20"/>
                <w:color w:val="auto"/>
              </w:rPr>
            </w:pPr>
            <w:r>
              <w:rPr>
                <w:rFonts w:ascii="Arial" w:cs="Arial" w:eastAsia="Arial" w:hAnsi="Arial"/>
                <w:sz w:val="16"/>
                <w:szCs w:val="16"/>
                <w:color w:val="auto"/>
              </w:rPr>
              <w:t>Sales of goods</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6,205</w:t>
            </w:r>
          </w:p>
        </w:tc>
        <w:tc>
          <w:tcPr>
            <w:tcW w:w="12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6,233</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Sales of services</w:t>
            </w: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199"/>
        </w:trPr>
        <w:tc>
          <w:tcPr>
            <w:tcW w:w="500" w:type="dxa"/>
            <w:vAlign w:val="bottom"/>
          </w:tcPr>
          <w:p>
            <w:pPr>
              <w:spacing w:after="0"/>
              <w:rPr>
                <w:sz w:val="17"/>
                <w:szCs w:val="17"/>
                <w:color w:val="auto"/>
              </w:rPr>
            </w:pPr>
          </w:p>
        </w:tc>
        <w:tc>
          <w:tcPr>
            <w:tcW w:w="6820" w:type="dxa"/>
            <w:vAlign w:val="bottom"/>
            <w:gridSpan w:val="2"/>
          </w:tcPr>
          <w:p>
            <w:pPr>
              <w:ind w:left="300"/>
              <w:spacing w:after="0"/>
              <w:rPr>
                <w:sz w:val="20"/>
                <w:szCs w:val="20"/>
                <w:color w:val="auto"/>
              </w:rPr>
            </w:pPr>
            <w:r>
              <w:rPr>
                <w:rFonts w:ascii="Arial" w:cs="Arial" w:eastAsia="Arial" w:hAnsi="Arial"/>
                <w:sz w:val="16"/>
                <w:szCs w:val="16"/>
                <w:color w:val="auto"/>
              </w:rPr>
              <w:t>Total net sales</w:t>
            </w: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7,822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7,556</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6820" w:type="dxa"/>
            <w:vAlign w:val="bottom"/>
            <w:gridSpan w:val="2"/>
          </w:tcPr>
          <w:p>
            <w:pPr>
              <w:ind w:left="200"/>
              <w:spacing w:after="0"/>
              <w:rPr>
                <w:sz w:val="20"/>
                <w:szCs w:val="20"/>
                <w:color w:val="auto"/>
              </w:rPr>
            </w:pPr>
            <w:r>
              <w:rPr>
                <w:rFonts w:ascii="Arial" w:cs="Arial" w:eastAsia="Arial" w:hAnsi="Arial"/>
                <w:sz w:val="16"/>
                <w:szCs w:val="16"/>
                <w:color w:val="auto"/>
              </w:rPr>
              <w:t>Cost of goods</w:t>
            </w: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(4,629)</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Cost of services</w:t>
            </w: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199"/>
        </w:trPr>
        <w:tc>
          <w:tcPr>
            <w:tcW w:w="50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cost of sales</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w:t>
            </w:r>
          </w:p>
        </w:tc>
      </w:tr>
      <w:tr>
        <w:trPr>
          <w:trHeight w:val="206"/>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Gross profit</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r>
      <w:tr>
        <w:trPr>
          <w:trHeight w:val="206"/>
        </w:trPr>
        <w:tc>
          <w:tcPr>
            <w:tcW w:w="50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200"/>
              <w:spacing w:after="0"/>
              <w:rPr>
                <w:sz w:val="20"/>
                <w:szCs w:val="20"/>
                <w:color w:val="auto"/>
              </w:rPr>
            </w:pPr>
            <w:r>
              <w:rPr>
                <w:rFonts w:ascii="Arial" w:cs="Arial" w:eastAsia="Arial" w:hAnsi="Arial"/>
                <w:sz w:val="16"/>
                <w:szCs w:val="16"/>
                <w:color w:val="auto"/>
              </w:rPr>
              <w:t>Engineering expenses</w:t>
            </w: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expense</w:t>
            </w: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199"/>
        </w:trPr>
        <w:tc>
          <w:tcPr>
            <w:tcW w:w="50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r>
      <w:tr>
        <w:trPr>
          <w:trHeight w:val="206"/>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from operations</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06"/>
        </w:trPr>
        <w:tc>
          <w:tcPr>
            <w:tcW w:w="50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Other income and expenses: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6"/>
        </w:trPr>
        <w:tc>
          <w:tcPr>
            <w:tcW w:w="50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net</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before income taxes</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06"/>
        </w:trPr>
        <w:tc>
          <w:tcPr>
            <w:tcW w:w="50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Income tax expense</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06"/>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200"/>
              <w:spacing w:after="0"/>
              <w:rPr>
                <w:sz w:val="20"/>
                <w:szCs w:val="20"/>
                <w:color w:val="auto"/>
              </w:rPr>
            </w:pPr>
            <w:r>
              <w:rPr>
                <w:rFonts w:ascii="Arial" w:cs="Arial" w:eastAsia="Arial" w:hAnsi="Arial"/>
                <w:sz w:val="16"/>
                <w:szCs w:val="16"/>
                <w:color w:val="auto"/>
              </w:rPr>
              <w:t>Less: Net (income) loss attributable to noncontrolling interest</w:t>
            </w: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80"/>
              <w:spacing w:after="0"/>
              <w:rPr>
                <w:sz w:val="20"/>
                <w:szCs w:val="20"/>
                <w:color w:val="auto"/>
              </w:rPr>
            </w:pPr>
            <w:r>
              <w:rPr>
                <w:rFonts w:ascii="Arial" w:cs="Arial" w:eastAsia="Arial" w:hAnsi="Arial"/>
                <w:sz w:val="16"/>
                <w:szCs w:val="16"/>
                <w:color w:val="auto"/>
              </w:rPr>
              <w:t>Net income attributable to Wabtec shareholders</w:t>
            </w: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major components of the change in net sales in 2021 from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5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Freight Segment</w:t>
            </w:r>
          </w:p>
        </w:tc>
        <w:tc>
          <w:tcPr>
            <w:tcW w:w="5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Transit Segment</w:t>
            </w:r>
          </w:p>
        </w:tc>
        <w:tc>
          <w:tcPr>
            <w:tcW w:w="780" w:type="dxa"/>
            <w:vAlign w:val="bottom"/>
          </w:tcPr>
          <w:p>
            <w:pPr>
              <w:spacing w:after="0"/>
              <w:rPr>
                <w:sz w:val="16"/>
                <w:szCs w:val="16"/>
                <w:color w:val="auto"/>
              </w:rPr>
            </w:pPr>
          </w:p>
        </w:tc>
        <w:tc>
          <w:tcPr>
            <w:tcW w:w="1080" w:type="dxa"/>
            <w:vAlign w:val="bottom"/>
          </w:tcPr>
          <w:p>
            <w:pPr>
              <w:jc w:val="right"/>
              <w:ind w:right="441"/>
              <w:spacing w:after="0"/>
              <w:rPr>
                <w:sz w:val="20"/>
                <w:szCs w:val="20"/>
                <w:color w:val="auto"/>
              </w:rPr>
            </w:pPr>
            <w:r>
              <w:rPr>
                <w:rFonts w:ascii="Arial" w:cs="Arial" w:eastAsia="Arial" w:hAnsi="Arial"/>
                <w:sz w:val="16"/>
                <w:szCs w:val="16"/>
                <w:b w:val="1"/>
                <w:bCs w:val="1"/>
                <w:color w:val="auto"/>
              </w:rPr>
              <w:t>Total</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500" w:type="dxa"/>
            <w:vAlign w:val="bottom"/>
            <w:shd w:val="clear" w:color="auto" w:fill="CCEEFF"/>
          </w:tcPr>
          <w:p>
            <w:pPr>
              <w:spacing w:after="0"/>
              <w:rPr>
                <w:sz w:val="24"/>
                <w:szCs w:val="24"/>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 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w:t>
            </w:r>
          </w:p>
        </w:tc>
      </w:tr>
      <w:tr>
        <w:trPr>
          <w:trHeight w:val="206"/>
        </w:trPr>
        <w:tc>
          <w:tcPr>
            <w:tcW w:w="500" w:type="dxa"/>
            <w:vAlign w:val="bottom"/>
          </w:tcPr>
          <w:p>
            <w:pPr>
              <w:spacing w:after="0"/>
              <w:rPr>
                <w:sz w:val="17"/>
                <w:szCs w:val="17"/>
                <w:color w:val="auto"/>
              </w:rPr>
            </w:pPr>
          </w:p>
        </w:tc>
        <w:tc>
          <w:tcPr>
            <w:tcW w:w="4920" w:type="dxa"/>
            <w:vAlign w:val="bottom"/>
            <w:gridSpan w:val="2"/>
          </w:tcPr>
          <w:p>
            <w:pPr>
              <w:ind w:left="100"/>
              <w:spacing w:after="0"/>
              <w:rPr>
                <w:sz w:val="20"/>
                <w:szCs w:val="20"/>
                <w:color w:val="auto"/>
              </w:rPr>
            </w:pPr>
            <w:r>
              <w:rPr>
                <w:rFonts w:ascii="Arial" w:cs="Arial" w:eastAsia="Arial" w:hAnsi="Arial"/>
                <w:sz w:val="16"/>
                <w:szCs w:val="16"/>
                <w:color w:val="auto"/>
              </w:rPr>
              <w:t>Acquisitions</w:t>
            </w:r>
          </w:p>
        </w:tc>
        <w:tc>
          <w:tcPr>
            <w:tcW w:w="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Foreign Exchange</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6"/>
        </w:trPr>
        <w:tc>
          <w:tcPr>
            <w:tcW w:w="50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Organic</w:t>
            </w: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96"/>
        </w:trPr>
        <w:tc>
          <w:tcPr>
            <w:tcW w:w="500" w:type="dxa"/>
            <w:vAlign w:val="bottom"/>
            <w:tcBorders>
              <w:bottom w:val="single" w:sz="8" w:color="CCEEFF"/>
            </w:tcBorders>
            <w:shd w:val="clear" w:color="auto" w:fill="CCEEFF"/>
          </w:tcPr>
          <w:p>
            <w:pPr>
              <w:spacing w:after="0"/>
              <w:rPr>
                <w:sz w:val="24"/>
                <w:szCs w:val="24"/>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2021 Net Sales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7,822</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40" w:firstLine="472"/>
        <w:spacing w:after="0" w:line="325" w:lineRule="auto"/>
        <w:rPr>
          <w:sz w:val="20"/>
          <w:szCs w:val="20"/>
          <w:color w:val="auto"/>
        </w:rPr>
      </w:pPr>
      <w:r>
        <w:rPr>
          <w:rFonts w:ascii="Arial" w:cs="Arial" w:eastAsia="Arial" w:hAnsi="Arial"/>
          <w:sz w:val="15"/>
          <w:szCs w:val="15"/>
          <w:color w:val="auto"/>
        </w:rPr>
        <w:t>The following discussion compares our results for the year ended December 31, 2021 to the year ended December 31, 2020. The discussion comparing our results for the year ended December 31, 2020 to the year ended December 31, 2019 is included within Management's Discussion and Analysis of Financial Condition and Results of Operation in our Annual Report on Form 10-K for the year ended December 31, 2020, filed with the SEC on February 19, 2021.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5" w:lineRule="exact"/>
        <w:rPr>
          <w:sz w:val="20"/>
          <w:szCs w:val="20"/>
          <w:color w:val="auto"/>
        </w:rPr>
      </w:pPr>
    </w:p>
    <w:p>
      <w:pPr>
        <w:ind w:right="80" w:firstLine="472"/>
        <w:spacing w:after="0" w:line="285" w:lineRule="auto"/>
        <w:rPr>
          <w:sz w:val="20"/>
          <w:szCs w:val="20"/>
          <w:color w:val="auto"/>
        </w:rPr>
      </w:pPr>
      <w:r>
        <w:rPr>
          <w:rFonts w:ascii="Arial" w:cs="Arial" w:eastAsia="Arial" w:hAnsi="Arial"/>
          <w:sz w:val="16"/>
          <w:szCs w:val="16"/>
          <w:color w:val="auto"/>
        </w:rPr>
        <w:t>Net sales for the year ended December 31, 2021 increased by $266 million, or 3.5%, to $7.82 billion compared to the same period in 2020. Organic sales decreased $6 million which is primarily attributable to a net organic decrease of $4 million in the Freight Segment. Services sales increased from higher locomotive modernizations and overhauls and a decrease in locomotive parkings while Components sales increased due to a higher railcar build and lower railcar parkings. These increases were offset by lower Equipment sales due to lower locomotive sales, particularly in North America and Egypt, and lower Digital Electronics sales primarily due to chip shortages caused by supply chain disruptions. These decreases in Freight were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ind w:right="500"/>
        <w:spacing w:after="0" w:line="289" w:lineRule="auto"/>
        <w:rPr>
          <w:sz w:val="20"/>
          <w:szCs w:val="20"/>
          <w:color w:val="auto"/>
        </w:rPr>
      </w:pPr>
      <w:r>
        <w:rPr>
          <w:rFonts w:ascii="Arial" w:cs="Arial" w:eastAsia="Arial" w:hAnsi="Arial"/>
          <w:sz w:val="17"/>
          <w:szCs w:val="17"/>
          <w:color w:val="auto"/>
        </w:rPr>
        <w:t>offset by an increase in sales from acquisitions, which contributed $138 million, and favorable changes in foreign exchange rates increased sales by $134 million, primarily in the Transit segment.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5" w:lineRule="exact"/>
        <w:rPr>
          <w:sz w:val="20"/>
          <w:szCs w:val="20"/>
          <w:color w:val="auto"/>
        </w:rPr>
      </w:pPr>
    </w:p>
    <w:p>
      <w:pPr>
        <w:ind w:right="80" w:firstLine="472"/>
        <w:spacing w:after="0" w:line="261" w:lineRule="auto"/>
        <w:rPr>
          <w:sz w:val="20"/>
          <w:szCs w:val="20"/>
          <w:color w:val="auto"/>
        </w:rPr>
      </w:pPr>
      <w:r>
        <w:rPr>
          <w:rFonts w:ascii="Arial" w:cs="Arial" w:eastAsia="Arial" w:hAnsi="Arial"/>
          <w:sz w:val="17"/>
          <w:szCs w:val="17"/>
          <w:color w:val="auto"/>
        </w:rPr>
        <w:t>Cost of sales for the year ended December 31, 2021 increased by $34 million, or 0.6%, to $5.45 billion compared to the same period in 2020. The increase is primarily due to the increase in sales, increased metals, transportation and labor costs and higher restructuring costs. Cost of sales as a percentage of sales was 69.7% and 71.7% for the years ended December 31, 2021 and 2020, respectively, representing a 2.0 percentage point decrease. The decrease as a percentage of sales is primarily due to favorable product mix, improved productivity, synergy savings and the structural cost actions taken in the prior year, partially offset by the increase in the costs described above. Cost of sales for the year ended December 31, 2021 included $53 million of restructuring costs, primarily for footprint rationalization and headcount actions in Europe. Cost of sales for the year ended December 31, 2020 included $45 million of restructuring costs, primarily for footprint rationalization and related headcount actions as part of the acquisition of GE Transportation and in response to the COVID-19 pandemic.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5" w:lineRule="exact"/>
        <w:rPr>
          <w:sz w:val="20"/>
          <w:szCs w:val="20"/>
          <w:color w:val="auto"/>
        </w:rPr>
      </w:pPr>
    </w:p>
    <w:p>
      <w:pPr>
        <w:ind w:firstLine="472"/>
        <w:spacing w:after="0" w:line="261" w:lineRule="auto"/>
        <w:rPr>
          <w:sz w:val="20"/>
          <w:szCs w:val="20"/>
          <w:color w:val="auto"/>
        </w:rPr>
      </w:pPr>
      <w:r>
        <w:rPr>
          <w:rFonts w:ascii="Arial" w:cs="Arial" w:eastAsia="Arial" w:hAnsi="Arial"/>
          <w:sz w:val="17"/>
          <w:szCs w:val="17"/>
          <w:color w:val="auto"/>
        </w:rPr>
        <w:t>Total operating expenses increased $101 million, or 7.3%, for the year ended December 31, 2021 compared to the same period in 2020. Operating expenses as a percentage of sales was 19.1% and 18.4% for the year ended December 31, 2021 and 2020, respectively. Selling, general and administrative expenses ("SG&amp;A") increased $82 million for the year ended December 31, 2021 compared to the same period in 2020. The increase is primarily due to higher employee compensation and benefit costs, costs incurred to support the higher sales volume and incremental expense from the acquisition of Nordco, partially offset by a decrease in restructuring and transaction costs. Restructuring and transaction costs included in SG&amp;A were $25 million and $71 million for the year ended December 31, 2021 and 2020, respectively, and were primarily for headcount actions and footprint rationalization programs. Engineering expense increased $14 million primarily due to investments in new technology and incremental expense from the acquisition of Nordco. Amortization expense increased $5 million, due to the acquisition of Nordco.</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25" w:lineRule="exact"/>
        <w:rPr>
          <w:sz w:val="20"/>
          <w:szCs w:val="20"/>
          <w:color w:val="auto"/>
        </w:rPr>
      </w:pPr>
    </w:p>
    <w:p>
      <w:pPr>
        <w:ind w:right="300" w:firstLine="472"/>
        <w:spacing w:after="0" w:line="289" w:lineRule="auto"/>
        <w:rPr>
          <w:sz w:val="20"/>
          <w:szCs w:val="20"/>
          <w:color w:val="auto"/>
        </w:rPr>
      </w:pPr>
      <w:r>
        <w:rPr>
          <w:rFonts w:ascii="Arial" w:cs="Arial" w:eastAsia="Arial" w:hAnsi="Arial"/>
          <w:sz w:val="17"/>
          <w:szCs w:val="17"/>
          <w:color w:val="auto"/>
        </w:rPr>
        <w:t>Interest expense, net, decreased $22 million for the year ended December 31, 2021 over the same period in 2020 attributable to lower overall average debt balances and lower interest rates.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5" w:lineRule="exact"/>
        <w:rPr>
          <w:sz w:val="20"/>
          <w:szCs w:val="20"/>
          <w:color w:val="auto"/>
        </w:rPr>
      </w:pPr>
    </w:p>
    <w:p>
      <w:pPr>
        <w:ind w:right="700" w:firstLine="472"/>
        <w:spacing w:after="0" w:line="322" w:lineRule="auto"/>
        <w:rPr>
          <w:sz w:val="20"/>
          <w:szCs w:val="20"/>
          <w:color w:val="auto"/>
        </w:rPr>
      </w:pPr>
      <w:r>
        <w:rPr>
          <w:rFonts w:ascii="Arial" w:cs="Arial" w:eastAsia="Arial" w:hAnsi="Arial"/>
          <w:sz w:val="16"/>
          <w:szCs w:val="16"/>
          <w:color w:val="auto"/>
        </w:rPr>
        <w:t>Other income, net, was $38 million of income in 2021 compared to $11 million of income in the same period of 2020. The increase is primarily attributable to foreign exchange gains in the current year compared to losses in the prior year as well as higher equity income in the current year.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 w:lineRule="exact"/>
        <w:rPr>
          <w:sz w:val="20"/>
          <w:szCs w:val="20"/>
          <w:color w:val="auto"/>
        </w:rPr>
      </w:pPr>
    </w:p>
    <w:p>
      <w:pPr>
        <w:ind w:right="40" w:firstLine="472"/>
        <w:spacing w:after="0" w:line="232" w:lineRule="auto"/>
        <w:rPr>
          <w:sz w:val="20"/>
          <w:szCs w:val="20"/>
          <w:color w:val="auto"/>
        </w:rPr>
      </w:pPr>
      <w:r>
        <w:rPr>
          <w:rFonts w:ascii="Arial" w:cs="Arial" w:eastAsia="Arial" w:hAnsi="Arial"/>
          <w:sz w:val="17"/>
          <w:szCs w:val="17"/>
          <w:color w:val="auto"/>
        </w:rPr>
        <w:t>The effective income tax rate was 23.2% and 26.0% in 2021 and 2020, respectively. The change in effective tax rate in 2021 is primarily the result of filing amended federal and state income tax returns in 2021. The Company amended the 2019 federal tax return to incorporate changes in tax regulations which generated a net operating loss that was carried back to tax years 2014 to 2016, which were at a higher federal tax rate. See Note 11 of "Notes to Consolidated Financial Statements" included in Part IV, Item 15 of this report for additional information.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8"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Freight Segment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our Consolidated Statements of Operations for our Freight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88"/>
              </w:rPr>
              <w:t>For the year ended December 31,</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67"/>
        </w:trPr>
        <w:tc>
          <w:tcPr>
            <w:tcW w:w="66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tcPr>
          <w:p>
            <w:pPr>
              <w:spacing w:after="0"/>
              <w:rPr>
                <w:sz w:val="14"/>
                <w:szCs w:val="14"/>
                <w:color w:val="auto"/>
              </w:rPr>
            </w:pPr>
          </w:p>
        </w:tc>
        <w:tc>
          <w:tcPr>
            <w:tcW w:w="860" w:type="dxa"/>
            <w:vAlign w:val="bottom"/>
          </w:tcPr>
          <w:p>
            <w:pPr>
              <w:jc w:val="right"/>
              <w:ind w:right="61"/>
              <w:spacing w:after="0" w:line="167" w:lineRule="exact"/>
              <w:rPr>
                <w:sz w:val="20"/>
                <w:szCs w:val="20"/>
                <w:color w:val="auto"/>
              </w:rPr>
            </w:pPr>
            <w:r>
              <w:rPr>
                <w:rFonts w:ascii="Arial" w:cs="Arial" w:eastAsia="Arial" w:hAnsi="Arial"/>
                <w:sz w:val="16"/>
                <w:szCs w:val="16"/>
                <w:b w:val="1"/>
                <w:bCs w:val="1"/>
                <w:color w:val="auto"/>
              </w:rPr>
              <w:t>2021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ind w:right="361"/>
              <w:spacing w:after="0" w:line="167"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9"/>
        </w:trPr>
        <w:tc>
          <w:tcPr>
            <w:tcW w:w="660" w:type="dxa"/>
            <w:vAlign w:val="bottom"/>
            <w:shd w:val="clear" w:color="auto" w:fill="CCEEFF"/>
          </w:tcPr>
          <w:p>
            <w:pPr>
              <w:spacing w:after="0"/>
              <w:rPr>
                <w:sz w:val="16"/>
                <w:szCs w:val="16"/>
                <w:color w:val="auto"/>
              </w:rPr>
            </w:pPr>
          </w:p>
        </w:tc>
        <w:tc>
          <w:tcPr>
            <w:tcW w:w="49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06"/>
        </w:trPr>
        <w:tc>
          <w:tcPr>
            <w:tcW w:w="660" w:type="dxa"/>
            <w:vAlign w:val="bottom"/>
          </w:tcPr>
          <w:p>
            <w:pPr>
              <w:spacing w:after="0"/>
              <w:rPr>
                <w:sz w:val="17"/>
                <w:szCs w:val="17"/>
                <w:color w:val="auto"/>
              </w:rPr>
            </w:pPr>
          </w:p>
        </w:tc>
        <w:tc>
          <w:tcPr>
            <w:tcW w:w="4960" w:type="dxa"/>
            <w:vAlign w:val="bottom"/>
            <w:gridSpan w:val="2"/>
          </w:tcPr>
          <w:p>
            <w:pPr>
              <w:ind w:left="200"/>
              <w:spacing w:after="0"/>
              <w:rPr>
                <w:sz w:val="20"/>
                <w:szCs w:val="20"/>
                <w:color w:val="auto"/>
              </w:rPr>
            </w:pPr>
            <w:r>
              <w:rPr>
                <w:rFonts w:ascii="Arial" w:cs="Arial" w:eastAsia="Arial" w:hAnsi="Arial"/>
                <w:sz w:val="16"/>
                <w:szCs w:val="16"/>
                <w:color w:val="auto"/>
              </w:rPr>
              <w:t>Sales of goods</w:t>
            </w:r>
          </w:p>
        </w:tc>
        <w:tc>
          <w:tcPr>
            <w:tcW w:w="11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3,646</w:t>
            </w:r>
          </w:p>
        </w:tc>
        <w:tc>
          <w:tcPr>
            <w:tcW w:w="23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81"/>
              <w:spacing w:after="0"/>
              <w:rPr>
                <w:sz w:val="20"/>
                <w:szCs w:val="20"/>
                <w:color w:val="auto"/>
              </w:rPr>
            </w:pPr>
            <w:r>
              <w:rPr>
                <w:rFonts w:ascii="Arial" w:cs="Arial" w:eastAsia="Arial" w:hAnsi="Arial"/>
                <w:sz w:val="16"/>
                <w:szCs w:val="16"/>
                <w:color w:val="auto"/>
              </w:rPr>
              <w:t>3,790</w:t>
            </w:r>
          </w:p>
        </w:tc>
        <w:tc>
          <w:tcPr>
            <w:tcW w:w="460" w:type="dxa"/>
            <w:vAlign w:val="bottom"/>
          </w:tcPr>
          <w:p>
            <w:pPr>
              <w:spacing w:after="0"/>
              <w:rPr>
                <w:sz w:val="17"/>
                <w:szCs w:val="17"/>
                <w:color w:val="auto"/>
              </w:rPr>
            </w:pPr>
          </w:p>
        </w:tc>
      </w:tr>
      <w:tr>
        <w:trPr>
          <w:trHeight w:val="213"/>
        </w:trPr>
        <w:tc>
          <w:tcPr>
            <w:tcW w:w="6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Sales of services</w:t>
            </w:r>
          </w:p>
        </w:tc>
        <w:tc>
          <w:tcPr>
            <w:tcW w:w="1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1,292</w:t>
            </w:r>
          </w:p>
        </w:tc>
        <w:tc>
          <w:tcPr>
            <w:tcW w:w="460" w:type="dxa"/>
            <w:vAlign w:val="bottom"/>
            <w:tcBorders>
              <w:bottom w:val="single" w:sz="8" w:color="auto"/>
            </w:tcBorders>
            <w:shd w:val="clear" w:color="auto" w:fill="CCEEFF"/>
          </w:tcPr>
          <w:p>
            <w:pPr>
              <w:spacing w:after="0"/>
              <w:rPr>
                <w:sz w:val="18"/>
                <w:szCs w:val="18"/>
                <w:color w:val="auto"/>
              </w:rPr>
            </w:pPr>
          </w:p>
        </w:tc>
      </w:tr>
      <w:tr>
        <w:trPr>
          <w:trHeight w:val="199"/>
        </w:trPr>
        <w:tc>
          <w:tcPr>
            <w:tcW w:w="660" w:type="dxa"/>
            <w:vAlign w:val="bottom"/>
          </w:tcPr>
          <w:p>
            <w:pPr>
              <w:spacing w:after="0"/>
              <w:rPr>
                <w:sz w:val="17"/>
                <w:szCs w:val="17"/>
                <w:color w:val="auto"/>
              </w:rPr>
            </w:pPr>
          </w:p>
        </w:tc>
        <w:tc>
          <w:tcPr>
            <w:tcW w:w="4960" w:type="dxa"/>
            <w:vAlign w:val="bottom"/>
            <w:gridSpan w:val="2"/>
          </w:tcPr>
          <w:p>
            <w:pPr>
              <w:ind w:left="300"/>
              <w:spacing w:after="0"/>
              <w:rPr>
                <w:sz w:val="20"/>
                <w:szCs w:val="20"/>
                <w:color w:val="auto"/>
              </w:rPr>
            </w:pPr>
            <w:r>
              <w:rPr>
                <w:rFonts w:ascii="Arial" w:cs="Arial" w:eastAsia="Arial" w:hAnsi="Arial"/>
                <w:sz w:val="16"/>
                <w:szCs w:val="16"/>
                <w:color w:val="auto"/>
              </w:rPr>
              <w:t>Total net sales</w:t>
            </w:r>
          </w:p>
        </w:tc>
        <w:tc>
          <w:tcPr>
            <w:tcW w:w="1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5,239</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color w:val="auto"/>
              </w:rPr>
              <w:t>5,082</w:t>
            </w:r>
          </w:p>
        </w:tc>
        <w:tc>
          <w:tcPr>
            <w:tcW w:w="460" w:type="dxa"/>
            <w:vAlign w:val="bottom"/>
          </w:tcPr>
          <w:p>
            <w:pPr>
              <w:spacing w:after="0"/>
              <w:rPr>
                <w:sz w:val="17"/>
                <w:szCs w:val="17"/>
                <w:color w:val="auto"/>
              </w:rPr>
            </w:pPr>
          </w:p>
        </w:tc>
      </w:tr>
      <w:tr>
        <w:trPr>
          <w:trHeight w:val="213"/>
        </w:trPr>
        <w:tc>
          <w:tcPr>
            <w:tcW w:w="6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06"/>
        </w:trPr>
        <w:tc>
          <w:tcPr>
            <w:tcW w:w="660" w:type="dxa"/>
            <w:vAlign w:val="bottom"/>
          </w:tcPr>
          <w:p>
            <w:pPr>
              <w:spacing w:after="0"/>
              <w:rPr>
                <w:sz w:val="17"/>
                <w:szCs w:val="17"/>
                <w:color w:val="auto"/>
              </w:rPr>
            </w:pPr>
          </w:p>
        </w:tc>
        <w:tc>
          <w:tcPr>
            <w:tcW w:w="4960" w:type="dxa"/>
            <w:vAlign w:val="bottom"/>
            <w:gridSpan w:val="2"/>
          </w:tcPr>
          <w:p>
            <w:pPr>
              <w:ind w:left="200"/>
              <w:spacing w:after="0"/>
              <w:rPr>
                <w:sz w:val="20"/>
                <w:szCs w:val="20"/>
                <w:color w:val="auto"/>
              </w:rPr>
            </w:pPr>
            <w:r>
              <w:rPr>
                <w:rFonts w:ascii="Arial" w:cs="Arial" w:eastAsia="Arial" w:hAnsi="Arial"/>
                <w:sz w:val="16"/>
                <w:szCs w:val="16"/>
                <w:color w:val="auto"/>
              </w:rPr>
              <w:t>Cost of goods</w:t>
            </w:r>
          </w:p>
        </w:tc>
        <w:tc>
          <w:tcPr>
            <w:tcW w:w="1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(2,682)</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(2,829)</w:t>
            </w:r>
          </w:p>
        </w:tc>
        <w:tc>
          <w:tcPr>
            <w:tcW w:w="460" w:type="dxa"/>
            <w:vAlign w:val="bottom"/>
          </w:tcPr>
          <w:p>
            <w:pPr>
              <w:spacing w:after="0"/>
              <w:rPr>
                <w:sz w:val="17"/>
                <w:szCs w:val="17"/>
                <w:color w:val="auto"/>
              </w:rPr>
            </w:pPr>
          </w:p>
        </w:tc>
      </w:tr>
      <w:tr>
        <w:trPr>
          <w:trHeight w:val="213"/>
        </w:trPr>
        <w:tc>
          <w:tcPr>
            <w:tcW w:w="6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Cost of services</w:t>
            </w:r>
          </w:p>
        </w:tc>
        <w:tc>
          <w:tcPr>
            <w:tcW w:w="1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(765)</w:t>
            </w:r>
          </w:p>
        </w:tc>
        <w:tc>
          <w:tcPr>
            <w:tcW w:w="460" w:type="dxa"/>
            <w:vAlign w:val="bottom"/>
            <w:tcBorders>
              <w:bottom w:val="single" w:sz="8" w:color="auto"/>
            </w:tcBorders>
            <w:shd w:val="clear" w:color="auto" w:fill="CCEEFF"/>
          </w:tcPr>
          <w:p>
            <w:pPr>
              <w:spacing w:after="0"/>
              <w:rPr>
                <w:sz w:val="18"/>
                <w:szCs w:val="18"/>
                <w:color w:val="auto"/>
              </w:rPr>
            </w:pPr>
          </w:p>
        </w:tc>
      </w:tr>
      <w:tr>
        <w:trPr>
          <w:trHeight w:val="199"/>
        </w:trPr>
        <w:tc>
          <w:tcPr>
            <w:tcW w:w="6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cost of sales</w:t>
            </w: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(3,594)</w:t>
            </w:r>
          </w:p>
        </w:tc>
        <w:tc>
          <w:tcPr>
            <w:tcW w:w="460" w:type="dxa"/>
            <w:vAlign w:val="bottom"/>
            <w:tcBorders>
              <w:bottom w:val="single" w:sz="8" w:color="auto"/>
            </w:tcBorders>
          </w:tcPr>
          <w:p>
            <w:pPr>
              <w:spacing w:after="0"/>
              <w:rPr>
                <w:sz w:val="17"/>
                <w:szCs w:val="17"/>
                <w:color w:val="auto"/>
              </w:rPr>
            </w:pPr>
          </w:p>
        </w:tc>
      </w:tr>
      <w:tr>
        <w:trPr>
          <w:trHeight w:val="127"/>
        </w:trPr>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206"/>
        </w:trPr>
        <w:tc>
          <w:tcPr>
            <w:tcW w:w="66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1,667</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color w:val="auto"/>
              </w:rPr>
              <w:t>1,488</w:t>
            </w:r>
          </w:p>
        </w:tc>
        <w:tc>
          <w:tcPr>
            <w:tcW w:w="460" w:type="dxa"/>
            <w:vAlign w:val="bottom"/>
          </w:tcPr>
          <w:p>
            <w:pPr>
              <w:spacing w:after="0"/>
              <w:rPr>
                <w:sz w:val="17"/>
                <w:szCs w:val="17"/>
                <w:color w:val="auto"/>
              </w:rPr>
            </w:pPr>
          </w:p>
        </w:tc>
      </w:tr>
      <w:tr>
        <w:trPr>
          <w:trHeight w:val="147"/>
        </w:trPr>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206"/>
        </w:trPr>
        <w:tc>
          <w:tcPr>
            <w:tcW w:w="6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(904)</w:t>
            </w:r>
          </w:p>
        </w:tc>
        <w:tc>
          <w:tcPr>
            <w:tcW w:w="460" w:type="dxa"/>
            <w:vAlign w:val="bottom"/>
            <w:tcBorders>
              <w:bottom w:val="single" w:sz="8" w:color="auto"/>
            </w:tcBorders>
          </w:tcPr>
          <w:p>
            <w:pPr>
              <w:spacing w:after="0"/>
              <w:rPr>
                <w:sz w:val="17"/>
                <w:szCs w:val="17"/>
                <w:color w:val="auto"/>
              </w:rPr>
            </w:pPr>
          </w:p>
        </w:tc>
      </w:tr>
      <w:tr>
        <w:trPr>
          <w:trHeight w:val="127"/>
        </w:trPr>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206"/>
        </w:trPr>
        <w:tc>
          <w:tcPr>
            <w:tcW w:w="66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Income from operations ($)</w:t>
            </w:r>
          </w:p>
        </w:tc>
        <w:tc>
          <w:tcPr>
            <w:tcW w:w="11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717</w:t>
            </w:r>
          </w:p>
        </w:tc>
        <w:tc>
          <w:tcPr>
            <w:tcW w:w="23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81"/>
              <w:spacing w:after="0"/>
              <w:rPr>
                <w:sz w:val="20"/>
                <w:szCs w:val="20"/>
                <w:color w:val="auto"/>
              </w:rPr>
            </w:pPr>
            <w:r>
              <w:rPr>
                <w:rFonts w:ascii="Arial" w:cs="Arial" w:eastAsia="Arial" w:hAnsi="Arial"/>
                <w:sz w:val="16"/>
                <w:szCs w:val="16"/>
                <w:color w:val="auto"/>
              </w:rPr>
              <w:t>584</w:t>
            </w:r>
          </w:p>
        </w:tc>
        <w:tc>
          <w:tcPr>
            <w:tcW w:w="460" w:type="dxa"/>
            <w:vAlign w:val="bottom"/>
          </w:tcPr>
          <w:p>
            <w:pPr>
              <w:spacing w:after="0"/>
              <w:rPr>
                <w:sz w:val="17"/>
                <w:szCs w:val="17"/>
                <w:color w:val="auto"/>
              </w:rPr>
            </w:pPr>
          </w:p>
        </w:tc>
      </w:tr>
      <w:tr>
        <w:trPr>
          <w:trHeight w:val="213"/>
        </w:trPr>
        <w:tc>
          <w:tcPr>
            <w:tcW w:w="6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operations (%)</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11.5</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major components of the change in net sales for the Freight Segment in 2021 from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
        </w:trPr>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9"/>
        </w:trPr>
        <w:tc>
          <w:tcPr>
            <w:tcW w:w="500" w:type="dxa"/>
            <w:vAlign w:val="bottom"/>
            <w:shd w:val="clear" w:color="auto" w:fill="CCEEFF"/>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 Net Sales</w:t>
            </w:r>
          </w:p>
        </w:tc>
        <w:tc>
          <w:tcPr>
            <w:tcW w:w="104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Acquisitions</w:t>
            </w:r>
          </w:p>
        </w:tc>
        <w:tc>
          <w:tcPr>
            <w:tcW w:w="1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Foreign Exchange</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Changes in Sales by Product Line:</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Equipment</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200"/>
              <w:spacing w:after="0"/>
              <w:rPr>
                <w:sz w:val="20"/>
                <w:szCs w:val="20"/>
                <w:color w:val="auto"/>
              </w:rPr>
            </w:pPr>
            <w:r>
              <w:rPr>
                <w:rFonts w:ascii="Arial" w:cs="Arial" w:eastAsia="Arial" w:hAnsi="Arial"/>
                <w:sz w:val="16"/>
                <w:szCs w:val="16"/>
                <w:color w:val="auto"/>
              </w:rPr>
              <w:t>Components</w:t>
            </w:r>
          </w:p>
        </w:tc>
        <w:tc>
          <w:tcPr>
            <w:tcW w:w="1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Digital Electronics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6"/>
        </w:trPr>
        <w:tc>
          <w:tcPr>
            <w:tcW w:w="500" w:type="dxa"/>
            <w:vAlign w:val="bottom"/>
            <w:tcBorders>
              <w:bottom w:val="single" w:sz="8" w:color="CCEEFF"/>
            </w:tcBorders>
          </w:tcPr>
          <w:p>
            <w:pPr>
              <w:spacing w:after="0"/>
              <w:rPr>
                <w:sz w:val="17"/>
                <w:szCs w:val="17"/>
                <w:color w:val="auto"/>
              </w:rPr>
            </w:pPr>
          </w:p>
        </w:tc>
        <w:tc>
          <w:tcPr>
            <w:tcW w:w="8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Services</w:t>
            </w: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2021 Net Sales</w:t>
            </w:r>
          </w:p>
        </w:tc>
        <w:tc>
          <w:tcPr>
            <w:tcW w:w="10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5" w:lineRule="exact"/>
        <w:rPr>
          <w:sz w:val="20"/>
          <w:szCs w:val="20"/>
          <w:color w:val="auto"/>
        </w:rPr>
      </w:pPr>
    </w:p>
    <w:p>
      <w:pPr>
        <w:ind w:right="80" w:firstLine="472"/>
        <w:spacing w:after="0" w:line="263" w:lineRule="auto"/>
        <w:rPr>
          <w:sz w:val="20"/>
          <w:szCs w:val="20"/>
          <w:color w:val="auto"/>
        </w:rPr>
      </w:pPr>
      <w:r>
        <w:rPr>
          <w:rFonts w:ascii="Arial" w:cs="Arial" w:eastAsia="Arial" w:hAnsi="Arial"/>
          <w:sz w:val="17"/>
          <w:szCs w:val="17"/>
          <w:color w:val="auto"/>
        </w:rPr>
        <w:t>Freight Segment sales increased by $157 million, or 3.1%, to $5.24 billion, compared to the same period in 2020, however, net organic sales decreased $4 million. Services sales increased from higher locomotive modernizations and overhauls and a decrease in locomotive parkings while Components sales increased due to a higher railcar build and lower railcar parkings. These increases were offset by lower Equipment Sales due to lower locomotive sales, particularly in North America and Egypt, and lower Digital Electronics sales primarily due to chip shortages caused by supply chain disruptions that have caused order delays but have not resulted in order cancellations. The organic sales decrease was more than offset by sales from acquisitions of $138 million and the effects of favorable foreign exchange rates of $23 million.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5" w:lineRule="exact"/>
        <w:rPr>
          <w:sz w:val="20"/>
          <w:szCs w:val="20"/>
          <w:color w:val="auto"/>
        </w:rPr>
      </w:pPr>
    </w:p>
    <w:p>
      <w:pPr>
        <w:ind w:right="40" w:firstLine="472"/>
        <w:spacing w:after="0" w:line="302" w:lineRule="auto"/>
        <w:rPr>
          <w:sz w:val="20"/>
          <w:szCs w:val="20"/>
          <w:color w:val="auto"/>
        </w:rPr>
      </w:pPr>
      <w:r>
        <w:rPr>
          <w:rFonts w:ascii="Arial" w:cs="Arial" w:eastAsia="Arial" w:hAnsi="Arial"/>
          <w:sz w:val="15"/>
          <w:szCs w:val="15"/>
          <w:color w:val="auto"/>
        </w:rPr>
        <w:t>Freight Segment cost of sales decreased by $22 million, to $3.57 billion, compared to the same period in 2020. The decrease is primarily due to favorable product mix, productivity and synergies and lower restructuring costs partially offset by increased metals, transportation and labor costs. Cost of sales as a percentage of sales was 68.2% and 70.7% for the years ended December 31, 2021 and 2020, respectively, representing a 2.5 percentage point decrease which also benefited from improved absorption of fixed costs. Cost of sales for the year ended December 31, 2021 includes $8 million of restructuring and transaction costs, primarily for amortization of the inventory step-up recorded in purchase accounting for the acquisition of Nordco and headcount actions as part of the ongoing integration of GE Transportation. Cost of sales for the year ended December 31, 2020 included $30 million of restructuring costs, primarily for costs for footprint rationalization and related headcount actions as part of the integration of GE Transportation and in response to the COVID-19 pandemic.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Operating expenses</w:t>
      </w:r>
    </w:p>
    <w:p>
      <w:pPr>
        <w:spacing w:after="0" w:line="125"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Freight Segment operating expenses increased $46 million, or 5.1%, for the year ended December 31, 2021 compared to the same period in 2020. SG&amp;A increased $31 million for the year ended December 31, 2021 compared to the same period in 2020. The increase is primarily due to higher employee compensation and benefit costs and incremental expense from the acquisition of Nordco, partially offset by a decrease in restructuring and transaction costs. Restructuring and transaction costs included in SG&amp;A were $1 million and $46 million for the years ended December 31, 2021 and 2020, respectively, and were primarily for headcount actions and footprint rationalization as part of the integration of GE Transportation. Engineering expense increased $10 million primarily due to investments in new technology and incremental expense from the acquisition of Nordco. Amortization expense increased $5 million due to the acquisition of Nordco.</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Transit Segment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our Consolidated Statements of Operations for our Transit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88"/>
              </w:rPr>
              <w:t>For the year ended December 31,</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67"/>
        </w:trPr>
        <w:tc>
          <w:tcPr>
            <w:tcW w:w="66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tcPr>
          <w:p>
            <w:pPr>
              <w:spacing w:after="0"/>
              <w:rPr>
                <w:sz w:val="14"/>
                <w:szCs w:val="14"/>
                <w:color w:val="auto"/>
              </w:rPr>
            </w:pPr>
          </w:p>
        </w:tc>
        <w:tc>
          <w:tcPr>
            <w:tcW w:w="860" w:type="dxa"/>
            <w:vAlign w:val="bottom"/>
          </w:tcPr>
          <w:p>
            <w:pPr>
              <w:jc w:val="right"/>
              <w:ind w:right="61"/>
              <w:spacing w:after="0" w:line="167" w:lineRule="exact"/>
              <w:rPr>
                <w:sz w:val="20"/>
                <w:szCs w:val="20"/>
                <w:color w:val="auto"/>
              </w:rPr>
            </w:pPr>
            <w:r>
              <w:rPr>
                <w:rFonts w:ascii="Arial" w:cs="Arial" w:eastAsia="Arial" w:hAnsi="Arial"/>
                <w:sz w:val="16"/>
                <w:szCs w:val="16"/>
                <w:b w:val="1"/>
                <w:bCs w:val="1"/>
                <w:color w:val="auto"/>
              </w:rPr>
              <w:t>2021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ind w:right="361"/>
              <w:spacing w:after="0" w:line="167"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2"/>
        </w:trPr>
        <w:tc>
          <w:tcPr>
            <w:tcW w:w="66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232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2,474</w:t>
            </w:r>
          </w:p>
        </w:tc>
        <w:tc>
          <w:tcPr>
            <w:tcW w:w="460" w:type="dxa"/>
            <w:vAlign w:val="bottom"/>
            <w:shd w:val="clear" w:color="auto" w:fill="CCEEFF"/>
          </w:tcPr>
          <w:p>
            <w:pPr>
              <w:spacing w:after="0"/>
              <w:rPr>
                <w:sz w:val="17"/>
                <w:szCs w:val="17"/>
                <w:color w:val="auto"/>
              </w:rPr>
            </w:pPr>
          </w:p>
        </w:tc>
      </w:tr>
      <w:tr>
        <w:trPr>
          <w:trHeight w:val="206"/>
        </w:trPr>
        <w:tc>
          <w:tcPr>
            <w:tcW w:w="6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Cost of sales</w:t>
            </w: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(1,825)</w:t>
            </w:r>
          </w:p>
        </w:tc>
        <w:tc>
          <w:tcPr>
            <w:tcW w:w="460" w:type="dxa"/>
            <w:vAlign w:val="bottom"/>
            <w:tcBorders>
              <w:bottom w:val="single" w:sz="8" w:color="auto"/>
            </w:tcBorders>
          </w:tcPr>
          <w:p>
            <w:pPr>
              <w:spacing w:after="0"/>
              <w:rPr>
                <w:sz w:val="17"/>
                <w:szCs w:val="17"/>
                <w:color w:val="auto"/>
              </w:rPr>
            </w:pPr>
          </w:p>
        </w:tc>
      </w:tr>
      <w:tr>
        <w:trPr>
          <w:trHeight w:val="206"/>
        </w:trPr>
        <w:tc>
          <w:tcPr>
            <w:tcW w:w="66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649</w:t>
            </w:r>
          </w:p>
        </w:tc>
        <w:tc>
          <w:tcPr>
            <w:tcW w:w="460" w:type="dxa"/>
            <w:vAlign w:val="bottom"/>
            <w:shd w:val="clear" w:color="auto" w:fill="CCEEFF"/>
          </w:tcPr>
          <w:p>
            <w:pPr>
              <w:spacing w:after="0"/>
              <w:rPr>
                <w:sz w:val="17"/>
                <w:szCs w:val="17"/>
                <w:color w:val="auto"/>
              </w:rPr>
            </w:pPr>
          </w:p>
        </w:tc>
      </w:tr>
      <w:tr>
        <w:trPr>
          <w:trHeight w:val="144"/>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06"/>
        </w:trPr>
        <w:tc>
          <w:tcPr>
            <w:tcW w:w="66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(419)</w:t>
            </w:r>
          </w:p>
        </w:tc>
        <w:tc>
          <w:tcPr>
            <w:tcW w:w="460" w:type="dxa"/>
            <w:vAlign w:val="bottom"/>
            <w:tcBorders>
              <w:bottom w:val="single" w:sz="8" w:color="auto"/>
            </w:tcBorders>
            <w:shd w:val="clear" w:color="auto" w:fill="CCEEFF"/>
          </w:tcPr>
          <w:p>
            <w:pPr>
              <w:spacing w:after="0"/>
              <w:rPr>
                <w:sz w:val="17"/>
                <w:szCs w:val="17"/>
                <w:color w:val="auto"/>
              </w:rPr>
            </w:pPr>
          </w:p>
        </w:tc>
      </w:tr>
      <w:tr>
        <w:trPr>
          <w:trHeight w:val="127"/>
        </w:trPr>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10"/>
        </w:trPr>
        <w:tc>
          <w:tcPr>
            <w:tcW w:w="6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operations ($)</w:t>
            </w:r>
          </w:p>
        </w:tc>
        <w:tc>
          <w:tcPr>
            <w:tcW w:w="1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32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230</w:t>
            </w:r>
          </w:p>
        </w:tc>
        <w:tc>
          <w:tcPr>
            <w:tcW w:w="460" w:type="dxa"/>
            <w:vAlign w:val="bottom"/>
            <w:shd w:val="clear" w:color="auto" w:fill="CCEEFF"/>
          </w:tcPr>
          <w:p>
            <w:pPr>
              <w:spacing w:after="0"/>
              <w:rPr>
                <w:sz w:val="18"/>
                <w:szCs w:val="18"/>
                <w:color w:val="auto"/>
              </w:rPr>
            </w:pPr>
          </w:p>
        </w:tc>
      </w:tr>
      <w:tr>
        <w:trPr>
          <w:trHeight w:val="203"/>
        </w:trPr>
        <w:tc>
          <w:tcPr>
            <w:tcW w:w="66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Income from operations (%)</w:t>
            </w:r>
          </w:p>
        </w:tc>
        <w:tc>
          <w:tcPr>
            <w:tcW w:w="1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color w:val="auto"/>
              </w:rPr>
              <w:t>9.3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major components of the change in net sales for the Transit Segment in 2021 from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6"/>
        </w:trPr>
        <w:tc>
          <w:tcPr>
            <w:tcW w:w="50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2020 Net Sales</w:t>
            </w:r>
          </w:p>
        </w:tc>
        <w:tc>
          <w:tcPr>
            <w:tcW w:w="104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2,474</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Foreign Exchange</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Changes in Sales by Product Line:</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Original Equipment Manufacturing</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500" w:type="dxa"/>
            <w:vAlign w:val="bottom"/>
            <w:tcBorders>
              <w:bottom w:val="single" w:sz="8" w:color="CCEEFF"/>
            </w:tcBorders>
          </w:tcPr>
          <w:p>
            <w:pPr>
              <w:spacing w:after="0"/>
              <w:rPr>
                <w:sz w:val="17"/>
                <w:szCs w:val="17"/>
                <w:color w:val="auto"/>
              </w:rPr>
            </w:pPr>
          </w:p>
        </w:tc>
        <w:tc>
          <w:tcPr>
            <w:tcW w:w="8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Aftermarket</w:t>
            </w: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2021 Net Sales</w:t>
            </w:r>
          </w:p>
        </w:tc>
        <w:tc>
          <w:tcPr>
            <w:tcW w:w="10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5"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Transit Segment sales for the year ended December 31, 2021 increased by $109 million, or 4.4%, to $2.58 billion compared to the same period in 2020, with foreign exchange rates being the primary driver of the increase. Transit segment organic sales decreased $2 million due to supply chain issues and disruptions caused by the COVID-19 pandemic.</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5"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Transit Segment cost of sales for the year ended December 31, 2021 increased by $56 million, or 3.1%, to $1.88 billion compared to the same period in 2020. The increase is primarily due to higher restructuring costs, increased metals, transportation and labor costs and the effect of foreign exchange rates. Cost of sales as a percentage of sales was 72.8% and 73.8% for the years ended December 31, 2021 and 2020, respectively, representing a 1.0 percentage point decrease which also benefited from improved operational efficiency and the impact that the COVID-19 pandemic had on margins in 2020. Cost of sales for the years ended December 31, 2021 and 2020 included $45 million and $14 million of restructuring costs, respectively, primarily for footprint rationalization in Europe.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5"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Transit Segment operating expenses increased $45 million, or 10.7%, in 2021 compared to the same period in 2020. SG&amp;A increased $41 million for the year ended December 31, 2021 compared to the same period in 2020. The increase is primarily due to higher employee compensation and benefit costs and the effect of foreign exchange rates. Restructuring and transaction costs included within SG&amp;A were $14 million for both years ended December 31, 2021 and 2020 and were primarily for headcount actions and footprint rationalization in Europe. Engineering expense increased $4 million due to investments in new technology, and amortization expense remained consistent year over year.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5" w:lineRule="exact"/>
        <w:rPr>
          <w:sz w:val="20"/>
          <w:szCs w:val="20"/>
          <w:color w:val="auto"/>
        </w:rPr>
      </w:pPr>
    </w:p>
    <w:p>
      <w:pPr>
        <w:jc w:val="both"/>
        <w:ind w:right="500" w:firstLine="472"/>
        <w:spacing w:after="0" w:line="297" w:lineRule="auto"/>
        <w:rPr>
          <w:sz w:val="20"/>
          <w:szCs w:val="20"/>
          <w:color w:val="auto"/>
        </w:rPr>
      </w:pPr>
      <w:r>
        <w:rPr>
          <w:rFonts w:ascii="Arial" w:cs="Arial" w:eastAsia="Arial" w:hAnsi="Arial"/>
          <w:sz w:val="16"/>
          <w:szCs w:val="16"/>
          <w:color w:val="auto"/>
        </w:rPr>
        <w:t>Liquidity is provided by operating cash flow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ind w:left="520"/>
              <w:spacing w:after="0"/>
              <w:rPr>
                <w:sz w:val="20"/>
                <w:szCs w:val="20"/>
                <w:color w:val="auto"/>
              </w:rPr>
            </w:pPr>
            <w:r>
              <w:rPr>
                <w:rFonts w:ascii="Arial" w:cs="Arial" w:eastAsia="Arial" w:hAnsi="Arial"/>
                <w:sz w:val="17"/>
                <w:szCs w:val="17"/>
                <w:b w:val="1"/>
                <w:bCs w:val="1"/>
                <w:color w:val="auto"/>
              </w:rPr>
              <w:t>For the year ended</w:t>
            </w:r>
          </w:p>
        </w:tc>
      </w:tr>
      <w:tr>
        <w:trPr>
          <w:trHeight w:val="223"/>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b w:val="1"/>
                <w:bCs w:val="1"/>
                <w:color w:val="auto"/>
                <w:w w:val="95"/>
              </w:rPr>
              <w:t>December 31,</w:t>
            </w:r>
          </w:p>
        </w:tc>
        <w:tc>
          <w:tcPr>
            <w:tcW w:w="980" w:type="dxa"/>
            <w:vAlign w:val="bottom"/>
            <w:tcBorders>
              <w:bottom w:val="single" w:sz="8" w:color="auto"/>
            </w:tcBorders>
          </w:tcPr>
          <w:p>
            <w:pPr>
              <w:spacing w:after="0"/>
              <w:rPr>
                <w:sz w:val="19"/>
                <w:szCs w:val="19"/>
                <w:color w:val="auto"/>
              </w:rPr>
            </w:pPr>
          </w:p>
        </w:tc>
      </w:tr>
      <w:tr>
        <w:trPr>
          <w:trHeight w:val="176"/>
        </w:trPr>
        <w:tc>
          <w:tcPr>
            <w:tcW w:w="580" w:type="dxa"/>
            <w:vAlign w:val="bottom"/>
          </w:tcPr>
          <w:p>
            <w:pPr>
              <w:spacing w:after="0"/>
              <w:rPr>
                <w:sz w:val="15"/>
                <w:szCs w:val="15"/>
                <w:color w:val="auto"/>
              </w:rPr>
            </w:pPr>
          </w:p>
        </w:tc>
        <w:tc>
          <w:tcPr>
            <w:tcW w:w="754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493"/>
              <w:spacing w:after="0" w:line="176" w:lineRule="exact"/>
              <w:rPr>
                <w:sz w:val="20"/>
                <w:szCs w:val="20"/>
                <w:color w:val="auto"/>
              </w:rPr>
            </w:pPr>
            <w:r>
              <w:rPr>
                <w:rFonts w:ascii="Arial" w:cs="Arial" w:eastAsia="Arial" w:hAnsi="Arial"/>
                <w:sz w:val="17"/>
                <w:szCs w:val="17"/>
                <w:b w:val="1"/>
                <w:bCs w:val="1"/>
                <w:color w:val="auto"/>
              </w:rPr>
              <w:t>2020</w:t>
            </w: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5"/>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provided by (used for):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2"/>
        </w:trPr>
        <w:tc>
          <w:tcPr>
            <w:tcW w:w="8120" w:type="dxa"/>
            <w:vAlign w:val="bottom"/>
            <w:gridSpan w:val="3"/>
          </w:tcPr>
          <w:p>
            <w:pPr>
              <w:ind w:left="220"/>
              <w:spacing w:after="0"/>
              <w:rPr>
                <w:sz w:val="20"/>
                <w:szCs w:val="20"/>
                <w:color w:val="auto"/>
              </w:rPr>
            </w:pPr>
            <w:r>
              <w:rPr>
                <w:rFonts w:ascii="Arial" w:cs="Arial" w:eastAsia="Arial" w:hAnsi="Arial"/>
                <w:sz w:val="17"/>
                <w:szCs w:val="17"/>
                <w:color w:val="auto"/>
              </w:rPr>
              <w:t>Operating activities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Pr>
          <w:p>
            <w:pPr>
              <w:ind w:left="700"/>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center"/>
              <w:ind w:left="513"/>
              <w:spacing w:after="0"/>
              <w:rPr>
                <w:sz w:val="20"/>
                <w:szCs w:val="20"/>
                <w:color w:val="auto"/>
              </w:rPr>
            </w:pPr>
            <w:r>
              <w:rPr>
                <w:rFonts w:ascii="Arial" w:cs="Arial" w:eastAsia="Arial" w:hAnsi="Arial"/>
                <w:sz w:val="17"/>
                <w:szCs w:val="17"/>
                <w:color w:val="auto"/>
                <w:w w:val="91"/>
              </w:rPr>
              <w:t>784</w:t>
            </w:r>
          </w:p>
        </w:tc>
      </w:tr>
      <w:tr>
        <w:trPr>
          <w:trHeight w:val="223"/>
        </w:trPr>
        <w:tc>
          <w:tcPr>
            <w:tcW w:w="8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center"/>
              <w:ind w:left="473"/>
              <w:spacing w:after="0"/>
              <w:rPr>
                <w:sz w:val="20"/>
                <w:szCs w:val="20"/>
                <w:color w:val="auto"/>
              </w:rPr>
            </w:pPr>
            <w:r>
              <w:rPr>
                <w:rFonts w:ascii="Arial" w:cs="Arial" w:eastAsia="Arial" w:hAnsi="Arial"/>
                <w:sz w:val="17"/>
                <w:szCs w:val="17"/>
                <w:color w:val="auto"/>
                <w:w w:val="95"/>
              </w:rPr>
              <w:t>(155)</w:t>
            </w:r>
          </w:p>
        </w:tc>
      </w:tr>
      <w:tr>
        <w:trPr>
          <w:trHeight w:val="222"/>
        </w:trPr>
        <w:tc>
          <w:tcPr>
            <w:tcW w:w="8120" w:type="dxa"/>
            <w:vAlign w:val="bottom"/>
            <w:gridSpan w:val="3"/>
          </w:tcPr>
          <w:p>
            <w:pPr>
              <w:ind w:left="220"/>
              <w:spacing w:after="0"/>
              <w:rPr>
                <w:sz w:val="20"/>
                <w:szCs w:val="20"/>
                <w:color w:val="auto"/>
              </w:rPr>
            </w:pPr>
            <w:r>
              <w:rPr>
                <w:rFonts w:ascii="Arial" w:cs="Arial" w:eastAsia="Arial" w:hAnsi="Arial"/>
                <w:sz w:val="17"/>
                <w:szCs w:val="17"/>
                <w:color w:val="auto"/>
              </w:rPr>
              <w:t>Financing activities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center"/>
              <w:ind w:left="473"/>
              <w:spacing w:after="0"/>
              <w:rPr>
                <w:sz w:val="20"/>
                <w:szCs w:val="20"/>
                <w:color w:val="auto"/>
              </w:rPr>
            </w:pPr>
            <w:r>
              <w:rPr>
                <w:rFonts w:ascii="Arial" w:cs="Arial" w:eastAsia="Arial" w:hAnsi="Arial"/>
                <w:sz w:val="17"/>
                <w:szCs w:val="17"/>
                <w:color w:val="auto"/>
                <w:w w:val="95"/>
              </w:rPr>
              <w:t>(619)</w:t>
            </w:r>
          </w:p>
        </w:tc>
      </w:tr>
    </w:tbl>
    <w:p>
      <w:pPr>
        <w:spacing w:after="0" w:line="218" w:lineRule="exact"/>
        <w:rPr>
          <w:sz w:val="20"/>
          <w:szCs w:val="20"/>
          <w:color w:val="auto"/>
        </w:rPr>
      </w:pPr>
    </w:p>
    <w:p>
      <w:pPr>
        <w:ind w:right="300" w:firstLine="524"/>
        <w:spacing w:after="0" w:line="296"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operations increased $289 million in 2021 to $1,073 million compared with $784 million in 2020.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to the sources and (uses) of cash for the twelve month periods include the following:</w:t>
      </w:r>
    </w:p>
    <w:p>
      <w:pPr>
        <w:spacing w:after="0" w:line="48" w:lineRule="exact"/>
        <w:rPr>
          <w:sz w:val="20"/>
          <w:szCs w:val="20"/>
          <w:color w:val="auto"/>
        </w:rPr>
      </w:pPr>
    </w:p>
    <w:p>
      <w:pPr>
        <w:ind w:left="620" w:hanging="30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$280 million attributable to higher Net income and other favorable changes in the related statement of income;</w:t>
      </w:r>
    </w:p>
    <w:p>
      <w:pPr>
        <w:spacing w:after="0" w:line="118" w:lineRule="exact"/>
        <w:rPr>
          <w:rFonts w:ascii="Arial" w:cs="Arial" w:eastAsia="Arial" w:hAnsi="Arial"/>
          <w:sz w:val="17"/>
          <w:szCs w:val="17"/>
          <w:color w:val="auto"/>
        </w:rPr>
      </w:pPr>
    </w:p>
    <w:p>
      <w:pPr>
        <w:ind w:left="640" w:right="20" w:hanging="321"/>
        <w:spacing w:after="0" w:line="26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$(235) million from net changes in working capital driven by: $(266) million from changes in receivables due to timing and volume of sales and $(125) million from the pay down of the Revolving Receivables Program; $(222) million unfavorable change in inventory primarily from inventory build-ups in response to supply chain challenges; $378 million improvement from accounts payable, primarily due to the timing of payments to suppliers and the COVID-19 related impacts on expenditures in 2020;</w:t>
      </w:r>
    </w:p>
    <w:p>
      <w:pPr>
        <w:spacing w:after="0" w:line="73" w:lineRule="exact"/>
        <w:rPr>
          <w:rFonts w:ascii="Arial" w:cs="Arial" w:eastAsia="Arial" w:hAnsi="Arial"/>
          <w:sz w:val="17"/>
          <w:szCs w:val="17"/>
          <w:color w:val="auto"/>
        </w:rPr>
      </w:pPr>
    </w:p>
    <w:p>
      <w:pPr>
        <w:ind w:left="640" w:right="140" w:hanging="321"/>
        <w:spacing w:after="0" w:line="273"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favorable change in accrued liabilities and customer deposits of $175 million, which related to approximately $120 million of cash payments made during 2020 for costs related to the GE Transportation acquisition, higher incentive compensation accruals and timing of severance accruals related to site rationalization; and,</w:t>
      </w:r>
    </w:p>
    <w:p>
      <w:pPr>
        <w:spacing w:after="0" w:line="66" w:lineRule="exact"/>
        <w:rPr>
          <w:rFonts w:ascii="Arial" w:cs="Arial" w:eastAsia="Arial" w:hAnsi="Arial"/>
          <w:sz w:val="17"/>
          <w:szCs w:val="17"/>
          <w:color w:val="auto"/>
        </w:rPr>
      </w:pPr>
    </w:p>
    <w:p>
      <w:pPr>
        <w:ind w:left="620" w:hanging="30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approximately $40 million related to settlement of litigation in 2020 that did not recur in 2021.</w:t>
      </w:r>
    </w:p>
    <w:p>
      <w:pPr>
        <w:spacing w:after="0" w:line="119"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2021 and 2020, cash used in investing activities was $(540) million and $(155) million, respectively. The major components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outflow in 2021 was planned additions to property, plant, and equipment of $(130) million for continued investments in our facilities and manufacturing processes, and $(435) million in net cash paid for acquisitions, primarily for Nordco. The major components of the cash outflow in 2020 was $(136) million for additions to property, plant, and equipment and $(40) million in net cash paid for various small acquisitions.</w:t>
      </w:r>
    </w:p>
    <w:p>
      <w:pPr>
        <w:spacing w:after="0" w:line="73" w:lineRule="exact"/>
        <w:rPr>
          <w:sz w:val="20"/>
          <w:szCs w:val="20"/>
          <w:color w:val="auto"/>
        </w:rPr>
      </w:pPr>
    </w:p>
    <w:p>
      <w:pPr>
        <w:ind w:right="20" w:firstLine="472"/>
        <w:spacing w:after="0" w:line="289" w:lineRule="auto"/>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2021, cash used for financing activities was $(653) million, which included net debt payments of $(161) million, $(99)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contingent consideration payments related to the GE Transportation acquisition, $(92) million of dividend payments, and $(300) million for share repurchases. In 2020, cash used for financing activities was $(619) million, which included net debt payments of $(199) million, $(115) million of contingent consideration payments related to the GE Transportation acquisition, $(93) million of dividend payments, and $(207) million for share repurchases.</w:t>
      </w:r>
    </w:p>
    <w:p>
      <w:pPr>
        <w:spacing w:after="0" w:line="57"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On June 3, 2021, Wabtec Transportation Netherlands B.V. ("Wabtec Netherlands") issued €500 million of 1.25% Senior Notes due in 2027, which are fully and unconditionally guaranteed by the Company. Also on June 3, 2021, the Company repaid all outstanding borrowings and interest related to the 364 Day Facility, effectively retiring the facility. Additional information with respect to Senior Notes, credit facilities and long-term debt is included in Note 8 of "Notes to Consolidated Financial Statements” included in Part IV, Item 15 of this report.</w:t>
      </w:r>
    </w:p>
    <w:p>
      <w:pPr>
        <w:spacing w:after="0" w:line="73"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The Company borrows and repays against the Multi-Currency Revolving loan facility for added flexibility in liquidity to manage cash during the operating cycle. The proceeds from borrowing and the repayments are shown within the "Proceeds from debt, net of issuance costs" and "Payments of debt" lines, respectively, presented in the Consolidated Statements of Cash Flows.</w:t>
      </w:r>
    </w:p>
    <w:p>
      <w:pPr>
        <w:spacing w:after="0" w:line="66" w:lineRule="exact"/>
        <w:rPr>
          <w:sz w:val="20"/>
          <w:szCs w:val="20"/>
          <w:color w:val="auto"/>
        </w:rPr>
      </w:pPr>
    </w:p>
    <w:p>
      <w:pPr>
        <w:ind w:right="140" w:firstLine="472"/>
        <w:spacing w:after="0" w:line="267" w:lineRule="auto"/>
        <w:rPr>
          <w:sz w:val="20"/>
          <w:szCs w:val="20"/>
          <w:color w:val="auto"/>
        </w:rPr>
      </w:pPr>
      <w:r>
        <w:rPr>
          <w:rFonts w:ascii="Arial" w:cs="Arial" w:eastAsia="Arial" w:hAnsi="Arial"/>
          <w:sz w:val="17"/>
          <w:szCs w:val="17"/>
          <w:color w:val="auto"/>
        </w:rPr>
        <w:t>As of December 31, 2021, the Company held approximately $473 million of cash and cash equivalents. Of this amount, approximately $91 million was held within the United States and approximately $382 million was held outside of the United States, primarily in Europe, India, China, and Brazil. While repatriation of some cash held outside the United States may be restricted by local laws, most of the Company’s foreign cash could be repatriated to the United States.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Revolving Receivables Program</w:t>
      </w:r>
    </w:p>
    <w:p>
      <w:pPr>
        <w:spacing w:after="0" w:line="119" w:lineRule="exact"/>
        <w:rPr>
          <w:sz w:val="20"/>
          <w:szCs w:val="20"/>
          <w:color w:val="auto"/>
        </w:rPr>
      </w:pPr>
    </w:p>
    <w:p>
      <w:pPr>
        <w:ind w:right="700" w:firstLine="472"/>
        <w:spacing w:after="0" w:line="289" w:lineRule="auto"/>
        <w:rPr>
          <w:sz w:val="20"/>
          <w:szCs w:val="20"/>
          <w:color w:val="auto"/>
        </w:rPr>
      </w:pPr>
      <w:r>
        <w:rPr>
          <w:rFonts w:ascii="Arial" w:cs="Arial" w:eastAsia="Arial" w:hAnsi="Arial"/>
          <w:sz w:val="17"/>
          <w:szCs w:val="17"/>
          <w:color w:val="auto"/>
        </w:rPr>
        <w:t>In May 2020, the Company entered into a revolving agreement to transfer up to $150 million of certain receivables of certain subsidiaries of the Company (the "Originators") through our bankruptcy-remote subsidiary to a financial institution on 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36" w:name="page37"/>
    <w:bookmarkEnd w:id="36"/>
    <w:p>
      <w:pPr>
        <w:ind w:right="140"/>
        <w:spacing w:after="0" w:line="267" w:lineRule="auto"/>
        <w:rPr>
          <w:sz w:val="20"/>
          <w:szCs w:val="20"/>
          <w:color w:val="auto"/>
        </w:rPr>
      </w:pPr>
      <w:r>
        <w:rPr>
          <w:rFonts w:ascii="Arial" w:cs="Arial" w:eastAsia="Arial" w:hAnsi="Arial"/>
          <w:sz w:val="17"/>
          <w:szCs w:val="17"/>
          <w:color w:val="auto"/>
        </w:rPr>
        <w:t>recurring basis in exchange for cash equal to the gross receivables transferred. During the first quarter of 2021, the Company amended its revolving agreement to increase the amount of certain receivables that can be transferred from $150 million to $200 million. Additional information with respect to the Revolving Receivables Program is included in Note 2 of "Notes to Consolidated Financial Statements" included in Part IV, Item 15 of this report and incorporated by reference herein.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Supply Chain Financing Program</w:t>
      </w:r>
    </w:p>
    <w:p>
      <w:pPr>
        <w:spacing w:after="0" w:line="119" w:lineRule="exact"/>
        <w:rPr>
          <w:sz w:val="20"/>
          <w:szCs w:val="20"/>
          <w:color w:val="auto"/>
        </w:rPr>
      </w:pPr>
    </w:p>
    <w:p>
      <w:pPr>
        <w:ind w:right="20" w:firstLine="472"/>
        <w:spacing w:after="0" w:line="265" w:lineRule="auto"/>
        <w:rPr>
          <w:sz w:val="20"/>
          <w:szCs w:val="20"/>
          <w:color w:val="auto"/>
        </w:rPr>
      </w:pPr>
      <w:r>
        <w:rPr>
          <w:rFonts w:ascii="Arial" w:cs="Arial" w:eastAsia="Arial" w:hAnsi="Arial"/>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Guarantor Summarized Financial Information</w:t>
      </w:r>
    </w:p>
    <w:p>
      <w:pPr>
        <w:spacing w:after="0" w:line="119" w:lineRule="exact"/>
        <w:rPr>
          <w:sz w:val="20"/>
          <w:szCs w:val="20"/>
          <w:color w:val="auto"/>
        </w:rPr>
      </w:pPr>
    </w:p>
    <w:p>
      <w:pPr>
        <w:jc w:val="both"/>
        <w:ind w:right="360" w:firstLine="472"/>
        <w:spacing w:after="0" w:line="267" w:lineRule="auto"/>
        <w:rPr>
          <w:sz w:val="20"/>
          <w:szCs w:val="20"/>
          <w:color w:val="auto"/>
        </w:rPr>
      </w:pPr>
      <w:r>
        <w:rPr>
          <w:rFonts w:ascii="Arial" w:cs="Arial" w:eastAsia="Arial" w:hAnsi="Arial"/>
          <w:sz w:val="17"/>
          <w:szCs w:val="17"/>
          <w:color w:val="auto"/>
        </w:rPr>
        <w:t>The obligations of Westinghouse Air Brake Technologies Corporation under the Senior Notes, Senior Credit Facility and 364 Day Facility have been fully and unconditionally guaranteed by certain of the parent company's U.S. subsidiaries. Each guarantor is 100% owned by the parent company, with the exception of GE Transportation, a Wabtec Company, which has 15,000 shares outstanding of Class A Non-Voting Preferred Stock held by General Electric Company.</w:t>
      </w:r>
    </w:p>
    <w:p>
      <w:pPr>
        <w:spacing w:after="0" w:line="73" w:lineRule="exact"/>
        <w:rPr>
          <w:sz w:val="20"/>
          <w:szCs w:val="20"/>
          <w:color w:val="auto"/>
        </w:rPr>
      </w:pPr>
    </w:p>
    <w:p>
      <w:pPr>
        <w:ind w:right="260" w:firstLine="472"/>
        <w:spacing w:after="0" w:line="267" w:lineRule="auto"/>
        <w:rPr>
          <w:sz w:val="20"/>
          <w:szCs w:val="20"/>
          <w:color w:val="auto"/>
        </w:rPr>
      </w:pPr>
      <w:r>
        <w:rPr>
          <w:rFonts w:ascii="Arial" w:cs="Arial" w:eastAsia="Arial" w:hAnsi="Arial"/>
          <w:sz w:val="17"/>
          <w:szCs w:val="17"/>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43"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4300" w:type="dxa"/>
            <w:vAlign w:val="bottom"/>
          </w:tcPr>
          <w:p>
            <w:pPr>
              <w:jc w:val="center"/>
              <w:ind w:left="410"/>
              <w:spacing w:after="0"/>
              <w:rPr>
                <w:sz w:val="20"/>
                <w:szCs w:val="20"/>
                <w:color w:val="auto"/>
              </w:rPr>
            </w:pPr>
            <w:r>
              <w:rPr>
                <w:rFonts w:ascii="Arial" w:cs="Arial" w:eastAsia="Arial" w:hAnsi="Arial"/>
                <w:sz w:val="14"/>
                <w:szCs w:val="14"/>
                <w:b w:val="1"/>
                <w:bCs w:val="1"/>
                <w:color w:val="auto"/>
                <w:w w:val="90"/>
              </w:rPr>
              <w:t>Unaudited</w:t>
            </w:r>
          </w:p>
        </w:tc>
      </w:tr>
      <w:tr>
        <w:trPr>
          <w:trHeight w:val="141"/>
        </w:trPr>
        <w:tc>
          <w:tcPr>
            <w:tcW w:w="6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300" w:type="dxa"/>
            <w:vAlign w:val="bottom"/>
          </w:tcPr>
          <w:p>
            <w:pPr>
              <w:jc w:val="center"/>
              <w:ind w:left="410"/>
              <w:spacing w:after="0" w:line="141" w:lineRule="exact"/>
              <w:rPr>
                <w:sz w:val="20"/>
                <w:szCs w:val="20"/>
                <w:color w:val="auto"/>
              </w:rPr>
            </w:pPr>
            <w:r>
              <w:rPr>
                <w:rFonts w:ascii="Arial" w:cs="Arial" w:eastAsia="Arial" w:hAnsi="Arial"/>
                <w:sz w:val="14"/>
                <w:szCs w:val="14"/>
                <w:b w:val="1"/>
                <w:bCs w:val="1"/>
                <w:color w:val="auto"/>
                <w:w w:val="90"/>
              </w:rPr>
              <w:t>Westinghouse Air Brake Technologies Corp. and Guarantor</w:t>
            </w:r>
          </w:p>
        </w:tc>
      </w:tr>
      <w:tr>
        <w:trPr>
          <w:trHeight w:val="174"/>
        </w:trPr>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4300" w:type="dxa"/>
            <w:vAlign w:val="bottom"/>
          </w:tcPr>
          <w:p>
            <w:pPr>
              <w:ind w:left="1780"/>
              <w:spacing w:after="0"/>
              <w:rPr>
                <w:sz w:val="20"/>
                <w:szCs w:val="20"/>
                <w:color w:val="auto"/>
              </w:rPr>
            </w:pPr>
            <w:r>
              <w:rPr>
                <w:rFonts w:ascii="Arial" w:cs="Arial" w:eastAsia="Arial" w:hAnsi="Arial"/>
                <w:sz w:val="14"/>
                <w:szCs w:val="14"/>
                <w:b w:val="1"/>
                <w:bCs w:val="1"/>
                <w:color w:val="auto"/>
              </w:rPr>
              <w:t>Subsidiaries</w:t>
            </w:r>
          </w:p>
        </w:tc>
      </w:tr>
      <w:tr>
        <w:trPr>
          <w:trHeight w:val="154"/>
        </w:trPr>
        <w:tc>
          <w:tcPr>
            <w:tcW w:w="6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i w:val="1"/>
                <w:iCs w:val="1"/>
                <w:color w:val="auto"/>
                <w:w w:val="86"/>
              </w:rPr>
              <w:t>In millions</w:t>
            </w:r>
          </w:p>
        </w:tc>
        <w:tc>
          <w:tcPr>
            <w:tcW w:w="5820" w:type="dxa"/>
            <w:vAlign w:val="bottom"/>
          </w:tcPr>
          <w:p>
            <w:pPr>
              <w:spacing w:after="0"/>
              <w:rPr>
                <w:sz w:val="13"/>
                <w:szCs w:val="13"/>
                <w:color w:val="auto"/>
              </w:rPr>
            </w:pPr>
          </w:p>
        </w:tc>
        <w:tc>
          <w:tcPr>
            <w:tcW w:w="4300" w:type="dxa"/>
            <w:vAlign w:val="bottom"/>
          </w:tcPr>
          <w:p>
            <w:pPr>
              <w:jc w:val="center"/>
              <w:ind w:left="410"/>
              <w:spacing w:after="0" w:line="153" w:lineRule="exact"/>
              <w:rPr>
                <w:sz w:val="20"/>
                <w:szCs w:val="20"/>
                <w:color w:val="auto"/>
              </w:rPr>
            </w:pPr>
            <w:r>
              <w:rPr>
                <w:rFonts w:ascii="Arial" w:cs="Arial" w:eastAsia="Arial" w:hAnsi="Arial"/>
                <w:sz w:val="14"/>
                <w:szCs w:val="14"/>
                <w:b w:val="1"/>
                <w:bCs w:val="1"/>
                <w:color w:val="auto"/>
                <w:w w:val="89"/>
              </w:rPr>
              <w:t>Year Ended December 31, 2021</w:t>
            </w:r>
          </w:p>
        </w:tc>
      </w:tr>
      <w:tr>
        <w:trPr>
          <w:trHeight w:val="20"/>
        </w:trPr>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49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00" w:type="dxa"/>
            <w:vAlign w:val="bottom"/>
          </w:tcPr>
          <w:p>
            <w:pPr>
              <w:jc w:val="right"/>
              <w:ind w:right="917"/>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3,750</w:t>
            </w:r>
          </w:p>
        </w:tc>
      </w:tr>
      <w:tr>
        <w:trPr>
          <w:trHeight w:val="223"/>
        </w:trPr>
        <w:tc>
          <w:tcPr>
            <w:tcW w:w="50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820</w:t>
            </w:r>
          </w:p>
        </w:tc>
      </w:tr>
      <w:tr>
        <w:trPr>
          <w:trHeight w:val="223"/>
        </w:trPr>
        <w:tc>
          <w:tcPr>
            <w:tcW w:w="50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Wabtec shareholders</w:t>
            </w: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406"/>
        </w:trPr>
        <w:tc>
          <w:tcPr>
            <w:tcW w:w="4680" w:type="dxa"/>
            <w:vAlign w:val="bottom"/>
            <w:gridSpan w:val="3"/>
          </w:tcPr>
          <w:p>
            <w:pPr>
              <w:ind w:left="480"/>
              <w:spacing w:after="0"/>
              <w:rPr>
                <w:sz w:val="20"/>
                <w:szCs w:val="20"/>
                <w:color w:val="auto"/>
              </w:rPr>
            </w:pPr>
            <w:r>
              <w:rPr>
                <w:rFonts w:ascii="Arial" w:cs="Arial" w:eastAsia="Arial" w:hAnsi="Arial"/>
                <w:sz w:val="17"/>
                <w:szCs w:val="17"/>
                <w:b w:val="1"/>
                <w:bCs w:val="1"/>
                <w:i w:val="1"/>
                <w:iCs w:val="1"/>
                <w:color w:val="auto"/>
              </w:rPr>
              <w:t>Summarized Balance Sheets</w:t>
            </w: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0"/>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Unaudited</w:t>
            </w:r>
          </w:p>
        </w:tc>
        <w:tc>
          <w:tcPr>
            <w:tcW w:w="1800" w:type="dxa"/>
            <w:vAlign w:val="bottom"/>
          </w:tcPr>
          <w:p>
            <w:pPr>
              <w:spacing w:after="0"/>
              <w:rPr>
                <w:sz w:val="17"/>
                <w:szCs w:val="17"/>
                <w:color w:val="auto"/>
              </w:rPr>
            </w:pPr>
          </w:p>
        </w:tc>
      </w:tr>
      <w:tr>
        <w:trPr>
          <w:trHeight w:val="183"/>
        </w:trPr>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2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w w:val="90"/>
              </w:rPr>
              <w:t>Westinghouse Air Brake Technologies Corp. and Guarantor Subsidiaries</w:t>
            </w:r>
          </w:p>
        </w:tc>
      </w:tr>
      <w:tr>
        <w:trPr>
          <w:trHeight w:val="154"/>
        </w:trPr>
        <w:tc>
          <w:tcPr>
            <w:tcW w:w="500" w:type="dxa"/>
            <w:vAlign w:val="bottom"/>
          </w:tcPr>
          <w:p>
            <w:pPr>
              <w:spacing w:after="0"/>
              <w:rPr>
                <w:sz w:val="13"/>
                <w:szCs w:val="13"/>
                <w:color w:val="auto"/>
              </w:rPr>
            </w:pPr>
          </w:p>
        </w:tc>
        <w:tc>
          <w:tcPr>
            <w:tcW w:w="41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December 31,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December 31, 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r>
      <w:tr>
        <w:trPr>
          <w:trHeight w:val="222"/>
        </w:trPr>
        <w:tc>
          <w:tcPr>
            <w:tcW w:w="50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Noncurrent assets</w:t>
            </w:r>
          </w:p>
        </w:tc>
        <w:tc>
          <w:tcPr>
            <w:tcW w:w="19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2,087</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1,836</w:t>
            </w:r>
          </w:p>
        </w:tc>
      </w:tr>
      <w:tr>
        <w:trPr>
          <w:trHeight w:val="223"/>
        </w:trPr>
        <w:tc>
          <w:tcPr>
            <w:tcW w:w="50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r>
      <w:tr>
        <w:trPr>
          <w:trHeight w:val="222"/>
        </w:trPr>
        <w:tc>
          <w:tcPr>
            <w:tcW w:w="50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9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3,483</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3,780</w:t>
            </w:r>
          </w:p>
        </w:tc>
      </w:tr>
      <w:tr>
        <w:trPr>
          <w:trHeight w:val="223"/>
        </w:trPr>
        <w:tc>
          <w:tcPr>
            <w:tcW w:w="50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82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20" w:type="dxa"/>
            <w:vAlign w:val="bottom"/>
          </w:tcPr>
          <w:p>
            <w:pPr>
              <w:jc w:val="right"/>
              <w:ind w:right="193"/>
              <w:spacing w:after="0"/>
              <w:rPr>
                <w:sz w:val="20"/>
                <w:szCs w:val="20"/>
                <w:color w:val="auto"/>
              </w:rPr>
            </w:pPr>
            <w:r>
              <w:rPr>
                <w:rFonts w:ascii="Arial" w:cs="Arial" w:eastAsia="Arial" w:hAnsi="Arial"/>
                <w:sz w:val="17"/>
                <w:szCs w:val="17"/>
                <w:color w:val="auto"/>
              </w:rPr>
              <w:t>37</w:t>
            </w: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7" w:name="page38"/>
    <w:bookmarkEnd w:id="37"/>
    <w:p>
      <w:pPr>
        <w:ind w:right="340" w:firstLine="472"/>
        <w:spacing w:after="0" w:line="275" w:lineRule="auto"/>
        <w:rPr>
          <w:sz w:val="20"/>
          <w:szCs w:val="20"/>
          <w:color w:val="auto"/>
        </w:rPr>
      </w:pPr>
      <w:r>
        <w:rPr>
          <w:rFonts w:ascii="Arial" w:cs="Arial" w:eastAsia="Arial" w:hAnsi="Arial"/>
          <w:sz w:val="17"/>
          <w:szCs w:val="17"/>
          <w:color w:val="auto"/>
        </w:rPr>
        <w:t>The following is a description of the transactions between the combined Westinghouse Air Brake Technologies Corp. and guarantor subsidiaries with non-guarantor subsidiaries.</w:t>
      </w:r>
    </w:p>
    <w:tbl>
      <w:tblPr>
        <w:tblLayout w:type="fixed"/>
        <w:tblInd w:w="50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4300" w:type="dxa"/>
            <w:vAlign w:val="bottom"/>
          </w:tcPr>
          <w:p>
            <w:pPr>
              <w:jc w:val="center"/>
              <w:ind w:left="410"/>
              <w:spacing w:after="0"/>
              <w:rPr>
                <w:sz w:val="20"/>
                <w:szCs w:val="20"/>
                <w:color w:val="auto"/>
              </w:rPr>
            </w:pPr>
            <w:r>
              <w:rPr>
                <w:rFonts w:ascii="Arial" w:cs="Arial" w:eastAsia="Arial" w:hAnsi="Arial"/>
                <w:sz w:val="14"/>
                <w:szCs w:val="14"/>
                <w:b w:val="1"/>
                <w:bCs w:val="1"/>
                <w:color w:val="auto"/>
                <w:w w:val="90"/>
              </w:rPr>
              <w:t>Unaudited</w:t>
            </w:r>
          </w:p>
        </w:tc>
      </w:tr>
      <w:tr>
        <w:trPr>
          <w:trHeight w:val="141"/>
        </w:trPr>
        <w:tc>
          <w:tcPr>
            <w:tcW w:w="6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300" w:type="dxa"/>
            <w:vAlign w:val="bottom"/>
          </w:tcPr>
          <w:p>
            <w:pPr>
              <w:jc w:val="center"/>
              <w:ind w:left="410"/>
              <w:spacing w:after="0" w:line="141" w:lineRule="exact"/>
              <w:rPr>
                <w:sz w:val="20"/>
                <w:szCs w:val="20"/>
                <w:color w:val="auto"/>
              </w:rPr>
            </w:pPr>
            <w:r>
              <w:rPr>
                <w:rFonts w:ascii="Arial" w:cs="Arial" w:eastAsia="Arial" w:hAnsi="Arial"/>
                <w:sz w:val="14"/>
                <w:szCs w:val="14"/>
                <w:b w:val="1"/>
                <w:bCs w:val="1"/>
                <w:color w:val="auto"/>
                <w:w w:val="90"/>
              </w:rPr>
              <w:t>Westinghouse Air Brake Technologies Corp. and Guarantor</w:t>
            </w:r>
          </w:p>
        </w:tc>
      </w:tr>
      <w:tr>
        <w:trPr>
          <w:trHeight w:val="174"/>
        </w:trPr>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4300" w:type="dxa"/>
            <w:vAlign w:val="bottom"/>
          </w:tcPr>
          <w:p>
            <w:pPr>
              <w:ind w:left="1780"/>
              <w:spacing w:after="0"/>
              <w:rPr>
                <w:sz w:val="20"/>
                <w:szCs w:val="20"/>
                <w:color w:val="auto"/>
              </w:rPr>
            </w:pPr>
            <w:r>
              <w:rPr>
                <w:rFonts w:ascii="Arial" w:cs="Arial" w:eastAsia="Arial" w:hAnsi="Arial"/>
                <w:sz w:val="14"/>
                <w:szCs w:val="14"/>
                <w:b w:val="1"/>
                <w:bCs w:val="1"/>
                <w:color w:val="auto"/>
              </w:rPr>
              <w:t>Subsidiaries</w:t>
            </w:r>
          </w:p>
        </w:tc>
      </w:tr>
      <w:tr>
        <w:trPr>
          <w:trHeight w:val="154"/>
        </w:trPr>
        <w:tc>
          <w:tcPr>
            <w:tcW w:w="6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i w:val="1"/>
                <w:iCs w:val="1"/>
                <w:color w:val="auto"/>
                <w:w w:val="86"/>
              </w:rPr>
              <w:t>In millions</w:t>
            </w:r>
          </w:p>
        </w:tc>
        <w:tc>
          <w:tcPr>
            <w:tcW w:w="5820" w:type="dxa"/>
            <w:vAlign w:val="bottom"/>
          </w:tcPr>
          <w:p>
            <w:pPr>
              <w:spacing w:after="0"/>
              <w:rPr>
                <w:sz w:val="13"/>
                <w:szCs w:val="13"/>
                <w:color w:val="auto"/>
              </w:rPr>
            </w:pPr>
          </w:p>
        </w:tc>
        <w:tc>
          <w:tcPr>
            <w:tcW w:w="4300" w:type="dxa"/>
            <w:vAlign w:val="bottom"/>
          </w:tcPr>
          <w:p>
            <w:pPr>
              <w:jc w:val="center"/>
              <w:ind w:left="410"/>
              <w:spacing w:after="0" w:line="153" w:lineRule="exact"/>
              <w:rPr>
                <w:sz w:val="20"/>
                <w:szCs w:val="20"/>
                <w:color w:val="auto"/>
              </w:rPr>
            </w:pPr>
            <w:r>
              <w:rPr>
                <w:rFonts w:ascii="Arial" w:cs="Arial" w:eastAsia="Arial" w:hAnsi="Arial"/>
                <w:sz w:val="14"/>
                <w:szCs w:val="14"/>
                <w:b w:val="1"/>
                <w:bCs w:val="1"/>
                <w:color w:val="auto"/>
                <w:w w:val="89"/>
              </w:rPr>
              <w:t>Year Ended December 31, 2021</w:t>
            </w:r>
          </w:p>
        </w:tc>
      </w:tr>
      <w:tr>
        <w:trPr>
          <w:trHeight w:val="20"/>
        </w:trPr>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49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Net sales to Non-Guarantor Subsidiaries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720" w:type="dxa"/>
            <w:vAlign w:val="bottom"/>
          </w:tcPr>
          <w:p>
            <w:pPr>
              <w:jc w:val="right"/>
              <w:spacing w:after="0"/>
              <w:rPr>
                <w:sz w:val="20"/>
                <w:szCs w:val="20"/>
                <w:color w:val="auto"/>
              </w:rPr>
            </w:pPr>
            <w:r>
              <w:rPr>
                <w:rFonts w:ascii="Arial" w:cs="Arial" w:eastAsia="Arial" w:hAnsi="Arial"/>
                <w:sz w:val="17"/>
                <w:szCs w:val="17"/>
                <w:color w:val="auto"/>
              </w:rPr>
              <w:t>643</w:t>
            </w:r>
          </w:p>
        </w:tc>
      </w:tr>
      <w:tr>
        <w:trPr>
          <w:trHeight w:val="223"/>
        </w:trPr>
        <w:tc>
          <w:tcPr>
            <w:tcW w:w="5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Purchases from Non-Guarantor Subsidiaries</w:t>
            </w:r>
          </w:p>
        </w:tc>
        <w:tc>
          <w:tcPr>
            <w:tcW w:w="5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1,151</w:t>
            </w:r>
          </w:p>
        </w:tc>
      </w:tr>
      <w:tr>
        <w:trPr>
          <w:trHeight w:val="43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Unaudited</w:t>
            </w:r>
          </w:p>
        </w:tc>
      </w:tr>
      <w:tr>
        <w:trPr>
          <w:trHeight w:val="141"/>
        </w:trPr>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20" w:type="dxa"/>
            <w:vAlign w:val="bottom"/>
          </w:tcPr>
          <w:p>
            <w:pPr>
              <w:jc w:val="center"/>
              <w:ind w:right="23"/>
              <w:spacing w:after="0" w:line="141" w:lineRule="exact"/>
              <w:rPr>
                <w:sz w:val="20"/>
                <w:szCs w:val="20"/>
                <w:color w:val="auto"/>
              </w:rPr>
            </w:pPr>
            <w:r>
              <w:rPr>
                <w:rFonts w:ascii="Arial" w:cs="Arial" w:eastAsia="Arial" w:hAnsi="Arial"/>
                <w:sz w:val="14"/>
                <w:szCs w:val="14"/>
                <w:b w:val="1"/>
                <w:bCs w:val="1"/>
                <w:color w:val="auto"/>
                <w:w w:val="90"/>
              </w:rPr>
              <w:t>Westinghouse Air Brake Technologies Corp. and Guarantor</w:t>
            </w:r>
          </w:p>
        </w:tc>
      </w:tr>
      <w:tr>
        <w:trPr>
          <w:trHeight w:val="174"/>
        </w:trPr>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20" w:type="dxa"/>
            <w:vAlign w:val="bottom"/>
          </w:tcPr>
          <w:p>
            <w:pPr>
              <w:jc w:val="right"/>
              <w:ind w:right="1703"/>
              <w:spacing w:after="0"/>
              <w:rPr>
                <w:sz w:val="20"/>
                <w:szCs w:val="20"/>
                <w:color w:val="auto"/>
              </w:rPr>
            </w:pPr>
            <w:r>
              <w:rPr>
                <w:rFonts w:ascii="Arial" w:cs="Arial" w:eastAsia="Arial" w:hAnsi="Arial"/>
                <w:sz w:val="14"/>
                <w:szCs w:val="14"/>
                <w:b w:val="1"/>
                <w:bCs w:val="1"/>
                <w:color w:val="auto"/>
              </w:rPr>
              <w:t>Subsidiaries</w:t>
            </w:r>
          </w:p>
        </w:tc>
      </w:tr>
      <w:tr>
        <w:trPr>
          <w:trHeight w:val="154"/>
        </w:trPr>
        <w:tc>
          <w:tcPr>
            <w:tcW w:w="500" w:type="dxa"/>
            <w:vAlign w:val="bottom"/>
          </w:tcPr>
          <w:p>
            <w:pPr>
              <w:spacing w:after="0"/>
              <w:rPr>
                <w:sz w:val="13"/>
                <w:szCs w:val="13"/>
                <w:color w:val="auto"/>
              </w:rPr>
            </w:pPr>
          </w:p>
        </w:tc>
        <w:tc>
          <w:tcPr>
            <w:tcW w:w="6440" w:type="dxa"/>
            <w:vAlign w:val="bottom"/>
            <w:gridSpan w:val="2"/>
          </w:tcPr>
          <w:p>
            <w:pPr>
              <w:spacing w:after="0" w:line="153"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3"/>
                <w:szCs w:val="13"/>
                <w:color w:val="auto"/>
              </w:rPr>
            </w:pPr>
          </w:p>
        </w:tc>
        <w:tc>
          <w:tcPr>
            <w:tcW w:w="3720" w:type="dxa"/>
            <w:vAlign w:val="bottom"/>
          </w:tcPr>
          <w:p>
            <w:pPr>
              <w:jc w:val="center"/>
              <w:ind w:right="43"/>
              <w:spacing w:after="0" w:line="153" w:lineRule="exact"/>
              <w:rPr>
                <w:sz w:val="20"/>
                <w:szCs w:val="20"/>
                <w:color w:val="auto"/>
              </w:rPr>
            </w:pPr>
            <w:r>
              <w:rPr>
                <w:rFonts w:ascii="Arial" w:cs="Arial" w:eastAsia="Arial" w:hAnsi="Arial"/>
                <w:sz w:val="14"/>
                <w:szCs w:val="14"/>
                <w:b w:val="1"/>
                <w:bCs w:val="1"/>
                <w:color w:val="auto"/>
                <w:w w:val="88"/>
              </w:rPr>
              <w:t>December 31, 2021</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Amount due from/(to) Non-Guarantor Subsidiaries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(6,428)</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Summarized Financial Information—Euro Notes</w:t>
      </w:r>
    </w:p>
    <w:p>
      <w:pPr>
        <w:spacing w:after="0" w:line="106" w:lineRule="exact"/>
        <w:rPr>
          <w:sz w:val="20"/>
          <w:szCs w:val="20"/>
          <w:color w:val="auto"/>
        </w:rPr>
      </w:pPr>
    </w:p>
    <w:p>
      <w:pPr>
        <w:ind w:right="140" w:firstLine="472"/>
        <w:spacing w:after="0" w:line="236" w:lineRule="auto"/>
        <w:rPr>
          <w:sz w:val="20"/>
          <w:szCs w:val="20"/>
          <w:color w:val="auto"/>
        </w:rPr>
      </w:pPr>
      <w:r>
        <w:rPr>
          <w:rFonts w:ascii="Arial" w:cs="Arial" w:eastAsia="Arial" w:hAnsi="Arial"/>
          <w:sz w:val="17"/>
          <w:szCs w:val="17"/>
          <w:color w:val="auto"/>
        </w:rPr>
        <w:t>The obligations under Wabtec Netherlands’ Euro Notes are fully and unconditionally guaranteed by Westinghouse Air Brake Technologies Corporation.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9" w:lineRule="exact"/>
        <w:rPr>
          <w:sz w:val="20"/>
          <w:szCs w:val="20"/>
          <w:color w:val="auto"/>
        </w:rPr>
      </w:pPr>
    </w:p>
    <w:p>
      <w:pPr>
        <w:ind w:right="100" w:firstLine="472"/>
        <w:spacing w:after="0" w:line="232" w:lineRule="auto"/>
        <w:rPr>
          <w:sz w:val="20"/>
          <w:szCs w:val="20"/>
          <w:color w:val="auto"/>
        </w:rPr>
      </w:pPr>
      <w:r>
        <w:rPr>
          <w:rFonts w:ascii="Arial" w:cs="Arial" w:eastAsia="Arial" w:hAnsi="Arial"/>
          <w:sz w:val="17"/>
          <w:szCs w:val="17"/>
          <w:color w:val="auto"/>
        </w:rPr>
        <w:t>The following tables present summarized financial information of Wabtec Netherlands, as the issuer of the Euro Notes, and Westinghouse Air Brake Technologies Corporation, as the parent guarantor, on a combined basis. The combined summarized financial information eliminates all intercompany balances and transactions among Wabtec Netherlands and Westinghouse Air Brake Technologies Corporation as well as all equity in earnings from and investments in any subsidiary of Westinghouse Air Brake Technologies Corporation,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30"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600" w:type="dxa"/>
            <w:vAlign w:val="bottom"/>
          </w:tcPr>
          <w:p>
            <w:pPr>
              <w:jc w:val="center"/>
              <w:ind w:left="410"/>
              <w:spacing w:after="0"/>
              <w:rPr>
                <w:sz w:val="20"/>
                <w:szCs w:val="20"/>
                <w:color w:val="auto"/>
              </w:rPr>
            </w:pPr>
            <w:r>
              <w:rPr>
                <w:rFonts w:ascii="Arial" w:cs="Arial" w:eastAsia="Arial" w:hAnsi="Arial"/>
                <w:sz w:val="14"/>
                <w:szCs w:val="14"/>
                <w:b w:val="1"/>
                <w:bCs w:val="1"/>
                <w:color w:val="auto"/>
                <w:w w:val="93"/>
              </w:rPr>
              <w:t>Unaudited</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600" w:type="dxa"/>
            <w:vAlign w:val="bottom"/>
          </w:tcPr>
          <w:p>
            <w:pPr>
              <w:jc w:val="center"/>
              <w:ind w:left="430"/>
              <w:spacing w:after="0"/>
              <w:rPr>
                <w:sz w:val="20"/>
                <w:szCs w:val="20"/>
                <w:color w:val="auto"/>
              </w:rPr>
            </w:pPr>
            <w:r>
              <w:rPr>
                <w:rFonts w:ascii="Arial" w:cs="Arial" w:eastAsia="Arial" w:hAnsi="Arial"/>
                <w:sz w:val="14"/>
                <w:szCs w:val="14"/>
                <w:b w:val="1"/>
                <w:bCs w:val="1"/>
                <w:color w:val="auto"/>
                <w:w w:val="91"/>
              </w:rPr>
              <w:t>Issuer and Guarantor</w:t>
            </w:r>
          </w:p>
        </w:tc>
        <w:tc>
          <w:tcPr>
            <w:tcW w:w="0" w:type="dxa"/>
            <w:vAlign w:val="bottom"/>
          </w:tcPr>
          <w:p>
            <w:pPr>
              <w:spacing w:after="0"/>
              <w:rPr>
                <w:sz w:val="1"/>
                <w:szCs w:val="1"/>
                <w:color w:val="auto"/>
              </w:rPr>
            </w:pPr>
          </w:p>
        </w:tc>
      </w:tr>
      <w:tr>
        <w:trPr>
          <w:trHeight w:val="141"/>
        </w:trPr>
        <w:tc>
          <w:tcPr>
            <w:tcW w:w="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7520" w:type="dxa"/>
            <w:vAlign w:val="bottom"/>
          </w:tcPr>
          <w:p>
            <w:pPr>
              <w:spacing w:after="0"/>
              <w:rPr>
                <w:sz w:val="12"/>
                <w:szCs w:val="12"/>
                <w:color w:val="auto"/>
              </w:rPr>
            </w:pPr>
          </w:p>
        </w:tc>
        <w:tc>
          <w:tcPr>
            <w:tcW w:w="2600" w:type="dxa"/>
            <w:vAlign w:val="bottom"/>
          </w:tcPr>
          <w:p>
            <w:pPr>
              <w:jc w:val="center"/>
              <w:ind w:left="410"/>
              <w:spacing w:after="0" w:line="141" w:lineRule="exact"/>
              <w:rPr>
                <w:sz w:val="20"/>
                <w:szCs w:val="20"/>
                <w:color w:val="auto"/>
              </w:rPr>
            </w:pPr>
            <w:r>
              <w:rPr>
                <w:rFonts w:ascii="Arial" w:cs="Arial" w:eastAsia="Arial" w:hAnsi="Arial"/>
                <w:sz w:val="14"/>
                <w:szCs w:val="14"/>
                <w:b w:val="1"/>
                <w:bCs w:val="1"/>
                <w:color w:val="auto"/>
                <w:w w:val="89"/>
              </w:rPr>
              <w:t>Twelve Months Ended December</w:t>
            </w:r>
          </w:p>
        </w:tc>
        <w:tc>
          <w:tcPr>
            <w:tcW w:w="0" w:type="dxa"/>
            <w:vAlign w:val="bottom"/>
          </w:tcPr>
          <w:p>
            <w:pPr>
              <w:spacing w:after="0"/>
              <w:rPr>
                <w:sz w:val="1"/>
                <w:szCs w:val="1"/>
                <w:color w:val="auto"/>
              </w:rPr>
            </w:pPr>
          </w:p>
        </w:tc>
      </w:tr>
      <w:tr>
        <w:trPr>
          <w:trHeight w:val="149"/>
        </w:trPr>
        <w:tc>
          <w:tcPr>
            <w:tcW w:w="620" w:type="dxa"/>
            <w:vAlign w:val="bottom"/>
            <w:tcBorders>
              <w:bottom w:val="single" w:sz="8" w:color="auto"/>
            </w:tcBorders>
            <w:vMerge w:val="continue"/>
          </w:tcPr>
          <w:p>
            <w:pPr>
              <w:spacing w:after="0"/>
              <w:rPr>
                <w:sz w:val="12"/>
                <w:szCs w:val="12"/>
                <w:color w:val="auto"/>
              </w:rPr>
            </w:pPr>
          </w:p>
        </w:tc>
        <w:tc>
          <w:tcPr>
            <w:tcW w:w="10120" w:type="dxa"/>
            <w:vAlign w:val="bottom"/>
            <w:gridSpan w:val="2"/>
          </w:tcPr>
          <w:p>
            <w:pPr>
              <w:jc w:val="right"/>
              <w:ind w:right="970"/>
              <w:spacing w:after="0" w:line="144" w:lineRule="exact"/>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49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540</w:t>
            </w:r>
          </w:p>
        </w:tc>
      </w:tr>
      <w:tr>
        <w:trPr>
          <w:trHeight w:val="223"/>
        </w:trPr>
        <w:tc>
          <w:tcPr>
            <w:tcW w:w="50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23"/>
        </w:trPr>
        <w:tc>
          <w:tcPr>
            <w:tcW w:w="5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Wabtec shareholders</w:t>
            </w: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432"/>
        </w:trPr>
        <w:tc>
          <w:tcPr>
            <w:tcW w:w="4560" w:type="dxa"/>
            <w:vAlign w:val="bottom"/>
            <w:gridSpan w:val="3"/>
          </w:tcPr>
          <w:p>
            <w:pPr>
              <w:ind w:left="480"/>
              <w:spacing w:after="0"/>
              <w:rPr>
                <w:sz w:val="20"/>
                <w:szCs w:val="20"/>
                <w:color w:val="auto"/>
              </w:rPr>
            </w:pPr>
            <w:r>
              <w:rPr>
                <w:rFonts w:ascii="Arial" w:cs="Arial" w:eastAsia="Arial" w:hAnsi="Arial"/>
                <w:sz w:val="17"/>
                <w:szCs w:val="17"/>
                <w:b w:val="1"/>
                <w:bCs w:val="1"/>
                <w:i w:val="1"/>
                <w:iCs w:val="1"/>
                <w:color w:val="auto"/>
              </w:rPr>
              <w:t>Summarized Balance Sheets</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6"/>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Unaudited</w:t>
            </w:r>
          </w:p>
        </w:tc>
        <w:tc>
          <w:tcPr>
            <w:tcW w:w="1620" w:type="dxa"/>
            <w:vAlign w:val="bottom"/>
          </w:tcPr>
          <w:p>
            <w:pPr>
              <w:spacing w:after="0"/>
              <w:rPr>
                <w:sz w:val="16"/>
                <w:szCs w:val="16"/>
                <w:color w:val="auto"/>
              </w:rPr>
            </w:pPr>
          </w:p>
        </w:tc>
      </w:tr>
      <w:tr>
        <w:trPr>
          <w:trHeight w:val="183"/>
        </w:trPr>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Issuer and Guarantor</w:t>
            </w:r>
          </w:p>
        </w:tc>
        <w:tc>
          <w:tcPr>
            <w:tcW w:w="1620" w:type="dxa"/>
            <w:vAlign w:val="bottom"/>
          </w:tcPr>
          <w:p>
            <w:pPr>
              <w:spacing w:after="0"/>
              <w:rPr>
                <w:sz w:val="15"/>
                <w:szCs w:val="15"/>
                <w:color w:val="auto"/>
              </w:rPr>
            </w:pPr>
          </w:p>
        </w:tc>
      </w:tr>
      <w:tr>
        <w:trPr>
          <w:trHeight w:val="154"/>
        </w:trPr>
        <w:tc>
          <w:tcPr>
            <w:tcW w:w="500" w:type="dxa"/>
            <w:vAlign w:val="bottom"/>
          </w:tcPr>
          <w:p>
            <w:pPr>
              <w:spacing w:after="0"/>
              <w:rPr>
                <w:sz w:val="13"/>
                <w:szCs w:val="13"/>
                <w:color w:val="auto"/>
              </w:rPr>
            </w:pPr>
          </w:p>
        </w:tc>
        <w:tc>
          <w:tcPr>
            <w:tcW w:w="40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w w:val="90"/>
              </w:rPr>
              <w:t>December 31, 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22"/>
        </w:trPr>
        <w:tc>
          <w:tcPr>
            <w:tcW w:w="50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7"/>
                <w:szCs w:val="17"/>
                <w:color w:val="auto"/>
              </w:rPr>
              <w:t>Noncurrent assets</w:t>
            </w:r>
          </w:p>
        </w:tc>
        <w:tc>
          <w:tcPr>
            <w:tcW w:w="2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805</w:t>
            </w:r>
          </w:p>
        </w:tc>
        <w:tc>
          <w:tcPr>
            <w:tcW w:w="10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710</w:t>
            </w:r>
          </w:p>
        </w:tc>
      </w:tr>
      <w:tr>
        <w:trPr>
          <w:trHeight w:val="223"/>
        </w:trPr>
        <w:tc>
          <w:tcPr>
            <w:tcW w:w="5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r>
      <w:tr>
        <w:trPr>
          <w:trHeight w:val="222"/>
        </w:trPr>
        <w:tc>
          <w:tcPr>
            <w:tcW w:w="50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4,044</w:t>
            </w:r>
          </w:p>
        </w:tc>
        <w:tc>
          <w:tcPr>
            <w:tcW w:w="10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3,780</w:t>
            </w:r>
          </w:p>
        </w:tc>
      </w:tr>
      <w:tr>
        <w:trPr>
          <w:trHeight w:val="223"/>
        </w:trPr>
        <w:tc>
          <w:tcPr>
            <w:tcW w:w="5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838"/>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60" w:type="dxa"/>
            <w:vAlign w:val="bottom"/>
          </w:tcPr>
          <w:p>
            <w:pPr>
              <w:jc w:val="right"/>
              <w:ind w:right="313"/>
              <w:spacing w:after="0"/>
              <w:rPr>
                <w:sz w:val="20"/>
                <w:szCs w:val="20"/>
                <w:color w:val="auto"/>
              </w:rPr>
            </w:pPr>
            <w:r>
              <w:rPr>
                <w:rFonts w:ascii="Arial" w:cs="Arial" w:eastAsia="Arial" w:hAnsi="Arial"/>
                <w:sz w:val="17"/>
                <w:szCs w:val="17"/>
                <w:color w:val="auto"/>
              </w:rPr>
              <w:t>38</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8" w:name="page39"/>
    <w:bookmarkEnd w:id="38"/>
    <w:p>
      <w:pPr>
        <w:ind w:right="160" w:firstLine="472"/>
        <w:spacing w:after="0" w:line="288" w:lineRule="auto"/>
        <w:rPr>
          <w:sz w:val="20"/>
          <w:szCs w:val="20"/>
          <w:color w:val="auto"/>
        </w:rPr>
      </w:pPr>
      <w:r>
        <w:rPr>
          <w:rFonts w:ascii="Arial" w:cs="Arial" w:eastAsia="Arial" w:hAnsi="Arial"/>
          <w:sz w:val="16"/>
          <w:szCs w:val="16"/>
          <w:color w:val="auto"/>
        </w:rPr>
        <w:t>The following is a description of the transactions between the combined Westinghouse Air Brake Technologies Corp. and Wabtec Netherlands, with the subsidiaries of Westinghouse Air Brake Technologies Corp., other than Wabtec Netherlands, none of which are guarantors of the Euro Notes.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4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Issuer and Guarantor</w:t>
            </w:r>
          </w:p>
        </w:tc>
        <w:tc>
          <w:tcPr>
            <w:tcW w:w="0" w:type="dxa"/>
            <w:vAlign w:val="bottom"/>
          </w:tcPr>
          <w:p>
            <w:pPr>
              <w:spacing w:after="0"/>
              <w:rPr>
                <w:sz w:val="1"/>
                <w:szCs w:val="1"/>
                <w:color w:val="auto"/>
              </w:rPr>
            </w:pPr>
          </w:p>
        </w:tc>
      </w:tr>
      <w:tr>
        <w:trPr>
          <w:trHeight w:val="141"/>
        </w:trPr>
        <w:tc>
          <w:tcPr>
            <w:tcW w:w="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8400" w:type="dxa"/>
            <w:vAlign w:val="bottom"/>
          </w:tcPr>
          <w:p>
            <w:pPr>
              <w:spacing w:after="0"/>
              <w:rPr>
                <w:sz w:val="12"/>
                <w:szCs w:val="12"/>
                <w:color w:val="auto"/>
              </w:rPr>
            </w:pPr>
          </w:p>
        </w:tc>
        <w:tc>
          <w:tcPr>
            <w:tcW w:w="21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Twelve Months Ended December</w:t>
            </w: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10580" w:type="dxa"/>
            <w:vAlign w:val="bottom"/>
            <w:gridSpan w:val="2"/>
          </w:tcPr>
          <w:p>
            <w:pPr>
              <w:jc w:val="center"/>
              <w:ind w:left="8330"/>
              <w:spacing w:after="0" w:line="144" w:lineRule="exact"/>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49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7"/>
                <w:szCs w:val="17"/>
                <w:color w:val="auto"/>
              </w:rPr>
              <w:t>Net sales to non-issuer and non-guarantor subsidiaries</w:t>
            </w:r>
          </w:p>
        </w:tc>
        <w:tc>
          <w:tcPr>
            <w:tcW w:w="4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7"/>
                <w:szCs w:val="17"/>
                <w:color w:val="auto"/>
              </w:rPr>
              <w:t>Purchases from non-issuer and non-guarantor subsidiaries</w:t>
            </w:r>
          </w:p>
        </w:tc>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43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Unaudited</w:t>
            </w: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Issuer and Guarantor</w:t>
            </w:r>
          </w:p>
        </w:tc>
      </w:tr>
      <w:tr>
        <w:trPr>
          <w:trHeight w:val="154"/>
        </w:trPr>
        <w:tc>
          <w:tcPr>
            <w:tcW w:w="20" w:type="dxa"/>
            <w:vAlign w:val="bottom"/>
          </w:tcPr>
          <w:p>
            <w:pPr>
              <w:spacing w:after="0"/>
              <w:rPr>
                <w:sz w:val="13"/>
                <w:szCs w:val="13"/>
                <w:color w:val="auto"/>
              </w:rPr>
            </w:pPr>
          </w:p>
        </w:tc>
        <w:tc>
          <w:tcPr>
            <w:tcW w:w="50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tcPr>
          <w:p>
            <w:pPr>
              <w:jc w:val="center"/>
              <w:ind w:right="181"/>
              <w:spacing w:after="0" w:line="155" w:lineRule="exact"/>
              <w:rPr>
                <w:sz w:val="20"/>
                <w:szCs w:val="20"/>
                <w:color w:val="auto"/>
              </w:rPr>
            </w:pPr>
            <w:r>
              <w:rPr>
                <w:rFonts w:ascii="Arial" w:cs="Arial" w:eastAsia="Arial" w:hAnsi="Arial"/>
                <w:sz w:val="14"/>
                <w:szCs w:val="14"/>
                <w:b w:val="1"/>
                <w:bCs w:val="1"/>
                <w:color w:val="auto"/>
                <w:w w:val="90"/>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Amount due from/(to) non-issuer and non-guarantor subsidiaries</w:t>
            </w:r>
          </w:p>
        </w:tc>
        <w:tc>
          <w:tcPr>
            <w:tcW w:w="4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w:t>
            </w:r>
          </w:p>
        </w:tc>
      </w:tr>
      <w:tr>
        <w:trPr>
          <w:trHeight w:val="8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20" w:type="dxa"/>
            <w:vAlign w:val="bottom"/>
          </w:tcPr>
          <w:p>
            <w:pPr>
              <w:jc w:val="right"/>
              <w:ind w:right="3253"/>
              <w:spacing w:after="0"/>
              <w:rPr>
                <w:sz w:val="20"/>
                <w:szCs w:val="20"/>
                <w:color w:val="auto"/>
              </w:rPr>
            </w:pPr>
            <w:r>
              <w:rPr>
                <w:rFonts w:ascii="Arial" w:cs="Arial" w:eastAsia="Arial" w:hAnsi="Arial"/>
                <w:sz w:val="17"/>
                <w:szCs w:val="17"/>
                <w:color w:val="auto"/>
              </w:rPr>
              <w:t>39</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Contractual Obligations and Off-Balance Sheet Arrangements</w:t>
      </w:r>
    </w:p>
    <w:p>
      <w:pPr>
        <w:spacing w:after="0" w:line="125" w:lineRule="exact"/>
        <w:rPr>
          <w:sz w:val="20"/>
          <w:szCs w:val="20"/>
          <w:color w:val="auto"/>
        </w:rPr>
      </w:pPr>
    </w:p>
    <w:p>
      <w:pPr>
        <w:ind w:right="80" w:firstLine="472"/>
        <w:spacing w:after="0" w:line="265" w:lineRule="auto"/>
        <w:rPr>
          <w:sz w:val="20"/>
          <w:szCs w:val="20"/>
          <w:color w:val="auto"/>
        </w:rPr>
      </w:pPr>
      <w:r>
        <w:rPr>
          <w:rFonts w:ascii="Arial" w:cs="Arial" w:eastAsia="Arial" w:hAnsi="Arial"/>
          <w:sz w:val="17"/>
          <w:szCs w:val="17"/>
          <w:color w:val="auto"/>
        </w:rPr>
        <w:t>The Company is obligated to make future payments under various contracts such as debt and lease agreements, and has certain contingent commitments.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70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2023-24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2025-26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301"/>
              <w:spacing w:after="0"/>
              <w:rPr>
                <w:sz w:val="20"/>
                <w:szCs w:val="20"/>
                <w:color w:val="auto"/>
              </w:rPr>
            </w:pPr>
            <w:r>
              <w:rPr>
                <w:rFonts w:ascii="Arial" w:cs="Arial" w:eastAsia="Arial" w:hAnsi="Arial"/>
                <w:sz w:val="16"/>
                <w:szCs w:val="16"/>
                <w:b w:val="1"/>
                <w:bCs w:val="1"/>
                <w:color w:val="auto"/>
              </w:rPr>
              <w:t>2027+</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20" w:type="dxa"/>
            <w:vAlign w:val="bottom"/>
            <w:gridSpan w:val="2"/>
          </w:tcPr>
          <w:p>
            <w:pPr>
              <w:ind w:left="200"/>
              <w:spacing w:after="0" w:line="209"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0"/>
                <w:szCs w:val="20"/>
                <w:color w:val="auto"/>
                <w:vertAlign w:val="superscript"/>
              </w:rPr>
              <w:t>(1)</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line="209"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0"/>
                <w:szCs w:val="20"/>
                <w:color w:val="auto"/>
                <w:vertAlign w:val="superscript"/>
              </w:rPr>
              <w:t>(2)</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2220" w:type="dxa"/>
            <w:vAlign w:val="bottom"/>
            <w:gridSpan w:val="2"/>
          </w:tcPr>
          <w:p>
            <w:pPr>
              <w:ind w:left="200"/>
              <w:spacing w:after="0" w:line="161" w:lineRule="exact"/>
              <w:rPr>
                <w:sz w:val="20"/>
                <w:szCs w:val="20"/>
                <w:color w:val="auto"/>
              </w:rPr>
            </w:pPr>
            <w:r>
              <w:rPr>
                <w:rFonts w:ascii="Arial" w:cs="Arial" w:eastAsia="Arial" w:hAnsi="Arial"/>
                <w:sz w:val="16"/>
                <w:szCs w:val="16"/>
                <w:color w:val="auto"/>
              </w:rPr>
              <w:t>Pension and postretirement</w:t>
            </w:r>
          </w:p>
        </w:tc>
        <w:tc>
          <w:tcPr>
            <w:tcW w:w="7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6"/>
        </w:trPr>
        <w:tc>
          <w:tcPr>
            <w:tcW w:w="2720" w:type="dxa"/>
            <w:vAlign w:val="bottom"/>
            <w:gridSpan w:val="3"/>
          </w:tcPr>
          <w:p>
            <w:pPr>
              <w:ind w:left="220"/>
              <w:spacing w:after="0" w:line="207" w:lineRule="exact"/>
              <w:rPr>
                <w:sz w:val="20"/>
                <w:szCs w:val="20"/>
                <w:color w:val="auto"/>
              </w:rPr>
            </w:pPr>
            <w:r>
              <w:rPr>
                <w:rFonts w:ascii="Arial" w:cs="Arial" w:eastAsia="Arial" w:hAnsi="Arial"/>
                <w:sz w:val="16"/>
                <w:szCs w:val="16"/>
                <w:color w:val="auto"/>
              </w:rPr>
              <w:t xml:space="preserve">benefit payments </w:t>
            </w:r>
            <w:r>
              <w:rPr>
                <w:rFonts w:ascii="Arial" w:cs="Arial" w:eastAsia="Arial" w:hAnsi="Arial"/>
                <w:sz w:val="20"/>
                <w:szCs w:val="20"/>
                <w:color w:val="auto"/>
                <w:vertAlign w:val="superscript"/>
              </w:rPr>
              <w:t>(3)</w:t>
            </w:r>
          </w:p>
        </w:tc>
        <w:tc>
          <w:tcPr>
            <w:tcW w:w="7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line="209" w:lineRule="exact"/>
              <w:rPr>
                <w:sz w:val="20"/>
                <w:szCs w:val="20"/>
                <w:color w:val="auto"/>
              </w:rPr>
            </w:pPr>
            <w:r>
              <w:rPr>
                <w:rFonts w:ascii="Arial" w:cs="Arial" w:eastAsia="Arial" w:hAnsi="Arial"/>
                <w:sz w:val="16"/>
                <w:szCs w:val="16"/>
                <w:color w:val="auto"/>
              </w:rPr>
              <w:t xml:space="preserve">Interest payments </w:t>
            </w:r>
            <w:r>
              <w:rPr>
                <w:rFonts w:ascii="Arial" w:cs="Arial" w:eastAsia="Arial" w:hAnsi="Arial"/>
                <w:sz w:val="20"/>
                <w:szCs w:val="20"/>
                <w:color w:val="auto"/>
                <w:vertAlign w:val="superscript"/>
              </w:rPr>
              <w:t>(4)</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Financing activities:</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Long-term debt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20" w:type="dxa"/>
            <w:vAlign w:val="bottom"/>
            <w:gridSpan w:val="2"/>
          </w:tcPr>
          <w:p>
            <w:pPr>
              <w:ind w:left="200"/>
              <w:spacing w:after="0" w:line="209" w:lineRule="exact"/>
              <w:rPr>
                <w:sz w:val="20"/>
                <w:szCs w:val="20"/>
                <w:color w:val="auto"/>
              </w:rPr>
            </w:pPr>
            <w:r>
              <w:rPr>
                <w:rFonts w:ascii="Arial" w:cs="Arial" w:eastAsia="Arial" w:hAnsi="Arial"/>
                <w:sz w:val="16"/>
                <w:szCs w:val="16"/>
                <w:color w:val="auto"/>
                <w:w w:val="97"/>
              </w:rPr>
              <w:t xml:space="preserve">Dividends to shareholders </w:t>
            </w:r>
            <w:r>
              <w:rPr>
                <w:rFonts w:ascii="Arial" w:cs="Arial" w:eastAsia="Arial" w:hAnsi="Arial"/>
                <w:sz w:val="20"/>
                <w:szCs w:val="20"/>
                <w:color w:val="auto"/>
                <w:w w:val="97"/>
                <w:vertAlign w:val="superscript"/>
              </w:rPr>
              <w:t>(5)</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0"/>
              <w:spacing w:after="0" w:line="209" w:lineRule="exact"/>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0"/>
                <w:szCs w:val="20"/>
                <w:color w:val="auto"/>
                <w:vertAlign w:val="superscript"/>
              </w:rPr>
              <w:t>(6)</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0" w:hanging="320"/>
        <w:spacing w:after="0" w:line="267" w:lineRule="auto"/>
        <w:tabs>
          <w:tab w:leader="none" w:pos="5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Purchase obligations represent non-cancelable contractual obligations at December 31, 2021. In addition, the Company had approximately $1 billion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73" w:lineRule="exact"/>
        <w:rPr>
          <w:rFonts w:ascii="Arial" w:cs="Arial" w:eastAsia="Arial" w:hAnsi="Arial"/>
          <w:sz w:val="17"/>
          <w:szCs w:val="17"/>
          <w:color w:val="auto"/>
        </w:rPr>
      </w:pPr>
    </w:p>
    <w:p>
      <w:pPr>
        <w:ind w:left="580" w:hanging="300"/>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leases represent multi-year obligations for rental of facilities and equipment.</w:t>
      </w:r>
    </w:p>
    <w:p>
      <w:pPr>
        <w:spacing w:after="0" w:line="118" w:lineRule="exact"/>
        <w:rPr>
          <w:rFonts w:ascii="Arial" w:cs="Arial" w:eastAsia="Arial" w:hAnsi="Arial"/>
          <w:sz w:val="17"/>
          <w:szCs w:val="17"/>
          <w:color w:val="auto"/>
        </w:rPr>
      </w:pPr>
    </w:p>
    <w:p>
      <w:pPr>
        <w:jc w:val="both"/>
        <w:ind w:left="600" w:right="160" w:hanging="320"/>
        <w:spacing w:after="0" w:line="273" w:lineRule="auto"/>
        <w:tabs>
          <w:tab w:leader="none" w:pos="5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Pension and postretirement benefit payments includes expected payments to participants out of plan assets and corporate assets. The benefit payments are based on actuarial estimates using current assumptions for discount rates, expected return on long-term assets and rate of compensation increases. The Company expects to contribute $3 million to pension plan investments in 2022.</w:t>
      </w:r>
    </w:p>
    <w:p>
      <w:pPr>
        <w:spacing w:after="0" w:line="66" w:lineRule="exact"/>
        <w:rPr>
          <w:rFonts w:ascii="Arial" w:cs="Arial" w:eastAsia="Arial" w:hAnsi="Arial"/>
          <w:sz w:val="17"/>
          <w:szCs w:val="17"/>
          <w:color w:val="auto"/>
        </w:rPr>
      </w:pPr>
    </w:p>
    <w:p>
      <w:pPr>
        <w:ind w:left="600" w:right="240" w:hanging="320"/>
        <w:spacing w:after="0" w:line="273" w:lineRule="auto"/>
        <w:tabs>
          <w:tab w:leader="none" w:pos="5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Interest payments on the Senior Notes are based on interest rates in effect as of December 31, 2021 and are calculated on debt with maturities that extend to 2028. Interest payments for the Revolving Credit Facility and Other Borrowings are based on contractual terms and the Company’s current interest rates.</w:t>
      </w:r>
    </w:p>
    <w:p>
      <w:pPr>
        <w:spacing w:after="0" w:line="66" w:lineRule="exact"/>
        <w:rPr>
          <w:rFonts w:ascii="Arial" w:cs="Arial" w:eastAsia="Arial" w:hAnsi="Arial"/>
          <w:sz w:val="17"/>
          <w:szCs w:val="17"/>
          <w:color w:val="auto"/>
        </w:rPr>
      </w:pPr>
    </w:p>
    <w:p>
      <w:pPr>
        <w:ind w:left="580" w:hanging="300"/>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Shareholder dividends are subject to approval by the Company’s Board of Directors, currently at an annual rate of approximately $111 million.</w:t>
      </w:r>
    </w:p>
    <w:p>
      <w:pPr>
        <w:spacing w:after="0" w:line="130" w:lineRule="exact"/>
        <w:rPr>
          <w:rFonts w:ascii="Arial" w:cs="Arial" w:eastAsia="Arial" w:hAnsi="Arial"/>
          <w:sz w:val="16"/>
          <w:szCs w:val="16"/>
          <w:color w:val="auto"/>
        </w:rPr>
      </w:pPr>
    </w:p>
    <w:p>
      <w:pPr>
        <w:ind w:left="600" w:right="40" w:hanging="320"/>
        <w:spacing w:after="0" w:line="322" w:lineRule="auto"/>
        <w:tabs>
          <w:tab w:leader="none" w:pos="5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Contingent consideration represents the total remaining payable to General Electric (GE) resulting from the 2019 acquisition of GE Transportation. The timing of the cash payments to GE is directly related to the future timing of tax benefits received by the Company and could change.</w:t>
      </w:r>
    </w:p>
    <w:p>
      <w:pPr>
        <w:spacing w:after="0" w:line="30" w:lineRule="exact"/>
        <w:rPr>
          <w:sz w:val="20"/>
          <w:szCs w:val="20"/>
          <w:color w:val="auto"/>
        </w:rPr>
      </w:pPr>
    </w:p>
    <w:p>
      <w:pPr>
        <w:ind w:right="60" w:firstLine="472"/>
        <w:spacing w:after="0" w:line="285" w:lineRule="auto"/>
        <w:rPr>
          <w:sz w:val="20"/>
          <w:szCs w:val="20"/>
          <w:color w:val="auto"/>
        </w:rPr>
      </w:pPr>
      <w:r>
        <w:rPr>
          <w:rFonts w:ascii="Arial" w:cs="Arial" w:eastAsia="Arial" w:hAnsi="Arial"/>
          <w:sz w:val="16"/>
          <w:szCs w:val="16"/>
          <w:color w:val="auto"/>
        </w:rPr>
        <w:t>The above table does not reflect uncertain tax positions of $32 million, the timing of which are uncertain. Refer to Note 11 of the “Notes to Consolidated Financial Statements” for additional information on uncertain tax positions. Additionally, the Company arranges for certain types of bank guarantees and letters of credit, such as performance bonds, bid bonds and financial guarantees, that are issued by certain banks and insurance companies to support customer contracts. At December 31, 2021, the total value of these bank guarantees and letters of credit were $791 million and expire on various dates through 2039. Amounts include interest payments based on contractual terms and the Company’s current interest rate.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25"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0" w:name="page41"/>
    <w:bookmarkEnd w:id="40"/>
    <w:p>
      <w:pPr>
        <w:ind w:left="480"/>
        <w:spacing w:after="0"/>
        <w:rPr>
          <w:sz w:val="20"/>
          <w:szCs w:val="20"/>
          <w:color w:val="auto"/>
        </w:rPr>
      </w:pPr>
      <w:r>
        <w:rPr>
          <w:rFonts w:ascii="Arial" w:cs="Arial" w:eastAsia="Arial" w:hAnsi="Arial"/>
          <w:sz w:val="17"/>
          <w:szCs w:val="17"/>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industry conditions</w:t>
      </w:r>
    </w:p>
    <w:p>
      <w:pPr>
        <w:spacing w:after="0" w:line="125" w:lineRule="exact"/>
        <w:rPr>
          <w:sz w:val="20"/>
          <w:szCs w:val="20"/>
          <w:color w:val="auto"/>
        </w:rPr>
      </w:pPr>
    </w:p>
    <w:p>
      <w:pPr>
        <w:ind w:left="600" w:hanging="320"/>
        <w:spacing w:after="0" w:line="289"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prolonged unfavorable economic and industry conditions in the markets served by us, including North America, South America, Europe, Australia, Asia and Africa;</w:t>
      </w:r>
    </w:p>
    <w:p>
      <w:pPr>
        <w:spacing w:after="0" w:line="53"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decline in demand for freight cars, locomotives, passenger transit cars, buses and related products and services;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reliance on major original equipment manufacturer customers;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original equipment manufacturers’ program delays;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demand for services in the freight and passenger rail industry;</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demand for our products and services;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orders either being delayed, canceled, not returning to historical levels, or reduced or any combination of the foregoing;</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consolidations in the rail industry;</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continued outsourcing by our customers;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industry demand for faster and more efficient braking equipment;</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interest rates and foreign currency exchange rates;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availability of credit; or</w:t>
      </w:r>
    </w:p>
    <w:p>
      <w:pPr>
        <w:spacing w:after="0" w:line="118" w:lineRule="exact"/>
        <w:rPr>
          <w:rFonts w:ascii="Arial" w:cs="Arial" w:eastAsia="Arial" w:hAnsi="Arial"/>
          <w:sz w:val="17"/>
          <w:szCs w:val="17"/>
          <w:color w:val="auto"/>
        </w:rPr>
      </w:pPr>
    </w:p>
    <w:p>
      <w:pPr>
        <w:ind w:left="600" w:right="160" w:hanging="320"/>
        <w:spacing w:after="0" w:line="289"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factors</w:t>
      </w:r>
    </w:p>
    <w:p>
      <w:pPr>
        <w:spacing w:after="0" w:line="125" w:lineRule="exact"/>
        <w:rPr>
          <w:sz w:val="20"/>
          <w:szCs w:val="20"/>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supply disruptions;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technical difficulties;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operating conditions and costs;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increases in raw material costs;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successful introduction of new products;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under material long-term contracts;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labor relations;</w:t>
      </w:r>
    </w:p>
    <w:p>
      <w:pPr>
        <w:spacing w:after="0" w:line="118" w:lineRule="exact"/>
        <w:rPr>
          <w:rFonts w:ascii="Arial" w:cs="Arial" w:eastAsia="Arial" w:hAnsi="Arial"/>
          <w:sz w:val="17"/>
          <w:szCs w:val="17"/>
          <w:color w:val="auto"/>
        </w:rPr>
      </w:pPr>
    </w:p>
    <w:p>
      <w:pPr>
        <w:jc w:val="both"/>
        <w:ind w:left="600" w:right="360" w:hanging="320"/>
        <w:spacing w:after="0" w:line="273" w:lineRule="auto"/>
        <w:tabs>
          <w:tab w:leader="none" w:pos="5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66"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completion and integration of acquisitions; or</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development and use of new technology;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factors</w:t>
      </w:r>
    </w:p>
    <w:p>
      <w:pPr>
        <w:spacing w:after="0" w:line="125" w:lineRule="exact"/>
        <w:rPr>
          <w:sz w:val="20"/>
          <w:szCs w:val="20"/>
          <w:color w:val="auto"/>
        </w:rPr>
      </w:pPr>
    </w:p>
    <w:p>
      <w:pPr>
        <w:ind w:left="580" w:hanging="300"/>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actions of competitors; or</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outcome of negotiations with partners, suppliers, customers or others;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Political/governmental factors</w:t>
      </w:r>
    </w:p>
    <w:p>
      <w:pPr>
        <w:spacing w:after="0" w:line="125" w:lineRule="exact"/>
        <w:rPr>
          <w:sz w:val="20"/>
          <w:szCs w:val="20"/>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political stability in relevant areas of the world, including the impacts of war and conflicts;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regulation/deregulation of our customers and/or the rail industry;</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levels of governmental funding on transit projects, including for some of our customers;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political developments and laws and regulations, including those related to Positive Train Control;</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and state income tax legislation; or</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of negotiations with governments;</w:t>
      </w:r>
    </w:p>
    <w:p>
      <w:pPr>
        <w:sectPr>
          <w:pgSz w:w="11900" w:h="16838" w:orient="portrait"/>
          <w:cols w:equalWidth="0" w:num="1">
            <w:col w:w="11240"/>
          </w:cols>
          <w:pgMar w:left="320" w:top="978"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COVID-19 factors</w:t>
      </w:r>
    </w:p>
    <w:p>
      <w:pPr>
        <w:spacing w:after="0" w:line="125" w:lineRule="exact"/>
        <w:rPr>
          <w:sz w:val="20"/>
          <w:szCs w:val="20"/>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severity and duration of the pandemic;</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deterioration of general economic conditions;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shutdown of one or more of our operating facilities;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supply chain and sourcing disruptions;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ability of our customers to pay timely for goods and services delivered;</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health of our employees;</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ability to retain and recruit talented employees; or</w:t>
      </w:r>
    </w:p>
    <w:p>
      <w:pPr>
        <w:spacing w:after="0" w:line="118" w:lineRule="exact"/>
        <w:rPr>
          <w:rFonts w:ascii="Arial" w:cs="Arial" w:eastAsia="Arial" w:hAnsi="Arial"/>
          <w:sz w:val="17"/>
          <w:szCs w:val="17"/>
          <w:color w:val="auto"/>
        </w:rPr>
      </w:pPr>
    </w:p>
    <w:p>
      <w:pPr>
        <w:ind w:left="580" w:hanging="300"/>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difficulty in obtaining debt or equity financing.</w:t>
      </w:r>
    </w:p>
    <w:p>
      <w:pPr>
        <w:spacing w:after="0" w:line="119" w:lineRule="exact"/>
        <w:rPr>
          <w:sz w:val="20"/>
          <w:szCs w:val="20"/>
          <w:color w:val="auto"/>
        </w:rPr>
      </w:pPr>
    </w:p>
    <w:p>
      <w:pPr>
        <w:ind w:right="20" w:firstLine="472"/>
        <w:spacing w:after="0" w:line="322" w:lineRule="auto"/>
        <w:rPr>
          <w:sz w:val="20"/>
          <w:szCs w:val="20"/>
          <w:color w:val="auto"/>
        </w:rPr>
      </w:pPr>
      <w:r>
        <w:rPr>
          <w:rFonts w:ascii="Arial" w:cs="Arial" w:eastAsia="Arial" w:hAnsi="Arial"/>
          <w:sz w:val="16"/>
          <w:szCs w:val="16"/>
          <w:color w:val="auto"/>
        </w:rPr>
        <w:t>Statements in this 10-K apply only as of the date on which such statements are made, and except as required by law, we undertake no obligation to update any statement to reflect events or circumstances after the date on which the statement is made or to reflect the occurrence of unanticipated events.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5" w:lineRule="exact"/>
        <w:rPr>
          <w:sz w:val="20"/>
          <w:szCs w:val="20"/>
          <w:color w:val="auto"/>
        </w:rPr>
      </w:pPr>
    </w:p>
    <w:p>
      <w:pPr>
        <w:ind w:right="20" w:firstLine="472"/>
        <w:spacing w:after="0" w:line="280" w:lineRule="auto"/>
        <w:rPr>
          <w:sz w:val="20"/>
          <w:szCs w:val="20"/>
          <w:color w:val="auto"/>
        </w:rPr>
      </w:pPr>
      <w:r>
        <w:rPr>
          <w:rFonts w:ascii="Arial" w:cs="Arial" w:eastAsia="Arial" w:hAnsi="Arial"/>
          <w:sz w:val="16"/>
          <w:szCs w:val="16"/>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business combinations, the testing of goodwill and other intangibles for impairment, warranty reserves, stock based compensation, income taxes, and revenue recognition.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64" w:lineRule="exact"/>
        <w:rPr>
          <w:sz w:val="20"/>
          <w:szCs w:val="20"/>
          <w:color w:val="auto"/>
        </w:rPr>
      </w:pPr>
    </w:p>
    <w:p>
      <w:pPr>
        <w:ind w:right="140" w:firstLine="472"/>
        <w:spacing w:after="0" w:line="273" w:lineRule="auto"/>
        <w:rPr>
          <w:sz w:val="20"/>
          <w:szCs w:val="20"/>
          <w:color w:val="auto"/>
        </w:rPr>
      </w:pPr>
      <w:r>
        <w:rPr>
          <w:rFonts w:ascii="Arial" w:cs="Arial" w:eastAsia="Arial" w:hAnsi="Arial"/>
          <w:sz w:val="17"/>
          <w:szCs w:val="17"/>
          <w:color w:val="auto"/>
        </w:rPr>
        <w:t>A summary of the Company’s significant accounting policies is included in Note 2 in the “Notes to Consolidated Financial Statements” included in Part IV, Item 15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provides an allowance for doubtful accounts to cover anticipated losses on uncollectible accounts receivable.</w:t>
      </w:r>
    </w:p>
    <w:p>
      <w:pPr>
        <w:spacing w:after="0" w:line="119" w:lineRule="exact"/>
        <w:rPr>
          <w:sz w:val="20"/>
          <w:szCs w:val="20"/>
          <w:color w:val="auto"/>
        </w:rPr>
      </w:pPr>
    </w:p>
    <w:p>
      <w:pPr>
        <w:ind w:right="200"/>
        <w:spacing w:after="0" w:line="359" w:lineRule="auto"/>
        <w:rPr>
          <w:sz w:val="20"/>
          <w:szCs w:val="20"/>
          <w:color w:val="auto"/>
        </w:rPr>
      </w:pPr>
      <w:r>
        <w:rPr>
          <w:rFonts w:ascii="Arial" w:cs="Arial" w:eastAsia="Arial" w:hAnsi="Arial"/>
          <w:sz w:val="15"/>
          <w:szCs w:val="15"/>
          <w:i w:val="1"/>
          <w:iCs w:val="1"/>
          <w:color w:val="auto"/>
        </w:rPr>
        <w:t xml:space="preserve">Judgments and Uncertainties </w:t>
      </w:r>
      <w:r>
        <w:rPr>
          <w:rFonts w:ascii="Arial" w:cs="Arial" w:eastAsia="Arial" w:hAnsi="Arial"/>
          <w:sz w:val="15"/>
          <w:szCs w:val="15"/>
          <w:color w:val="auto"/>
        </w:rPr>
        <w:t>The allowance for doubtful accounts receivable reflects our best estimate of expected losses inherent in our receivable portfolio</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on the basis of historical experience, relevant credit forecast information, changes to customer's solvency and other currently available evidence.</w:t>
      </w:r>
    </w:p>
    <w:p>
      <w:pPr>
        <w:spacing w:after="0" w:line="8" w:lineRule="exact"/>
        <w:rPr>
          <w:sz w:val="20"/>
          <w:szCs w:val="20"/>
          <w:color w:val="auto"/>
        </w:rPr>
      </w:pPr>
    </w:p>
    <w:p>
      <w:pPr>
        <w:spacing w:after="0" w:line="322"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our estimates regarding the collectability of troubled accounts, and/or our actual losses within our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exceed our estimated losses, we may be exposed to the expense of increasing our allowance for doubtful accounts and loss of cash flows.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25"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Inventories are stated at the lower of cost or net realizable value and are reviewed to ensure that an adequate provision is recognized for excess,</w:t>
      </w:r>
      <w:r>
        <w:rPr>
          <w:rFonts w:ascii="Arial" w:cs="Arial" w:eastAsia="Arial" w:hAnsi="Arial"/>
          <w:sz w:val="17"/>
          <w:szCs w:val="17"/>
          <w:i w:val="1"/>
          <w:iCs w:val="1"/>
          <w:color w:val="auto"/>
        </w:rPr>
        <w:t xml:space="preserve"> </w:t>
      </w:r>
      <w:r>
        <w:rPr>
          <w:rFonts w:ascii="Arial" w:cs="Arial" w:eastAsia="Arial" w:hAnsi="Arial"/>
          <w:sz w:val="17"/>
          <w:szCs w:val="17"/>
          <w:color w:val="auto"/>
        </w:rPr>
        <w:t>slow moving and obsolete inventories, and net realizable value reserves.</w:t>
      </w:r>
    </w:p>
    <w:p>
      <w:pPr>
        <w:spacing w:after="0" w:line="5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Cost is determined under the first-in, first-out (FIFO) method. Inventory costs include material, labor and overhead.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compares inventory components to prior year sales history and current backlog and anticipated future requirements. To the extent that inventory parts exceed estimated usage and demand, a reserve is recognized to reduce the carrying value of inventory. Also, specific reserves are established for known inventory obsolescence, a decline in market value, or loss of a customer with specific inventory.</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the market value or demand for our products were to decrease due to changing market conditions,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Business Combinations:</w:t>
      </w:r>
    </w:p>
    <w:p>
      <w:pPr>
        <w:spacing w:after="0" w:line="1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accounts for business acquisitions in accordance with ASC 805,</w:t>
      </w:r>
      <w:r>
        <w:rPr>
          <w:rFonts w:ascii="Arial" w:cs="Arial" w:eastAsia="Arial" w:hAnsi="Arial"/>
          <w:sz w:val="17"/>
          <w:szCs w:val="17"/>
          <w:i w:val="1"/>
          <w:iCs w:val="1"/>
          <w:color w:val="auto"/>
        </w:rPr>
        <w:t xml:space="preserve"> Business Combinations, </w:t>
      </w:r>
      <w:r>
        <w:rPr>
          <w:rFonts w:ascii="Arial" w:cs="Arial" w:eastAsia="Arial" w:hAnsi="Arial"/>
          <w:sz w:val="17"/>
          <w:szCs w:val="17"/>
          <w:color w:val="auto"/>
        </w:rPr>
        <w:t>which requires the purchase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6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Discounted cash flow models are used to estimate the fair values of acquired contract backlog, customer relationships, intellectual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intangibles and trade names, and below-market customer contract liabilities. The significant assumptions used to estimate the value of the intangible assets and below-market customer contract liabilities included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73"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Different assumptions may result in materially different values for assets acquired and liabilities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which may impact the Company's financial position and future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Indefinite-Lived Intangibles:</w:t>
      </w:r>
    </w:p>
    <w:p>
      <w:pPr>
        <w:spacing w:after="0" w:line="32"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Goodwill and indefinite-lived intangibles are required to be tested for impairment at least annually. The Company performs its annual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test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7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A number of significant assumptions and estimates are involved in the application of the impairment test,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of macroeconomic conditions, industry and market considerations, cost factors, overall financial performance, Wabtec specific events and share price trends and making the assessment on whether each relevant factor will impact the impairment test positively or negatively and the magnitude of any such amount.</w:t>
      </w:r>
    </w:p>
    <w:p>
      <w:pPr>
        <w:spacing w:after="0" w:line="73"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Management considers historical experience and all available information at the time the fair values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units are estimated. However, actual amounts realized may differ from those used to evaluate the impairment of goodwill. If actual results are not consistent with our assumptions and judgments used in estimating future cash flows and asset fair values, we may be exposed to impairment losses that could be material to our results of operations. At December 31, 2021, all three of the Company’s reporting units had fair values which were substantially in excess of their carrying values</w:t>
      </w:r>
      <w:r>
        <w:rPr>
          <w:rFonts w:ascii="Arial" w:cs="Arial" w:eastAsia="Arial" w:hAnsi="Arial"/>
          <w:sz w:val="19"/>
          <w:szCs w:val="19"/>
          <w:color w:val="auto"/>
        </w:rPr>
        <w:t>.</w:t>
      </w:r>
      <w:r>
        <w:rPr>
          <w:rFonts w:ascii="Arial" w:cs="Arial" w:eastAsia="Arial" w:hAnsi="Arial"/>
          <w:sz w:val="17"/>
          <w:szCs w:val="17"/>
          <w:color w:val="auto"/>
        </w:rPr>
        <w:t xml:space="preserve"> See Note 2 in the “Notes to Consolidated Financial Statements” included in Part IV, Item 15 of this report for additional discussion regarding impairment testing.</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Reserves:</w:t>
      </w:r>
    </w:p>
    <w:p>
      <w:pPr>
        <w:spacing w:after="0" w:line="125"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provides warranty reserves to cover expected costs from repairing or replacing products with durability, quality or workmanship</w:t>
      </w:r>
      <w:r>
        <w:rPr>
          <w:rFonts w:ascii="Arial" w:cs="Arial" w:eastAsia="Arial" w:hAnsi="Arial"/>
          <w:sz w:val="17"/>
          <w:szCs w:val="17"/>
          <w:i w:val="1"/>
          <w:iCs w:val="1"/>
          <w:color w:val="auto"/>
        </w:rPr>
        <w:t xml:space="preserve"> </w:t>
      </w:r>
      <w:r>
        <w:rPr>
          <w:rFonts w:ascii="Arial" w:cs="Arial" w:eastAsia="Arial" w:hAnsi="Arial"/>
          <w:sz w:val="17"/>
          <w:szCs w:val="17"/>
          <w:color w:val="auto"/>
        </w:rPr>
        <w:t>issues occurring during established warranty periods.</w:t>
      </w:r>
    </w:p>
    <w:p>
      <w:pPr>
        <w:spacing w:after="0" w:line="53"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In general, reserves are provided for as a percentage of sales, based on historical experience. In addition, specific reserves are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for known warranty issues and their estimable losses.</w:t>
      </w:r>
    </w:p>
    <w:p>
      <w:pPr>
        <w:spacing w:after="0" w:line="53"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actual results are not consistent with the assumptions and judgments used to calculate our warranty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may be exposed to the expense of increasing our reserves for warranty expense.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i w:val="1"/>
          <w:iCs w:val="1"/>
          <w:color w:val="auto"/>
        </w:rPr>
        <w:t xml:space="preserve">Description </w:t>
      </w:r>
      <w:r>
        <w:rPr>
          <w:rFonts w:ascii="Arial" w:cs="Arial" w:eastAsia="Arial" w:hAnsi="Arial"/>
          <w:sz w:val="15"/>
          <w:szCs w:val="15"/>
          <w:color w:val="auto"/>
        </w:rPr>
        <w:t>The Company has issued incentive stock units to eligible employees that vest upon attainment of certain cumulative three-year performance goals.</w:t>
      </w:r>
      <w:r>
        <w:rPr>
          <w:rFonts w:ascii="Arial" w:cs="Arial" w:eastAsia="Arial" w:hAnsi="Arial"/>
          <w:sz w:val="15"/>
          <w:szCs w:val="15"/>
          <w:i w:val="1"/>
          <w:iCs w:val="1"/>
          <w:color w:val="auto"/>
        </w:rPr>
        <w:t xml:space="preserve"> </w:t>
      </w:r>
      <w:r>
        <w:rPr>
          <w:rFonts w:ascii="Arial" w:cs="Arial" w:eastAsia="Arial" w:hAnsi="Arial"/>
          <w:sz w:val="15"/>
          <w:szCs w:val="15"/>
          <w:color w:val="auto"/>
        </w:rPr>
        <w:t>The program is structured as a rolling three-year plan; each year starts a new three-year performance cycle with the most recently completed cycle being 2019-2021. No incentive stock units will vest for performance below the three-year cumulative threshold. The Company utilizes an economic profit measure for this performance goal. Economic profit is a measure of the extent to which the Company produces financial results in excess of its cost of capital. Based on the Company’s achievement of the threshold and three-year cumulative performance, the stock units vested can range from 0% to 200% of the shares granted.</w:t>
      </w:r>
    </w:p>
    <w:p>
      <w:pPr>
        <w:spacing w:after="0" w:line="4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Significant judgments and estimates are used in determining the estimated three-year performance, which is then used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As actual performance results for a cycle begin to accumulate and the Company completes its budgeting and forecasting cycles the performance estimates are updated. These judgments and estimates are reviewed and updated on a quarterly basis.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43" w:name="page44"/>
    <w:bookmarkEnd w:id="43"/>
    <w:p>
      <w:pPr>
        <w:ind w:right="300"/>
        <w:spacing w:after="0" w:line="289"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assumptions used in determining the estimated three-year performance change significantly,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related to the unvested incentive stock awards can fluctuate from period to period.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ind w:right="820"/>
        <w:spacing w:after="0" w:line="32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Wabtec records an estimated liability or benefit for income and other taxes based on what it determines will likely be paid in various tax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jurisdictions in which it operates in accordance with ASC 740-10 </w:t>
      </w:r>
      <w:r>
        <w:rPr>
          <w:rFonts w:ascii="Arial" w:cs="Arial" w:eastAsia="Arial" w:hAnsi="Arial"/>
          <w:sz w:val="16"/>
          <w:szCs w:val="16"/>
          <w:i w:val="1"/>
          <w:iCs w:val="1"/>
          <w:color w:val="auto"/>
        </w:rPr>
        <w:t>Accounting for Income Taxes and Accounting for Uncertainty in Income Taxes</w:t>
      </w:r>
      <w:r>
        <w:rPr>
          <w:rFonts w:ascii="Arial" w:cs="Arial" w:eastAsia="Arial" w:hAnsi="Arial"/>
          <w:sz w:val="16"/>
          <w:szCs w:val="16"/>
          <w:color w:val="auto"/>
        </w:rPr>
        <w:t>.</w:t>
      </w:r>
    </w:p>
    <w:p>
      <w:pPr>
        <w:spacing w:after="0" w:line="3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The estimate of our tax obligations are uncertain because Management must use judgment to estimate the exposures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6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Management uses its best judgment in the determination of these amounts. However, the liabilities ultimately</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and paid are dependent on 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Revenue is recognized in accordance with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Company recognizes a portion of its revenues on</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w:t>
      </w:r>
    </w:p>
    <w:p>
      <w:pPr>
        <w:spacing w:after="0" w:line="61"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i w:val="1"/>
          <w:iCs w:val="1"/>
          <w:color w:val="auto"/>
        </w:rPr>
        <w:t xml:space="preserve">Judgments and Uncertainties </w:t>
      </w:r>
      <w:r>
        <w:rPr>
          <w:rFonts w:ascii="Arial" w:cs="Arial" w:eastAsia="Arial" w:hAnsi="Arial"/>
          <w:sz w:val="16"/>
          <w:szCs w:val="16"/>
          <w:color w:val="auto"/>
        </w:rPr>
        <w:t>Accounting for long-term customer agreements involves a judgmental process of estimating the total sales and costs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subcontracts that may be associated with the contract. Factors that influence these estimates include inflationary trends,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 variable consideration that the Company typically has include volume discounts, prompt payment discounts, liquidating damages, and performance bonuses.</w:t>
      </w:r>
    </w:p>
    <w:p>
      <w:pPr>
        <w:spacing w:after="0" w:line="64"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Should market conditions and customer demands dictate changes to our standard shipping terms,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amounts could be recorded if we used different assumptions or if the underlying circumstances were to change. Changes in underlying assumptions/estimates, supplier performance, or circumstances may adversely or positively affect financial performance in future periods. Some of our contracts are expected to be completed in a loss position. Provisions are made currently for estimated losses on uncompleted contracts.</w:t>
      </w:r>
    </w:p>
    <w:p>
      <w:pPr>
        <w:spacing w:after="0" w:line="111"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All market risk sensitive instruments were entered into for non-trading purposes.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5" w:lineRule="exact"/>
        <w:rPr>
          <w:sz w:val="20"/>
          <w:szCs w:val="20"/>
          <w:color w:val="auto"/>
        </w:rPr>
      </w:pPr>
    </w:p>
    <w:p>
      <w:pPr>
        <w:ind w:right="100" w:firstLine="472"/>
        <w:spacing w:after="0" w:line="273" w:lineRule="auto"/>
        <w:rPr>
          <w:sz w:val="20"/>
          <w:szCs w:val="20"/>
          <w:color w:val="auto"/>
        </w:rPr>
      </w:pPr>
      <w:r>
        <w:rPr>
          <w:rFonts w:ascii="Arial" w:cs="Arial" w:eastAsia="Arial" w:hAnsi="Arial"/>
          <w:sz w:val="17"/>
          <w:szCs w:val="17"/>
          <w:color w:val="auto"/>
        </w:rPr>
        <w:t>In the ordinary course of business, Wabtec is exposed to risks that increases in interest rates may adversely affect funding costs associated with its available variable-rate debt facilities. At December 31, 2021, the Company's interest risk related to variable-rate debt is limited to the amounts borrowed under the Multi-Currency Revolving credit facility. At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44" w:name="page45"/>
    <w:bookmarkEnd w:id="44"/>
    <w:p>
      <w:pPr>
        <w:spacing w:after="0" w:line="385" w:lineRule="auto"/>
        <w:rPr>
          <w:sz w:val="20"/>
          <w:szCs w:val="20"/>
          <w:color w:val="auto"/>
        </w:rPr>
      </w:pPr>
      <w:r>
        <w:rPr>
          <w:rFonts w:ascii="Arial" w:cs="Arial" w:eastAsia="Arial" w:hAnsi="Arial"/>
          <w:sz w:val="17"/>
          <w:szCs w:val="17"/>
          <w:color w:val="auto"/>
        </w:rPr>
        <w:t xml:space="preserve">December 31, 2021, the Company had no outstanding variable rate debt. The Company’s variable rate debt represented 15% of total debt at December 31, 2020. </w:t>
      </w:r>
      <w:r>
        <w:rPr>
          <w:rFonts w:ascii="Arial" w:cs="Arial" w:eastAsia="Arial" w:hAnsi="Arial"/>
          <w:sz w:val="17"/>
          <w:szCs w:val="17"/>
          <w:b w:val="1"/>
          <w:bCs w:val="1"/>
          <w:color w:val="auto"/>
        </w:rPr>
        <w:t>Foreign Currency Exchange Rate Risk</w:t>
      </w:r>
    </w:p>
    <w:p>
      <w:pPr>
        <w:spacing w:after="0" w:line="2" w:lineRule="exact"/>
        <w:rPr>
          <w:sz w:val="20"/>
          <w:szCs w:val="20"/>
          <w:color w:val="auto"/>
        </w:rPr>
      </w:pPr>
    </w:p>
    <w:p>
      <w:pPr>
        <w:ind w:right="160" w:firstLine="472"/>
        <w:spacing w:after="0" w:line="289" w:lineRule="auto"/>
        <w:rPr>
          <w:sz w:val="20"/>
          <w:szCs w:val="20"/>
          <w:color w:val="auto"/>
        </w:rPr>
      </w:pPr>
      <w:r>
        <w:rPr>
          <w:rFonts w:ascii="Arial" w:cs="Arial" w:eastAsia="Arial" w:hAnsi="Arial"/>
          <w:sz w:val="16"/>
          <w:szCs w:val="16"/>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“Financial Derivatives and Hedging Activities” in Notes 2, 17 and 20 of “Notes to Consolidated Financial Statements” included in Part IV, Item 15 of this report for more information regarding foreign currency exchange risk and sales by geographic area.</w:t>
      </w:r>
    </w:p>
    <w:p>
      <w:pPr>
        <w:spacing w:after="0" w:line="90"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statements and supplementary data are set forth in Item 15 of Part IV hereof.</w:t>
      </w:r>
    </w:p>
    <w:p>
      <w:pPr>
        <w:spacing w:after="0" w:line="152"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disagreements with our independent registered public accountants.</w:t>
      </w:r>
    </w:p>
    <w:p>
      <w:pPr>
        <w:spacing w:after="0" w:line="152"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5" w:lineRule="exact"/>
        <w:rPr>
          <w:sz w:val="20"/>
          <w:szCs w:val="20"/>
          <w:color w:val="auto"/>
        </w:rPr>
      </w:pPr>
    </w:p>
    <w:p>
      <w:pPr>
        <w:ind w:right="60" w:firstLine="472"/>
        <w:spacing w:after="0" w:line="262" w:lineRule="auto"/>
        <w:rPr>
          <w:sz w:val="20"/>
          <w:szCs w:val="20"/>
          <w:color w:val="auto"/>
        </w:rPr>
      </w:pPr>
      <w:r>
        <w:rPr>
          <w:rFonts w:ascii="Arial" w:cs="Arial" w:eastAsia="Arial" w:hAnsi="Arial"/>
          <w:sz w:val="17"/>
          <w:szCs w:val="17"/>
          <w:color w:val="auto"/>
        </w:rPr>
        <w:t>Wabtec’s principal executive officer and its principal financial officer have evaluated the effectiveness of Wabtec’s “disclosure controls and procedures,” (as defined in Exchange Act Rule 13a-15(e)) as of December 31, 2021.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5"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There was no change in Wabtec’s “internal control over financial reporting” (as defined in Rule 13a-15(f) under the Exchange Act) that occurred during the quarter ended December 31, 2021,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IV, Item 15 of this report.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12" w:lineRule="exact"/>
        <w:rPr>
          <w:sz w:val="20"/>
          <w:szCs w:val="20"/>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 xml:space="preserve">Management’s Report on Internal Control Over Financial Reporting appears on page </w:t>
      </w:r>
      <w:hyperlink w:anchor="page50">
        <w:r>
          <w:rPr>
            <w:rFonts w:ascii="Arial" w:cs="Arial" w:eastAsia="Arial" w:hAnsi="Arial"/>
            <w:sz w:val="17"/>
            <w:szCs w:val="17"/>
            <w:u w:val="single" w:color="auto"/>
            <w:color w:val="0000FF"/>
          </w:rPr>
          <w:t>51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is incorporated by reference herein.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125" w:lineRule="exact"/>
        <w:rPr>
          <w:sz w:val="20"/>
          <w:szCs w:val="20"/>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 xml:space="preserve">Ernst &amp; Young LLP's attestation report on internal control over financial reporting appears on page </w:t>
      </w:r>
      <w:hyperlink w:anchor="page53">
        <w:r>
          <w:rPr>
            <w:rFonts w:ascii="Arial" w:cs="Arial" w:eastAsia="Arial" w:hAnsi="Arial"/>
            <w:sz w:val="17"/>
            <w:szCs w:val="17"/>
            <w:u w:val="single" w:color="auto"/>
            <w:color w:val="0000FF"/>
          </w:rPr>
          <w:t>54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is incorporated by reference herein.</w:t>
      </w:r>
    </w:p>
    <w:p>
      <w:pPr>
        <w:spacing w:after="0" w:line="28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8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10 through 14.</w:t>
      </w:r>
    </w:p>
    <w:p>
      <w:pPr>
        <w:spacing w:after="0" w:line="125" w:lineRule="exact"/>
        <w:rPr>
          <w:sz w:val="20"/>
          <w:szCs w:val="20"/>
          <w:color w:val="auto"/>
        </w:rPr>
      </w:pPr>
    </w:p>
    <w:p>
      <w:pPr>
        <w:ind w:right="260" w:firstLine="472"/>
        <w:spacing w:after="0" w:line="262" w:lineRule="auto"/>
        <w:rPr>
          <w:sz w:val="20"/>
          <w:szCs w:val="20"/>
          <w:color w:val="auto"/>
        </w:rPr>
      </w:pPr>
      <w:r>
        <w:rPr>
          <w:rFonts w:ascii="Arial" w:cs="Arial" w:eastAsia="Arial" w:hAnsi="Arial"/>
          <w:sz w:val="17"/>
          <w:szCs w:val="17"/>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18, 2022, except for the Equity Compensation Plan Information required by Item 12, which is set forth in the table below. The definitive Proxy Statement will be filed with the Securities and Exchange Commission not later than 120 days after December 31, 2021. Information relating to the executive officers of the Company is set forth in Part I.</w:t>
      </w:r>
    </w:p>
    <w:p>
      <w:pPr>
        <w:spacing w:after="0" w:line="78" w:lineRule="exact"/>
        <w:rPr>
          <w:sz w:val="20"/>
          <w:szCs w:val="20"/>
          <w:color w:val="auto"/>
        </w:rPr>
      </w:pPr>
    </w:p>
    <w:p>
      <w:pPr>
        <w:ind w:firstLine="472"/>
        <w:spacing w:after="0" w:line="273" w:lineRule="auto"/>
        <w:rPr>
          <w:sz w:val="20"/>
          <w:szCs w:val="20"/>
          <w:color w:val="auto"/>
        </w:rPr>
      </w:pPr>
      <w:r>
        <w:rPr>
          <w:rFonts w:ascii="Arial" w:cs="Arial" w:eastAsia="Arial" w:hAnsi="Arial"/>
          <w:sz w:val="17"/>
          <w:szCs w:val="17"/>
          <w:color w:val="auto"/>
        </w:rPr>
        <w:t xml:space="preserve">Wabtec has adopted a Code of Business Conduct and Ethics which is applicable to all of our employees, including our executive officers. This Code of Business Conduct and Ethics is posted on our website at </w:t>
      </w:r>
      <w:r>
        <w:rPr>
          <w:rFonts w:ascii="Arial" w:cs="Arial" w:eastAsia="Arial" w:hAnsi="Arial"/>
          <w:sz w:val="17"/>
          <w:szCs w:val="17"/>
          <w:i w:val="1"/>
          <w:iCs w:val="1"/>
          <w:color w:val="auto"/>
        </w:rPr>
        <w:t>www.wabteccorp.com</w:t>
      </w:r>
      <w:r>
        <w:rPr>
          <w:rFonts w:ascii="Arial" w:cs="Arial" w:eastAsia="Arial" w:hAnsi="Arial"/>
          <w:sz w:val="17"/>
          <w:szCs w:val="17"/>
          <w:color w:val="auto"/>
        </w:rPr>
        <w:t>. In the event that we make any amendments to or waivers from this code, we will disclose the amendment or waiver and the reasons for such on our website.</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This table provides aggregate information as of December 31, 2021 concerning equity awards under Wabtec’s compensation plans and arrangements.</w:t>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Plan Category</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Equity compensation plans approved by shareholders</w:t>
      </w:r>
    </w:p>
    <w:p>
      <w:pPr>
        <w:spacing w:after="0" w:line="50" w:lineRule="exact"/>
        <w:rPr>
          <w:sz w:val="20"/>
          <w:szCs w:val="20"/>
          <w:color w:val="auto"/>
        </w:rPr>
      </w:pPr>
    </w:p>
    <w:p>
      <w:pPr>
        <w:ind w:left="20" w:right="660" w:firstLine="472"/>
        <w:spacing w:after="0" w:line="241" w:lineRule="auto"/>
        <w:rPr>
          <w:sz w:val="20"/>
          <w:szCs w:val="20"/>
          <w:color w:val="auto"/>
        </w:rPr>
      </w:pPr>
      <w:r>
        <w:rPr>
          <w:rFonts w:ascii="Arial" w:cs="Arial" w:eastAsia="Arial" w:hAnsi="Arial"/>
          <w:sz w:val="17"/>
          <w:szCs w:val="17"/>
          <w:color w:val="auto"/>
        </w:rPr>
        <w:t>Equity compensation plans not approved by shareholders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(a)</w:t>
            </w:r>
          </w:p>
        </w:tc>
        <w:tc>
          <w:tcPr>
            <w:tcW w:w="660" w:type="dxa"/>
            <w:vAlign w:val="bottom"/>
          </w:tcPr>
          <w:p>
            <w:pPr>
              <w:spacing w:after="0"/>
              <w:rPr>
                <w:sz w:val="14"/>
                <w:szCs w:val="14"/>
                <w:color w:val="auto"/>
              </w:rPr>
            </w:pPr>
          </w:p>
        </w:tc>
        <w:tc>
          <w:tcPr>
            <w:tcW w:w="19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jc w:val="right"/>
              <w:ind w:right="64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31"/>
        </w:trPr>
        <w:tc>
          <w:tcPr>
            <w:tcW w:w="21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2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1"/>
        </w:trPr>
        <w:tc>
          <w:tcPr>
            <w:tcW w:w="21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Number of securities to</w:t>
            </w:r>
          </w:p>
        </w:tc>
        <w:tc>
          <w:tcPr>
            <w:tcW w:w="660" w:type="dxa"/>
            <w:vAlign w:val="bottom"/>
          </w:tcPr>
          <w:p>
            <w:pPr>
              <w:spacing w:after="0"/>
              <w:rPr>
                <w:sz w:val="11"/>
                <w:szCs w:val="11"/>
                <w:color w:val="auto"/>
              </w:rPr>
            </w:pPr>
          </w:p>
        </w:tc>
        <w:tc>
          <w:tcPr>
            <w:tcW w:w="1960" w:type="dxa"/>
            <w:vAlign w:val="bottom"/>
            <w:gridSpan w:val="2"/>
          </w:tcPr>
          <w:p>
            <w:pPr>
              <w:jc w:val="center"/>
              <w:ind w:right="760"/>
              <w:spacing w:after="0" w:line="131" w:lineRule="exact"/>
              <w:rPr>
                <w:sz w:val="20"/>
                <w:szCs w:val="20"/>
                <w:color w:val="auto"/>
              </w:rPr>
            </w:pPr>
            <w:r>
              <w:rPr>
                <w:rFonts w:ascii="Arial" w:cs="Arial" w:eastAsia="Arial" w:hAnsi="Arial"/>
                <w:sz w:val="14"/>
                <w:szCs w:val="14"/>
                <w:b w:val="1"/>
                <w:bCs w:val="1"/>
                <w:color w:val="auto"/>
                <w:w w:val="89"/>
              </w:rPr>
              <w:t>Weighted-average</w:t>
            </w:r>
          </w:p>
        </w:tc>
        <w:tc>
          <w:tcPr>
            <w:tcW w:w="2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1"/>
        </w:trPr>
        <w:tc>
          <w:tcPr>
            <w:tcW w:w="21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4"/>
              </w:rPr>
              <w:t>be issued upon exercise</w:t>
            </w:r>
          </w:p>
        </w:tc>
        <w:tc>
          <w:tcPr>
            <w:tcW w:w="660" w:type="dxa"/>
            <w:vAlign w:val="bottom"/>
          </w:tcPr>
          <w:p>
            <w:pPr>
              <w:spacing w:after="0"/>
              <w:rPr>
                <w:sz w:val="11"/>
                <w:szCs w:val="11"/>
                <w:color w:val="auto"/>
              </w:rPr>
            </w:pPr>
          </w:p>
        </w:tc>
        <w:tc>
          <w:tcPr>
            <w:tcW w:w="1960" w:type="dxa"/>
            <w:vAlign w:val="bottom"/>
            <w:gridSpan w:val="2"/>
          </w:tcPr>
          <w:p>
            <w:pPr>
              <w:jc w:val="center"/>
              <w:ind w:right="760"/>
              <w:spacing w:after="0" w:line="131" w:lineRule="exact"/>
              <w:rPr>
                <w:sz w:val="20"/>
                <w:szCs w:val="20"/>
                <w:color w:val="auto"/>
              </w:rPr>
            </w:pPr>
            <w:r>
              <w:rPr>
                <w:rFonts w:ascii="Arial" w:cs="Arial" w:eastAsia="Arial" w:hAnsi="Arial"/>
                <w:sz w:val="14"/>
                <w:szCs w:val="14"/>
                <w:b w:val="1"/>
                <w:bCs w:val="1"/>
                <w:color w:val="auto"/>
                <w:w w:val="86"/>
              </w:rPr>
              <w:t>exercise price of</w:t>
            </w:r>
          </w:p>
        </w:tc>
        <w:tc>
          <w:tcPr>
            <w:tcW w:w="2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future issuance</w:t>
            </w:r>
          </w:p>
        </w:tc>
        <w:tc>
          <w:tcPr>
            <w:tcW w:w="0" w:type="dxa"/>
            <w:vAlign w:val="bottom"/>
          </w:tcPr>
          <w:p>
            <w:pPr>
              <w:spacing w:after="0"/>
              <w:rPr>
                <w:sz w:val="1"/>
                <w:szCs w:val="1"/>
                <w:color w:val="auto"/>
              </w:rPr>
            </w:pPr>
          </w:p>
        </w:tc>
      </w:tr>
      <w:tr>
        <w:trPr>
          <w:trHeight w:val="131"/>
        </w:trPr>
        <w:tc>
          <w:tcPr>
            <w:tcW w:w="21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of outstanding options, warrants</w:t>
            </w:r>
          </w:p>
        </w:tc>
        <w:tc>
          <w:tcPr>
            <w:tcW w:w="660" w:type="dxa"/>
            <w:vAlign w:val="bottom"/>
          </w:tcPr>
          <w:p>
            <w:pPr>
              <w:spacing w:after="0"/>
              <w:rPr>
                <w:sz w:val="11"/>
                <w:szCs w:val="11"/>
                <w:color w:val="auto"/>
              </w:rPr>
            </w:pPr>
          </w:p>
        </w:tc>
        <w:tc>
          <w:tcPr>
            <w:tcW w:w="1960" w:type="dxa"/>
            <w:vAlign w:val="bottom"/>
            <w:gridSpan w:val="2"/>
          </w:tcPr>
          <w:p>
            <w:pPr>
              <w:jc w:val="center"/>
              <w:ind w:right="760"/>
              <w:spacing w:after="0" w:line="131" w:lineRule="exact"/>
              <w:rPr>
                <w:sz w:val="20"/>
                <w:szCs w:val="20"/>
                <w:color w:val="auto"/>
              </w:rPr>
            </w:pPr>
            <w:r>
              <w:rPr>
                <w:rFonts w:ascii="Arial" w:cs="Arial" w:eastAsia="Arial" w:hAnsi="Arial"/>
                <w:sz w:val="14"/>
                <w:szCs w:val="14"/>
                <w:b w:val="1"/>
                <w:bCs w:val="1"/>
                <w:color w:val="auto"/>
                <w:w w:val="89"/>
              </w:rPr>
              <w:t>outstanding</w:t>
            </w:r>
          </w:p>
        </w:tc>
        <w:tc>
          <w:tcPr>
            <w:tcW w:w="2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under equity compensation</w:t>
            </w:r>
          </w:p>
        </w:tc>
        <w:tc>
          <w:tcPr>
            <w:tcW w:w="0" w:type="dxa"/>
            <w:vAlign w:val="bottom"/>
          </w:tcPr>
          <w:p>
            <w:pPr>
              <w:spacing w:after="0"/>
              <w:rPr>
                <w:sz w:val="1"/>
                <w:szCs w:val="1"/>
                <w:color w:val="auto"/>
              </w:rPr>
            </w:pPr>
          </w:p>
        </w:tc>
      </w:tr>
      <w:tr>
        <w:trPr>
          <w:trHeight w:val="131"/>
        </w:trPr>
        <w:tc>
          <w:tcPr>
            <w:tcW w:w="21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and rights</w:t>
            </w:r>
          </w:p>
        </w:tc>
        <w:tc>
          <w:tcPr>
            <w:tcW w:w="2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options warrants and rights</w:t>
            </w:r>
          </w:p>
        </w:tc>
        <w:tc>
          <w:tcPr>
            <w:tcW w:w="2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plans (excluding securities</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223"/>
        </w:trPr>
        <w:tc>
          <w:tcPr>
            <w:tcW w:w="2060" w:type="dxa"/>
            <w:vAlign w:val="bottom"/>
          </w:tcPr>
          <w:p>
            <w:pPr>
              <w:jc w:val="right"/>
              <w:spacing w:after="0"/>
              <w:rPr>
                <w:sz w:val="20"/>
                <w:szCs w:val="20"/>
                <w:color w:val="auto"/>
              </w:rPr>
            </w:pPr>
            <w:r>
              <w:rPr>
                <w:rFonts w:ascii="Arial" w:cs="Arial" w:eastAsia="Arial" w:hAnsi="Arial"/>
                <w:sz w:val="17"/>
                <w:szCs w:val="17"/>
                <w:color w:val="auto"/>
              </w:rPr>
              <w:t>1,267,169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75.40</w:t>
            </w:r>
          </w:p>
        </w:tc>
        <w:tc>
          <w:tcPr>
            <w:tcW w:w="120" w:type="dxa"/>
            <w:vAlign w:val="bottom"/>
          </w:tcPr>
          <w:p>
            <w:pPr>
              <w:spacing w:after="0"/>
              <w:rPr>
                <w:sz w:val="19"/>
                <w:szCs w:val="19"/>
                <w:color w:val="auto"/>
              </w:rPr>
            </w:pPr>
          </w:p>
        </w:tc>
        <w:tc>
          <w:tcPr>
            <w:tcW w:w="2060" w:type="dxa"/>
            <w:vAlign w:val="bottom"/>
          </w:tcPr>
          <w:p>
            <w:pPr>
              <w:jc w:val="right"/>
              <w:ind w:right="5"/>
              <w:spacing w:after="0"/>
              <w:rPr>
                <w:sz w:val="20"/>
                <w:szCs w:val="20"/>
                <w:color w:val="auto"/>
              </w:rPr>
            </w:pPr>
            <w:r>
              <w:rPr>
                <w:rFonts w:ascii="Arial" w:cs="Arial" w:eastAsia="Arial" w:hAnsi="Arial"/>
                <w:sz w:val="17"/>
                <w:szCs w:val="17"/>
                <w:color w:val="auto"/>
              </w:rPr>
              <w:t>6,399,200</w:t>
            </w:r>
          </w:p>
        </w:tc>
        <w:tc>
          <w:tcPr>
            <w:tcW w:w="0" w:type="dxa"/>
            <w:vAlign w:val="bottom"/>
          </w:tcPr>
          <w:p>
            <w:pPr>
              <w:spacing w:after="0"/>
              <w:rPr>
                <w:sz w:val="1"/>
                <w:szCs w:val="1"/>
                <w:color w:val="auto"/>
              </w:rPr>
            </w:pPr>
          </w:p>
        </w:tc>
      </w:tr>
      <w:tr>
        <w:trPr>
          <w:trHeight w:val="393"/>
        </w:trPr>
        <w:tc>
          <w:tcPr>
            <w:tcW w:w="2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4"/>
                <w:szCs w:val="2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60" w:type="dxa"/>
            <w:vAlign w:val="bottom"/>
          </w:tcPr>
          <w:p>
            <w:pPr>
              <w:jc w:val="right"/>
              <w:ind w:right="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1,267,169</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75.40</w:t>
            </w:r>
          </w:p>
        </w:tc>
        <w:tc>
          <w:tcPr>
            <w:tcW w:w="1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7"/>
                <w:szCs w:val="17"/>
                <w:color w:val="auto"/>
              </w:rPr>
              <w:t>6,399,200</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-573405</wp:posOffset>
            </wp:positionV>
            <wp:extent cx="7103110" cy="141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3110" cy="14160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-182245</wp:posOffset>
            </wp:positionV>
            <wp:extent cx="7103110" cy="166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3110" cy="166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140"/>
            <w:col w:w="6880"/>
          </w:cols>
          <w:pgMar w:left="32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46" w:name="page47"/>
    <w:bookmarkEnd w:id="46"/>
    <w:p>
      <w:pPr>
        <w:ind w:left="5280"/>
        <w:spacing w:after="0"/>
        <w:rPr>
          <w:sz w:val="20"/>
          <w:szCs w:val="20"/>
          <w:color w:val="auto"/>
        </w:rPr>
      </w:pPr>
      <w:r>
        <w:rPr>
          <w:rFonts w:ascii="Arial" w:cs="Arial" w:eastAsia="Arial" w:hAnsi="Arial"/>
          <w:sz w:val="17"/>
          <w:szCs w:val="17"/>
          <w:b w:val="1"/>
          <w:bCs w:val="1"/>
          <w:color w:val="auto"/>
        </w:rPr>
        <w:t>PART IV</w:t>
      </w:r>
    </w:p>
    <w:p>
      <w:pPr>
        <w:spacing w:after="0" w:line="5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financial statements, financial statement schedules and exhibits listed below are filed as part of this annual report: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09"/>
        </w:trPr>
        <w:tc>
          <w:tcPr>
            <w:tcW w:w="1080" w:type="dxa"/>
            <w:vAlign w:val="bottom"/>
          </w:tcPr>
          <w:p>
            <w:pPr>
              <w:jc w:val="right"/>
              <w:ind w:right="293"/>
              <w:spacing w:after="0"/>
              <w:rPr>
                <w:sz w:val="20"/>
                <w:szCs w:val="20"/>
                <w:color w:val="auto"/>
              </w:rPr>
            </w:pPr>
            <w:r>
              <w:rPr>
                <w:rFonts w:ascii="Arial" w:cs="Arial" w:eastAsia="Arial" w:hAnsi="Arial"/>
                <w:sz w:val="17"/>
                <w:szCs w:val="17"/>
                <w:color w:val="auto"/>
              </w:rPr>
              <w:t>(1)</w:t>
            </w:r>
          </w:p>
        </w:tc>
        <w:tc>
          <w:tcPr>
            <w:tcW w:w="9280" w:type="dxa"/>
            <w:vAlign w:val="bottom"/>
            <w:gridSpan w:val="11"/>
          </w:tcPr>
          <w:p>
            <w:pPr>
              <w:ind w:left="380"/>
              <w:spacing w:after="0"/>
              <w:rPr>
                <w:sz w:val="20"/>
                <w:szCs w:val="20"/>
                <w:color w:val="auto"/>
              </w:rPr>
            </w:pPr>
            <w:r>
              <w:rPr>
                <w:rFonts w:ascii="Arial" w:cs="Arial" w:eastAsia="Arial" w:hAnsi="Arial"/>
                <w:sz w:val="17"/>
                <w:szCs w:val="17"/>
                <w:b w:val="1"/>
                <w:bCs w:val="1"/>
                <w:color w:val="auto"/>
              </w:rPr>
              <w:t>Financial Statements and Reports on Internal Control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4"/>
        </w:trPr>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900" w:type="dxa"/>
            <w:vAlign w:val="bottom"/>
            <w:gridSpan w:val="10"/>
            <w:shd w:val="clear" w:color="auto" w:fill="CCEEFF"/>
          </w:tcPr>
          <w:p>
            <w:pPr>
              <w:spacing w:after="0" w:line="184" w:lineRule="exact"/>
              <w:rPr>
                <w:rFonts w:ascii="Arial" w:cs="Arial" w:eastAsia="Arial" w:hAnsi="Arial"/>
                <w:sz w:val="17"/>
                <w:szCs w:val="17"/>
                <w:color w:val="0000FF"/>
              </w:rPr>
            </w:pPr>
            <w:hyperlink w:anchor="page50">
              <w:r>
                <w:rPr>
                  <w:rFonts w:ascii="Arial" w:cs="Arial" w:eastAsia="Arial" w:hAnsi="Arial"/>
                  <w:sz w:val="17"/>
                  <w:szCs w:val="17"/>
                  <w:color w:val="0000FF"/>
                </w:rPr>
                <w:t>Management’s Reports to Westinghouse Air Brake Technologies Corporation Shareholders</w:t>
              </w:r>
            </w:hyperlink>
          </w:p>
        </w:tc>
        <w:tc>
          <w:tcPr>
            <w:tcW w:w="860" w:type="dxa"/>
            <w:vAlign w:val="bottom"/>
            <w:tcBorders>
              <w:right w:val="single" w:sz="8" w:color="CCEEFF"/>
            </w:tcBorders>
            <w:gridSpan w:val="2"/>
            <w:shd w:val="clear" w:color="auto" w:fill="CCEEFF"/>
          </w:tcPr>
          <w:p>
            <w:pPr>
              <w:jc w:val="right"/>
              <w:spacing w:after="0" w:line="184" w:lineRule="exact"/>
              <w:rPr>
                <w:rFonts w:ascii="Arial" w:cs="Arial" w:eastAsia="Arial" w:hAnsi="Arial"/>
                <w:sz w:val="17"/>
                <w:szCs w:val="17"/>
                <w:color w:val="0000FF"/>
              </w:rPr>
            </w:pPr>
            <w:hyperlink w:anchor="page50">
              <w:r>
                <w:rPr>
                  <w:rFonts w:ascii="Arial" w:cs="Arial" w:eastAsia="Arial" w:hAnsi="Arial"/>
                  <w:sz w:val="17"/>
                  <w:szCs w:val="17"/>
                  <w:color w:val="0000FF"/>
                </w:rPr>
                <w:t>51</w:t>
              </w:r>
            </w:hyperlink>
          </w:p>
        </w:tc>
      </w:tr>
      <w:tr>
        <w:trPr>
          <w:trHeight w:val="39"/>
        </w:trPr>
        <w:tc>
          <w:tcPr>
            <w:tcW w:w="10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06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r>
      <w:tr>
        <w:trPr>
          <w:trHeight w:val="193"/>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160" w:type="dxa"/>
            <w:vAlign w:val="bottom"/>
            <w:tcBorders>
              <w:bottom w:val="single" w:sz="8" w:color="0000FF"/>
            </w:tcBorders>
            <w:gridSpan w:val="6"/>
          </w:tcPr>
          <w:p>
            <w:pPr>
              <w:spacing w:after="0" w:line="184" w:lineRule="exact"/>
              <w:rPr>
                <w:rFonts w:ascii="Arial" w:cs="Arial" w:eastAsia="Arial" w:hAnsi="Arial"/>
                <w:sz w:val="17"/>
                <w:szCs w:val="17"/>
                <w:color w:val="0000FF"/>
                <w:w w:val="94"/>
              </w:rPr>
            </w:pPr>
            <w:hyperlink w:anchor="page51">
              <w:r>
                <w:rPr>
                  <w:rFonts w:ascii="Arial" w:cs="Arial" w:eastAsia="Arial" w:hAnsi="Arial"/>
                  <w:sz w:val="17"/>
                  <w:szCs w:val="17"/>
                  <w:color w:val="0000FF"/>
                  <w:w w:val="94"/>
                </w:rPr>
                <w:t xml:space="preserve">Report of Independent Registered Public Accounting Firm </w:t>
              </w:r>
            </w:hyperlink>
            <w:r>
              <w:rPr>
                <w:rFonts w:ascii="Arial" w:cs="Arial" w:eastAsia="Arial" w:hAnsi="Arial"/>
                <w:sz w:val="17"/>
                <w:szCs w:val="17"/>
                <w:color w:val="0000FF"/>
                <w:w w:val="94"/>
              </w:rPr>
              <w:t>(PCAOB ID: 42, Pittsburgh, Pennsylvania)</w:t>
            </w:r>
          </w:p>
        </w:tc>
        <w:tc>
          <w:tcPr>
            <w:tcW w:w="174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Borders>
              <w:bottom w:val="single" w:sz="8" w:color="0000FF"/>
            </w:tcBorders>
          </w:tcPr>
          <w:p>
            <w:pPr>
              <w:jc w:val="right"/>
              <w:spacing w:after="0" w:line="184" w:lineRule="exact"/>
              <w:rPr>
                <w:rFonts w:ascii="Arial" w:cs="Arial" w:eastAsia="Arial" w:hAnsi="Arial"/>
                <w:sz w:val="17"/>
                <w:szCs w:val="17"/>
                <w:color w:val="0000FF"/>
                <w:w w:val="84"/>
              </w:rPr>
            </w:pPr>
            <w:hyperlink w:anchor="page51">
              <w:r>
                <w:rPr>
                  <w:rFonts w:ascii="Arial" w:cs="Arial" w:eastAsia="Arial" w:hAnsi="Arial"/>
                  <w:sz w:val="17"/>
                  <w:szCs w:val="17"/>
                  <w:color w:val="0000FF"/>
                  <w:w w:val="84"/>
                </w:rPr>
                <w:t>52</w:t>
              </w:r>
            </w:hyperlink>
          </w:p>
        </w:tc>
      </w:tr>
      <w:tr>
        <w:trPr>
          <w:trHeight w:val="212"/>
        </w:trPr>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900" w:type="dxa"/>
            <w:vAlign w:val="bottom"/>
            <w:gridSpan w:val="10"/>
            <w:shd w:val="clear" w:color="auto" w:fill="CCEEFF"/>
          </w:tcPr>
          <w:p>
            <w:pPr>
              <w:spacing w:after="0" w:line="193" w:lineRule="exact"/>
              <w:rPr>
                <w:rFonts w:ascii="Arial" w:cs="Arial" w:eastAsia="Arial" w:hAnsi="Arial"/>
                <w:sz w:val="17"/>
                <w:szCs w:val="17"/>
                <w:color w:val="0000FF"/>
              </w:rPr>
            </w:pPr>
            <w:hyperlink w:anchor="page53">
              <w:r>
                <w:rPr>
                  <w:rFonts w:ascii="Arial" w:cs="Arial" w:eastAsia="Arial" w:hAnsi="Arial"/>
                  <w:sz w:val="17"/>
                  <w:szCs w:val="17"/>
                  <w:color w:val="0000FF"/>
                </w:rPr>
                <w:t>Report of Independent Registered Public Accounting Firm on Internal Control Over Financial Reporting</w:t>
              </w:r>
            </w:hyperlink>
          </w:p>
        </w:tc>
        <w:tc>
          <w:tcPr>
            <w:tcW w:w="860" w:type="dxa"/>
            <w:vAlign w:val="bottom"/>
            <w:tcBorders>
              <w:right w:val="single" w:sz="8" w:color="CCEEFF"/>
            </w:tcBorders>
            <w:gridSpan w:val="2"/>
            <w:shd w:val="clear" w:color="auto" w:fill="CCEEFF"/>
          </w:tcPr>
          <w:p>
            <w:pPr>
              <w:jc w:val="right"/>
              <w:spacing w:after="0" w:line="193" w:lineRule="exact"/>
              <w:rPr>
                <w:rFonts w:ascii="Arial" w:cs="Arial" w:eastAsia="Arial" w:hAnsi="Arial"/>
                <w:sz w:val="17"/>
                <w:szCs w:val="17"/>
                <w:color w:val="0000FF"/>
              </w:rPr>
            </w:pPr>
            <w:hyperlink w:anchor="page53">
              <w:r>
                <w:rPr>
                  <w:rFonts w:ascii="Arial" w:cs="Arial" w:eastAsia="Arial" w:hAnsi="Arial"/>
                  <w:sz w:val="17"/>
                  <w:szCs w:val="17"/>
                  <w:color w:val="0000FF"/>
                </w:rPr>
                <w:t>54</w:t>
              </w:r>
            </w:hyperlink>
          </w:p>
        </w:tc>
      </w:tr>
      <w:tr>
        <w:trPr>
          <w:trHeight w:val="193"/>
        </w:trPr>
        <w:tc>
          <w:tcPr>
            <w:tcW w:w="108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520" w:type="dxa"/>
            <w:vAlign w:val="bottom"/>
            <w:tcBorders>
              <w:top w:val="single" w:sz="8" w:color="0000FF"/>
              <w:bottom w:val="single" w:sz="8" w:color="0000FF"/>
            </w:tcBorders>
            <w:gridSpan w:val="2"/>
          </w:tcPr>
          <w:p>
            <w:pPr>
              <w:spacing w:after="0" w:line="184" w:lineRule="exact"/>
              <w:rPr>
                <w:rFonts w:ascii="Arial" w:cs="Arial" w:eastAsia="Arial" w:hAnsi="Arial"/>
                <w:sz w:val="17"/>
                <w:szCs w:val="17"/>
                <w:color w:val="0000FF"/>
                <w:w w:val="91"/>
              </w:rPr>
            </w:pPr>
            <w:hyperlink w:anchor="page54">
              <w:r>
                <w:rPr>
                  <w:rFonts w:ascii="Arial" w:cs="Arial" w:eastAsia="Arial" w:hAnsi="Arial"/>
                  <w:sz w:val="17"/>
                  <w:szCs w:val="17"/>
                  <w:color w:val="0000FF"/>
                  <w:w w:val="91"/>
                </w:rPr>
                <w:t xml:space="preserve">Consolidated Balance Sheets as of December 31, 2021 and </w:t>
              </w:r>
            </w:hyperlink>
            <w:r>
              <w:rPr>
                <w:rFonts w:ascii="Arial" w:cs="Arial" w:eastAsia="Arial" w:hAnsi="Arial"/>
                <w:sz w:val="17"/>
                <w:szCs w:val="17"/>
                <w:color w:val="0000FF"/>
                <w:w w:val="91"/>
              </w:rPr>
              <w:t>2020</w:t>
            </w:r>
          </w:p>
        </w:tc>
        <w:tc>
          <w:tcPr>
            <w:tcW w:w="2780" w:type="dxa"/>
            <w:vAlign w:val="bottom"/>
            <w:tcBorders>
              <w:top w:val="single" w:sz="8" w:color="0000FF"/>
            </w:tcBorders>
            <w:gridSpan w:val="5"/>
          </w:tcPr>
          <w:p>
            <w:pPr>
              <w:spacing w:after="0"/>
              <w:rPr>
                <w:sz w:val="16"/>
                <w:szCs w:val="16"/>
                <w:color w:val="auto"/>
              </w:rPr>
            </w:pPr>
          </w:p>
        </w:tc>
        <w:tc>
          <w:tcPr>
            <w:tcW w:w="160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0000FF"/>
              <w:bottom w:val="single" w:sz="8" w:color="0000FF"/>
            </w:tcBorders>
          </w:tcPr>
          <w:p>
            <w:pPr>
              <w:jc w:val="right"/>
              <w:spacing w:after="0" w:line="184" w:lineRule="exact"/>
              <w:rPr>
                <w:rFonts w:ascii="Arial" w:cs="Arial" w:eastAsia="Arial" w:hAnsi="Arial"/>
                <w:sz w:val="17"/>
                <w:szCs w:val="17"/>
                <w:color w:val="0000FF"/>
                <w:w w:val="84"/>
              </w:rPr>
            </w:pPr>
            <w:hyperlink w:anchor="page54">
              <w:r>
                <w:rPr>
                  <w:rFonts w:ascii="Arial" w:cs="Arial" w:eastAsia="Arial" w:hAnsi="Arial"/>
                  <w:sz w:val="17"/>
                  <w:szCs w:val="17"/>
                  <w:color w:val="0000FF"/>
                  <w:w w:val="84"/>
                </w:rPr>
                <w:t>55</w:t>
              </w:r>
            </w:hyperlink>
          </w:p>
        </w:tc>
      </w:tr>
      <w:tr>
        <w:trPr>
          <w:trHeight w:val="212"/>
        </w:trPr>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800" w:type="dxa"/>
            <w:vAlign w:val="bottom"/>
            <w:tcBorders>
              <w:bottom w:val="single" w:sz="8" w:color="0000FF"/>
            </w:tcBorders>
            <w:gridSpan w:val="4"/>
            <w:shd w:val="clear" w:color="auto" w:fill="CCEEFF"/>
          </w:tcPr>
          <w:p>
            <w:pPr>
              <w:spacing w:after="0" w:line="193" w:lineRule="exact"/>
              <w:rPr>
                <w:rFonts w:ascii="Arial" w:cs="Arial" w:eastAsia="Arial" w:hAnsi="Arial"/>
                <w:sz w:val="17"/>
                <w:szCs w:val="17"/>
                <w:color w:val="0000FF"/>
                <w:w w:val="91"/>
              </w:rPr>
            </w:pPr>
            <w:hyperlink w:anchor="page55">
              <w:r>
                <w:rPr>
                  <w:rFonts w:ascii="Arial" w:cs="Arial" w:eastAsia="Arial" w:hAnsi="Arial"/>
                  <w:sz w:val="17"/>
                  <w:szCs w:val="17"/>
                  <w:color w:val="0000FF"/>
                  <w:w w:val="91"/>
                </w:rPr>
                <w:t xml:space="preserve">Consolidated Statements of Income for the three years ended December 31, 2021, </w:t>
              </w:r>
            </w:hyperlink>
            <w:r>
              <w:rPr>
                <w:rFonts w:ascii="Arial" w:cs="Arial" w:eastAsia="Arial" w:hAnsi="Arial"/>
                <w:sz w:val="17"/>
                <w:szCs w:val="17"/>
                <w:color w:val="0000FF"/>
                <w:w w:val="91"/>
              </w:rPr>
              <w:t xml:space="preserve">2020 </w:t>
            </w:r>
            <w:hyperlink w:anchor="page55">
              <w:r>
                <w:rPr>
                  <w:rFonts w:ascii="Arial" w:cs="Arial" w:eastAsia="Arial" w:hAnsi="Arial"/>
                  <w:sz w:val="17"/>
                  <w:szCs w:val="17"/>
                  <w:color w:val="0000FF"/>
                  <w:w w:val="91"/>
                </w:rPr>
                <w:t>and 2019</w:t>
              </w:r>
            </w:hyperlink>
          </w:p>
        </w:tc>
        <w:tc>
          <w:tcPr>
            <w:tcW w:w="2100" w:type="dxa"/>
            <w:vAlign w:val="bottom"/>
            <w:tcBorders>
              <w:bottom w:val="single" w:sz="8" w:color="CCEEFF"/>
            </w:tcBorders>
            <w:gridSpan w:val="6"/>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shd w:val="clear" w:color="auto" w:fill="CCEEFF"/>
          </w:tcPr>
          <w:p>
            <w:pPr>
              <w:jc w:val="right"/>
              <w:spacing w:after="0" w:line="193" w:lineRule="exact"/>
              <w:rPr>
                <w:rFonts w:ascii="Arial" w:cs="Arial" w:eastAsia="Arial" w:hAnsi="Arial"/>
                <w:sz w:val="17"/>
                <w:szCs w:val="17"/>
                <w:color w:val="0000FF"/>
                <w:w w:val="84"/>
              </w:rPr>
            </w:pPr>
            <w:hyperlink w:anchor="page55">
              <w:r>
                <w:rPr>
                  <w:rFonts w:ascii="Arial" w:cs="Arial" w:eastAsia="Arial" w:hAnsi="Arial"/>
                  <w:sz w:val="17"/>
                  <w:szCs w:val="17"/>
                  <w:color w:val="0000FF"/>
                  <w:w w:val="84"/>
                </w:rPr>
                <w:t>56</w:t>
              </w:r>
            </w:hyperlink>
          </w:p>
        </w:tc>
      </w:tr>
      <w:tr>
        <w:trPr>
          <w:trHeight w:val="193"/>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940" w:type="dxa"/>
            <w:vAlign w:val="bottom"/>
            <w:tcBorders>
              <w:bottom w:val="single" w:sz="8" w:color="0000FF"/>
            </w:tcBorders>
            <w:gridSpan w:val="9"/>
          </w:tcPr>
          <w:p>
            <w:pPr>
              <w:spacing w:after="0" w:line="184" w:lineRule="exact"/>
              <w:rPr>
                <w:rFonts w:ascii="Arial" w:cs="Arial" w:eastAsia="Arial" w:hAnsi="Arial"/>
                <w:sz w:val="17"/>
                <w:szCs w:val="17"/>
                <w:color w:val="0000FF"/>
                <w:w w:val="91"/>
              </w:rPr>
            </w:pPr>
            <w:hyperlink w:anchor="page56">
              <w:r>
                <w:rPr>
                  <w:rFonts w:ascii="Arial" w:cs="Arial" w:eastAsia="Arial" w:hAnsi="Arial"/>
                  <w:sz w:val="17"/>
                  <w:szCs w:val="17"/>
                  <w:color w:val="0000FF"/>
                  <w:w w:val="91"/>
                </w:rPr>
                <w:t xml:space="preserve">Consolidated Statements of Comprehensive Income for the three years ended December 31, 2021, </w:t>
              </w:r>
            </w:hyperlink>
            <w:r>
              <w:rPr>
                <w:rFonts w:ascii="Arial" w:cs="Arial" w:eastAsia="Arial" w:hAnsi="Arial"/>
                <w:sz w:val="17"/>
                <w:szCs w:val="17"/>
                <w:color w:val="0000FF"/>
                <w:w w:val="91"/>
              </w:rPr>
              <w:t xml:space="preserve">2020 </w:t>
            </w:r>
            <w:hyperlink w:anchor="page56">
              <w:r>
                <w:rPr>
                  <w:rFonts w:ascii="Arial" w:cs="Arial" w:eastAsia="Arial" w:hAnsi="Arial"/>
                  <w:sz w:val="17"/>
                  <w:szCs w:val="17"/>
                  <w:color w:val="0000FF"/>
                  <w:w w:val="91"/>
                </w:rPr>
                <w:t>and 2019</w:t>
              </w:r>
            </w:hyperlink>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Borders>
              <w:bottom w:val="single" w:sz="8" w:color="0000FF"/>
            </w:tcBorders>
          </w:tcPr>
          <w:p>
            <w:pPr>
              <w:jc w:val="right"/>
              <w:spacing w:after="0" w:line="184" w:lineRule="exact"/>
              <w:rPr>
                <w:rFonts w:ascii="Arial" w:cs="Arial" w:eastAsia="Arial" w:hAnsi="Arial"/>
                <w:sz w:val="17"/>
                <w:szCs w:val="17"/>
                <w:color w:val="0000FF"/>
                <w:w w:val="84"/>
              </w:rPr>
            </w:pPr>
            <w:hyperlink w:anchor="page56">
              <w:r>
                <w:rPr>
                  <w:rFonts w:ascii="Arial" w:cs="Arial" w:eastAsia="Arial" w:hAnsi="Arial"/>
                  <w:sz w:val="17"/>
                  <w:szCs w:val="17"/>
                  <w:color w:val="0000FF"/>
                  <w:w w:val="84"/>
                </w:rPr>
                <w:t>57</w:t>
              </w:r>
            </w:hyperlink>
          </w:p>
        </w:tc>
      </w:tr>
      <w:tr>
        <w:trPr>
          <w:trHeight w:val="212"/>
        </w:trPr>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0000FF"/>
            </w:tcBorders>
            <w:gridSpan w:val="5"/>
            <w:shd w:val="clear" w:color="auto" w:fill="CCEEFF"/>
          </w:tcPr>
          <w:p>
            <w:pPr>
              <w:spacing w:after="0" w:line="193" w:lineRule="exact"/>
              <w:rPr>
                <w:rFonts w:ascii="Arial" w:cs="Arial" w:eastAsia="Arial" w:hAnsi="Arial"/>
                <w:sz w:val="17"/>
                <w:szCs w:val="17"/>
                <w:color w:val="0000FF"/>
                <w:w w:val="91"/>
              </w:rPr>
            </w:pPr>
            <w:hyperlink w:anchor="page57">
              <w:r>
                <w:rPr>
                  <w:rFonts w:ascii="Arial" w:cs="Arial" w:eastAsia="Arial" w:hAnsi="Arial"/>
                  <w:sz w:val="17"/>
                  <w:szCs w:val="17"/>
                  <w:color w:val="0000FF"/>
                  <w:w w:val="91"/>
                </w:rPr>
                <w:t xml:space="preserve">Consolidated Statements of Cash Flows for the three years ended December 31, 2021, </w:t>
              </w:r>
            </w:hyperlink>
            <w:r>
              <w:rPr>
                <w:rFonts w:ascii="Arial" w:cs="Arial" w:eastAsia="Arial" w:hAnsi="Arial"/>
                <w:sz w:val="17"/>
                <w:szCs w:val="17"/>
                <w:color w:val="0000FF"/>
                <w:w w:val="91"/>
              </w:rPr>
              <w:t xml:space="preserve">2020 </w:t>
            </w:r>
            <w:hyperlink w:anchor="page57">
              <w:r>
                <w:rPr>
                  <w:rFonts w:ascii="Arial" w:cs="Arial" w:eastAsia="Arial" w:hAnsi="Arial"/>
                  <w:sz w:val="17"/>
                  <w:szCs w:val="17"/>
                  <w:color w:val="0000FF"/>
                  <w:w w:val="91"/>
                </w:rPr>
                <w:t>and 2019</w:t>
              </w:r>
            </w:hyperlink>
          </w:p>
        </w:tc>
        <w:tc>
          <w:tcPr>
            <w:tcW w:w="1800" w:type="dxa"/>
            <w:vAlign w:val="bottom"/>
            <w:tcBorders>
              <w:bottom w:val="single" w:sz="8" w:color="CCEEFF"/>
            </w:tcBorders>
            <w:gridSpan w:val="5"/>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shd w:val="clear" w:color="auto" w:fill="CCEEFF"/>
          </w:tcPr>
          <w:p>
            <w:pPr>
              <w:jc w:val="right"/>
              <w:spacing w:after="0" w:line="193" w:lineRule="exact"/>
              <w:rPr>
                <w:rFonts w:ascii="Arial" w:cs="Arial" w:eastAsia="Arial" w:hAnsi="Arial"/>
                <w:sz w:val="17"/>
                <w:szCs w:val="17"/>
                <w:color w:val="0000FF"/>
                <w:w w:val="84"/>
              </w:rPr>
            </w:pPr>
            <w:hyperlink w:anchor="page57">
              <w:r>
                <w:rPr>
                  <w:rFonts w:ascii="Arial" w:cs="Arial" w:eastAsia="Arial" w:hAnsi="Arial"/>
                  <w:sz w:val="17"/>
                  <w:szCs w:val="17"/>
                  <w:color w:val="0000FF"/>
                  <w:w w:val="84"/>
                </w:rPr>
                <w:t>58</w:t>
              </w:r>
            </w:hyperlink>
          </w:p>
        </w:tc>
      </w:tr>
      <w:tr>
        <w:trPr>
          <w:trHeight w:val="193"/>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760" w:type="dxa"/>
            <w:vAlign w:val="bottom"/>
            <w:tcBorders>
              <w:bottom w:val="single" w:sz="8" w:color="0000FF"/>
            </w:tcBorders>
            <w:gridSpan w:val="8"/>
          </w:tcPr>
          <w:p>
            <w:pPr>
              <w:spacing w:after="0" w:line="184" w:lineRule="exact"/>
              <w:rPr>
                <w:rFonts w:ascii="Arial" w:cs="Arial" w:eastAsia="Arial" w:hAnsi="Arial"/>
                <w:sz w:val="17"/>
                <w:szCs w:val="17"/>
                <w:color w:val="0000FF"/>
                <w:w w:val="91"/>
              </w:rPr>
            </w:pPr>
            <w:hyperlink w:anchor="page58">
              <w:r>
                <w:rPr>
                  <w:rFonts w:ascii="Arial" w:cs="Arial" w:eastAsia="Arial" w:hAnsi="Arial"/>
                  <w:sz w:val="17"/>
                  <w:szCs w:val="17"/>
                  <w:color w:val="0000FF"/>
                  <w:w w:val="91"/>
                </w:rPr>
                <w:t xml:space="preserve">Consolidated Statements of Shareholders’ Equity for the three years ended December 31, 2021, </w:t>
              </w:r>
            </w:hyperlink>
            <w:r>
              <w:rPr>
                <w:rFonts w:ascii="Arial" w:cs="Arial" w:eastAsia="Arial" w:hAnsi="Arial"/>
                <w:sz w:val="17"/>
                <w:szCs w:val="17"/>
                <w:color w:val="0000FF"/>
                <w:w w:val="91"/>
              </w:rPr>
              <w:t xml:space="preserve">2020 </w:t>
            </w:r>
            <w:hyperlink w:anchor="page58">
              <w:r>
                <w:rPr>
                  <w:rFonts w:ascii="Arial" w:cs="Arial" w:eastAsia="Arial" w:hAnsi="Arial"/>
                  <w:sz w:val="17"/>
                  <w:szCs w:val="17"/>
                  <w:color w:val="0000FF"/>
                  <w:w w:val="91"/>
                </w:rPr>
                <w:t>and 2019</w:t>
              </w:r>
            </w:hyperlink>
          </w:p>
        </w:tc>
        <w:tc>
          <w:tcPr>
            <w:tcW w:w="114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Borders>
              <w:bottom w:val="single" w:sz="8" w:color="0000FF"/>
            </w:tcBorders>
          </w:tcPr>
          <w:p>
            <w:pPr>
              <w:jc w:val="right"/>
              <w:spacing w:after="0" w:line="184" w:lineRule="exact"/>
              <w:rPr>
                <w:rFonts w:ascii="Arial" w:cs="Arial" w:eastAsia="Arial" w:hAnsi="Arial"/>
                <w:sz w:val="17"/>
                <w:szCs w:val="17"/>
                <w:color w:val="0000FF"/>
                <w:w w:val="84"/>
              </w:rPr>
            </w:pPr>
            <w:hyperlink w:anchor="page58">
              <w:r>
                <w:rPr>
                  <w:rFonts w:ascii="Arial" w:cs="Arial" w:eastAsia="Arial" w:hAnsi="Arial"/>
                  <w:sz w:val="17"/>
                  <w:szCs w:val="17"/>
                  <w:color w:val="0000FF"/>
                  <w:w w:val="84"/>
                </w:rPr>
                <w:t>59</w:t>
              </w:r>
            </w:hyperlink>
          </w:p>
        </w:tc>
      </w:tr>
      <w:tr>
        <w:trPr>
          <w:trHeight w:val="212"/>
        </w:trPr>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shd w:val="clear" w:color="auto" w:fill="CCEEFF"/>
          </w:tcPr>
          <w:p>
            <w:pPr>
              <w:spacing w:after="0" w:line="193" w:lineRule="exact"/>
              <w:rPr>
                <w:rFonts w:ascii="Arial" w:cs="Arial" w:eastAsia="Arial" w:hAnsi="Arial"/>
                <w:sz w:val="17"/>
                <w:szCs w:val="17"/>
                <w:color w:val="0000FF"/>
                <w:w w:val="91"/>
              </w:rPr>
            </w:pPr>
            <w:hyperlink w:anchor="page59">
              <w:r>
                <w:rPr>
                  <w:rFonts w:ascii="Arial" w:cs="Arial" w:eastAsia="Arial" w:hAnsi="Arial"/>
                  <w:sz w:val="17"/>
                  <w:szCs w:val="17"/>
                  <w:color w:val="0000FF"/>
                  <w:w w:val="91"/>
                </w:rPr>
                <w:t>Notes to Consolidated Financial Statements</w:t>
              </w:r>
            </w:hyperlink>
          </w:p>
        </w:tc>
        <w:tc>
          <w:tcPr>
            <w:tcW w:w="5840" w:type="dxa"/>
            <w:vAlign w:val="bottom"/>
            <w:tcBorders>
              <w:bottom w:val="single" w:sz="8" w:color="CCEEFF"/>
            </w:tcBorders>
            <w:gridSpan w:val="9"/>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shd w:val="clear" w:color="auto" w:fill="CCEEFF"/>
          </w:tcPr>
          <w:p>
            <w:pPr>
              <w:jc w:val="right"/>
              <w:spacing w:after="0" w:line="193" w:lineRule="exact"/>
              <w:rPr>
                <w:rFonts w:ascii="Arial" w:cs="Arial" w:eastAsia="Arial" w:hAnsi="Arial"/>
                <w:sz w:val="17"/>
                <w:szCs w:val="17"/>
                <w:color w:val="0000FF"/>
                <w:w w:val="84"/>
              </w:rPr>
            </w:pPr>
            <w:hyperlink w:anchor="page59">
              <w:r>
                <w:rPr>
                  <w:rFonts w:ascii="Arial" w:cs="Arial" w:eastAsia="Arial" w:hAnsi="Arial"/>
                  <w:sz w:val="17"/>
                  <w:szCs w:val="17"/>
                  <w:color w:val="0000FF"/>
                  <w:w w:val="84"/>
                </w:rPr>
                <w:t>60</w:t>
              </w:r>
            </w:hyperlink>
          </w:p>
        </w:tc>
      </w:tr>
    </w:tbl>
    <w:p>
      <w:pPr>
        <w:ind w:left="1460" w:hanging="966"/>
        <w:spacing w:after="0"/>
        <w:tabs>
          <w:tab w:leader="none" w:pos="14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Financial Statement Schedules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900" w:type="dxa"/>
            <w:vAlign w:val="bottom"/>
            <w:gridSpan w:val="24"/>
            <w:shd w:val="clear" w:color="auto" w:fill="CCEEFF"/>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Schedule II—Valuation and Qualifying Accounts</w:t>
              </w:r>
            </w:hyperlink>
          </w:p>
        </w:tc>
        <w:tc>
          <w:tcPr>
            <w:tcW w:w="860" w:type="dxa"/>
            <w:vAlign w:val="bottom"/>
            <w:tcBorders>
              <w:right w:val="single" w:sz="8" w:color="CCEEFF"/>
            </w:tcBorders>
            <w:gridSpan w:val="2"/>
            <w:shd w:val="clear" w:color="auto" w:fill="CCEEFF"/>
          </w:tcPr>
          <w:p>
            <w:pPr>
              <w:jc w:val="right"/>
              <w:ind w:right="20"/>
              <w:spacing w:after="0"/>
              <w:rPr>
                <w:rFonts w:ascii="Arial" w:cs="Arial" w:eastAsia="Arial" w:hAnsi="Arial"/>
                <w:sz w:val="17"/>
                <w:szCs w:val="17"/>
                <w:color w:val="0000FF"/>
              </w:rPr>
            </w:pPr>
            <w:hyperlink w:anchor="page89">
              <w:r>
                <w:rPr>
                  <w:rFonts w:ascii="Arial" w:cs="Arial" w:eastAsia="Arial" w:hAnsi="Arial"/>
                  <w:sz w:val="17"/>
                  <w:szCs w:val="17"/>
                  <w:color w:val="0000FF"/>
                </w:rPr>
                <w:t>90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0"/>
              <w:spacing w:after="0" w:line="131" w:lineRule="exact"/>
              <w:rPr>
                <w:sz w:val="20"/>
                <w:szCs w:val="20"/>
                <w:color w:val="auto"/>
              </w:rPr>
            </w:pPr>
            <w:r>
              <w:rPr>
                <w:rFonts w:ascii="Arial" w:cs="Arial" w:eastAsia="Arial" w:hAnsi="Arial"/>
                <w:sz w:val="14"/>
                <w:szCs w:val="14"/>
                <w:b w:val="1"/>
                <w:bCs w:val="1"/>
                <w:color w:val="auto"/>
              </w:rPr>
              <w:t>Filing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0"/>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900" w:type="dxa"/>
            <w:vAlign w:val="bottom"/>
            <w:tcBorders>
              <w:top w:val="single" w:sz="8" w:color="CCEEFF"/>
            </w:tcBorders>
            <w:gridSpan w:val="24"/>
            <w:shd w:val="clear" w:color="auto" w:fill="CCEEFF"/>
          </w:tcPr>
          <w:p>
            <w:pPr>
              <w:spacing w:after="0"/>
              <w:rPr>
                <w:sz w:val="20"/>
                <w:szCs w:val="20"/>
                <w:color w:val="auto"/>
              </w:rPr>
            </w:pPr>
            <w:r>
              <w:rPr>
                <w:rFonts w:ascii="Arial" w:cs="Arial" w:eastAsia="Arial" w:hAnsi="Arial"/>
                <w:sz w:val="17"/>
                <w:szCs w:val="17"/>
                <w:b w:val="1"/>
                <w:bCs w:val="1"/>
                <w:color w:val="auto"/>
              </w:rPr>
              <w:t>Exhibits</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2.1</w:t>
            </w:r>
          </w:p>
        </w:tc>
        <w:tc>
          <w:tcPr>
            <w:tcW w:w="460" w:type="dxa"/>
            <w:vAlign w:val="bottom"/>
            <w:vMerge w:val="restart"/>
          </w:tcPr>
          <w:p>
            <w:pPr>
              <w:spacing w:after="0"/>
              <w:rPr>
                <w:rFonts w:ascii="Arial" w:cs="Arial" w:eastAsia="Arial" w:hAnsi="Arial"/>
                <w:sz w:val="17"/>
                <w:szCs w:val="17"/>
                <w:color w:val="0000FF"/>
                <w:w w:val="72"/>
              </w:rPr>
            </w:pPr>
            <w:hyperlink r:id="rId66">
              <w:r>
                <w:rPr>
                  <w:rFonts w:ascii="Arial" w:cs="Arial" w:eastAsia="Arial" w:hAnsi="Arial"/>
                  <w:sz w:val="17"/>
                  <w:szCs w:val="17"/>
                  <w:color w:val="0000FF"/>
                  <w:w w:val="72"/>
                </w:rPr>
                <w:t>October</w:t>
              </w:r>
            </w:hyperlink>
          </w:p>
        </w:tc>
        <w:tc>
          <w:tcPr>
            <w:tcW w:w="8900" w:type="dxa"/>
            <w:vAlign w:val="bottom"/>
            <w:gridSpan w:val="24"/>
          </w:tcPr>
          <w:p>
            <w:pPr>
              <w:spacing w:after="0" w:line="184" w:lineRule="exact"/>
              <w:rPr>
                <w:rFonts w:ascii="Arial" w:cs="Arial" w:eastAsia="Arial" w:hAnsi="Arial"/>
                <w:sz w:val="17"/>
                <w:szCs w:val="17"/>
                <w:color w:val="0000FF"/>
              </w:rPr>
            </w:pPr>
            <w:hyperlink r:id="rId66">
              <w:r>
                <w:rPr>
                  <w:rFonts w:ascii="Arial" w:cs="Arial" w:eastAsia="Arial" w:hAnsi="Arial"/>
                  <w:sz w:val="17"/>
                  <w:szCs w:val="17"/>
                  <w:color w:val="0000FF"/>
                </w:rPr>
                <w:t>Shareholder's Agreement among Financiere Faiveley S.A., FW Acquisition, LLC, and Wabtec Corporation dated as of</w:t>
              </w:r>
            </w:hyperlink>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140" w:type="dxa"/>
            <w:vAlign w:val="bottom"/>
            <w:tcBorders>
              <w:top w:val="single" w:sz="8" w:color="0000FF"/>
            </w:tcBorders>
            <w:gridSpan w:val="2"/>
          </w:tcPr>
          <w:p>
            <w:pPr>
              <w:ind w:left="140"/>
              <w:spacing w:after="0" w:line="150" w:lineRule="exact"/>
              <w:rPr>
                <w:rFonts w:ascii="Arial" w:cs="Arial" w:eastAsia="Arial" w:hAnsi="Arial"/>
                <w:sz w:val="17"/>
                <w:szCs w:val="17"/>
                <w:color w:val="0000FF"/>
              </w:rPr>
            </w:pPr>
            <w:hyperlink r:id="rId66">
              <w:r>
                <w:rPr>
                  <w:rFonts w:ascii="Arial" w:cs="Arial" w:eastAsia="Arial" w:hAnsi="Arial"/>
                  <w:sz w:val="17"/>
                  <w:szCs w:val="17"/>
                  <w:color w:val="0000FF"/>
                </w:rPr>
                <w:t>6, 2015</w:t>
              </w:r>
            </w:hyperlink>
          </w:p>
        </w:tc>
        <w:tc>
          <w:tcPr>
            <w:tcW w:w="10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bottom w:val="single" w:sz="8" w:color="CCEEFF"/>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2.2</w:t>
            </w:r>
          </w:p>
        </w:tc>
        <w:tc>
          <w:tcPr>
            <w:tcW w:w="460" w:type="dxa"/>
            <w:vAlign w:val="bottom"/>
            <w:tcBorders>
              <w:bottom w:val="single" w:sz="8" w:color="CCEEFF"/>
            </w:tcBorders>
            <w:shd w:val="clear" w:color="auto" w:fill="CCEEFF"/>
          </w:tcPr>
          <w:p>
            <w:pPr>
              <w:spacing w:after="0"/>
              <w:rPr>
                <w:sz w:val="16"/>
                <w:szCs w:val="16"/>
                <w:color w:val="auto"/>
              </w:rPr>
            </w:pPr>
          </w:p>
        </w:tc>
        <w:tc>
          <w:tcPr>
            <w:tcW w:w="8540" w:type="dxa"/>
            <w:vAlign w:val="bottom"/>
            <w:tcBorders>
              <w:bottom w:val="single" w:sz="8" w:color="0000FF"/>
            </w:tcBorders>
            <w:gridSpan w:val="18"/>
            <w:shd w:val="clear" w:color="auto" w:fill="CCEEFF"/>
          </w:tcPr>
          <w:p>
            <w:pPr>
              <w:spacing w:after="0" w:line="193" w:lineRule="exact"/>
              <w:rPr>
                <w:rFonts w:ascii="Arial" w:cs="Arial" w:eastAsia="Arial" w:hAnsi="Arial"/>
                <w:sz w:val="17"/>
                <w:szCs w:val="17"/>
                <w:color w:val="0000FF"/>
                <w:w w:val="93"/>
              </w:rPr>
            </w:pPr>
            <w:hyperlink r:id="rId67">
              <w:r>
                <w:rPr>
                  <w:rFonts w:ascii="Arial" w:cs="Arial" w:eastAsia="Arial" w:hAnsi="Arial"/>
                  <w:sz w:val="17"/>
                  <w:szCs w:val="17"/>
                  <w:color w:val="0000FF"/>
                  <w:w w:val="93"/>
                </w:rPr>
                <w:t xml:space="preserve">Amendment No. 1 to Shareholder's Agreement among Financiere </w:t>
              </w:r>
            </w:hyperlink>
            <w:r>
              <w:rPr>
                <w:rFonts w:ascii="Arial" w:cs="Arial" w:eastAsia="Arial" w:hAnsi="Arial"/>
                <w:sz w:val="17"/>
                <w:szCs w:val="17"/>
                <w:color w:val="0000FF"/>
                <w:w w:val="93"/>
              </w:rPr>
              <w:t>Faiveley S.A., Famille Faiveley Participations, Francois</w:t>
            </w:r>
          </w:p>
        </w:tc>
        <w:tc>
          <w:tcPr>
            <w:tcW w:w="360" w:type="dxa"/>
            <w:vAlign w:val="bottom"/>
            <w:tcBorders>
              <w:bottom w:val="single" w:sz="8" w:color="CCEEFF"/>
            </w:tcBorders>
            <w:gridSpan w:val="6"/>
            <w:shd w:val="clear" w:color="auto" w:fill="CCEEFF"/>
          </w:tcPr>
          <w:p>
            <w:pPr>
              <w:spacing w:after="0"/>
              <w:rPr>
                <w:sz w:val="16"/>
                <w:szCs w:val="16"/>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00" w:type="dxa"/>
            <w:vAlign w:val="bottom"/>
            <w:tcBorders>
              <w:right w:val="single" w:sz="8" w:color="CCEEFF"/>
            </w:tcBorders>
            <w:shd w:val="clear" w:color="auto" w:fill="CCEEFF"/>
          </w:tcPr>
          <w:p>
            <w:pPr>
              <w:spacing w:after="0"/>
              <w:rPr>
                <w:sz w:val="13"/>
                <w:szCs w:val="13"/>
                <w:color w:val="auto"/>
              </w:rPr>
            </w:pPr>
          </w:p>
        </w:tc>
        <w:tc>
          <w:tcPr>
            <w:tcW w:w="9000" w:type="dxa"/>
            <w:vAlign w:val="bottom"/>
            <w:gridSpan w:val="19"/>
            <w:shd w:val="clear" w:color="auto" w:fill="CCEEFF"/>
          </w:tcPr>
          <w:p>
            <w:pPr>
              <w:spacing w:after="0" w:line="150" w:lineRule="exact"/>
              <w:rPr>
                <w:sz w:val="20"/>
                <w:szCs w:val="20"/>
                <w:color w:val="auto"/>
              </w:rPr>
            </w:pPr>
            <w:r>
              <w:rPr>
                <w:rFonts w:ascii="Arial" w:cs="Arial" w:eastAsia="Arial" w:hAnsi="Arial"/>
                <w:sz w:val="17"/>
                <w:szCs w:val="17"/>
                <w:color w:val="0000FF"/>
              </w:rPr>
              <w:t>Faiveley, Erwan Faiveley, and Wabtec Corporation dated as of dated as of October 24, 2016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2.3</w:t>
            </w:r>
          </w:p>
        </w:tc>
        <w:tc>
          <w:tcPr>
            <w:tcW w:w="460" w:type="dxa"/>
            <w:vAlign w:val="bottom"/>
            <w:vMerge w:val="restart"/>
          </w:tcPr>
          <w:p>
            <w:pPr>
              <w:spacing w:after="0"/>
              <w:rPr>
                <w:rFonts w:ascii="Arial" w:cs="Arial" w:eastAsia="Arial" w:hAnsi="Arial"/>
                <w:sz w:val="17"/>
                <w:szCs w:val="17"/>
                <w:color w:val="0000FF"/>
                <w:w w:val="98"/>
              </w:rPr>
            </w:pPr>
            <w:hyperlink r:id="rId68">
              <w:r>
                <w:rPr>
                  <w:rFonts w:ascii="Arial" w:cs="Arial" w:eastAsia="Arial" w:hAnsi="Arial"/>
                  <w:sz w:val="17"/>
                  <w:szCs w:val="17"/>
                  <w:color w:val="0000FF"/>
                  <w:w w:val="98"/>
                </w:rPr>
                <w:t>Brake</w:t>
              </w:r>
            </w:hyperlink>
          </w:p>
        </w:tc>
        <w:tc>
          <w:tcPr>
            <w:tcW w:w="8900" w:type="dxa"/>
            <w:vAlign w:val="bottom"/>
            <w:gridSpan w:val="24"/>
          </w:tcPr>
          <w:p>
            <w:pPr>
              <w:spacing w:after="0" w:line="184" w:lineRule="exact"/>
              <w:rPr>
                <w:rFonts w:ascii="Arial" w:cs="Arial" w:eastAsia="Arial" w:hAnsi="Arial"/>
                <w:sz w:val="17"/>
                <w:szCs w:val="17"/>
                <w:color w:val="0000FF"/>
                <w:w w:val="96"/>
              </w:rPr>
            </w:pPr>
            <w:hyperlink r:id="rId68">
              <w:r>
                <w:rPr>
                  <w:rFonts w:ascii="Arial" w:cs="Arial" w:eastAsia="Arial" w:hAnsi="Arial"/>
                  <w:sz w:val="17"/>
                  <w:szCs w:val="17"/>
                  <w:color w:val="0000FF"/>
                  <w:w w:val="96"/>
                </w:rPr>
                <w:t>Employee Matters Agreement among General Electric Company, Transportation Systems Holdings Inc., Westinghouse Air</w:t>
              </w:r>
            </w:hyperlink>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58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68">
              <w:r>
                <w:rPr>
                  <w:rFonts w:ascii="Arial" w:cs="Arial" w:eastAsia="Arial" w:hAnsi="Arial"/>
                  <w:sz w:val="17"/>
                  <w:szCs w:val="17"/>
                  <w:color w:val="0000FF"/>
                </w:rPr>
                <w:t>Technologies Corporation and Wabtec US Rail,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bottom w:val="single" w:sz="8" w:color="CCEEFF"/>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2.4**</w:t>
            </w:r>
          </w:p>
        </w:tc>
        <w:tc>
          <w:tcPr>
            <w:tcW w:w="460" w:type="dxa"/>
            <w:vAlign w:val="bottom"/>
            <w:tcBorders>
              <w:bottom w:val="single" w:sz="8" w:color="CCEEFF"/>
            </w:tcBorders>
            <w:shd w:val="clear" w:color="auto" w:fill="CCEEFF"/>
          </w:tcPr>
          <w:p>
            <w:pPr>
              <w:spacing w:after="0"/>
              <w:rPr>
                <w:sz w:val="16"/>
                <w:szCs w:val="16"/>
                <w:color w:val="auto"/>
              </w:rPr>
            </w:pPr>
          </w:p>
        </w:tc>
        <w:tc>
          <w:tcPr>
            <w:tcW w:w="8600" w:type="dxa"/>
            <w:vAlign w:val="bottom"/>
            <w:tcBorders>
              <w:bottom w:val="single" w:sz="8" w:color="0000FF"/>
            </w:tcBorders>
            <w:gridSpan w:val="20"/>
            <w:shd w:val="clear" w:color="auto" w:fill="CCEEFF"/>
          </w:tcPr>
          <w:p>
            <w:pPr>
              <w:spacing w:after="0" w:line="193" w:lineRule="exact"/>
              <w:rPr>
                <w:rFonts w:ascii="Arial" w:cs="Arial" w:eastAsia="Arial" w:hAnsi="Arial"/>
                <w:sz w:val="17"/>
                <w:szCs w:val="17"/>
                <w:color w:val="0000FF"/>
                <w:w w:val="93"/>
              </w:rPr>
            </w:pPr>
            <w:hyperlink r:id="rId69">
              <w:r>
                <w:rPr>
                  <w:rFonts w:ascii="Arial" w:cs="Arial" w:eastAsia="Arial" w:hAnsi="Arial"/>
                  <w:sz w:val="17"/>
                  <w:szCs w:val="17"/>
                  <w:color w:val="0000FF"/>
                  <w:w w:val="93"/>
                </w:rPr>
                <w:t>Tax Matters Agreement among General Electric Company, Transportation Systems Holdings Inc., Westinghouse Air Brake</w:t>
              </w:r>
            </w:hyperlink>
          </w:p>
        </w:tc>
        <w:tc>
          <w:tcPr>
            <w:tcW w:w="300" w:type="dxa"/>
            <w:vAlign w:val="bottom"/>
            <w:tcBorders>
              <w:bottom w:val="single" w:sz="8" w:color="CCEEFF"/>
            </w:tcBorders>
            <w:gridSpan w:val="4"/>
            <w:shd w:val="clear" w:color="auto" w:fill="CCEEFF"/>
          </w:tcPr>
          <w:p>
            <w:pPr>
              <w:spacing w:after="0"/>
              <w:rPr>
                <w:sz w:val="16"/>
                <w:szCs w:val="16"/>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00" w:type="dxa"/>
            <w:vAlign w:val="bottom"/>
            <w:tcBorders>
              <w:right w:val="single" w:sz="8" w:color="CCEEFF"/>
            </w:tcBorders>
            <w:shd w:val="clear" w:color="auto" w:fill="CCEEFF"/>
          </w:tcPr>
          <w:p>
            <w:pPr>
              <w:spacing w:after="0"/>
              <w:rPr>
                <w:sz w:val="13"/>
                <w:szCs w:val="13"/>
                <w:color w:val="auto"/>
              </w:rPr>
            </w:pPr>
          </w:p>
        </w:tc>
        <w:tc>
          <w:tcPr>
            <w:tcW w:w="9060" w:type="dxa"/>
            <w:vAlign w:val="bottom"/>
            <w:gridSpan w:val="21"/>
            <w:shd w:val="clear" w:color="auto" w:fill="CCEEFF"/>
          </w:tcPr>
          <w:p>
            <w:pPr>
              <w:spacing w:after="0" w:line="150" w:lineRule="exact"/>
              <w:rPr>
                <w:rFonts w:ascii="Arial" w:cs="Arial" w:eastAsia="Arial" w:hAnsi="Arial"/>
                <w:sz w:val="17"/>
                <w:szCs w:val="17"/>
                <w:color w:val="0000FF"/>
              </w:rPr>
            </w:pPr>
            <w:hyperlink r:id="rId69">
              <w:r>
                <w:rPr>
                  <w:rFonts w:ascii="Arial" w:cs="Arial" w:eastAsia="Arial" w:hAnsi="Arial"/>
                  <w:sz w:val="17"/>
                  <w:szCs w:val="17"/>
                  <w:color w:val="0000FF"/>
                </w:rPr>
                <w:t>Technologies Corporation and Wabtec US Rail, Inc.</w:t>
              </w:r>
            </w:hyperlink>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3.1</w:t>
            </w:r>
          </w:p>
        </w:tc>
        <w:tc>
          <w:tcPr>
            <w:tcW w:w="460" w:type="dxa"/>
            <w:vAlign w:val="bottom"/>
          </w:tcPr>
          <w:p>
            <w:pPr>
              <w:spacing w:after="0"/>
              <w:rPr>
                <w:sz w:val="16"/>
                <w:szCs w:val="16"/>
                <w:color w:val="auto"/>
              </w:rPr>
            </w:pPr>
          </w:p>
        </w:tc>
        <w:tc>
          <w:tcPr>
            <w:tcW w:w="8900" w:type="dxa"/>
            <w:vAlign w:val="bottom"/>
            <w:gridSpan w:val="24"/>
          </w:tcPr>
          <w:p>
            <w:pPr>
              <w:spacing w:after="0" w:line="184" w:lineRule="exact"/>
              <w:rPr>
                <w:rFonts w:ascii="Arial" w:cs="Arial" w:eastAsia="Arial" w:hAnsi="Arial"/>
                <w:sz w:val="17"/>
                <w:szCs w:val="17"/>
                <w:color w:val="0000FF"/>
              </w:rPr>
            </w:pPr>
            <w:hyperlink r:id="rId70">
              <w:r>
                <w:rPr>
                  <w:rFonts w:ascii="Arial" w:cs="Arial" w:eastAsia="Arial" w:hAnsi="Arial"/>
                  <w:sz w:val="17"/>
                  <w:szCs w:val="17"/>
                  <w:color w:val="0000FF"/>
                </w:rPr>
                <w:t>Restated Certificate of Incorporation of the Company dated January 30, 1995, as amended December 31, 2003</w:t>
              </w:r>
            </w:hyperlink>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0" w:type="dxa"/>
            <w:vAlign w:val="bottom"/>
            <w:tcBorders>
              <w:bottom w:val="single" w:sz="8" w:color="CCEEFF"/>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3.2</w:t>
            </w:r>
          </w:p>
        </w:tc>
        <w:tc>
          <w:tcPr>
            <w:tcW w:w="46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top w:val="single" w:sz="8" w:color="0000FF"/>
              <w:bottom w:val="single" w:sz="8" w:color="0000FF"/>
            </w:tcBorders>
            <w:gridSpan w:val="10"/>
            <w:shd w:val="clear" w:color="auto" w:fill="CCEEFF"/>
          </w:tcPr>
          <w:p>
            <w:pPr>
              <w:spacing w:after="0" w:line="193" w:lineRule="exact"/>
              <w:rPr>
                <w:rFonts w:ascii="Arial" w:cs="Arial" w:eastAsia="Arial" w:hAnsi="Arial"/>
                <w:sz w:val="17"/>
                <w:szCs w:val="17"/>
                <w:color w:val="0000FF"/>
                <w:w w:val="94"/>
              </w:rPr>
            </w:pPr>
            <w:hyperlink r:id="rId71">
              <w:r>
                <w:rPr>
                  <w:rFonts w:ascii="Arial" w:cs="Arial" w:eastAsia="Arial" w:hAnsi="Arial"/>
                  <w:sz w:val="17"/>
                  <w:szCs w:val="17"/>
                  <w:color w:val="0000FF"/>
                  <w:w w:val="94"/>
                </w:rPr>
                <w:t>Certificate of Amendment of Restated Certificate of Incorporation dated May 14, 2013</w:t>
              </w:r>
            </w:hyperlink>
          </w:p>
        </w:tc>
        <w:tc>
          <w:tcPr>
            <w:tcW w:w="164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1180" w:type="dxa"/>
            <w:vAlign w:val="bottom"/>
            <w:tcBorders>
              <w:bottom w:val="single" w:sz="8" w:color="CCEEFF"/>
            </w:tcBorders>
            <w:gridSpan w:val="11"/>
            <w:shd w:val="clear" w:color="auto" w:fill="CCEEFF"/>
          </w:tcPr>
          <w:p>
            <w:pPr>
              <w:spacing w:after="0"/>
              <w:rPr>
                <w:sz w:val="18"/>
                <w:szCs w:val="18"/>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3.3</w:t>
            </w:r>
          </w:p>
        </w:tc>
        <w:tc>
          <w:tcPr>
            <w:tcW w:w="460" w:type="dxa"/>
            <w:vAlign w:val="bottom"/>
          </w:tcPr>
          <w:p>
            <w:pPr>
              <w:spacing w:after="0"/>
              <w:rPr>
                <w:sz w:val="16"/>
                <w:szCs w:val="16"/>
                <w:color w:val="auto"/>
              </w:rPr>
            </w:pPr>
          </w:p>
        </w:tc>
        <w:tc>
          <w:tcPr>
            <w:tcW w:w="5480" w:type="dxa"/>
            <w:vAlign w:val="bottom"/>
            <w:tcBorders>
              <w:bottom w:val="single" w:sz="8" w:color="0000FF"/>
            </w:tcBorders>
            <w:gridSpan w:val="8"/>
          </w:tcPr>
          <w:p>
            <w:pPr>
              <w:spacing w:after="0" w:line="184" w:lineRule="exact"/>
              <w:rPr>
                <w:rFonts w:ascii="Arial" w:cs="Arial" w:eastAsia="Arial" w:hAnsi="Arial"/>
                <w:sz w:val="17"/>
                <w:szCs w:val="17"/>
                <w:color w:val="0000FF"/>
                <w:w w:val="92"/>
              </w:rPr>
            </w:pPr>
            <w:hyperlink r:id="rId72">
              <w:r>
                <w:rPr>
                  <w:rFonts w:ascii="Arial" w:cs="Arial" w:eastAsia="Arial" w:hAnsi="Arial"/>
                  <w:sz w:val="17"/>
                  <w:szCs w:val="17"/>
                  <w:color w:val="0000FF"/>
                  <w:w w:val="92"/>
                </w:rPr>
                <w:t xml:space="preserve">Amended and Restated By-Laws of the Company, effective </w:t>
              </w:r>
            </w:hyperlink>
            <w:r>
              <w:rPr>
                <w:rFonts w:ascii="Arial" w:cs="Arial" w:eastAsia="Arial" w:hAnsi="Arial"/>
                <w:sz w:val="17"/>
                <w:szCs w:val="17"/>
                <w:color w:val="0000FF"/>
                <w:w w:val="92"/>
              </w:rPr>
              <w:t>February 11, 2021</w:t>
            </w:r>
          </w:p>
        </w:tc>
        <w:tc>
          <w:tcPr>
            <w:tcW w:w="3420" w:type="dxa"/>
            <w:vAlign w:val="bottom"/>
            <w:gridSpan w:val="16"/>
          </w:tcPr>
          <w:p>
            <w:pPr>
              <w:spacing w:after="0"/>
              <w:rPr>
                <w:sz w:val="16"/>
                <w:szCs w:val="16"/>
                <w:color w:val="auto"/>
              </w:rPr>
            </w:pPr>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0" w:type="dxa"/>
            <w:vAlign w:val="bottom"/>
            <w:tcBorders>
              <w:bottom w:val="single" w:sz="8" w:color="CCEEFF"/>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3.4</w:t>
            </w:r>
          </w:p>
        </w:tc>
        <w:tc>
          <w:tcPr>
            <w:tcW w:w="4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0000FF"/>
            </w:tcBorders>
            <w:gridSpan w:val="12"/>
            <w:shd w:val="clear" w:color="auto" w:fill="CCEEFF"/>
          </w:tcPr>
          <w:p>
            <w:pPr>
              <w:spacing w:after="0" w:line="193" w:lineRule="exact"/>
              <w:rPr>
                <w:rFonts w:ascii="Arial" w:cs="Arial" w:eastAsia="Arial" w:hAnsi="Arial"/>
                <w:sz w:val="17"/>
                <w:szCs w:val="17"/>
                <w:color w:val="0000FF"/>
                <w:w w:val="93"/>
              </w:rPr>
            </w:pPr>
            <w:hyperlink r:id="rId73">
              <w:r>
                <w:rPr>
                  <w:rFonts w:ascii="Arial" w:cs="Arial" w:eastAsia="Arial" w:hAnsi="Arial"/>
                  <w:sz w:val="17"/>
                  <w:szCs w:val="17"/>
                  <w:color w:val="0000FF"/>
                  <w:w w:val="93"/>
                </w:rPr>
                <w:t>Certificate of Amendment to Restated Certificate of Incorporation dated November 19, 2018</w:t>
              </w:r>
            </w:hyperlink>
          </w:p>
        </w:tc>
        <w:tc>
          <w:tcPr>
            <w:tcW w:w="2420" w:type="dxa"/>
            <w:vAlign w:val="bottom"/>
            <w:tcBorders>
              <w:bottom w:val="single" w:sz="8" w:color="CCEEFF"/>
            </w:tcBorders>
            <w:gridSpan w:val="12"/>
            <w:shd w:val="clear" w:color="auto" w:fill="CCEEFF"/>
          </w:tcPr>
          <w:p>
            <w:pPr>
              <w:spacing w:after="0"/>
              <w:rPr>
                <w:sz w:val="18"/>
                <w:szCs w:val="18"/>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3.5</w:t>
            </w:r>
          </w:p>
        </w:tc>
        <w:tc>
          <w:tcPr>
            <w:tcW w:w="460" w:type="dxa"/>
            <w:vAlign w:val="bottom"/>
          </w:tcPr>
          <w:p>
            <w:pPr>
              <w:spacing w:after="0"/>
              <w:rPr>
                <w:sz w:val="15"/>
                <w:szCs w:val="15"/>
                <w:color w:val="auto"/>
              </w:rPr>
            </w:pPr>
          </w:p>
        </w:tc>
        <w:tc>
          <w:tcPr>
            <w:tcW w:w="8500" w:type="dxa"/>
            <w:vAlign w:val="bottom"/>
            <w:tcBorders>
              <w:bottom w:val="single" w:sz="8" w:color="0000FF"/>
            </w:tcBorders>
            <w:gridSpan w:val="17"/>
          </w:tcPr>
          <w:p>
            <w:pPr>
              <w:spacing w:after="0" w:line="184" w:lineRule="exact"/>
              <w:rPr>
                <w:rFonts w:ascii="Arial" w:cs="Arial" w:eastAsia="Arial" w:hAnsi="Arial"/>
                <w:sz w:val="17"/>
                <w:szCs w:val="17"/>
                <w:color w:val="0000FF"/>
                <w:w w:val="94"/>
              </w:rPr>
            </w:pPr>
            <w:hyperlink r:id="rId74">
              <w:r>
                <w:rPr>
                  <w:rFonts w:ascii="Arial" w:cs="Arial" w:eastAsia="Arial" w:hAnsi="Arial"/>
                  <w:sz w:val="17"/>
                  <w:szCs w:val="17"/>
                  <w:color w:val="0000FF"/>
                  <w:w w:val="94"/>
                </w:rPr>
                <w:t>Certificate of Designations of Series A Non-Voting Convertible Preferred Stock of Westinghouse Air Brake Technologies</w:t>
              </w:r>
            </w:hyperlink>
          </w:p>
        </w:tc>
        <w:tc>
          <w:tcPr>
            <w:tcW w:w="400" w:type="dxa"/>
            <w:vAlign w:val="bottom"/>
            <w:gridSpan w:val="7"/>
          </w:tcPr>
          <w:p>
            <w:pPr>
              <w:spacing w:after="0"/>
              <w:rPr>
                <w:sz w:val="15"/>
                <w:szCs w:val="15"/>
                <w:color w:val="auto"/>
              </w:rPr>
            </w:pPr>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8960" w:type="dxa"/>
            <w:vAlign w:val="bottom"/>
            <w:gridSpan w:val="18"/>
          </w:tcPr>
          <w:p>
            <w:pPr>
              <w:spacing w:after="0" w:line="150" w:lineRule="exact"/>
              <w:rPr>
                <w:rFonts w:ascii="Arial" w:cs="Arial" w:eastAsia="Arial" w:hAnsi="Arial"/>
                <w:sz w:val="17"/>
                <w:szCs w:val="17"/>
                <w:color w:val="0000FF"/>
              </w:rPr>
            </w:pPr>
            <w:hyperlink r:id="rId74">
              <w:r>
                <w:rPr>
                  <w:rFonts w:ascii="Arial" w:cs="Arial" w:eastAsia="Arial" w:hAnsi="Arial"/>
                  <w:sz w:val="17"/>
                  <w:szCs w:val="17"/>
                  <w:color w:val="0000FF"/>
                </w:rPr>
                <w:t>Corporation, dated February 22, 2019</w:t>
              </w:r>
            </w:hyperlink>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4.1</w:t>
            </w:r>
          </w:p>
        </w:tc>
        <w:tc>
          <w:tcPr>
            <w:tcW w:w="460" w:type="dxa"/>
            <w:vAlign w:val="bottom"/>
            <w:shd w:val="clear" w:color="auto" w:fill="CCEEFF"/>
          </w:tcPr>
          <w:p>
            <w:pPr>
              <w:spacing w:after="0"/>
              <w:rPr>
                <w:sz w:val="16"/>
                <w:szCs w:val="16"/>
                <w:color w:val="auto"/>
              </w:rPr>
            </w:pPr>
          </w:p>
        </w:tc>
        <w:tc>
          <w:tcPr>
            <w:tcW w:w="8900" w:type="dxa"/>
            <w:vAlign w:val="bottom"/>
            <w:gridSpan w:val="24"/>
            <w:shd w:val="clear" w:color="auto" w:fill="CCEEFF"/>
          </w:tcPr>
          <w:p>
            <w:pPr>
              <w:spacing w:after="0" w:line="193" w:lineRule="exact"/>
              <w:rPr>
                <w:rFonts w:ascii="Arial" w:cs="Arial" w:eastAsia="Arial" w:hAnsi="Arial"/>
                <w:sz w:val="17"/>
                <w:szCs w:val="17"/>
                <w:color w:val="0000FF"/>
              </w:rPr>
            </w:pPr>
            <w:hyperlink r:id="rId75">
              <w:r>
                <w:rPr>
                  <w:rFonts w:ascii="Arial" w:cs="Arial" w:eastAsia="Arial" w:hAnsi="Arial"/>
                  <w:sz w:val="17"/>
                  <w:szCs w:val="17"/>
                  <w:color w:val="0000FF"/>
                </w:rPr>
                <w:t>Indenture, dated August 8, 2013 by and between the Company and Wells Fargo, National Association, as Trustee</w:t>
              </w:r>
            </w:hyperlink>
          </w:p>
        </w:tc>
        <w:tc>
          <w:tcPr>
            <w:tcW w:w="860" w:type="dxa"/>
            <w:vAlign w:val="bottom"/>
            <w:tcBorders>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4.2</w:t>
            </w:r>
          </w:p>
        </w:tc>
        <w:tc>
          <w:tcPr>
            <w:tcW w:w="460" w:type="dxa"/>
            <w:vAlign w:val="bottom"/>
          </w:tcPr>
          <w:p>
            <w:pPr>
              <w:spacing w:after="0"/>
              <w:rPr>
                <w:sz w:val="15"/>
                <w:szCs w:val="15"/>
                <w:color w:val="auto"/>
              </w:rPr>
            </w:pPr>
          </w:p>
        </w:tc>
        <w:tc>
          <w:tcPr>
            <w:tcW w:w="8900" w:type="dxa"/>
            <w:vAlign w:val="bottom"/>
            <w:gridSpan w:val="24"/>
          </w:tcPr>
          <w:p>
            <w:pPr>
              <w:spacing w:after="0" w:line="184" w:lineRule="exact"/>
              <w:rPr>
                <w:rFonts w:ascii="Arial" w:cs="Arial" w:eastAsia="Arial" w:hAnsi="Arial"/>
                <w:sz w:val="17"/>
                <w:szCs w:val="17"/>
                <w:color w:val="0000FF"/>
              </w:rPr>
            </w:pPr>
            <w:hyperlink r:id="rId76">
              <w:r>
                <w:rPr>
                  <w:rFonts w:ascii="Arial" w:cs="Arial" w:eastAsia="Arial" w:hAnsi="Arial"/>
                  <w:sz w:val="17"/>
                  <w:szCs w:val="17"/>
                  <w:color w:val="0000FF"/>
                </w:rPr>
                <w:t>First Supplemental Indenture, dated August 8, 2013, by and between the Company and Wells Fargo Bank, National</w:t>
              </w:r>
            </w:hyperlink>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560" w:type="dxa"/>
            <w:vAlign w:val="bottom"/>
            <w:gridSpan w:val="6"/>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8520" w:type="dxa"/>
            <w:vAlign w:val="bottom"/>
            <w:gridSpan w:val="16"/>
          </w:tcPr>
          <w:p>
            <w:pPr>
              <w:spacing w:after="0" w:line="150" w:lineRule="exact"/>
              <w:rPr>
                <w:rFonts w:ascii="Arial" w:cs="Arial" w:eastAsia="Arial" w:hAnsi="Arial"/>
                <w:sz w:val="17"/>
                <w:szCs w:val="17"/>
                <w:color w:val="0000FF"/>
              </w:rPr>
            </w:pPr>
            <w:hyperlink r:id="rId76">
              <w:r>
                <w:rPr>
                  <w:rFonts w:ascii="Arial" w:cs="Arial" w:eastAsia="Arial" w:hAnsi="Arial"/>
                  <w:sz w:val="17"/>
                  <w:szCs w:val="17"/>
                  <w:color w:val="0000FF"/>
                </w:rPr>
                <w:t>Association, as Trustee</w:t>
              </w:r>
            </w:hyperlink>
          </w:p>
        </w:tc>
        <w:tc>
          <w:tcPr>
            <w:tcW w:w="560" w:type="dxa"/>
            <w:vAlign w:val="bottom"/>
            <w:gridSpan w:val="6"/>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4.3</w:t>
            </w:r>
          </w:p>
        </w:tc>
        <w:tc>
          <w:tcPr>
            <w:tcW w:w="460" w:type="dxa"/>
            <w:vAlign w:val="bottom"/>
            <w:shd w:val="clear" w:color="auto" w:fill="CCEEFF"/>
          </w:tcPr>
          <w:p>
            <w:pPr>
              <w:spacing w:after="0"/>
              <w:rPr>
                <w:sz w:val="16"/>
                <w:szCs w:val="16"/>
                <w:color w:val="auto"/>
              </w:rPr>
            </w:pPr>
          </w:p>
        </w:tc>
        <w:tc>
          <w:tcPr>
            <w:tcW w:w="8900" w:type="dxa"/>
            <w:vAlign w:val="bottom"/>
            <w:gridSpan w:val="24"/>
            <w:shd w:val="clear" w:color="auto" w:fill="CCEEFF"/>
          </w:tcPr>
          <w:p>
            <w:pPr>
              <w:spacing w:after="0" w:line="193" w:lineRule="exact"/>
              <w:rPr>
                <w:rFonts w:ascii="Arial" w:cs="Arial" w:eastAsia="Arial" w:hAnsi="Arial"/>
                <w:sz w:val="17"/>
                <w:szCs w:val="17"/>
                <w:color w:val="0000FF"/>
              </w:rPr>
            </w:pPr>
            <w:hyperlink r:id="rId76">
              <w:r>
                <w:rPr>
                  <w:rFonts w:ascii="Arial" w:cs="Arial" w:eastAsia="Arial" w:hAnsi="Arial"/>
                  <w:sz w:val="17"/>
                  <w:szCs w:val="17"/>
                  <w:color w:val="0000FF"/>
                </w:rPr>
                <w:t>Form of 4.375% Senior Note due 2023 (included in Exhibit 4.2)</w:t>
              </w:r>
            </w:hyperlink>
          </w:p>
        </w:tc>
        <w:tc>
          <w:tcPr>
            <w:tcW w:w="860" w:type="dxa"/>
            <w:vAlign w:val="bottom"/>
            <w:tcBorders>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0" w:type="dxa"/>
            <w:vAlign w:val="bottom"/>
            <w:tcBorders>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ind w:left="500"/>
              <w:spacing w:after="0" w:line="184" w:lineRule="exact"/>
              <w:rPr>
                <w:sz w:val="20"/>
                <w:szCs w:val="20"/>
                <w:color w:val="auto"/>
              </w:rPr>
            </w:pPr>
            <w:r>
              <w:rPr>
                <w:rFonts w:ascii="Arial" w:cs="Arial" w:eastAsia="Arial" w:hAnsi="Arial"/>
                <w:sz w:val="17"/>
                <w:szCs w:val="17"/>
                <w:color w:val="auto"/>
              </w:rPr>
              <w:t>4.4</w:t>
            </w:r>
          </w:p>
        </w:tc>
        <w:tc>
          <w:tcPr>
            <w:tcW w:w="460" w:type="dxa"/>
            <w:vAlign w:val="bottom"/>
          </w:tcPr>
          <w:p>
            <w:pPr>
              <w:spacing w:after="0"/>
              <w:rPr>
                <w:sz w:val="15"/>
                <w:szCs w:val="15"/>
                <w:color w:val="auto"/>
              </w:rPr>
            </w:pPr>
          </w:p>
        </w:tc>
        <w:tc>
          <w:tcPr>
            <w:tcW w:w="8900" w:type="dxa"/>
            <w:vAlign w:val="bottom"/>
            <w:gridSpan w:val="24"/>
          </w:tcPr>
          <w:p>
            <w:pPr>
              <w:spacing w:after="0" w:line="184" w:lineRule="exact"/>
              <w:rPr>
                <w:rFonts w:ascii="Arial" w:cs="Arial" w:eastAsia="Arial" w:hAnsi="Arial"/>
                <w:sz w:val="17"/>
                <w:szCs w:val="17"/>
                <w:color w:val="0000FF"/>
                <w:w w:val="93"/>
              </w:rPr>
            </w:pPr>
            <w:hyperlink r:id="rId77">
              <w:r>
                <w:rPr>
                  <w:rFonts w:ascii="Arial" w:cs="Arial" w:eastAsia="Arial" w:hAnsi="Arial"/>
                  <w:sz w:val="17"/>
                  <w:szCs w:val="17"/>
                  <w:color w:val="0000FF"/>
                  <w:w w:val="93"/>
                </w:rPr>
                <w:t>Second Supplemental Indenture, dated November 3, 2016, by and among Westinghouse Air Brake Technologies Corporation,</w:t>
              </w:r>
            </w:hyperlink>
          </w:p>
        </w:tc>
        <w:tc>
          <w:tcPr>
            <w:tcW w:w="860" w:type="dxa"/>
            <w:vAlign w:val="bottom"/>
            <w:gridSpan w:val="2"/>
          </w:tcPr>
          <w:p>
            <w:pPr>
              <w:jc w:val="right"/>
              <w:ind w:right="80"/>
              <w:spacing w:after="0" w:line="184"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gridSpan w:val="11"/>
            <w:shd w:val="clear" w:color="auto" w:fill="0000FF"/>
          </w:tcPr>
          <w:p>
            <w:pPr>
              <w:spacing w:after="0" w:line="20" w:lineRule="exact"/>
              <w:rPr>
                <w:sz w:val="1"/>
                <w:szCs w:val="1"/>
                <w:color w:val="auto"/>
              </w:rPr>
            </w:pPr>
          </w:p>
        </w:tc>
        <w:tc>
          <w:tcPr>
            <w:tcW w:w="236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9240" w:type="dxa"/>
            <w:vAlign w:val="bottom"/>
            <w:gridSpan w:val="24"/>
          </w:tcPr>
          <w:p>
            <w:pPr>
              <w:spacing w:after="0" w:line="150" w:lineRule="exact"/>
              <w:rPr>
                <w:rFonts w:ascii="Arial" w:cs="Arial" w:eastAsia="Arial" w:hAnsi="Arial"/>
                <w:sz w:val="17"/>
                <w:szCs w:val="17"/>
                <w:color w:val="0000FF"/>
              </w:rPr>
            </w:pPr>
            <w:hyperlink r:id="rId77">
              <w:r>
                <w:rPr>
                  <w:rFonts w:ascii="Arial" w:cs="Arial" w:eastAsia="Arial" w:hAnsi="Arial"/>
                  <w:sz w:val="17"/>
                  <w:szCs w:val="17"/>
                  <w:color w:val="0000FF"/>
                </w:rPr>
                <w:t>the subsidiary guarantors named therein and Wells Fargo Bank, National Association, as Trustee</w:t>
              </w:r>
            </w:hyperlink>
          </w:p>
        </w:tc>
        <w:tc>
          <w:tcPr>
            <w:tcW w:w="1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bottom w:val="single" w:sz="8" w:color="CCEEFF"/>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4.5</w:t>
            </w:r>
          </w:p>
        </w:tc>
        <w:tc>
          <w:tcPr>
            <w:tcW w:w="460" w:type="dxa"/>
            <w:vAlign w:val="bottom"/>
            <w:tcBorders>
              <w:bottom w:val="single" w:sz="8" w:color="CCEEFF"/>
            </w:tcBorders>
            <w:shd w:val="clear" w:color="auto" w:fill="CCEEFF"/>
          </w:tcPr>
          <w:p>
            <w:pPr>
              <w:spacing w:after="0"/>
              <w:rPr>
                <w:sz w:val="16"/>
                <w:szCs w:val="16"/>
                <w:color w:val="auto"/>
              </w:rPr>
            </w:pPr>
          </w:p>
        </w:tc>
        <w:tc>
          <w:tcPr>
            <w:tcW w:w="8660" w:type="dxa"/>
            <w:vAlign w:val="bottom"/>
            <w:tcBorders>
              <w:bottom w:val="single" w:sz="8" w:color="0000FF"/>
            </w:tcBorders>
            <w:gridSpan w:val="22"/>
            <w:shd w:val="clear" w:color="auto" w:fill="CCEEFF"/>
          </w:tcPr>
          <w:p>
            <w:pPr>
              <w:spacing w:after="0" w:line="193" w:lineRule="exact"/>
              <w:rPr>
                <w:rFonts w:ascii="Arial" w:cs="Arial" w:eastAsia="Arial" w:hAnsi="Arial"/>
                <w:sz w:val="17"/>
                <w:szCs w:val="17"/>
                <w:color w:val="0000FF"/>
                <w:w w:val="93"/>
              </w:rPr>
            </w:pPr>
            <w:hyperlink r:id="rId78">
              <w:r>
                <w:rPr>
                  <w:rFonts w:ascii="Arial" w:cs="Arial" w:eastAsia="Arial" w:hAnsi="Arial"/>
                  <w:sz w:val="17"/>
                  <w:szCs w:val="17"/>
                  <w:color w:val="0000FF"/>
                  <w:w w:val="93"/>
                </w:rPr>
                <w:t>Third Supplemental Indenture, dated November 3, 2016, by and among Westinghouse Air Brake Technologies Corporation,</w:t>
              </w:r>
            </w:hyperlink>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00" w:type="dxa"/>
            <w:vAlign w:val="bottom"/>
            <w:tcBorders>
              <w:right w:val="single" w:sz="8" w:color="CCEEFF"/>
            </w:tcBorders>
            <w:shd w:val="clear" w:color="auto" w:fill="CCEEFF"/>
          </w:tcPr>
          <w:p>
            <w:pPr>
              <w:spacing w:after="0"/>
              <w:rPr>
                <w:sz w:val="14"/>
                <w:szCs w:val="14"/>
                <w:color w:val="auto"/>
              </w:rPr>
            </w:pPr>
          </w:p>
        </w:tc>
        <w:tc>
          <w:tcPr>
            <w:tcW w:w="9120" w:type="dxa"/>
            <w:vAlign w:val="bottom"/>
            <w:gridSpan w:val="23"/>
            <w:shd w:val="clear" w:color="auto" w:fill="CCEEFF"/>
          </w:tcPr>
          <w:p>
            <w:pPr>
              <w:spacing w:after="0" w:line="150" w:lineRule="exact"/>
              <w:rPr>
                <w:rFonts w:ascii="Arial" w:cs="Arial" w:eastAsia="Arial" w:hAnsi="Arial"/>
                <w:sz w:val="17"/>
                <w:szCs w:val="17"/>
                <w:color w:val="0000FF"/>
              </w:rPr>
            </w:pPr>
            <w:hyperlink r:id="rId78">
              <w:r>
                <w:rPr>
                  <w:rFonts w:ascii="Arial" w:cs="Arial" w:eastAsia="Arial" w:hAnsi="Arial"/>
                  <w:sz w:val="17"/>
                  <w:szCs w:val="17"/>
                  <w:color w:val="0000FF"/>
                </w:rPr>
                <w:t>the subsidiary guarantors named therein and Wells Fargo Bank, National Association, as Trustee</w:t>
              </w:r>
            </w:hyperlink>
          </w:p>
        </w:tc>
        <w:tc>
          <w:tcPr>
            <w:tcW w:w="24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CCEEFF"/>
            </w:tcBorders>
          </w:tcPr>
          <w:p>
            <w:pPr>
              <w:ind w:left="500"/>
              <w:spacing w:after="0" w:line="184" w:lineRule="exact"/>
              <w:rPr>
                <w:sz w:val="20"/>
                <w:szCs w:val="20"/>
                <w:color w:val="auto"/>
              </w:rPr>
            </w:pPr>
            <w:r>
              <w:rPr>
                <w:rFonts w:ascii="Arial" w:cs="Arial" w:eastAsia="Arial" w:hAnsi="Arial"/>
                <w:sz w:val="17"/>
                <w:szCs w:val="17"/>
                <w:color w:val="auto"/>
              </w:rPr>
              <w:t>4.6</w:t>
            </w:r>
          </w:p>
        </w:tc>
        <w:tc>
          <w:tcPr>
            <w:tcW w:w="460" w:type="dxa"/>
            <w:vAlign w:val="bottom"/>
            <w:tcBorders>
              <w:top w:val="single" w:sz="8" w:color="0000FF"/>
            </w:tcBorders>
          </w:tcPr>
          <w:p>
            <w:pPr>
              <w:spacing w:after="0"/>
              <w:rPr>
                <w:sz w:val="15"/>
                <w:szCs w:val="15"/>
                <w:color w:val="auto"/>
              </w:rPr>
            </w:pPr>
          </w:p>
        </w:tc>
        <w:tc>
          <w:tcPr>
            <w:tcW w:w="6260" w:type="dxa"/>
            <w:vAlign w:val="bottom"/>
            <w:tcBorders>
              <w:top w:val="single" w:sz="8" w:color="0000FF"/>
            </w:tcBorders>
            <w:gridSpan w:val="11"/>
          </w:tcPr>
          <w:p>
            <w:pPr>
              <w:spacing w:after="0" w:line="184" w:lineRule="exact"/>
              <w:rPr>
                <w:rFonts w:ascii="Arial" w:cs="Arial" w:eastAsia="Arial" w:hAnsi="Arial"/>
                <w:sz w:val="17"/>
                <w:szCs w:val="17"/>
                <w:color w:val="0000FF"/>
              </w:rPr>
            </w:pPr>
            <w:hyperlink r:id="rId79">
              <w:r>
                <w:rPr>
                  <w:rFonts w:ascii="Arial" w:cs="Arial" w:eastAsia="Arial" w:hAnsi="Arial"/>
                  <w:sz w:val="17"/>
                  <w:szCs w:val="17"/>
                  <w:color w:val="0000FF"/>
                </w:rPr>
                <w:t>Form of 3.450% Senior Note due 2026 (included in Exhibit 4.5)</w:t>
              </w:r>
            </w:hyperlink>
          </w:p>
        </w:tc>
        <w:tc>
          <w:tcPr>
            <w:tcW w:w="2640" w:type="dxa"/>
            <w:vAlign w:val="bottom"/>
            <w:tcBorders>
              <w:top w:val="single" w:sz="8" w:color="CCEEFF"/>
            </w:tcBorders>
            <w:gridSpan w:val="13"/>
          </w:tcPr>
          <w:p>
            <w:pPr>
              <w:spacing w:after="0"/>
              <w:rPr>
                <w:sz w:val="15"/>
                <w:szCs w:val="15"/>
                <w:color w:val="auto"/>
              </w:rPr>
            </w:pPr>
          </w:p>
        </w:tc>
        <w:tc>
          <w:tcPr>
            <w:tcW w:w="860" w:type="dxa"/>
            <w:vAlign w:val="bottom"/>
            <w:tcBorders>
              <w:top w:val="single" w:sz="8" w:color="CCEEFF"/>
            </w:tcBorders>
            <w:gridSpan w:val="2"/>
          </w:tcPr>
          <w:p>
            <w:pPr>
              <w:jc w:val="right"/>
              <w:ind w:right="80"/>
              <w:spacing w:after="0" w:line="184"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right w:val="single" w:sz="8" w:color="CCEEFF"/>
            </w:tcBorders>
            <w:shd w:val="clear" w:color="auto" w:fill="CCEEFF"/>
          </w:tcPr>
          <w:p>
            <w:pPr>
              <w:ind w:left="500"/>
              <w:spacing w:after="0" w:line="193" w:lineRule="exact"/>
              <w:rPr>
                <w:sz w:val="20"/>
                <w:szCs w:val="20"/>
                <w:color w:val="auto"/>
              </w:rPr>
            </w:pPr>
            <w:r>
              <w:rPr>
                <w:rFonts w:ascii="Arial" w:cs="Arial" w:eastAsia="Arial" w:hAnsi="Arial"/>
                <w:sz w:val="17"/>
                <w:szCs w:val="17"/>
                <w:color w:val="auto"/>
              </w:rPr>
              <w:t>4.7</w:t>
            </w:r>
          </w:p>
        </w:tc>
        <w:tc>
          <w:tcPr>
            <w:tcW w:w="460" w:type="dxa"/>
            <w:vAlign w:val="bottom"/>
            <w:shd w:val="clear" w:color="auto" w:fill="CCEEFF"/>
          </w:tcPr>
          <w:p>
            <w:pPr>
              <w:spacing w:after="0"/>
              <w:rPr>
                <w:sz w:val="16"/>
                <w:szCs w:val="16"/>
                <w:color w:val="auto"/>
              </w:rPr>
            </w:pPr>
          </w:p>
        </w:tc>
        <w:tc>
          <w:tcPr>
            <w:tcW w:w="8900" w:type="dxa"/>
            <w:vAlign w:val="bottom"/>
            <w:gridSpan w:val="24"/>
            <w:shd w:val="clear" w:color="auto" w:fill="CCEEFF"/>
          </w:tcPr>
          <w:p>
            <w:pPr>
              <w:spacing w:after="0" w:line="193" w:lineRule="exact"/>
              <w:rPr>
                <w:rFonts w:ascii="Arial" w:cs="Arial" w:eastAsia="Arial" w:hAnsi="Arial"/>
                <w:sz w:val="17"/>
                <w:szCs w:val="17"/>
                <w:color w:val="0000FF"/>
                <w:w w:val="95"/>
              </w:rPr>
            </w:pPr>
            <w:hyperlink r:id="rId80">
              <w:r>
                <w:rPr>
                  <w:rFonts w:ascii="Arial" w:cs="Arial" w:eastAsia="Arial" w:hAnsi="Arial"/>
                  <w:sz w:val="17"/>
                  <w:szCs w:val="17"/>
                  <w:color w:val="0000FF"/>
                  <w:w w:val="95"/>
                </w:rPr>
                <w:t>Fourth Supplemental Indenture, dated February 9, 2017, by and among Westinghouse Air Brake Technologies Corporation,</w:t>
              </w:r>
            </w:hyperlink>
          </w:p>
        </w:tc>
        <w:tc>
          <w:tcPr>
            <w:tcW w:w="860" w:type="dxa"/>
            <w:vAlign w:val="bottom"/>
            <w:tcBorders>
              <w:right w:val="single" w:sz="8" w:color="CCEEFF"/>
            </w:tcBorders>
            <w:gridSpan w:val="2"/>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20" w:type="dxa"/>
            <w:vAlign w:val="bottom"/>
            <w:gridSpan w:val="21"/>
            <w:shd w:val="clear" w:color="auto" w:fill="0000FF"/>
          </w:tcPr>
          <w:p>
            <w:pPr>
              <w:spacing w:after="0" w:line="20" w:lineRule="exact"/>
              <w:rPr>
                <w:sz w:val="1"/>
                <w:szCs w:val="1"/>
                <w:color w:val="auto"/>
              </w:rPr>
            </w:pPr>
          </w:p>
        </w:tc>
        <w:tc>
          <w:tcPr>
            <w:tcW w:w="280" w:type="dxa"/>
            <w:vAlign w:val="bottom"/>
            <w:gridSpan w:val="3"/>
            <w:vMerge w:val="restart"/>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0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22"/>
            <w:shd w:val="clear" w:color="auto" w:fill="CCEEFF"/>
          </w:tcPr>
          <w:p>
            <w:pPr>
              <w:spacing w:after="0" w:line="150" w:lineRule="exact"/>
              <w:rPr>
                <w:rFonts w:ascii="Arial" w:cs="Arial" w:eastAsia="Arial" w:hAnsi="Arial"/>
                <w:sz w:val="17"/>
                <w:szCs w:val="17"/>
                <w:color w:val="0000FF"/>
              </w:rPr>
            </w:pPr>
            <w:hyperlink r:id="rId80">
              <w:r>
                <w:rPr>
                  <w:rFonts w:ascii="Arial" w:cs="Arial" w:eastAsia="Arial" w:hAnsi="Arial"/>
                  <w:sz w:val="17"/>
                  <w:szCs w:val="17"/>
                  <w:color w:val="0000FF"/>
                </w:rPr>
                <w:t>the subsidiary guarantors named therein and Wells Fargo Bank, National Association, as Trustee</w:t>
              </w:r>
            </w:hyperlink>
          </w:p>
        </w:tc>
        <w:tc>
          <w:tcPr>
            <w:tcW w:w="280" w:type="dxa"/>
            <w:vAlign w:val="bottom"/>
            <w:gridSpan w:val="3"/>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5"/>
        </w:trPr>
        <w:tc>
          <w:tcPr>
            <w:tcW w:w="1000" w:type="dxa"/>
            <w:vAlign w:val="bottom"/>
            <w:tcBorders>
              <w:top w:val="single" w:sz="8" w:color="CCEEFF"/>
            </w:tcBorders>
          </w:tcPr>
          <w:p>
            <w:pPr>
              <w:spacing w:after="0"/>
              <w:rPr>
                <w:sz w:val="24"/>
                <w:szCs w:val="24"/>
                <w:color w:val="auto"/>
              </w:rPr>
            </w:pPr>
          </w:p>
        </w:tc>
        <w:tc>
          <w:tcPr>
            <w:tcW w:w="4940" w:type="dxa"/>
            <w:vAlign w:val="bottom"/>
            <w:tcBorders>
              <w:top w:val="single" w:sz="8" w:color="0000FF"/>
            </w:tcBorders>
            <w:gridSpan w:val="8"/>
          </w:tcPr>
          <w:p>
            <w:pPr>
              <w:jc w:val="right"/>
              <w:ind w:right="220"/>
              <w:spacing w:after="0"/>
              <w:rPr>
                <w:sz w:val="20"/>
                <w:szCs w:val="20"/>
                <w:color w:val="auto"/>
              </w:rPr>
            </w:pPr>
            <w:r>
              <w:rPr>
                <w:rFonts w:ascii="Arial" w:cs="Arial" w:eastAsia="Arial" w:hAnsi="Arial"/>
                <w:sz w:val="17"/>
                <w:szCs w:val="17"/>
                <w:color w:val="auto"/>
              </w:rPr>
              <w:t>47</w:t>
            </w:r>
          </w:p>
        </w:tc>
        <w:tc>
          <w:tcPr>
            <w:tcW w:w="10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480" w:type="dxa"/>
            <w:vAlign w:val="bottom"/>
            <w:gridSpan w:val="2"/>
          </w:tcPr>
          <w:p>
            <w:pPr>
              <w:ind w:left="960"/>
              <w:spacing w:after="0"/>
              <w:rPr>
                <w:sz w:val="20"/>
                <w:szCs w:val="20"/>
                <w:color w:val="auto"/>
              </w:rPr>
            </w:pPr>
            <w:r>
              <w:rPr>
                <w:rFonts w:ascii="Arial" w:cs="Arial" w:eastAsia="Arial" w:hAnsi="Arial"/>
                <w:sz w:val="17"/>
                <w:szCs w:val="17"/>
                <w:color w:val="auto"/>
              </w:rPr>
              <w:t>4.8</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300" w:type="dxa"/>
            <w:vAlign w:val="bottom"/>
            <w:gridSpan w:val="30"/>
          </w:tcPr>
          <w:p>
            <w:pPr>
              <w:spacing w:after="0"/>
              <w:rPr>
                <w:rFonts w:ascii="Arial" w:cs="Arial" w:eastAsia="Arial" w:hAnsi="Arial"/>
                <w:sz w:val="17"/>
                <w:szCs w:val="17"/>
                <w:color w:val="0000FF"/>
              </w:rPr>
            </w:pPr>
            <w:hyperlink r:id="rId83">
              <w:r>
                <w:rPr>
                  <w:rFonts w:ascii="Arial" w:cs="Arial" w:eastAsia="Arial" w:hAnsi="Arial"/>
                  <w:sz w:val="17"/>
                  <w:szCs w:val="17"/>
                  <w:color w:val="0000FF"/>
                </w:rPr>
                <w:t>Fifth Supplemental Indenture, dated April 28, 2017, by and among Westinghouse Air Brake Technologies Corporation, the</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80" w:type="dxa"/>
            <w:vAlign w:val="bottom"/>
            <w:tcBorders>
              <w:bottom w:val="single" w:sz="8" w:color="0000FF"/>
            </w:tcBorders>
            <w:gridSpan w:val="13"/>
          </w:tcPr>
          <w:p>
            <w:pPr>
              <w:spacing w:after="0" w:line="150" w:lineRule="exact"/>
              <w:rPr>
                <w:rFonts w:ascii="Arial" w:cs="Arial" w:eastAsia="Arial" w:hAnsi="Arial"/>
                <w:sz w:val="17"/>
                <w:szCs w:val="17"/>
                <w:color w:val="0000FF"/>
                <w:w w:val="92"/>
              </w:rPr>
            </w:pPr>
            <w:hyperlink r:id="rId83">
              <w:r>
                <w:rPr>
                  <w:rFonts w:ascii="Arial" w:cs="Arial" w:eastAsia="Arial" w:hAnsi="Arial"/>
                  <w:sz w:val="17"/>
                  <w:szCs w:val="17"/>
                  <w:color w:val="0000FF"/>
                  <w:w w:val="92"/>
                </w:rPr>
                <w:t>subsidiary guarantors named therein and Wells Fargo Bank, National Association, as Trustee</w:t>
              </w:r>
            </w:hyperlink>
          </w:p>
        </w:tc>
        <w:tc>
          <w:tcPr>
            <w:tcW w:w="256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300" w:type="dxa"/>
            <w:vAlign w:val="bottom"/>
            <w:gridSpan w:val="30"/>
            <w:shd w:val="clear" w:color="auto" w:fill="CCEEFF"/>
          </w:tcPr>
          <w:p>
            <w:pPr>
              <w:spacing w:after="0" w:line="193" w:lineRule="exact"/>
              <w:rPr>
                <w:rFonts w:ascii="Arial" w:cs="Arial" w:eastAsia="Arial" w:hAnsi="Arial"/>
                <w:sz w:val="17"/>
                <w:szCs w:val="17"/>
                <w:color w:val="0000FF"/>
              </w:rPr>
            </w:pPr>
            <w:hyperlink r:id="rId84">
              <w:r>
                <w:rPr>
                  <w:rFonts w:ascii="Arial" w:cs="Arial" w:eastAsia="Arial" w:hAnsi="Arial"/>
                  <w:sz w:val="17"/>
                  <w:szCs w:val="17"/>
                  <w:color w:val="0000FF"/>
                </w:rPr>
                <w:t>Sixth Supplemental Indenture, dated June 21, 2017, by and among Westinghouse Air Brake Technologies Corporation, the</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6520" w:type="dxa"/>
            <w:vAlign w:val="bottom"/>
            <w:tcBorders>
              <w:bottom w:val="single" w:sz="8" w:color="0000FF"/>
            </w:tcBorders>
            <w:gridSpan w:val="14"/>
            <w:shd w:val="clear" w:color="auto" w:fill="CCEEFF"/>
          </w:tcPr>
          <w:p>
            <w:pPr>
              <w:spacing w:after="0" w:line="150"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subsidiary guarantors named therein and Wells Fargo Bank, National Association, as Trustee.</w:t>
              </w:r>
            </w:hyperlink>
          </w:p>
        </w:tc>
        <w:tc>
          <w:tcPr>
            <w:tcW w:w="2520" w:type="dxa"/>
            <w:vAlign w:val="bottom"/>
            <w:tcBorders>
              <w:bottom w:val="single" w:sz="8" w:color="CCEEFF"/>
              <w:right w:val="single" w:sz="8" w:color="CCEEFF"/>
            </w:tcBorders>
            <w:gridSpan w:val="9"/>
            <w:shd w:val="clear" w:color="auto" w:fill="CCEEFF"/>
          </w:tcPr>
          <w:p>
            <w:pPr>
              <w:spacing w:after="0"/>
              <w:rPr>
                <w:sz w:val="14"/>
                <w:szCs w:val="14"/>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4.10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00" w:type="dxa"/>
            <w:vAlign w:val="bottom"/>
            <w:tcBorders>
              <w:bottom w:val="single" w:sz="8" w:color="0000FF"/>
            </w:tcBorders>
            <w:gridSpan w:val="23"/>
          </w:tcPr>
          <w:p>
            <w:pPr>
              <w:spacing w:after="0" w:line="184" w:lineRule="exact"/>
              <w:rPr>
                <w:rFonts w:ascii="Arial" w:cs="Arial" w:eastAsia="Arial" w:hAnsi="Arial"/>
                <w:sz w:val="17"/>
                <w:szCs w:val="17"/>
                <w:color w:val="0000FF"/>
                <w:w w:val="92"/>
              </w:rPr>
            </w:pPr>
            <w:hyperlink r:id="rId85">
              <w:r>
                <w:rPr>
                  <w:rFonts w:ascii="Arial" w:cs="Arial" w:eastAsia="Arial" w:hAnsi="Arial"/>
                  <w:sz w:val="17"/>
                  <w:szCs w:val="17"/>
                  <w:color w:val="0000FF"/>
                  <w:w w:val="92"/>
                </w:rPr>
                <w:t>Seventh Supplemental Indenture, dated June 8, 2018, by and among Westinghouse Air Brake Technologies Corporation, the</w:t>
              </w:r>
            </w:hyperlink>
          </w:p>
        </w:tc>
        <w:tc>
          <w:tcPr>
            <w:tcW w:w="60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80" w:type="dxa"/>
            <w:vAlign w:val="bottom"/>
            <w:tcBorders>
              <w:bottom w:val="single" w:sz="8" w:color="0000FF"/>
            </w:tcBorders>
            <w:gridSpan w:val="13"/>
          </w:tcPr>
          <w:p>
            <w:pPr>
              <w:spacing w:after="0" w:line="150" w:lineRule="exact"/>
              <w:rPr>
                <w:rFonts w:ascii="Arial" w:cs="Arial" w:eastAsia="Arial" w:hAnsi="Arial"/>
                <w:sz w:val="17"/>
                <w:szCs w:val="17"/>
                <w:color w:val="0000FF"/>
                <w:w w:val="92"/>
              </w:rPr>
            </w:pPr>
            <w:hyperlink r:id="rId85">
              <w:r>
                <w:rPr>
                  <w:rFonts w:ascii="Arial" w:cs="Arial" w:eastAsia="Arial" w:hAnsi="Arial"/>
                  <w:sz w:val="17"/>
                  <w:szCs w:val="17"/>
                  <w:color w:val="0000FF"/>
                  <w:w w:val="92"/>
                </w:rPr>
                <w:t>subsidiary guarantors named therein and Wells Fargo Bank, National Association, as Trustee</w:t>
              </w:r>
            </w:hyperlink>
          </w:p>
        </w:tc>
        <w:tc>
          <w:tcPr>
            <w:tcW w:w="26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4.11</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300" w:type="dxa"/>
            <w:vAlign w:val="bottom"/>
            <w:gridSpan w:val="30"/>
            <w:shd w:val="clear" w:color="auto" w:fill="CCEEFF"/>
          </w:tcPr>
          <w:p>
            <w:pPr>
              <w:spacing w:after="0" w:line="193" w:lineRule="exact"/>
              <w:rPr>
                <w:rFonts w:ascii="Arial" w:cs="Arial" w:eastAsia="Arial" w:hAnsi="Arial"/>
                <w:sz w:val="17"/>
                <w:szCs w:val="17"/>
                <w:color w:val="0000FF"/>
                <w:w w:val="99"/>
              </w:rPr>
            </w:pPr>
            <w:hyperlink r:id="rId86">
              <w:r>
                <w:rPr>
                  <w:rFonts w:ascii="Arial" w:cs="Arial" w:eastAsia="Arial" w:hAnsi="Arial"/>
                  <w:sz w:val="17"/>
                  <w:szCs w:val="17"/>
                  <w:color w:val="0000FF"/>
                  <w:w w:val="99"/>
                </w:rPr>
                <w:t>Eighth Supplemental Indenture, dated June 29, 2018, by and among Westinghouse Air Brake Technologies Corporation, the</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c>
          <w:tcPr>
            <w:tcW w:w="40" w:type="dxa"/>
            <w:vAlign w:val="bottom"/>
            <w:gridSpan w:val="2"/>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6480" w:type="dxa"/>
            <w:vAlign w:val="bottom"/>
            <w:tcBorders>
              <w:bottom w:val="single" w:sz="8" w:color="0000FF"/>
            </w:tcBorders>
            <w:gridSpan w:val="13"/>
            <w:shd w:val="clear" w:color="auto" w:fill="CCEEFF"/>
          </w:tcPr>
          <w:p>
            <w:pPr>
              <w:spacing w:after="0" w:line="150" w:lineRule="exact"/>
              <w:rPr>
                <w:rFonts w:ascii="Arial" w:cs="Arial" w:eastAsia="Arial" w:hAnsi="Arial"/>
                <w:sz w:val="17"/>
                <w:szCs w:val="17"/>
                <w:color w:val="0000FF"/>
                <w:w w:val="92"/>
              </w:rPr>
            </w:pPr>
            <w:hyperlink r:id="rId86">
              <w:r>
                <w:rPr>
                  <w:rFonts w:ascii="Arial" w:cs="Arial" w:eastAsia="Arial" w:hAnsi="Arial"/>
                  <w:sz w:val="17"/>
                  <w:szCs w:val="17"/>
                  <w:color w:val="0000FF"/>
                  <w:w w:val="92"/>
                </w:rPr>
                <w:t>subsidiary guarantors named therein and Wells Fargo Bank, National Association, as Trustee</w:t>
              </w:r>
            </w:hyperlink>
          </w:p>
        </w:tc>
        <w:tc>
          <w:tcPr>
            <w:tcW w:w="2660" w:type="dxa"/>
            <w:vAlign w:val="bottom"/>
            <w:tcBorders>
              <w:bottom w:val="single" w:sz="8" w:color="CCEEFF"/>
              <w:right w:val="single" w:sz="8" w:color="CCEEFF"/>
            </w:tcBorders>
            <w:gridSpan w:val="11"/>
            <w:shd w:val="clear" w:color="auto" w:fill="CCEEFF"/>
          </w:tcPr>
          <w:p>
            <w:pPr>
              <w:spacing w:after="0"/>
              <w:rPr>
                <w:sz w:val="14"/>
                <w:szCs w:val="14"/>
                <w:color w:val="auto"/>
              </w:rPr>
            </w:pPr>
          </w:p>
        </w:tc>
        <w:tc>
          <w:tcPr>
            <w:tcW w:w="40" w:type="dxa"/>
            <w:vAlign w:val="bottom"/>
            <w:tcBorders>
              <w:bottom w:val="single" w:sz="8" w:color="CCEEFF"/>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4.12</w:t>
            </w:r>
          </w:p>
        </w:tc>
        <w:tc>
          <w:tcPr>
            <w:tcW w:w="460" w:type="dxa"/>
            <w:vAlign w:val="bottom"/>
            <w:gridSpan w:val="2"/>
            <w:vMerge w:val="restart"/>
          </w:tcPr>
          <w:p>
            <w:pPr>
              <w:spacing w:after="0"/>
              <w:rPr>
                <w:rFonts w:ascii="Arial" w:cs="Arial" w:eastAsia="Arial" w:hAnsi="Arial"/>
                <w:sz w:val="17"/>
                <w:szCs w:val="17"/>
                <w:color w:val="0000FF"/>
                <w:w w:val="98"/>
              </w:rPr>
            </w:pPr>
            <w:hyperlink r:id="rId87">
              <w:r>
                <w:rPr>
                  <w:rFonts w:ascii="Arial" w:cs="Arial" w:eastAsia="Arial" w:hAnsi="Arial"/>
                  <w:sz w:val="17"/>
                  <w:szCs w:val="17"/>
                  <w:color w:val="0000FF"/>
                  <w:w w:val="98"/>
                </w:rPr>
                <w:t>Fargo</w:t>
              </w:r>
            </w:hyperlink>
          </w:p>
        </w:tc>
        <w:tc>
          <w:tcPr>
            <w:tcW w:w="9300" w:type="dxa"/>
            <w:vAlign w:val="bottom"/>
            <w:gridSpan w:val="30"/>
          </w:tcPr>
          <w:p>
            <w:pPr>
              <w:spacing w:after="0" w:line="184" w:lineRule="exact"/>
              <w:rPr>
                <w:rFonts w:ascii="Arial" w:cs="Arial" w:eastAsia="Arial" w:hAnsi="Arial"/>
                <w:sz w:val="17"/>
                <w:szCs w:val="17"/>
                <w:color w:val="0000FF"/>
                <w:w w:val="96"/>
              </w:rPr>
            </w:pPr>
            <w:hyperlink r:id="rId87">
              <w:r>
                <w:rPr>
                  <w:rFonts w:ascii="Arial" w:cs="Arial" w:eastAsia="Arial" w:hAnsi="Arial"/>
                  <w:sz w:val="17"/>
                  <w:szCs w:val="17"/>
                  <w:color w:val="0000FF"/>
                  <w:w w:val="96"/>
                </w:rPr>
                <w:t>Ninth Supplemental Indenture, dated September 14, 2018, by and among the Company, the guarantors party thereto and Wells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82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87">
              <w:r>
                <w:rPr>
                  <w:rFonts w:ascii="Arial" w:cs="Arial" w:eastAsia="Arial" w:hAnsi="Arial"/>
                  <w:sz w:val="17"/>
                  <w:szCs w:val="17"/>
                  <w:color w:val="0000FF"/>
                </w:rPr>
                <w:t>Bank, National Association, as Trustee.</w:t>
              </w:r>
            </w:hyperlink>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4.13</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6"/>
            <w:shd w:val="clear" w:color="auto" w:fill="CCEEFF"/>
          </w:tcPr>
          <w:p>
            <w:pPr>
              <w:spacing w:after="0" w:line="193" w:lineRule="exact"/>
              <w:rPr>
                <w:rFonts w:ascii="Arial" w:cs="Arial" w:eastAsia="Arial" w:hAnsi="Arial"/>
                <w:sz w:val="17"/>
                <w:szCs w:val="17"/>
                <w:color w:val="0000FF"/>
                <w:w w:val="94"/>
              </w:rPr>
            </w:pPr>
            <w:hyperlink r:id="rId87">
              <w:r>
                <w:rPr>
                  <w:rFonts w:ascii="Arial" w:cs="Arial" w:eastAsia="Arial" w:hAnsi="Arial"/>
                  <w:sz w:val="17"/>
                  <w:szCs w:val="17"/>
                  <w:color w:val="0000FF"/>
                  <w:w w:val="94"/>
                </w:rPr>
                <w:t>Form of 1.150% Senior Note due 2024 (included in Exhibit 4.12)</w:t>
              </w:r>
            </w:hyperlink>
          </w:p>
        </w:tc>
        <w:tc>
          <w:tcPr>
            <w:tcW w:w="4720" w:type="dxa"/>
            <w:vAlign w:val="bottom"/>
            <w:tcBorders>
              <w:bottom w:val="single" w:sz="8" w:color="CCEEFF"/>
            </w:tcBorders>
            <w:gridSpan w:val="24"/>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4.14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Borders>
              <w:bottom w:val="single" w:sz="8" w:color="0000FF"/>
            </w:tcBorders>
            <w:gridSpan w:val="6"/>
          </w:tcPr>
          <w:p>
            <w:pPr>
              <w:spacing w:after="0" w:line="184" w:lineRule="exact"/>
              <w:rPr>
                <w:rFonts w:ascii="Arial" w:cs="Arial" w:eastAsia="Arial" w:hAnsi="Arial"/>
                <w:sz w:val="17"/>
                <w:szCs w:val="17"/>
                <w:color w:val="0000FF"/>
                <w:w w:val="94"/>
              </w:rPr>
            </w:pPr>
            <w:hyperlink r:id="rId87">
              <w:r>
                <w:rPr>
                  <w:rFonts w:ascii="Arial" w:cs="Arial" w:eastAsia="Arial" w:hAnsi="Arial"/>
                  <w:sz w:val="17"/>
                  <w:szCs w:val="17"/>
                  <w:color w:val="0000FF"/>
                  <w:w w:val="94"/>
                </w:rPr>
                <w:t>Form of 4.700% Senior Note due 2028 (included in Exhibit 4.12)</w:t>
              </w:r>
            </w:hyperlink>
          </w:p>
        </w:tc>
        <w:tc>
          <w:tcPr>
            <w:tcW w:w="4720" w:type="dxa"/>
            <w:vAlign w:val="bottom"/>
            <w:gridSpan w:val="24"/>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4.15</w:t>
            </w:r>
          </w:p>
        </w:tc>
        <w:tc>
          <w:tcPr>
            <w:tcW w:w="460" w:type="dxa"/>
            <w:vAlign w:val="bottom"/>
            <w:gridSpan w:val="2"/>
            <w:vMerge w:val="restart"/>
            <w:shd w:val="clear" w:color="auto" w:fill="CCEEFF"/>
          </w:tcPr>
          <w:p>
            <w:pPr>
              <w:spacing w:after="0"/>
              <w:rPr>
                <w:rFonts w:ascii="Arial" w:cs="Arial" w:eastAsia="Arial" w:hAnsi="Arial"/>
                <w:sz w:val="17"/>
                <w:szCs w:val="17"/>
                <w:color w:val="0000FF"/>
              </w:rPr>
            </w:pPr>
            <w:hyperlink r:id="rId88">
              <w:r>
                <w:rPr>
                  <w:rFonts w:ascii="Arial" w:cs="Arial" w:eastAsia="Arial" w:hAnsi="Arial"/>
                  <w:sz w:val="17"/>
                  <w:szCs w:val="17"/>
                  <w:color w:val="0000FF"/>
                </w:rPr>
                <w:t>Bank,</w:t>
              </w:r>
            </w:hyperlink>
          </w:p>
        </w:tc>
        <w:tc>
          <w:tcPr>
            <w:tcW w:w="9300" w:type="dxa"/>
            <w:vAlign w:val="bottom"/>
            <w:gridSpan w:val="30"/>
            <w:shd w:val="clear" w:color="auto" w:fill="CCEEFF"/>
          </w:tcPr>
          <w:p>
            <w:pPr>
              <w:spacing w:after="0" w:line="193" w:lineRule="exact"/>
              <w:rPr>
                <w:rFonts w:ascii="Arial" w:cs="Arial" w:eastAsia="Arial" w:hAnsi="Arial"/>
                <w:sz w:val="17"/>
                <w:szCs w:val="17"/>
                <w:color w:val="0000FF"/>
                <w:w w:val="97"/>
              </w:rPr>
            </w:pPr>
            <w:hyperlink r:id="rId88">
              <w:r>
                <w:rPr>
                  <w:rFonts w:ascii="Arial" w:cs="Arial" w:eastAsia="Arial" w:hAnsi="Arial"/>
                  <w:sz w:val="17"/>
                  <w:szCs w:val="17"/>
                  <w:color w:val="0000FF"/>
                  <w:w w:val="97"/>
                </w:rPr>
                <w:t>Tenth Supplemental Indenture, dated June 6, 2019, by and among the Company, the guarantors party thereto and Wells Fargo</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0000FF"/>
            </w:tcBorders>
            <w:gridSpan w:val="2"/>
            <w:vMerge w:val="continue"/>
            <w:shd w:val="clear" w:color="auto" w:fill="CCEEFF"/>
          </w:tcPr>
          <w:p>
            <w:pPr>
              <w:spacing w:after="0"/>
              <w:rPr>
                <w:sz w:val="14"/>
                <w:szCs w:val="14"/>
                <w:color w:val="auto"/>
              </w:rPr>
            </w:pPr>
          </w:p>
        </w:tc>
        <w:tc>
          <w:tcPr>
            <w:tcW w:w="2260" w:type="dxa"/>
            <w:vAlign w:val="bottom"/>
            <w:tcBorders>
              <w:top w:val="single" w:sz="8" w:color="0000FF"/>
              <w:bottom w:val="single" w:sz="8" w:color="0000FF"/>
            </w:tcBorders>
            <w:gridSpan w:val="2"/>
            <w:shd w:val="clear" w:color="auto" w:fill="CCEEFF"/>
          </w:tcPr>
          <w:p>
            <w:pPr>
              <w:spacing w:after="0" w:line="150" w:lineRule="exact"/>
              <w:rPr>
                <w:rFonts w:ascii="Arial" w:cs="Arial" w:eastAsia="Arial" w:hAnsi="Arial"/>
                <w:sz w:val="17"/>
                <w:szCs w:val="17"/>
                <w:color w:val="0000FF"/>
                <w:w w:val="91"/>
              </w:rPr>
            </w:pPr>
            <w:hyperlink r:id="rId88">
              <w:r>
                <w:rPr>
                  <w:rFonts w:ascii="Arial" w:cs="Arial" w:eastAsia="Arial" w:hAnsi="Arial"/>
                  <w:sz w:val="17"/>
                  <w:szCs w:val="17"/>
                  <w:color w:val="0000FF"/>
                  <w:w w:val="91"/>
                </w:rPr>
                <w:t>National Association, as Trustee</w:t>
              </w:r>
            </w:hyperlink>
          </w:p>
        </w:tc>
        <w:tc>
          <w:tcPr>
            <w:tcW w:w="6500" w:type="dxa"/>
            <w:vAlign w:val="bottom"/>
            <w:tcBorders>
              <w:top w:val="single" w:sz="8" w:color="0000FF"/>
              <w:bottom w:val="single" w:sz="8" w:color="CCEEFF"/>
            </w:tcBorders>
            <w:gridSpan w:val="2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4.16</w:t>
            </w:r>
          </w:p>
        </w:tc>
        <w:tc>
          <w:tcPr>
            <w:tcW w:w="460" w:type="dxa"/>
            <w:vAlign w:val="bottom"/>
            <w:gridSpan w:val="2"/>
            <w:vMerge w:val="restart"/>
          </w:tcPr>
          <w:p>
            <w:pPr>
              <w:spacing w:after="0"/>
              <w:rPr>
                <w:rFonts w:ascii="Arial" w:cs="Arial" w:eastAsia="Arial" w:hAnsi="Arial"/>
                <w:sz w:val="17"/>
                <w:szCs w:val="17"/>
                <w:color w:val="0000FF"/>
                <w:w w:val="98"/>
              </w:rPr>
            </w:pPr>
            <w:hyperlink r:id="rId89">
              <w:r>
                <w:rPr>
                  <w:rFonts w:ascii="Arial" w:cs="Arial" w:eastAsia="Arial" w:hAnsi="Arial"/>
                  <w:sz w:val="17"/>
                  <w:szCs w:val="17"/>
                  <w:color w:val="0000FF"/>
                  <w:w w:val="98"/>
                </w:rPr>
                <w:t>Fargo</w:t>
              </w:r>
            </w:hyperlink>
          </w:p>
        </w:tc>
        <w:tc>
          <w:tcPr>
            <w:tcW w:w="9300" w:type="dxa"/>
            <w:vAlign w:val="bottom"/>
            <w:gridSpan w:val="30"/>
          </w:tcPr>
          <w:p>
            <w:pPr>
              <w:spacing w:after="0" w:line="184" w:lineRule="exact"/>
              <w:rPr>
                <w:rFonts w:ascii="Arial" w:cs="Arial" w:eastAsia="Arial" w:hAnsi="Arial"/>
                <w:sz w:val="17"/>
                <w:szCs w:val="17"/>
                <w:color w:val="0000FF"/>
              </w:rPr>
            </w:pPr>
            <w:hyperlink r:id="rId89">
              <w:r>
                <w:rPr>
                  <w:rFonts w:ascii="Arial" w:cs="Arial" w:eastAsia="Arial" w:hAnsi="Arial"/>
                  <w:sz w:val="17"/>
                  <w:szCs w:val="17"/>
                  <w:color w:val="0000FF"/>
                </w:rPr>
                <w:t>Eleventh Supplement Indenture, dated June 29, 2020, by and among the Company, the guarantors party thereto and Wells</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580" w:type="dxa"/>
            <w:vAlign w:val="bottom"/>
            <w:tcBorders>
              <w:top w:val="single" w:sz="8" w:color="0000FF"/>
            </w:tcBorders>
            <w:gridSpan w:val="21"/>
          </w:tcPr>
          <w:p>
            <w:pPr>
              <w:spacing w:after="0" w:line="150" w:lineRule="exact"/>
              <w:rPr>
                <w:rFonts w:ascii="Arial" w:cs="Arial" w:eastAsia="Arial" w:hAnsi="Arial"/>
                <w:sz w:val="17"/>
                <w:szCs w:val="17"/>
                <w:color w:val="0000FF"/>
              </w:rPr>
            </w:pPr>
            <w:hyperlink r:id="rId89">
              <w:r>
                <w:rPr>
                  <w:rFonts w:ascii="Arial" w:cs="Arial" w:eastAsia="Arial" w:hAnsi="Arial"/>
                  <w:sz w:val="17"/>
                  <w:szCs w:val="17"/>
                  <w:color w:val="0000FF"/>
                </w:rPr>
                <w:t>Bank, National Association, as Trustee</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4.17</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6"/>
            <w:shd w:val="clear" w:color="auto" w:fill="CCEEFF"/>
          </w:tcPr>
          <w:p>
            <w:pPr>
              <w:spacing w:after="0" w:line="193" w:lineRule="exact"/>
              <w:rPr>
                <w:rFonts w:ascii="Arial" w:cs="Arial" w:eastAsia="Arial" w:hAnsi="Arial"/>
                <w:sz w:val="17"/>
                <w:szCs w:val="17"/>
                <w:color w:val="0000FF"/>
                <w:w w:val="94"/>
              </w:rPr>
            </w:pPr>
            <w:hyperlink r:id="rId89">
              <w:r>
                <w:rPr>
                  <w:rFonts w:ascii="Arial" w:cs="Arial" w:eastAsia="Arial" w:hAnsi="Arial"/>
                  <w:sz w:val="17"/>
                  <w:szCs w:val="17"/>
                  <w:color w:val="0000FF"/>
                  <w:w w:val="94"/>
                </w:rPr>
                <w:t>Form of 3.200% Senior Note due 2025 (included in Exhibit 4.16)</w:t>
              </w:r>
            </w:hyperlink>
          </w:p>
        </w:tc>
        <w:tc>
          <w:tcPr>
            <w:tcW w:w="4720" w:type="dxa"/>
            <w:vAlign w:val="bottom"/>
            <w:tcBorders>
              <w:bottom w:val="single" w:sz="8" w:color="CCEEFF"/>
            </w:tcBorders>
            <w:gridSpan w:val="24"/>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4.18</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84" w:lineRule="exact"/>
              <w:rPr>
                <w:rFonts w:ascii="Arial" w:cs="Arial" w:eastAsia="Arial" w:hAnsi="Arial"/>
                <w:sz w:val="17"/>
                <w:szCs w:val="17"/>
                <w:color w:val="0000FF"/>
              </w:rPr>
            </w:pPr>
            <w:hyperlink w:anchor="page1">
              <w:r>
                <w:rPr>
                  <w:rFonts w:ascii="Arial" w:cs="Arial" w:eastAsia="Arial" w:hAnsi="Arial"/>
                  <w:sz w:val="17"/>
                  <w:szCs w:val="17"/>
                  <w:color w:val="0000FF"/>
                </w:rPr>
                <w:t>Description of Wabtec Common Stock registered pursuant to Section 12 of the Securities Act of 1934</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4.19</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740" w:type="dxa"/>
            <w:vAlign w:val="bottom"/>
            <w:tcBorders>
              <w:bottom w:val="single" w:sz="8" w:color="0000FF"/>
            </w:tcBorders>
            <w:gridSpan w:val="25"/>
            <w:shd w:val="clear" w:color="auto" w:fill="CCEEFF"/>
          </w:tcPr>
          <w:p>
            <w:pPr>
              <w:spacing w:after="0" w:line="193" w:lineRule="exact"/>
              <w:rPr>
                <w:rFonts w:ascii="Arial" w:cs="Arial" w:eastAsia="Arial" w:hAnsi="Arial"/>
                <w:sz w:val="17"/>
                <w:szCs w:val="17"/>
                <w:color w:val="0000FF"/>
                <w:w w:val="91"/>
              </w:rPr>
            </w:pPr>
            <w:hyperlink r:id="rId90">
              <w:r>
                <w:rPr>
                  <w:rFonts w:ascii="Arial" w:cs="Arial" w:eastAsia="Arial" w:hAnsi="Arial"/>
                  <w:sz w:val="17"/>
                  <w:szCs w:val="17"/>
                  <w:color w:val="0000FF"/>
                  <w:w w:val="91"/>
                </w:rPr>
                <w:t>Base Indenture, dated as of June 3, 2021, among Wabtec Transportation Netherlands B.V., as issuer, Westinghouse Air Brake</w:t>
              </w:r>
            </w:hyperlink>
          </w:p>
        </w:tc>
        <w:tc>
          <w:tcPr>
            <w:tcW w:w="560" w:type="dxa"/>
            <w:vAlign w:val="bottom"/>
            <w:tcBorders>
              <w:bottom w:val="single" w:sz="8" w:color="CCEEFF"/>
            </w:tcBorders>
            <w:gridSpan w:val="5"/>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200" w:type="dxa"/>
            <w:vAlign w:val="bottom"/>
            <w:gridSpan w:val="27"/>
            <w:shd w:val="clear" w:color="auto" w:fill="CCEEFF"/>
          </w:tcPr>
          <w:p>
            <w:pPr>
              <w:spacing w:after="0" w:line="150" w:lineRule="exact"/>
              <w:rPr>
                <w:rFonts w:ascii="Arial" w:cs="Arial" w:eastAsia="Arial" w:hAnsi="Arial"/>
                <w:sz w:val="17"/>
                <w:szCs w:val="17"/>
                <w:color w:val="0000FF"/>
              </w:rPr>
            </w:pPr>
            <w:hyperlink r:id="rId90">
              <w:r>
                <w:rPr>
                  <w:rFonts w:ascii="Arial" w:cs="Arial" w:eastAsia="Arial" w:hAnsi="Arial"/>
                  <w:sz w:val="17"/>
                  <w:szCs w:val="17"/>
                  <w:color w:val="0000FF"/>
                </w:rPr>
                <w:t>Technologies Corporation, as guarantor, and U.S. Bank National Association, as Trustee</w:t>
              </w:r>
            </w:hyperlink>
          </w:p>
        </w:tc>
        <w:tc>
          <w:tcPr>
            <w:tcW w:w="40" w:type="dxa"/>
            <w:vAlign w:val="bottom"/>
            <w:gridSpan w:val="2"/>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80" w:type="dxa"/>
            <w:vAlign w:val="bottom"/>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1000" w:type="dxa"/>
            <w:vAlign w:val="bottom"/>
          </w:tcPr>
          <w:p>
            <w:pPr>
              <w:ind w:left="480"/>
              <w:spacing w:after="0" w:line="184" w:lineRule="exact"/>
              <w:rPr>
                <w:sz w:val="20"/>
                <w:szCs w:val="20"/>
                <w:color w:val="auto"/>
              </w:rPr>
            </w:pPr>
            <w:r>
              <w:rPr>
                <w:rFonts w:ascii="Arial" w:cs="Arial" w:eastAsia="Arial" w:hAnsi="Arial"/>
                <w:sz w:val="17"/>
                <w:szCs w:val="17"/>
                <w:color w:val="auto"/>
              </w:rPr>
              <w:t>4.20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84" w:lineRule="exact"/>
              <w:rPr>
                <w:rFonts w:ascii="Arial" w:cs="Arial" w:eastAsia="Arial" w:hAnsi="Arial"/>
                <w:sz w:val="17"/>
                <w:szCs w:val="17"/>
                <w:color w:val="0000FF"/>
              </w:rPr>
            </w:pPr>
            <w:hyperlink r:id="rId91">
              <w:r>
                <w:rPr>
                  <w:rFonts w:ascii="Arial" w:cs="Arial" w:eastAsia="Arial" w:hAnsi="Arial"/>
                  <w:sz w:val="17"/>
                  <w:szCs w:val="17"/>
                  <w:color w:val="0000FF"/>
                </w:rPr>
                <w:t>First Supplemental Indenture, dated as of June 3, 2021, among Wabtec Transportation Netherlands B.V., as issuer,</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20" w:type="dxa"/>
            <w:vAlign w:val="bottom"/>
            <w:gridSpan w:val="19"/>
          </w:tcPr>
          <w:p>
            <w:pPr>
              <w:spacing w:after="0" w:line="150" w:lineRule="exact"/>
              <w:rPr>
                <w:rFonts w:ascii="Arial" w:cs="Arial" w:eastAsia="Arial" w:hAnsi="Arial"/>
                <w:sz w:val="17"/>
                <w:szCs w:val="17"/>
                <w:color w:val="0000FF"/>
                <w:w w:val="98"/>
              </w:rPr>
            </w:pPr>
            <w:hyperlink r:id="rId91">
              <w:r>
                <w:rPr>
                  <w:rFonts w:ascii="Arial" w:cs="Arial" w:eastAsia="Arial" w:hAnsi="Arial"/>
                  <w:sz w:val="17"/>
                  <w:szCs w:val="17"/>
                  <w:color w:val="0000FF"/>
                  <w:w w:val="98"/>
                </w:rPr>
                <w:t>Westinghouse Air Brake Technologies Corporation, as guarantor, and U.S. Bank National Association, as Trustee</w:t>
              </w:r>
            </w:hyperlink>
          </w:p>
        </w:tc>
        <w:tc>
          <w:tcPr>
            <w:tcW w:w="4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4.21</w:t>
            </w:r>
          </w:p>
        </w:tc>
        <w:tc>
          <w:tcPr>
            <w:tcW w:w="34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4680" w:type="dxa"/>
            <w:vAlign w:val="bottom"/>
            <w:tcBorders>
              <w:top w:val="single" w:sz="8" w:color="0000FF"/>
              <w:bottom w:val="single" w:sz="8" w:color="0000FF"/>
            </w:tcBorders>
            <w:gridSpan w:val="7"/>
            <w:shd w:val="clear" w:color="auto" w:fill="CCEEFF"/>
          </w:tcPr>
          <w:p>
            <w:pPr>
              <w:spacing w:after="0" w:line="193" w:lineRule="exact"/>
              <w:rPr>
                <w:rFonts w:ascii="Arial" w:cs="Arial" w:eastAsia="Arial" w:hAnsi="Arial"/>
                <w:sz w:val="17"/>
                <w:szCs w:val="17"/>
                <w:color w:val="0000FF"/>
                <w:w w:val="94"/>
              </w:rPr>
            </w:pPr>
            <w:hyperlink r:id="rId91">
              <w:r>
                <w:rPr>
                  <w:rFonts w:ascii="Arial" w:cs="Arial" w:eastAsia="Arial" w:hAnsi="Arial"/>
                  <w:sz w:val="17"/>
                  <w:szCs w:val="17"/>
                  <w:color w:val="0000FF"/>
                  <w:w w:val="94"/>
                </w:rPr>
                <w:t>Form of 1.250% Notes due 2027 (included in Exhibit 4.20 hereof).</w:t>
              </w:r>
            </w:hyperlink>
          </w:p>
        </w:tc>
        <w:tc>
          <w:tcPr>
            <w:tcW w:w="278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1840" w:type="dxa"/>
            <w:vAlign w:val="bottom"/>
            <w:tcBorders>
              <w:bottom w:val="single" w:sz="8" w:color="CCEEFF"/>
            </w:tcBorders>
            <w:gridSpan w:val="15"/>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ind w:left="960"/>
              <w:spacing w:after="0" w:line="171" w:lineRule="exact"/>
              <w:rPr>
                <w:sz w:val="20"/>
                <w:szCs w:val="20"/>
                <w:color w:val="auto"/>
              </w:rPr>
            </w:pPr>
            <w:r>
              <w:rPr>
                <w:rFonts w:ascii="Arial" w:cs="Arial" w:eastAsia="Arial" w:hAnsi="Arial"/>
                <w:sz w:val="17"/>
                <w:szCs w:val="17"/>
                <w:color w:val="auto"/>
              </w:rPr>
              <w:t>10.1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00" w:type="dxa"/>
            <w:vAlign w:val="bottom"/>
            <w:gridSpan w:val="30"/>
          </w:tcPr>
          <w:p>
            <w:pPr>
              <w:spacing w:after="0" w:line="171" w:lineRule="exact"/>
              <w:rPr>
                <w:sz w:val="20"/>
                <w:szCs w:val="20"/>
                <w:color w:val="auto"/>
              </w:rPr>
            </w:pPr>
            <w:r>
              <w:rPr>
                <w:rFonts w:ascii="Arial" w:cs="Arial" w:eastAsia="Arial" w:hAnsi="Arial"/>
                <w:sz w:val="17"/>
                <w:szCs w:val="17"/>
                <w:color w:val="auto"/>
              </w:rPr>
              <w:t>Agreement of Sale and Purchase of the North American Operations of the Railway Products Group, an operating division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760" w:type="dxa"/>
            <w:vAlign w:val="bottom"/>
            <w:gridSpan w:val="32"/>
          </w:tcPr>
          <w:p>
            <w:pPr>
              <w:spacing w:after="0" w:line="171" w:lineRule="exact"/>
              <w:rPr>
                <w:sz w:val="20"/>
                <w:szCs w:val="20"/>
                <w:color w:val="auto"/>
              </w:rPr>
            </w:pPr>
            <w:r>
              <w:rPr>
                <w:rFonts w:ascii="Arial" w:cs="Arial" w:eastAsia="Arial" w:hAnsi="Arial"/>
                <w:sz w:val="17"/>
                <w:szCs w:val="17"/>
                <w:color w:val="auto"/>
                <w:w w:val="99"/>
              </w:rPr>
              <w:t>American Standard Inc. (now known as Trane), dated as of 1990 between Rail Acquisition Corp. and American Standard Inc. (only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60" w:type="dxa"/>
            <w:vAlign w:val="bottom"/>
            <w:gridSpan w:val="32"/>
          </w:tcPr>
          <w:p>
            <w:pPr>
              <w:spacing w:after="0"/>
              <w:rPr>
                <w:sz w:val="20"/>
                <w:szCs w:val="20"/>
                <w:color w:val="auto"/>
              </w:rPr>
            </w:pPr>
            <w:r>
              <w:rPr>
                <w:rFonts w:ascii="Arial" w:cs="Arial" w:eastAsia="Arial" w:hAnsi="Arial"/>
                <w:sz w:val="17"/>
                <w:szCs w:val="17"/>
                <w:color w:val="auto"/>
              </w:rPr>
              <w:t>provisions on indemnification are reproduced)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000" w:type="dxa"/>
            <w:vAlign w:val="bottom"/>
            <w:shd w:val="clear" w:color="auto" w:fill="CCEEFF"/>
          </w:tcPr>
          <w:p>
            <w:pPr>
              <w:ind w:left="480"/>
              <w:spacing w:after="0" w:line="172" w:lineRule="exact"/>
              <w:rPr>
                <w:sz w:val="20"/>
                <w:szCs w:val="20"/>
                <w:color w:val="auto"/>
              </w:rPr>
            </w:pPr>
            <w:r>
              <w:rPr>
                <w:rFonts w:ascii="Arial" w:cs="Arial" w:eastAsia="Arial" w:hAnsi="Arial"/>
                <w:sz w:val="17"/>
                <w:szCs w:val="17"/>
                <w:color w:val="auto"/>
              </w:rPr>
              <w:t>10.2</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300" w:type="dxa"/>
            <w:vAlign w:val="bottom"/>
            <w:gridSpan w:val="30"/>
            <w:shd w:val="clear" w:color="auto" w:fill="CCEEFF"/>
          </w:tcPr>
          <w:p>
            <w:pPr>
              <w:spacing w:after="0" w:line="172" w:lineRule="exact"/>
              <w:rPr>
                <w:sz w:val="20"/>
                <w:szCs w:val="20"/>
                <w:color w:val="auto"/>
              </w:rPr>
            </w:pPr>
            <w:r>
              <w:rPr>
                <w:rFonts w:ascii="Arial" w:cs="Arial" w:eastAsia="Arial" w:hAnsi="Arial"/>
                <w:sz w:val="17"/>
                <w:szCs w:val="17"/>
                <w:color w:val="auto"/>
                <w:w w:val="97"/>
              </w:rPr>
              <w:t>Letter Agreement (undated) between the Company and American Standard Inc. (now known as Trane) on environmental costs</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760" w:type="dxa"/>
            <w:vAlign w:val="bottom"/>
            <w:gridSpan w:val="32"/>
            <w:shd w:val="clear" w:color="auto" w:fill="CCEEFF"/>
          </w:tcPr>
          <w:p>
            <w:pPr>
              <w:spacing w:after="0"/>
              <w:rPr>
                <w:sz w:val="20"/>
                <w:szCs w:val="20"/>
                <w:color w:val="auto"/>
              </w:rPr>
            </w:pPr>
            <w:r>
              <w:rPr>
                <w:rFonts w:ascii="Arial" w:cs="Arial" w:eastAsia="Arial" w:hAnsi="Arial"/>
                <w:sz w:val="17"/>
                <w:szCs w:val="17"/>
                <w:color w:val="auto"/>
              </w:rPr>
              <w:t>and sharing</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ind w:left="960"/>
              <w:spacing w:after="0" w:line="171" w:lineRule="exact"/>
              <w:rPr>
                <w:sz w:val="20"/>
                <w:szCs w:val="20"/>
                <w:color w:val="auto"/>
              </w:rPr>
            </w:pPr>
            <w:r>
              <w:rPr>
                <w:rFonts w:ascii="Arial" w:cs="Arial" w:eastAsia="Arial" w:hAnsi="Arial"/>
                <w:sz w:val="17"/>
                <w:szCs w:val="17"/>
                <w:color w:val="auto"/>
              </w:rPr>
              <w:t>10.3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00" w:type="dxa"/>
            <w:vAlign w:val="bottom"/>
            <w:gridSpan w:val="30"/>
          </w:tcPr>
          <w:p>
            <w:pPr>
              <w:spacing w:after="0" w:line="171" w:lineRule="exact"/>
              <w:rPr>
                <w:sz w:val="20"/>
                <w:szCs w:val="20"/>
                <w:color w:val="auto"/>
              </w:rPr>
            </w:pPr>
            <w:r>
              <w:rPr>
                <w:rFonts w:ascii="Arial" w:cs="Arial" w:eastAsia="Arial" w:hAnsi="Arial"/>
                <w:sz w:val="17"/>
                <w:szCs w:val="17"/>
                <w:color w:val="auto"/>
              </w:rPr>
              <w:t>Purchase Agreement dated as of June 17, 1992 among the Company, Schuller International, Inc., Manville Corporation and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60" w:type="dxa"/>
            <w:vAlign w:val="bottom"/>
            <w:gridSpan w:val="32"/>
          </w:tcPr>
          <w:p>
            <w:pPr>
              <w:spacing w:after="0"/>
              <w:rPr>
                <w:sz w:val="20"/>
                <w:szCs w:val="20"/>
                <w:color w:val="auto"/>
              </w:rPr>
            </w:pPr>
            <w:r>
              <w:rPr>
                <w:rFonts w:ascii="Arial" w:cs="Arial" w:eastAsia="Arial" w:hAnsi="Arial"/>
                <w:sz w:val="17"/>
                <w:szCs w:val="17"/>
                <w:color w:val="auto"/>
              </w:rPr>
              <w:t>European Overseas Corporation (only provisions on indemnification are reproduced)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000" w:type="dxa"/>
            <w:vAlign w:val="bottom"/>
            <w:shd w:val="clear" w:color="auto" w:fill="CCEEFF"/>
          </w:tcPr>
          <w:p>
            <w:pPr>
              <w:ind w:left="480"/>
              <w:spacing w:after="0" w:line="184" w:lineRule="exact"/>
              <w:rPr>
                <w:sz w:val="20"/>
                <w:szCs w:val="20"/>
                <w:color w:val="auto"/>
              </w:rPr>
            </w:pPr>
            <w:r>
              <w:rPr>
                <w:rFonts w:ascii="Arial" w:cs="Arial" w:eastAsia="Arial" w:hAnsi="Arial"/>
                <w:sz w:val="17"/>
                <w:szCs w:val="17"/>
                <w:color w:val="auto"/>
              </w:rPr>
              <w:t>10.4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00" w:type="dxa"/>
            <w:vAlign w:val="bottom"/>
            <w:gridSpan w:val="30"/>
            <w:shd w:val="clear" w:color="auto" w:fill="CCEEFF"/>
          </w:tcPr>
          <w:p>
            <w:pPr>
              <w:spacing w:after="0" w:line="184" w:lineRule="exact"/>
              <w:rPr>
                <w:rFonts w:ascii="Arial" w:cs="Arial" w:eastAsia="Arial" w:hAnsi="Arial"/>
                <w:sz w:val="17"/>
                <w:szCs w:val="17"/>
                <w:color w:val="0000FF"/>
              </w:rPr>
            </w:pPr>
            <w:hyperlink r:id="rId92">
              <w:r>
                <w:rPr>
                  <w:rFonts w:ascii="Arial" w:cs="Arial" w:eastAsia="Arial" w:hAnsi="Arial"/>
                  <w:sz w:val="17"/>
                  <w:szCs w:val="17"/>
                  <w:color w:val="0000FF"/>
                </w:rPr>
                <w:t>Westinghouse Air Brake Company 1995 Non-Employee Directors’ Fee and Stock Option Plan, as amended and restated*</w:t>
              </w:r>
            </w:hyperlink>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00" w:type="dxa"/>
            <w:vAlign w:val="bottom"/>
            <w:tcBorders>
              <w:top w:val="single" w:sz="8" w:color="CCEEFF"/>
            </w:tcBorders>
          </w:tcPr>
          <w:p>
            <w:pPr>
              <w:ind w:left="480"/>
              <w:spacing w:after="0" w:line="184" w:lineRule="exact"/>
              <w:rPr>
                <w:sz w:val="20"/>
                <w:szCs w:val="20"/>
                <w:color w:val="auto"/>
              </w:rPr>
            </w:pPr>
            <w:r>
              <w:rPr>
                <w:rFonts w:ascii="Arial" w:cs="Arial" w:eastAsia="Arial" w:hAnsi="Arial"/>
                <w:sz w:val="17"/>
                <w:szCs w:val="17"/>
                <w:color w:val="auto"/>
              </w:rPr>
              <w:t>10.5</w:t>
            </w: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420" w:type="dxa"/>
            <w:vAlign w:val="bottom"/>
            <w:tcBorders>
              <w:top w:val="single" w:sz="8" w:color="0000FF"/>
              <w:bottom w:val="single" w:sz="8" w:color="0000FF"/>
            </w:tcBorders>
            <w:gridSpan w:val="19"/>
          </w:tcPr>
          <w:p>
            <w:pPr>
              <w:spacing w:after="0" w:line="184" w:lineRule="exact"/>
              <w:rPr>
                <w:rFonts w:ascii="Arial" w:cs="Arial" w:eastAsia="Arial" w:hAnsi="Arial"/>
                <w:sz w:val="17"/>
                <w:szCs w:val="17"/>
                <w:color w:val="0000FF"/>
                <w:w w:val="92"/>
              </w:rPr>
            </w:pPr>
            <w:hyperlink r:id="rId93">
              <w:r>
                <w:rPr>
                  <w:rFonts w:ascii="Arial" w:cs="Arial" w:eastAsia="Arial" w:hAnsi="Arial"/>
                  <w:sz w:val="17"/>
                  <w:szCs w:val="17"/>
                  <w:color w:val="0000FF"/>
                  <w:w w:val="92"/>
                </w:rPr>
                <w:t>Westinghouse Air Brake Technologies Corporation 2000 Stock Incentive Plan, as Westinghouse Air Brake Technologies</w:t>
              </w:r>
            </w:hyperlink>
          </w:p>
        </w:tc>
        <w:tc>
          <w:tcPr>
            <w:tcW w:w="60" w:type="dxa"/>
            <w:vAlign w:val="bottom"/>
            <w:tcBorders>
              <w:top w:val="single" w:sz="8" w:color="0000FF"/>
            </w:tcBorders>
          </w:tcPr>
          <w:p>
            <w:pPr>
              <w:spacing w:after="0"/>
              <w:rPr>
                <w:sz w:val="15"/>
                <w:szCs w:val="15"/>
                <w:color w:val="auto"/>
              </w:rPr>
            </w:pPr>
          </w:p>
        </w:tc>
        <w:tc>
          <w:tcPr>
            <w:tcW w:w="820" w:type="dxa"/>
            <w:vAlign w:val="bottom"/>
            <w:tcBorders>
              <w:top w:val="single" w:sz="8" w:color="CCEEFF"/>
            </w:tcBorders>
            <w:gridSpan w:val="10"/>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80" w:type="dxa"/>
            <w:vAlign w:val="bottom"/>
            <w:gridSpan w:val="21"/>
          </w:tcPr>
          <w:p>
            <w:pPr>
              <w:spacing w:after="0" w:line="150" w:lineRule="exact"/>
              <w:rPr>
                <w:rFonts w:ascii="Arial" w:cs="Arial" w:eastAsia="Arial" w:hAnsi="Arial"/>
                <w:sz w:val="17"/>
                <w:szCs w:val="17"/>
                <w:color w:val="0000FF"/>
              </w:rPr>
            </w:pPr>
            <w:hyperlink r:id="rId93">
              <w:r>
                <w:rPr>
                  <w:rFonts w:ascii="Arial" w:cs="Arial" w:eastAsia="Arial" w:hAnsi="Arial"/>
                  <w:sz w:val="17"/>
                  <w:szCs w:val="17"/>
                  <w:color w:val="0000FF"/>
                </w:rPr>
                <w:t xml:space="preserve">Corporation 2000 Stock Incentive Plan, as amended * </w:t>
              </w:r>
            </w:hyperlink>
            <w:hyperlink r:id="rId94">
              <w:r>
                <w:rPr>
                  <w:rFonts w:ascii="Arial" w:cs="Arial" w:eastAsia="Arial" w:hAnsi="Arial"/>
                  <w:sz w:val="17"/>
                  <w:szCs w:val="17"/>
                  <w:color w:val="0000FF"/>
                </w:rPr>
                <w:t>*</w:t>
              </w:r>
            </w:hyperlink>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300" w:type="dxa"/>
            <w:vAlign w:val="bottom"/>
            <w:gridSpan w:val="30"/>
            <w:shd w:val="clear" w:color="auto" w:fill="CCEEFF"/>
          </w:tcPr>
          <w:p>
            <w:pPr>
              <w:spacing w:after="0" w:line="193" w:lineRule="exact"/>
              <w:rPr>
                <w:rFonts w:ascii="Arial" w:cs="Arial" w:eastAsia="Arial" w:hAnsi="Arial"/>
                <w:sz w:val="17"/>
                <w:szCs w:val="17"/>
                <w:color w:val="0000FF"/>
              </w:rPr>
            </w:pPr>
            <w:hyperlink r:id="rId95">
              <w:r>
                <w:rPr>
                  <w:rFonts w:ascii="Arial" w:cs="Arial" w:eastAsia="Arial" w:hAnsi="Arial"/>
                  <w:sz w:val="17"/>
                  <w:szCs w:val="17"/>
                  <w:color w:val="0000FF"/>
                </w:rPr>
                <w:t>Employment Agreement with Albert J. Neupaver, dated February 1, 2006 *</w:t>
              </w:r>
            </w:hyperlink>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tcBorders>
              <w:top w:val="single" w:sz="8" w:color="CCEEFF"/>
            </w:tcBorders>
          </w:tcPr>
          <w:p>
            <w:pPr>
              <w:ind w:left="480"/>
              <w:spacing w:after="0" w:line="184" w:lineRule="exact"/>
              <w:rPr>
                <w:sz w:val="20"/>
                <w:szCs w:val="20"/>
                <w:color w:val="auto"/>
              </w:rPr>
            </w:pPr>
            <w:r>
              <w:rPr>
                <w:rFonts w:ascii="Arial" w:cs="Arial" w:eastAsia="Arial" w:hAnsi="Arial"/>
                <w:sz w:val="17"/>
                <w:szCs w:val="17"/>
                <w:color w:val="auto"/>
              </w:rPr>
              <w:t>10.7</w:t>
            </w: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740" w:type="dxa"/>
            <w:vAlign w:val="bottom"/>
            <w:tcBorders>
              <w:top w:val="single" w:sz="8" w:color="0000FF"/>
              <w:bottom w:val="single" w:sz="8" w:color="0000FF"/>
            </w:tcBorders>
            <w:gridSpan w:val="4"/>
          </w:tcPr>
          <w:p>
            <w:pPr>
              <w:spacing w:after="0" w:line="184" w:lineRule="exact"/>
              <w:rPr>
                <w:rFonts w:ascii="Arial" w:cs="Arial" w:eastAsia="Arial" w:hAnsi="Arial"/>
                <w:sz w:val="17"/>
                <w:szCs w:val="17"/>
                <w:color w:val="0000FF"/>
                <w:w w:val="94"/>
              </w:rPr>
            </w:pPr>
            <w:hyperlink r:id="rId96">
              <w:r>
                <w:rPr>
                  <w:rFonts w:ascii="Arial" w:cs="Arial" w:eastAsia="Arial" w:hAnsi="Arial"/>
                  <w:sz w:val="17"/>
                  <w:szCs w:val="17"/>
                  <w:color w:val="0000FF"/>
                  <w:w w:val="94"/>
                </w:rPr>
                <w:t>Form of Restricted Stock Agreement *</w:t>
              </w:r>
            </w:hyperlink>
          </w:p>
        </w:tc>
        <w:tc>
          <w:tcPr>
            <w:tcW w:w="2540" w:type="dxa"/>
            <w:vAlign w:val="bottom"/>
            <w:tcBorders>
              <w:top w:val="single" w:sz="8" w:color="0000FF"/>
            </w:tcBorders>
            <w:gridSpan w:val="5"/>
          </w:tcPr>
          <w:p>
            <w:pPr>
              <w:spacing w:after="0"/>
              <w:rPr>
                <w:sz w:val="16"/>
                <w:szCs w:val="16"/>
                <w:color w:val="auto"/>
              </w:rPr>
            </w:pPr>
          </w:p>
        </w:tc>
        <w:tc>
          <w:tcPr>
            <w:tcW w:w="4020" w:type="dxa"/>
            <w:vAlign w:val="bottom"/>
            <w:tcBorders>
              <w:top w:val="single" w:sz="8" w:color="CCEEFF"/>
            </w:tcBorders>
            <w:gridSpan w:val="21"/>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10.8</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720" w:type="dxa"/>
            <w:vAlign w:val="bottom"/>
            <w:tcBorders>
              <w:bottom w:val="single" w:sz="8" w:color="0000FF"/>
            </w:tcBorders>
            <w:gridSpan w:val="24"/>
            <w:shd w:val="clear" w:color="auto" w:fill="CCEEFF"/>
          </w:tcPr>
          <w:p>
            <w:pPr>
              <w:spacing w:after="0" w:line="193"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Westinghouse Air Brake Technologies Corporation 2011 Stock Incentive Plan as amended and restated, as further amended*</w:t>
              </w:r>
            </w:hyperlink>
          </w:p>
        </w:tc>
        <w:tc>
          <w:tcPr>
            <w:tcW w:w="580" w:type="dxa"/>
            <w:vAlign w:val="bottom"/>
            <w:tcBorders>
              <w:bottom w:val="single" w:sz="8" w:color="CCEEFF"/>
            </w:tcBorders>
            <w:gridSpan w:val="6"/>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10.9</w:t>
            </w:r>
          </w:p>
        </w:tc>
        <w:tc>
          <w:tcPr>
            <w:tcW w:w="340" w:type="dxa"/>
            <w:vAlign w:val="bottom"/>
            <w:vMerge w:val="restart"/>
          </w:tcPr>
          <w:p>
            <w:pPr>
              <w:spacing w:after="0"/>
              <w:rPr>
                <w:rFonts w:ascii="Arial" w:cs="Arial" w:eastAsia="Arial" w:hAnsi="Arial"/>
                <w:sz w:val="17"/>
                <w:szCs w:val="17"/>
                <w:color w:val="0000FF"/>
                <w:w w:val="84"/>
              </w:rPr>
            </w:pPr>
            <w:hyperlink r:id="rId98">
              <w:r>
                <w:rPr>
                  <w:rFonts w:ascii="Arial" w:cs="Arial" w:eastAsia="Arial" w:hAnsi="Arial"/>
                  <w:sz w:val="17"/>
                  <w:szCs w:val="17"/>
                  <w:color w:val="0000FF"/>
                  <w:w w:val="84"/>
                </w:rPr>
                <w:t>2008</w:t>
              </w:r>
            </w:hyperlink>
          </w:p>
        </w:tc>
        <w:tc>
          <w:tcPr>
            <w:tcW w:w="120" w:type="dxa"/>
            <w:vAlign w:val="bottom"/>
          </w:tcPr>
          <w:p>
            <w:pPr>
              <w:spacing w:after="0"/>
              <w:rPr>
                <w:sz w:val="15"/>
                <w:szCs w:val="15"/>
                <w:color w:val="auto"/>
              </w:rPr>
            </w:pPr>
          </w:p>
        </w:tc>
        <w:tc>
          <w:tcPr>
            <w:tcW w:w="9300" w:type="dxa"/>
            <w:vAlign w:val="bottom"/>
            <w:gridSpan w:val="30"/>
          </w:tcPr>
          <w:p>
            <w:pPr>
              <w:spacing w:after="0" w:line="184" w:lineRule="exact"/>
              <w:rPr>
                <w:rFonts w:ascii="Arial" w:cs="Arial" w:eastAsia="Arial" w:hAnsi="Arial"/>
                <w:sz w:val="17"/>
                <w:szCs w:val="17"/>
                <w:color w:val="0000FF"/>
                <w:w w:val="96"/>
              </w:rPr>
            </w:pPr>
            <w:hyperlink r:id="rId98">
              <w:r>
                <w:rPr>
                  <w:rFonts w:ascii="Arial" w:cs="Arial" w:eastAsia="Arial" w:hAnsi="Arial"/>
                  <w:sz w:val="17"/>
                  <w:szCs w:val="17"/>
                  <w:color w:val="0000FF"/>
                  <w:w w:val="96"/>
                </w:rPr>
                <w:t>Stock Purchase Agreement, by and among the Company, Standard Car Truck Company and Robclif, Inc., dated September 12,</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Borders>
              <w:bottom w:val="single" w:sz="8" w:color="0000FF"/>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10.10</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300" w:type="dxa"/>
            <w:vAlign w:val="bottom"/>
            <w:gridSpan w:val="30"/>
            <w:shd w:val="clear" w:color="auto" w:fill="CCEEFF"/>
          </w:tcPr>
          <w:p>
            <w:pPr>
              <w:spacing w:after="0" w:line="193" w:lineRule="exact"/>
              <w:rPr>
                <w:rFonts w:ascii="Arial" w:cs="Arial" w:eastAsia="Arial" w:hAnsi="Arial"/>
                <w:sz w:val="17"/>
                <w:szCs w:val="17"/>
                <w:color w:val="0000FF"/>
                <w:w w:val="99"/>
              </w:rPr>
            </w:pPr>
            <w:hyperlink r:id="rId99">
              <w:r>
                <w:rPr>
                  <w:rFonts w:ascii="Arial" w:cs="Arial" w:eastAsia="Arial" w:hAnsi="Arial"/>
                  <w:sz w:val="17"/>
                  <w:szCs w:val="17"/>
                  <w:color w:val="0000FF"/>
                  <w:w w:val="99"/>
                </w:rPr>
                <w:t>Form of Employment Continuation Agreement entered into by the Company with Rafael Santana, David L. DeNinno, Patrick</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520" w:type="dxa"/>
            <w:vAlign w:val="bottom"/>
            <w:gridSpan w:val="3"/>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240" w:type="dxa"/>
            <w:vAlign w:val="bottom"/>
            <w:gridSpan w:val="29"/>
            <w:shd w:val="clear" w:color="auto" w:fill="CCEEFF"/>
          </w:tcPr>
          <w:p>
            <w:pPr>
              <w:spacing w:after="0" w:line="150" w:lineRule="exact"/>
              <w:rPr>
                <w:rFonts w:ascii="Arial" w:cs="Arial" w:eastAsia="Arial" w:hAnsi="Arial"/>
                <w:sz w:val="17"/>
                <w:szCs w:val="17"/>
                <w:color w:val="0000FF"/>
              </w:rPr>
            </w:pPr>
            <w:hyperlink r:id="rId99">
              <w:r>
                <w:rPr>
                  <w:rFonts w:ascii="Arial" w:cs="Arial" w:eastAsia="Arial" w:hAnsi="Arial"/>
                  <w:sz w:val="17"/>
                  <w:szCs w:val="17"/>
                  <w:color w:val="0000FF"/>
                </w:rPr>
                <w:t>D. Dugan, Nicole Theophilus, Michael E. Fetsko, and John A Mastalerz Jr.*</w:t>
              </w:r>
            </w:hyperlink>
          </w:p>
        </w:tc>
        <w:tc>
          <w:tcPr>
            <w:tcW w:w="52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80" w:type="dxa"/>
            <w:vAlign w:val="bottom"/>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1000" w:type="dxa"/>
            <w:vAlign w:val="bottom"/>
          </w:tcPr>
          <w:p>
            <w:pPr>
              <w:ind w:left="480"/>
              <w:spacing w:after="0" w:line="184" w:lineRule="exact"/>
              <w:rPr>
                <w:sz w:val="20"/>
                <w:szCs w:val="20"/>
                <w:color w:val="auto"/>
              </w:rPr>
            </w:pPr>
            <w:r>
              <w:rPr>
                <w:rFonts w:ascii="Arial" w:cs="Arial" w:eastAsia="Arial" w:hAnsi="Arial"/>
                <w:sz w:val="17"/>
                <w:szCs w:val="17"/>
                <w:color w:val="auto"/>
              </w:rPr>
              <w:t>10.11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84" w:lineRule="exact"/>
              <w:rPr>
                <w:rFonts w:ascii="Arial" w:cs="Arial" w:eastAsia="Arial" w:hAnsi="Arial"/>
                <w:sz w:val="17"/>
                <w:szCs w:val="17"/>
                <w:color w:val="0000FF"/>
              </w:rPr>
            </w:pPr>
            <w:hyperlink r:id="rId100">
              <w:r>
                <w:rPr>
                  <w:rFonts w:ascii="Arial" w:cs="Arial" w:eastAsia="Arial" w:hAnsi="Arial"/>
                  <w:sz w:val="17"/>
                  <w:szCs w:val="17"/>
                  <w:color w:val="0000FF"/>
                </w:rPr>
                <w:t>Wabtec Corporation Deferred Compensation Plan for Executive Officers and Directors as adopted December 10, 2009 *</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100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10.12</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80" w:type="dxa"/>
            <w:vAlign w:val="bottom"/>
            <w:tcBorders>
              <w:bottom w:val="single" w:sz="8" w:color="0000FF"/>
              <w:right w:val="single" w:sz="8" w:color="CCEEFF"/>
            </w:tcBorders>
            <w:gridSpan w:val="22"/>
            <w:shd w:val="clear" w:color="auto" w:fill="CCEEFF"/>
          </w:tcPr>
          <w:p>
            <w:pPr>
              <w:spacing w:after="0" w:line="193" w:lineRule="exact"/>
              <w:rPr>
                <w:rFonts w:ascii="Arial" w:cs="Arial" w:eastAsia="Arial" w:hAnsi="Arial"/>
                <w:sz w:val="17"/>
                <w:szCs w:val="17"/>
                <w:color w:val="0000FF"/>
                <w:w w:val="93"/>
              </w:rPr>
            </w:pPr>
            <w:hyperlink r:id="rId101">
              <w:r>
                <w:rPr>
                  <w:rFonts w:ascii="Arial" w:cs="Arial" w:eastAsia="Arial" w:hAnsi="Arial"/>
                  <w:sz w:val="17"/>
                  <w:szCs w:val="17"/>
                  <w:color w:val="0000FF"/>
                  <w:w w:val="93"/>
                </w:rPr>
                <w:t>Form of Agreement for Nonstatutory Stock Option under the 1995 Non-Employee Directors’ Fee and Stock Option Plan, as</w:t>
              </w:r>
            </w:hyperlink>
          </w:p>
        </w:tc>
        <w:tc>
          <w:tcPr>
            <w:tcW w:w="620" w:type="dxa"/>
            <w:vAlign w:val="bottom"/>
            <w:tcBorders>
              <w:bottom w:val="single" w:sz="8" w:color="CCEEFF"/>
            </w:tcBorders>
            <w:gridSpan w:val="8"/>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0000FF"/>
            </w:tcBorders>
            <w:gridSpan w:val="3"/>
            <w:shd w:val="clear" w:color="auto" w:fill="CCEEFF"/>
          </w:tcPr>
          <w:p>
            <w:pPr>
              <w:spacing w:after="0" w:line="150" w:lineRule="exact"/>
              <w:rPr>
                <w:rFonts w:ascii="Arial" w:cs="Arial" w:eastAsia="Arial" w:hAnsi="Arial"/>
                <w:sz w:val="17"/>
                <w:szCs w:val="17"/>
                <w:color w:val="0000FF"/>
                <w:w w:val="89"/>
              </w:rPr>
            </w:pPr>
            <w:hyperlink r:id="rId101">
              <w:r>
                <w:rPr>
                  <w:rFonts w:ascii="Arial" w:cs="Arial" w:eastAsia="Arial" w:hAnsi="Arial"/>
                  <w:sz w:val="17"/>
                  <w:szCs w:val="17"/>
                  <w:color w:val="0000FF"/>
                  <w:w w:val="89"/>
                </w:rPr>
                <w:t>amended and restated*</w:t>
              </w:r>
            </w:hyperlink>
          </w:p>
        </w:tc>
        <w:tc>
          <w:tcPr>
            <w:tcW w:w="7540" w:type="dxa"/>
            <w:vAlign w:val="bottom"/>
            <w:tcBorders>
              <w:bottom w:val="single" w:sz="8" w:color="CCEEFF"/>
              <w:right w:val="single" w:sz="8" w:color="CCEEFF"/>
            </w:tcBorders>
            <w:gridSpan w:val="21"/>
            <w:shd w:val="clear" w:color="auto" w:fill="CCEEFF"/>
          </w:tcPr>
          <w:p>
            <w:pPr>
              <w:spacing w:after="0"/>
              <w:rPr>
                <w:sz w:val="14"/>
                <w:szCs w:val="14"/>
                <w:color w:val="auto"/>
              </w:rPr>
            </w:pPr>
          </w:p>
        </w:tc>
        <w:tc>
          <w:tcPr>
            <w:tcW w:w="620" w:type="dxa"/>
            <w:vAlign w:val="bottom"/>
            <w:tcBorders>
              <w:bottom w:val="single" w:sz="8" w:color="CCEEFF"/>
            </w:tcBorders>
            <w:gridSpan w:val="8"/>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480" w:type="dxa"/>
            <w:vAlign w:val="bottom"/>
            <w:gridSpan w:val="2"/>
          </w:tcPr>
          <w:p>
            <w:pPr>
              <w:ind w:left="960"/>
              <w:spacing w:after="0" w:line="184" w:lineRule="exact"/>
              <w:rPr>
                <w:sz w:val="20"/>
                <w:szCs w:val="20"/>
                <w:color w:val="auto"/>
              </w:rPr>
            </w:pPr>
            <w:r>
              <w:rPr>
                <w:rFonts w:ascii="Arial" w:cs="Arial" w:eastAsia="Arial" w:hAnsi="Arial"/>
                <w:sz w:val="17"/>
                <w:szCs w:val="17"/>
                <w:color w:val="auto"/>
              </w:rPr>
              <w:t>10.13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0" w:type="dxa"/>
            <w:vAlign w:val="bottom"/>
            <w:tcBorders>
              <w:bottom w:val="single" w:sz="8" w:color="0000FF"/>
            </w:tcBorders>
            <w:gridSpan w:val="13"/>
          </w:tcPr>
          <w:p>
            <w:pPr>
              <w:spacing w:after="0" w:line="184" w:lineRule="exact"/>
              <w:rPr>
                <w:rFonts w:ascii="Arial" w:cs="Arial" w:eastAsia="Arial" w:hAnsi="Arial"/>
                <w:sz w:val="17"/>
                <w:szCs w:val="17"/>
                <w:color w:val="0000FF"/>
                <w:w w:val="93"/>
              </w:rPr>
            </w:pPr>
            <w:hyperlink r:id="rId102">
              <w:r>
                <w:rPr>
                  <w:rFonts w:ascii="Arial" w:cs="Arial" w:eastAsia="Arial" w:hAnsi="Arial"/>
                  <w:sz w:val="17"/>
                  <w:szCs w:val="17"/>
                  <w:color w:val="0000FF"/>
                  <w:w w:val="93"/>
                </w:rPr>
                <w:t>Form of Agreement for Nonstatutory Stock Options under 2000 Stock Incentive Plan, as amended *</w:t>
              </w:r>
            </w:hyperlink>
          </w:p>
        </w:tc>
        <w:tc>
          <w:tcPr>
            <w:tcW w:w="2300" w:type="dxa"/>
            <w:vAlign w:val="bottom"/>
            <w:gridSpan w:val="17"/>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100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300" w:type="dxa"/>
            <w:vAlign w:val="bottom"/>
            <w:gridSpan w:val="30"/>
            <w:shd w:val="clear" w:color="auto" w:fill="CCEEFF"/>
          </w:tcPr>
          <w:p>
            <w:pPr>
              <w:spacing w:after="0" w:line="193" w:lineRule="exact"/>
              <w:rPr>
                <w:rFonts w:ascii="Arial" w:cs="Arial" w:eastAsia="Arial" w:hAnsi="Arial"/>
                <w:sz w:val="17"/>
                <w:szCs w:val="17"/>
                <w:color w:val="0000FF"/>
              </w:rPr>
            </w:pPr>
            <w:hyperlink r:id="rId103">
              <w:r>
                <w:rPr>
                  <w:rFonts w:ascii="Arial" w:cs="Arial" w:eastAsia="Arial" w:hAnsi="Arial"/>
                  <w:sz w:val="17"/>
                  <w:szCs w:val="17"/>
                  <w:color w:val="0000FF"/>
                </w:rPr>
                <w:t>Form of Agreement for Nonstatutory Stock Options under 2011 Stock Incentive Plan as amended and restated*</w:t>
              </w:r>
            </w:hyperlink>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38"/>
        </w:trPr>
        <w:tc>
          <w:tcPr>
            <w:tcW w:w="48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gridSpan w:val="2"/>
          </w:tcPr>
          <w:p>
            <w:pPr>
              <w:spacing w:after="0"/>
              <w:rPr>
                <w:sz w:val="24"/>
                <w:szCs w:val="24"/>
                <w:color w:val="auto"/>
              </w:rPr>
            </w:pPr>
          </w:p>
        </w:tc>
        <w:tc>
          <w:tcPr>
            <w:tcW w:w="4580" w:type="dxa"/>
            <w:vAlign w:val="bottom"/>
            <w:tcBorders>
              <w:top w:val="single" w:sz="8" w:color="0000FF"/>
            </w:tcBorders>
            <w:gridSpan w:val="6"/>
          </w:tcPr>
          <w:p>
            <w:pPr>
              <w:ind w:left="3600"/>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00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180" w:type="dxa"/>
            <w:vAlign w:val="bottom"/>
          </w:tcPr>
          <w:p>
            <w:pPr>
              <w:ind w:left="480"/>
              <w:spacing w:after="0"/>
              <w:rPr>
                <w:sz w:val="20"/>
                <w:szCs w:val="20"/>
                <w:color w:val="auto"/>
              </w:rPr>
            </w:pPr>
            <w:r>
              <w:rPr>
                <w:rFonts w:ascii="Arial" w:cs="Arial" w:eastAsia="Arial" w:hAnsi="Arial"/>
                <w:sz w:val="17"/>
                <w:szCs w:val="17"/>
                <w:color w:val="auto"/>
              </w:rPr>
              <w:t>10.15</w:t>
            </w:r>
          </w:p>
        </w:tc>
        <w:tc>
          <w:tcPr>
            <w:tcW w:w="480" w:type="dxa"/>
            <w:vAlign w:val="bottom"/>
          </w:tcPr>
          <w:p>
            <w:pPr>
              <w:spacing w:after="0"/>
              <w:rPr>
                <w:sz w:val="16"/>
                <w:szCs w:val="16"/>
                <w:color w:val="auto"/>
              </w:rPr>
            </w:pPr>
          </w:p>
        </w:tc>
        <w:tc>
          <w:tcPr>
            <w:tcW w:w="8340" w:type="dxa"/>
            <w:vAlign w:val="bottom"/>
            <w:tcBorders>
              <w:bottom w:val="single" w:sz="8" w:color="0000FF"/>
            </w:tcBorders>
            <w:gridSpan w:val="20"/>
          </w:tcPr>
          <w:p>
            <w:pPr>
              <w:spacing w:after="0"/>
              <w:rPr>
                <w:rFonts w:ascii="Arial" w:cs="Arial" w:eastAsia="Arial" w:hAnsi="Arial"/>
                <w:sz w:val="17"/>
                <w:szCs w:val="17"/>
                <w:color w:val="0000FF"/>
                <w:w w:val="92"/>
              </w:rPr>
            </w:pPr>
            <w:hyperlink r:id="rId106">
              <w:r>
                <w:rPr>
                  <w:rFonts w:ascii="Arial" w:cs="Arial" w:eastAsia="Arial" w:hAnsi="Arial"/>
                  <w:sz w:val="17"/>
                  <w:szCs w:val="17"/>
                  <w:color w:val="0000FF"/>
                  <w:w w:val="92"/>
                </w:rPr>
                <w:t>Credit Agreement, dated as of June 8, 2018, by and among Westinghouse Air Brake Technologies Corporation, Wabtec</w:t>
              </w:r>
            </w:hyperlink>
          </w:p>
        </w:tc>
        <w:tc>
          <w:tcPr>
            <w:tcW w:w="8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8280" w:type="dxa"/>
            <w:vAlign w:val="bottom"/>
            <w:tcBorders>
              <w:bottom w:val="single" w:sz="8" w:color="0000FF"/>
            </w:tcBorders>
            <w:gridSpan w:val="15"/>
          </w:tcPr>
          <w:p>
            <w:pPr>
              <w:spacing w:after="0" w:line="150" w:lineRule="exact"/>
              <w:rPr>
                <w:rFonts w:ascii="Arial" w:cs="Arial" w:eastAsia="Arial" w:hAnsi="Arial"/>
                <w:sz w:val="17"/>
                <w:szCs w:val="17"/>
                <w:color w:val="0000FF"/>
                <w:w w:val="92"/>
              </w:rPr>
            </w:pPr>
            <w:hyperlink r:id="rId106">
              <w:r>
                <w:rPr>
                  <w:rFonts w:ascii="Arial" w:cs="Arial" w:eastAsia="Arial" w:hAnsi="Arial"/>
                  <w:sz w:val="17"/>
                  <w:szCs w:val="17"/>
                  <w:color w:val="0000FF"/>
                  <w:w w:val="92"/>
                </w:rPr>
                <w:t>Netherlands B.V. and the other borrowing subsidiaries party thereto, the lenders party thereto and PNC Bank, National</w:t>
              </w:r>
            </w:hyperlink>
          </w:p>
        </w:tc>
        <w:tc>
          <w:tcPr>
            <w:tcW w:w="54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9680" w:type="dxa"/>
            <w:vAlign w:val="bottom"/>
            <w:gridSpan w:val="28"/>
          </w:tcPr>
          <w:p>
            <w:pPr>
              <w:spacing w:after="0" w:line="150" w:lineRule="exact"/>
              <w:rPr>
                <w:rFonts w:ascii="Arial" w:cs="Arial" w:eastAsia="Arial" w:hAnsi="Arial"/>
                <w:sz w:val="17"/>
                <w:szCs w:val="17"/>
                <w:color w:val="0000FF"/>
              </w:rPr>
            </w:pPr>
            <w:hyperlink r:id="rId106">
              <w:r>
                <w:rPr>
                  <w:rFonts w:ascii="Arial" w:cs="Arial" w:eastAsia="Arial" w:hAnsi="Arial"/>
                  <w:sz w:val="17"/>
                  <w:szCs w:val="17"/>
                  <w:color w:val="0000FF"/>
                </w:rPr>
                <w:t>Association, as Administrative Agent, Goldman Sachs Bank USA, HSBC Bank USA, N.A., JPMorgan Chase Bank, N.A., Merrill</w:t>
              </w:r>
            </w:hyperlink>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9080" w:type="dxa"/>
            <w:vAlign w:val="bottom"/>
            <w:tcBorders>
              <w:top w:val="single" w:sz="8" w:color="0000FF"/>
            </w:tcBorders>
            <w:gridSpan w:val="25"/>
          </w:tcPr>
          <w:p>
            <w:pPr>
              <w:spacing w:after="0" w:line="150" w:lineRule="exact"/>
              <w:rPr>
                <w:rFonts w:ascii="Arial" w:cs="Arial" w:eastAsia="Arial" w:hAnsi="Arial"/>
                <w:sz w:val="17"/>
                <w:szCs w:val="17"/>
                <w:color w:val="0000FF"/>
                <w:w w:val="95"/>
              </w:rPr>
            </w:pPr>
            <w:hyperlink r:id="rId106">
              <w:r>
                <w:rPr>
                  <w:rFonts w:ascii="Arial" w:cs="Arial" w:eastAsia="Arial" w:hAnsi="Arial"/>
                  <w:sz w:val="17"/>
                  <w:szCs w:val="17"/>
                  <w:color w:val="0000FF"/>
                  <w:w w:val="95"/>
                </w:rPr>
                <w:t>Lynch, Pierce, Fenner &amp; Smith Incorporated, PNC Capital Markets LLC and TD Securities (USA) LLC, as Joint Lead Arrangers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23"/>
          </w:tcPr>
          <w:p>
            <w:pPr>
              <w:spacing w:after="0" w:line="150" w:lineRule="exact"/>
              <w:rPr>
                <w:rFonts w:ascii="Arial" w:cs="Arial" w:eastAsia="Arial" w:hAnsi="Arial"/>
                <w:sz w:val="17"/>
                <w:szCs w:val="17"/>
                <w:color w:val="0000FF"/>
                <w:w w:val="93"/>
              </w:rPr>
            </w:pPr>
            <w:hyperlink r:id="rId106">
              <w:r>
                <w:rPr>
                  <w:rFonts w:ascii="Arial" w:cs="Arial" w:eastAsia="Arial" w:hAnsi="Arial"/>
                  <w:sz w:val="17"/>
                  <w:szCs w:val="17"/>
                  <w:color w:val="0000FF"/>
                  <w:w w:val="93"/>
                </w:rPr>
                <w:t>and Joint Bookrunners, Goldman Sachs Bank USA and PLC Capital Markets LLC, as Syndication Agents, and Bank of America,</w:t>
              </w:r>
            </w:hyperlink>
          </w:p>
        </w:tc>
        <w:tc>
          <w:tcPr>
            <w:tcW w:w="4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5580" w:type="dxa"/>
            <w:vAlign w:val="bottom"/>
            <w:tcBorders>
              <w:bottom w:val="single" w:sz="8" w:color="0000FF"/>
            </w:tcBorders>
            <w:gridSpan w:val="11"/>
          </w:tcPr>
          <w:p>
            <w:pPr>
              <w:spacing w:after="0" w:line="150" w:lineRule="exact"/>
              <w:rPr>
                <w:rFonts w:ascii="Arial" w:cs="Arial" w:eastAsia="Arial" w:hAnsi="Arial"/>
                <w:sz w:val="17"/>
                <w:szCs w:val="17"/>
                <w:color w:val="0000FF"/>
                <w:w w:val="94"/>
              </w:rPr>
            </w:pPr>
            <w:hyperlink r:id="rId106">
              <w:r>
                <w:rPr>
                  <w:rFonts w:ascii="Arial" w:cs="Arial" w:eastAsia="Arial" w:hAnsi="Arial"/>
                  <w:sz w:val="17"/>
                  <w:szCs w:val="17"/>
                  <w:color w:val="0000FF"/>
                  <w:w w:val="94"/>
                </w:rPr>
                <w:t>N.A., HSBC Bank USA, N.A., JPMorgan Chase Bank, N.A., and TD Securities</w:t>
              </w:r>
            </w:hyperlink>
          </w:p>
        </w:tc>
        <w:tc>
          <w:tcPr>
            <w:tcW w:w="3460" w:type="dxa"/>
            <w:vAlign w:val="bottom"/>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10.16</w:t>
            </w:r>
          </w:p>
        </w:tc>
        <w:tc>
          <w:tcPr>
            <w:tcW w:w="480" w:type="dxa"/>
            <w:vAlign w:val="bottom"/>
            <w:tcBorders>
              <w:bottom w:val="single" w:sz="8" w:color="CCEEFF"/>
            </w:tcBorders>
            <w:shd w:val="clear" w:color="auto" w:fill="CCEEFF"/>
          </w:tcPr>
          <w:p>
            <w:pPr>
              <w:spacing w:after="0"/>
              <w:rPr>
                <w:sz w:val="16"/>
                <w:szCs w:val="16"/>
                <w:color w:val="auto"/>
              </w:rPr>
            </w:pPr>
          </w:p>
        </w:tc>
        <w:tc>
          <w:tcPr>
            <w:tcW w:w="8160" w:type="dxa"/>
            <w:vAlign w:val="bottom"/>
            <w:tcBorders>
              <w:bottom w:val="single" w:sz="8" w:color="0000FF"/>
            </w:tcBorders>
            <w:gridSpan w:val="16"/>
            <w:shd w:val="clear" w:color="auto" w:fill="CCEEFF"/>
          </w:tcPr>
          <w:p>
            <w:pPr>
              <w:spacing w:after="0" w:line="193" w:lineRule="exact"/>
              <w:rPr>
                <w:rFonts w:ascii="Arial" w:cs="Arial" w:eastAsia="Arial" w:hAnsi="Arial"/>
                <w:sz w:val="17"/>
                <w:szCs w:val="17"/>
                <w:color w:val="0000FF"/>
                <w:w w:val="92"/>
              </w:rPr>
            </w:pPr>
            <w:hyperlink r:id="rId107">
              <w:r>
                <w:rPr>
                  <w:rFonts w:ascii="Arial" w:cs="Arial" w:eastAsia="Arial" w:hAnsi="Arial"/>
                  <w:sz w:val="17"/>
                  <w:szCs w:val="17"/>
                  <w:color w:val="0000FF"/>
                  <w:w w:val="92"/>
                </w:rPr>
                <w:t>First Amendment to Credit Agreement, dated as of February 22, 2019, among Westinghouse Air Brake Technologies</w:t>
              </w:r>
            </w:hyperlink>
          </w:p>
        </w:tc>
        <w:tc>
          <w:tcPr>
            <w:tcW w:w="1040" w:type="dxa"/>
            <w:vAlign w:val="bottom"/>
            <w:tcBorders>
              <w:bottom w:val="single" w:sz="8" w:color="CCEEFF"/>
            </w:tcBorders>
            <w:gridSpan w:val="1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spacing w:after="0"/>
              <w:rPr>
                <w:sz w:val="13"/>
                <w:szCs w:val="13"/>
                <w:color w:val="auto"/>
              </w:rPr>
            </w:pPr>
          </w:p>
        </w:tc>
        <w:tc>
          <w:tcPr>
            <w:tcW w:w="8640" w:type="dxa"/>
            <w:vAlign w:val="bottom"/>
            <w:gridSpan w:val="17"/>
            <w:shd w:val="clear" w:color="auto" w:fill="CCEEFF"/>
          </w:tcPr>
          <w:p>
            <w:pPr>
              <w:spacing w:after="0" w:line="150" w:lineRule="exact"/>
              <w:rPr>
                <w:rFonts w:ascii="Arial" w:cs="Arial" w:eastAsia="Arial" w:hAnsi="Arial"/>
                <w:sz w:val="17"/>
                <w:szCs w:val="17"/>
                <w:color w:val="0000FF"/>
                <w:w w:val="92"/>
              </w:rPr>
            </w:pPr>
            <w:hyperlink r:id="rId107">
              <w:r>
                <w:rPr>
                  <w:rFonts w:ascii="Arial" w:cs="Arial" w:eastAsia="Arial" w:hAnsi="Arial"/>
                  <w:sz w:val="17"/>
                  <w:szCs w:val="17"/>
                  <w:color w:val="0000FF"/>
                  <w:w w:val="92"/>
                </w:rPr>
                <w:t>Corporation, Wabtec Netherlands B.V. and the other borrowing subsidiaries party thereto, the lenders party thereto and PNC</w:t>
              </w:r>
            </w:hyperlink>
          </w:p>
        </w:tc>
        <w:tc>
          <w:tcPr>
            <w:tcW w:w="1040" w:type="dxa"/>
            <w:vAlign w:val="bottom"/>
            <w:gridSpan w:val="11"/>
            <w:shd w:val="clear" w:color="auto" w:fill="CCEEFF"/>
          </w:tcPr>
          <w:p>
            <w:pPr>
              <w:ind w:left="80"/>
              <w:spacing w:after="0" w:line="150" w:lineRule="exact"/>
              <w:rPr>
                <w:rFonts w:ascii="Arial" w:cs="Arial" w:eastAsia="Arial" w:hAnsi="Arial"/>
                <w:sz w:val="17"/>
                <w:szCs w:val="17"/>
                <w:color w:val="0000FF"/>
              </w:rPr>
            </w:pPr>
            <w:hyperlink r:id="rId107">
              <w:r>
                <w:rPr>
                  <w:rFonts w:ascii="Arial" w:cs="Arial" w:eastAsia="Arial" w:hAnsi="Arial"/>
                  <w:sz w:val="17"/>
                  <w:szCs w:val="17"/>
                  <w:color w:val="0000FF"/>
                </w:rPr>
                <w:t>Bank,</w:t>
              </w:r>
            </w:hyperlink>
          </w:p>
        </w:tc>
        <w:tc>
          <w:tcPr>
            <w:tcW w:w="0" w:type="dxa"/>
            <w:vAlign w:val="bottom"/>
          </w:tcPr>
          <w:p>
            <w:pPr>
              <w:spacing w:after="0"/>
              <w:rPr>
                <w:sz w:val="1"/>
                <w:szCs w:val="1"/>
                <w:color w:val="auto"/>
              </w:rPr>
            </w:pPr>
          </w:p>
        </w:tc>
      </w:tr>
      <w:tr>
        <w:trPr>
          <w:trHeight w:val="150"/>
        </w:trPr>
        <w:tc>
          <w:tcPr>
            <w:tcW w:w="1180" w:type="dxa"/>
            <w:vAlign w:val="bottom"/>
            <w:tcBorders>
              <w:top w:val="single" w:sz="8" w:color="CCEEFF"/>
            </w:tcBorders>
            <w:shd w:val="clear" w:color="auto" w:fill="CCEEFF"/>
          </w:tcPr>
          <w:p>
            <w:pPr>
              <w:spacing w:after="0"/>
              <w:rPr>
                <w:sz w:val="13"/>
                <w:szCs w:val="13"/>
                <w:color w:val="auto"/>
              </w:rPr>
            </w:pPr>
          </w:p>
        </w:tc>
        <w:tc>
          <w:tcPr>
            <w:tcW w:w="9140" w:type="dxa"/>
            <w:vAlign w:val="bottom"/>
            <w:tcBorders>
              <w:top w:val="single" w:sz="8" w:color="0000FF"/>
            </w:tcBorders>
            <w:gridSpan w:val="27"/>
            <w:shd w:val="clear" w:color="auto" w:fill="CCEEFF"/>
          </w:tcPr>
          <w:p>
            <w:pPr>
              <w:spacing w:after="0" w:line="150" w:lineRule="exact"/>
              <w:rPr>
                <w:rFonts w:ascii="Arial" w:cs="Arial" w:eastAsia="Arial" w:hAnsi="Arial"/>
                <w:sz w:val="17"/>
                <w:szCs w:val="17"/>
                <w:color w:val="0000FF"/>
              </w:rPr>
            </w:pPr>
            <w:hyperlink r:id="rId107">
              <w:r>
                <w:rPr>
                  <w:rFonts w:ascii="Arial" w:cs="Arial" w:eastAsia="Arial" w:hAnsi="Arial"/>
                  <w:sz w:val="17"/>
                  <w:szCs w:val="17"/>
                  <w:color w:val="0000FF"/>
                </w:rPr>
                <w:t>National Association, as Administrative Agent</w:t>
              </w:r>
            </w:hyperlink>
          </w:p>
        </w:tc>
        <w:tc>
          <w:tcPr>
            <w:tcW w:w="5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8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10.17</w:t>
            </w:r>
          </w:p>
        </w:tc>
        <w:tc>
          <w:tcPr>
            <w:tcW w:w="480" w:type="dxa"/>
            <w:vAlign w:val="bottom"/>
          </w:tcPr>
          <w:p>
            <w:pPr>
              <w:spacing w:after="0"/>
              <w:rPr>
                <w:sz w:val="15"/>
                <w:szCs w:val="15"/>
                <w:color w:val="auto"/>
              </w:rPr>
            </w:pPr>
          </w:p>
        </w:tc>
        <w:tc>
          <w:tcPr>
            <w:tcW w:w="8100" w:type="dxa"/>
            <w:vAlign w:val="bottom"/>
            <w:tcBorders>
              <w:bottom w:val="single" w:sz="8" w:color="0000FF"/>
            </w:tcBorders>
            <w:gridSpan w:val="15"/>
          </w:tcPr>
          <w:p>
            <w:pPr>
              <w:spacing w:after="0" w:line="184" w:lineRule="exact"/>
              <w:rPr>
                <w:rFonts w:ascii="Arial" w:cs="Arial" w:eastAsia="Arial" w:hAnsi="Arial"/>
                <w:sz w:val="17"/>
                <w:szCs w:val="17"/>
                <w:color w:val="0000FF"/>
                <w:w w:val="93"/>
              </w:rPr>
            </w:pPr>
            <w:hyperlink r:id="rId108">
              <w:r>
                <w:rPr>
                  <w:rFonts w:ascii="Arial" w:cs="Arial" w:eastAsia="Arial" w:hAnsi="Arial"/>
                  <w:sz w:val="17"/>
                  <w:szCs w:val="17"/>
                  <w:color w:val="0000FF"/>
                  <w:w w:val="93"/>
                </w:rPr>
                <w:t>Second Amendment to Credit Agreement, dated as of April 22, 2021, among Westinghouse Air Brake Technologies</w:t>
              </w:r>
            </w:hyperlink>
          </w:p>
        </w:tc>
        <w:tc>
          <w:tcPr>
            <w:tcW w:w="11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9680" w:type="dxa"/>
            <w:vAlign w:val="bottom"/>
            <w:gridSpan w:val="28"/>
          </w:tcPr>
          <w:p>
            <w:pPr>
              <w:spacing w:after="0" w:line="150" w:lineRule="exact"/>
              <w:rPr>
                <w:rFonts w:ascii="Arial" w:cs="Arial" w:eastAsia="Arial" w:hAnsi="Arial"/>
                <w:sz w:val="17"/>
                <w:szCs w:val="17"/>
                <w:color w:val="0000FF"/>
              </w:rPr>
            </w:pPr>
            <w:hyperlink r:id="rId108">
              <w:r>
                <w:rPr>
                  <w:rFonts w:ascii="Arial" w:cs="Arial" w:eastAsia="Arial" w:hAnsi="Arial"/>
                  <w:sz w:val="17"/>
                  <w:szCs w:val="17"/>
                  <w:color w:val="0000FF"/>
                </w:rPr>
                <w:t>Corporation, Wabtec Netherlands B.V. and the other borrowing subsidiaries party thereto, the lenders party thereto and, PNC</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w w:val="94"/>
              </w:rPr>
            </w:pPr>
            <w:hyperlink r:id="rId108">
              <w:r>
                <w:rPr>
                  <w:rFonts w:ascii="Arial" w:cs="Arial" w:eastAsia="Arial" w:hAnsi="Arial"/>
                  <w:sz w:val="17"/>
                  <w:szCs w:val="17"/>
                  <w:color w:val="0000FF"/>
                  <w:w w:val="94"/>
                </w:rPr>
                <w:t>Bank, National Association, as Administrative Agent</w:t>
              </w:r>
            </w:hyperlink>
          </w:p>
        </w:tc>
        <w:tc>
          <w:tcPr>
            <w:tcW w:w="50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10.18</w:t>
            </w:r>
          </w:p>
        </w:tc>
        <w:tc>
          <w:tcPr>
            <w:tcW w:w="480" w:type="dxa"/>
            <w:vAlign w:val="bottom"/>
            <w:tcBorders>
              <w:bottom w:val="single" w:sz="8" w:color="CCEEFF"/>
            </w:tcBorders>
            <w:shd w:val="clear" w:color="auto" w:fill="CCEEFF"/>
          </w:tcPr>
          <w:p>
            <w:pPr>
              <w:spacing w:after="0"/>
              <w:rPr>
                <w:sz w:val="16"/>
                <w:szCs w:val="16"/>
                <w:color w:val="auto"/>
              </w:rPr>
            </w:pPr>
          </w:p>
        </w:tc>
        <w:tc>
          <w:tcPr>
            <w:tcW w:w="8320" w:type="dxa"/>
            <w:vAlign w:val="bottom"/>
            <w:tcBorders>
              <w:bottom w:val="single" w:sz="8" w:color="0000FF"/>
            </w:tcBorders>
            <w:gridSpan w:val="19"/>
            <w:shd w:val="clear" w:color="auto" w:fill="CCEEFF"/>
          </w:tcPr>
          <w:p>
            <w:pPr>
              <w:spacing w:after="0" w:line="193" w:lineRule="exact"/>
              <w:rPr>
                <w:rFonts w:ascii="Arial" w:cs="Arial" w:eastAsia="Arial" w:hAnsi="Arial"/>
                <w:sz w:val="17"/>
                <w:szCs w:val="17"/>
                <w:color w:val="0000FF"/>
                <w:w w:val="92"/>
              </w:rPr>
            </w:pPr>
            <w:hyperlink r:id="rId109">
              <w:r>
                <w:rPr>
                  <w:rFonts w:ascii="Arial" w:cs="Arial" w:eastAsia="Arial" w:hAnsi="Arial"/>
                  <w:sz w:val="17"/>
                  <w:szCs w:val="17"/>
                  <w:color w:val="0000FF"/>
                  <w:w w:val="92"/>
                </w:rPr>
                <w:t>Third Amendment to Credit Agreement, dated as of December 29, 2021, among Westinghouse Air Brake Technologies</w:t>
              </w:r>
            </w:hyperlink>
          </w:p>
        </w:tc>
        <w:tc>
          <w:tcPr>
            <w:tcW w:w="880" w:type="dxa"/>
            <w:vAlign w:val="bottom"/>
            <w:tcBorders>
              <w:bottom w:val="single" w:sz="8" w:color="CCEEFF"/>
            </w:tcBorders>
            <w:gridSpan w:val="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spacing w:after="0"/>
              <w:rPr>
                <w:sz w:val="13"/>
                <w:szCs w:val="13"/>
                <w:color w:val="auto"/>
              </w:rPr>
            </w:pPr>
          </w:p>
        </w:tc>
        <w:tc>
          <w:tcPr>
            <w:tcW w:w="8800" w:type="dxa"/>
            <w:vAlign w:val="bottom"/>
            <w:gridSpan w:val="20"/>
            <w:shd w:val="clear" w:color="auto" w:fill="CCEEFF"/>
          </w:tcPr>
          <w:p>
            <w:pPr>
              <w:spacing w:after="0" w:line="150" w:lineRule="exact"/>
              <w:rPr>
                <w:rFonts w:ascii="Arial" w:cs="Arial" w:eastAsia="Arial" w:hAnsi="Arial"/>
                <w:sz w:val="17"/>
                <w:szCs w:val="17"/>
                <w:color w:val="0000FF"/>
                <w:w w:val="93"/>
              </w:rPr>
            </w:pPr>
            <w:hyperlink r:id="rId109">
              <w:r>
                <w:rPr>
                  <w:rFonts w:ascii="Arial" w:cs="Arial" w:eastAsia="Arial" w:hAnsi="Arial"/>
                  <w:sz w:val="17"/>
                  <w:szCs w:val="17"/>
                  <w:color w:val="0000FF"/>
                  <w:w w:val="93"/>
                </w:rPr>
                <w:t>Corporation, Wabtec Netherlands B.V. and the other borrowing subsidiaries party thereto, the lenders party thereto, and PNC</w:t>
              </w:r>
            </w:hyperlink>
          </w:p>
        </w:tc>
        <w:tc>
          <w:tcPr>
            <w:tcW w:w="100" w:type="dxa"/>
            <w:vAlign w:val="bottom"/>
            <w:gridSpan w:val="2"/>
            <w:shd w:val="clear" w:color="auto" w:fill="CCEEFF"/>
          </w:tcPr>
          <w:p>
            <w:pPr>
              <w:spacing w:after="0"/>
              <w:rPr>
                <w:sz w:val="13"/>
                <w:szCs w:val="13"/>
                <w:color w:val="auto"/>
              </w:rPr>
            </w:pPr>
          </w:p>
        </w:tc>
        <w:tc>
          <w:tcPr>
            <w:tcW w:w="220" w:type="dxa"/>
            <w:vAlign w:val="bottom"/>
            <w:gridSpan w:val="4"/>
            <w:shd w:val="clear" w:color="auto" w:fill="CCEEFF"/>
          </w:tcPr>
          <w:p>
            <w:pPr>
              <w:spacing w:after="0"/>
              <w:rPr>
                <w:sz w:val="13"/>
                <w:szCs w:val="13"/>
                <w:color w:val="auto"/>
              </w:rPr>
            </w:pPr>
          </w:p>
        </w:tc>
        <w:tc>
          <w:tcPr>
            <w:tcW w:w="5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80" w:type="dxa"/>
            <w:vAlign w:val="bottom"/>
            <w:tcBorders>
              <w:top w:val="single" w:sz="8" w:color="CCEEFF"/>
              <w:bottom w:val="single" w:sz="8" w:color="CCEEFF"/>
            </w:tcBorders>
            <w:shd w:val="clear" w:color="auto" w:fill="CCEEFF"/>
          </w:tcPr>
          <w:p>
            <w:pPr>
              <w:spacing w:after="0"/>
              <w:rPr>
                <w:sz w:val="14"/>
                <w:szCs w:val="14"/>
                <w:color w:val="auto"/>
              </w:rPr>
            </w:pPr>
          </w:p>
        </w:tc>
        <w:tc>
          <w:tcPr>
            <w:tcW w:w="3720" w:type="dxa"/>
            <w:vAlign w:val="bottom"/>
            <w:tcBorders>
              <w:top w:val="single" w:sz="8" w:color="0000FF"/>
              <w:bottom w:val="single" w:sz="8" w:color="0000FF"/>
            </w:tcBorders>
            <w:gridSpan w:val="9"/>
            <w:shd w:val="clear" w:color="auto" w:fill="CCEEFF"/>
          </w:tcPr>
          <w:p>
            <w:pPr>
              <w:spacing w:after="0" w:line="150" w:lineRule="exact"/>
              <w:rPr>
                <w:rFonts w:ascii="Arial" w:cs="Arial" w:eastAsia="Arial" w:hAnsi="Arial"/>
                <w:sz w:val="17"/>
                <w:szCs w:val="17"/>
                <w:color w:val="0000FF"/>
                <w:w w:val="94"/>
              </w:rPr>
            </w:pPr>
            <w:hyperlink r:id="rId109">
              <w:r>
                <w:rPr>
                  <w:rFonts w:ascii="Arial" w:cs="Arial" w:eastAsia="Arial" w:hAnsi="Arial"/>
                  <w:sz w:val="17"/>
                  <w:szCs w:val="17"/>
                  <w:color w:val="0000FF"/>
                  <w:w w:val="94"/>
                </w:rPr>
                <w:t>Bank, National Association, as Administrative Agent</w:t>
              </w:r>
            </w:hyperlink>
          </w:p>
        </w:tc>
        <w:tc>
          <w:tcPr>
            <w:tcW w:w="500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2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5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10.19</w:t>
            </w:r>
          </w:p>
        </w:tc>
        <w:tc>
          <w:tcPr>
            <w:tcW w:w="480" w:type="dxa"/>
            <w:vAlign w:val="bottom"/>
          </w:tcPr>
          <w:p>
            <w:pPr>
              <w:spacing w:after="0"/>
              <w:rPr>
                <w:sz w:val="16"/>
                <w:szCs w:val="16"/>
                <w:color w:val="auto"/>
              </w:rPr>
            </w:pPr>
          </w:p>
        </w:tc>
        <w:tc>
          <w:tcPr>
            <w:tcW w:w="8420" w:type="dxa"/>
            <w:vAlign w:val="bottom"/>
            <w:tcBorders>
              <w:bottom w:val="single" w:sz="8" w:color="0000FF"/>
            </w:tcBorders>
            <w:gridSpan w:val="21"/>
          </w:tcPr>
          <w:p>
            <w:pPr>
              <w:spacing w:after="0" w:line="184" w:lineRule="exact"/>
              <w:rPr>
                <w:rFonts w:ascii="Arial" w:cs="Arial" w:eastAsia="Arial" w:hAnsi="Arial"/>
                <w:sz w:val="17"/>
                <w:szCs w:val="17"/>
                <w:color w:val="0000FF"/>
                <w:w w:val="92"/>
              </w:rPr>
            </w:pPr>
            <w:hyperlink r:id="rId110">
              <w:r>
                <w:rPr>
                  <w:rFonts w:ascii="Arial" w:cs="Arial" w:eastAsia="Arial" w:hAnsi="Arial"/>
                  <w:sz w:val="17"/>
                  <w:szCs w:val="17"/>
                  <w:color w:val="0000FF"/>
                  <w:w w:val="92"/>
                </w:rPr>
                <w:t>Westinghouse Air Brake Technologies Corporation Deferred Compensation Plan for Executives, dated October 21, 2021</w:t>
              </w:r>
            </w:hyperlink>
          </w:p>
        </w:tc>
        <w:tc>
          <w:tcPr>
            <w:tcW w:w="7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8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10.20</w:t>
            </w:r>
          </w:p>
        </w:tc>
        <w:tc>
          <w:tcPr>
            <w:tcW w:w="480" w:type="dxa"/>
            <w:vAlign w:val="bottom"/>
            <w:vMerge w:val="restart"/>
            <w:shd w:val="clear" w:color="auto" w:fill="CCEEFF"/>
          </w:tcPr>
          <w:p>
            <w:pPr>
              <w:spacing w:after="0"/>
              <w:rPr>
                <w:rFonts w:ascii="Arial" w:cs="Arial" w:eastAsia="Arial" w:hAnsi="Arial"/>
                <w:sz w:val="17"/>
                <w:szCs w:val="17"/>
                <w:color w:val="0000FF"/>
              </w:rPr>
            </w:pPr>
            <w:hyperlink r:id="rId111">
              <w:r>
                <w:rPr>
                  <w:rFonts w:ascii="Arial" w:cs="Arial" w:eastAsia="Arial" w:hAnsi="Arial"/>
                  <w:sz w:val="17"/>
                  <w:szCs w:val="17"/>
                  <w:color w:val="0000FF"/>
                </w:rPr>
                <w:t>as of</w:t>
              </w:r>
            </w:hyperlink>
          </w:p>
        </w:tc>
        <w:tc>
          <w:tcPr>
            <w:tcW w:w="9200" w:type="dxa"/>
            <w:vAlign w:val="bottom"/>
            <w:gridSpan w:val="27"/>
            <w:shd w:val="clear" w:color="auto" w:fill="CCEEFF"/>
          </w:tcPr>
          <w:p>
            <w:pPr>
              <w:spacing w:after="0" w:line="193" w:lineRule="exact"/>
              <w:rPr>
                <w:rFonts w:ascii="Arial" w:cs="Arial" w:eastAsia="Arial" w:hAnsi="Arial"/>
                <w:sz w:val="17"/>
                <w:szCs w:val="17"/>
                <w:color w:val="0000FF"/>
                <w:w w:val="97"/>
              </w:rPr>
            </w:pPr>
            <w:hyperlink r:id="rId111">
              <w:r>
                <w:rPr>
                  <w:rFonts w:ascii="Arial" w:cs="Arial" w:eastAsia="Arial" w:hAnsi="Arial"/>
                  <w:sz w:val="17"/>
                  <w:szCs w:val="17"/>
                  <w:color w:val="0000FF"/>
                  <w:w w:val="97"/>
                </w:rPr>
                <w:t>Separation Agreement between Stephane Rambaud-Measson and Westinghouse Air Brake Technologies Corporation, dated</w:t>
              </w:r>
            </w:hyperlink>
          </w:p>
        </w:tc>
        <w:tc>
          <w:tcPr>
            <w:tcW w:w="0" w:type="dxa"/>
            <w:vAlign w:val="bottom"/>
          </w:tcPr>
          <w:p>
            <w:pPr>
              <w:spacing w:after="0"/>
              <w:rPr>
                <w:sz w:val="1"/>
                <w:szCs w:val="1"/>
                <w:color w:val="auto"/>
              </w:rPr>
            </w:pPr>
          </w:p>
        </w:tc>
      </w:tr>
      <w:tr>
        <w:trPr>
          <w:trHeight w:val="150"/>
        </w:trPr>
        <w:tc>
          <w:tcPr>
            <w:tcW w:w="1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vMerge w:val="continue"/>
            <w:shd w:val="clear" w:color="auto" w:fill="CCEEFF"/>
          </w:tcPr>
          <w:p>
            <w:pPr>
              <w:spacing w:after="0"/>
              <w:rPr>
                <w:sz w:val="13"/>
                <w:szCs w:val="13"/>
                <w:color w:val="auto"/>
              </w:rPr>
            </w:pPr>
          </w:p>
        </w:tc>
        <w:tc>
          <w:tcPr>
            <w:tcW w:w="8640" w:type="dxa"/>
            <w:vAlign w:val="bottom"/>
            <w:tcBorders>
              <w:top w:val="single" w:sz="8" w:color="0000FF"/>
            </w:tcBorders>
            <w:gridSpan w:val="25"/>
            <w:shd w:val="clear" w:color="auto" w:fill="CCEEFF"/>
          </w:tcPr>
          <w:p>
            <w:pPr>
              <w:spacing w:after="0" w:line="150" w:lineRule="exact"/>
              <w:rPr>
                <w:rFonts w:ascii="Arial" w:cs="Arial" w:eastAsia="Arial" w:hAnsi="Arial"/>
                <w:sz w:val="17"/>
                <w:szCs w:val="17"/>
                <w:color w:val="0000FF"/>
              </w:rPr>
            </w:pPr>
            <w:hyperlink r:id="rId111">
              <w:r>
                <w:rPr>
                  <w:rFonts w:ascii="Arial" w:cs="Arial" w:eastAsia="Arial" w:hAnsi="Arial"/>
                  <w:sz w:val="17"/>
                  <w:szCs w:val="17"/>
                  <w:color w:val="0000FF"/>
                </w:rPr>
                <w:t>February 13, 2019</w:t>
              </w:r>
            </w:hyperlink>
          </w:p>
        </w:tc>
        <w:tc>
          <w:tcPr>
            <w:tcW w:w="56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8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10.21</w:t>
            </w:r>
          </w:p>
        </w:tc>
        <w:tc>
          <w:tcPr>
            <w:tcW w:w="480" w:type="dxa"/>
            <w:vAlign w:val="bottom"/>
          </w:tcPr>
          <w:p>
            <w:pPr>
              <w:spacing w:after="0"/>
              <w:rPr>
                <w:sz w:val="15"/>
                <w:szCs w:val="15"/>
                <w:color w:val="auto"/>
              </w:rPr>
            </w:pPr>
          </w:p>
        </w:tc>
        <w:tc>
          <w:tcPr>
            <w:tcW w:w="8280" w:type="dxa"/>
            <w:vAlign w:val="bottom"/>
            <w:tcBorders>
              <w:bottom w:val="single" w:sz="8" w:color="0000FF"/>
            </w:tcBorders>
            <w:gridSpan w:val="18"/>
          </w:tcPr>
          <w:p>
            <w:pPr>
              <w:spacing w:after="0" w:line="184" w:lineRule="exact"/>
              <w:rPr>
                <w:rFonts w:ascii="Arial" w:cs="Arial" w:eastAsia="Arial" w:hAnsi="Arial"/>
                <w:sz w:val="17"/>
                <w:szCs w:val="17"/>
                <w:color w:val="0000FF"/>
                <w:w w:val="92"/>
              </w:rPr>
            </w:pPr>
            <w:hyperlink r:id="rId112">
              <w:r>
                <w:rPr>
                  <w:rFonts w:ascii="Arial" w:cs="Arial" w:eastAsia="Arial" w:hAnsi="Arial"/>
                  <w:sz w:val="17"/>
                  <w:szCs w:val="17"/>
                  <w:color w:val="0000FF"/>
                  <w:w w:val="92"/>
                </w:rPr>
                <w:t>Transition Agreement between Raymond T. Betler and Westinghouse Air Brake Technologies Corporation, dated as of</w:t>
              </w:r>
            </w:hyperlink>
          </w:p>
        </w:tc>
        <w:tc>
          <w:tcPr>
            <w:tcW w:w="9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8760" w:type="dxa"/>
            <w:vAlign w:val="bottom"/>
            <w:gridSpan w:val="19"/>
          </w:tcPr>
          <w:p>
            <w:pPr>
              <w:spacing w:after="0" w:line="150" w:lineRule="exact"/>
              <w:rPr>
                <w:rFonts w:ascii="Arial" w:cs="Arial" w:eastAsia="Arial" w:hAnsi="Arial"/>
                <w:sz w:val="17"/>
                <w:szCs w:val="17"/>
                <w:color w:val="0000FF"/>
              </w:rPr>
            </w:pPr>
            <w:hyperlink r:id="rId112">
              <w:r>
                <w:rPr>
                  <w:rFonts w:ascii="Arial" w:cs="Arial" w:eastAsia="Arial" w:hAnsi="Arial"/>
                  <w:sz w:val="17"/>
                  <w:szCs w:val="17"/>
                  <w:color w:val="0000FF"/>
                </w:rPr>
                <w:t>April 24, 2019</w:t>
              </w:r>
            </w:hyperlink>
          </w:p>
        </w:tc>
        <w:tc>
          <w:tcPr>
            <w:tcW w:w="9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8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10.22</w:t>
            </w:r>
          </w:p>
        </w:tc>
        <w:tc>
          <w:tcPr>
            <w:tcW w:w="480" w:type="dxa"/>
            <w:vAlign w:val="bottom"/>
            <w:shd w:val="clear" w:color="auto" w:fill="CCEEFF"/>
          </w:tcPr>
          <w:p>
            <w:pPr>
              <w:spacing w:after="0"/>
              <w:rPr>
                <w:sz w:val="16"/>
                <w:szCs w:val="16"/>
                <w:color w:val="auto"/>
              </w:rPr>
            </w:pPr>
          </w:p>
        </w:tc>
        <w:tc>
          <w:tcPr>
            <w:tcW w:w="9200" w:type="dxa"/>
            <w:vAlign w:val="bottom"/>
            <w:gridSpan w:val="27"/>
            <w:shd w:val="clear" w:color="auto" w:fill="CCEEFF"/>
          </w:tcPr>
          <w:p>
            <w:pPr>
              <w:spacing w:after="0" w:line="193" w:lineRule="exact"/>
              <w:rPr>
                <w:rFonts w:ascii="Arial" w:cs="Arial" w:eastAsia="Arial" w:hAnsi="Arial"/>
                <w:sz w:val="17"/>
                <w:szCs w:val="17"/>
                <w:color w:val="0000FF"/>
              </w:rPr>
            </w:pPr>
            <w:hyperlink r:id="rId113">
              <w:r>
                <w:rPr>
                  <w:rFonts w:ascii="Arial" w:cs="Arial" w:eastAsia="Arial" w:hAnsi="Arial"/>
                  <w:sz w:val="17"/>
                  <w:szCs w:val="17"/>
                  <w:color w:val="0000FF"/>
                </w:rPr>
                <w:t>Severance Agreement of Rafael Santana dated as of May 26, 2020</w:t>
              </w:r>
            </w:hyperlink>
          </w:p>
        </w:tc>
        <w:tc>
          <w:tcPr>
            <w:tcW w:w="0" w:type="dxa"/>
            <w:vAlign w:val="bottom"/>
          </w:tcPr>
          <w:p>
            <w:pPr>
              <w:spacing w:after="0"/>
              <w:rPr>
                <w:sz w:val="1"/>
                <w:szCs w:val="1"/>
                <w:color w:val="auto"/>
              </w:rPr>
            </w:pPr>
          </w:p>
        </w:tc>
      </w:tr>
      <w:tr>
        <w:trPr>
          <w:trHeight w:val="39"/>
        </w:trPr>
        <w:tc>
          <w:tcPr>
            <w:tcW w:w="1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10.23</w:t>
            </w:r>
          </w:p>
        </w:tc>
        <w:tc>
          <w:tcPr>
            <w:tcW w:w="480" w:type="dxa"/>
            <w:vAlign w:val="bottom"/>
          </w:tcPr>
          <w:p>
            <w:pPr>
              <w:spacing w:after="0"/>
              <w:rPr>
                <w:sz w:val="16"/>
                <w:szCs w:val="16"/>
                <w:color w:val="auto"/>
              </w:rPr>
            </w:pPr>
          </w:p>
        </w:tc>
        <w:tc>
          <w:tcPr>
            <w:tcW w:w="5160" w:type="dxa"/>
            <w:vAlign w:val="bottom"/>
            <w:tcBorders>
              <w:bottom w:val="single" w:sz="8" w:color="0000FF"/>
            </w:tcBorders>
            <w:gridSpan w:val="11"/>
          </w:tcPr>
          <w:p>
            <w:pPr>
              <w:spacing w:after="0" w:line="184" w:lineRule="exact"/>
              <w:rPr>
                <w:rFonts w:ascii="Arial" w:cs="Arial" w:eastAsia="Arial" w:hAnsi="Arial"/>
                <w:sz w:val="17"/>
                <w:szCs w:val="17"/>
                <w:color w:val="0000FF"/>
                <w:w w:val="92"/>
              </w:rPr>
            </w:pPr>
            <w:hyperlink r:id="rId114">
              <w:r>
                <w:rPr>
                  <w:rFonts w:ascii="Arial" w:cs="Arial" w:eastAsia="Arial" w:hAnsi="Arial"/>
                  <w:sz w:val="17"/>
                  <w:szCs w:val="17"/>
                  <w:color w:val="0000FF"/>
                  <w:w w:val="92"/>
                </w:rPr>
                <w:t>Transition Agreement of Scott Wahlstrom dated as of November 25, 2020</w:t>
              </w:r>
            </w:hyperlink>
          </w:p>
        </w:tc>
        <w:tc>
          <w:tcPr>
            <w:tcW w:w="404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10.24</w:t>
            </w:r>
          </w:p>
        </w:tc>
        <w:tc>
          <w:tcPr>
            <w:tcW w:w="480" w:type="dxa"/>
            <w:vAlign w:val="bottom"/>
            <w:shd w:val="clear" w:color="auto" w:fill="CCEEFF"/>
          </w:tcPr>
          <w:p>
            <w:pPr>
              <w:spacing w:after="0"/>
              <w:rPr>
                <w:sz w:val="18"/>
                <w:szCs w:val="18"/>
                <w:color w:val="auto"/>
              </w:rPr>
            </w:pPr>
          </w:p>
        </w:tc>
        <w:tc>
          <w:tcPr>
            <w:tcW w:w="9200" w:type="dxa"/>
            <w:vAlign w:val="bottom"/>
            <w:gridSpan w:val="27"/>
            <w:shd w:val="clear" w:color="auto" w:fill="CCEEFF"/>
          </w:tcPr>
          <w:p>
            <w:pPr>
              <w:spacing w:after="0" w:line="193" w:lineRule="exact"/>
              <w:rPr>
                <w:rFonts w:ascii="Arial" w:cs="Arial" w:eastAsia="Arial" w:hAnsi="Arial"/>
                <w:sz w:val="17"/>
                <w:szCs w:val="17"/>
                <w:color w:val="0000FF"/>
              </w:rPr>
            </w:pPr>
            <w:hyperlink r:id="rId115">
              <w:r>
                <w:rPr>
                  <w:rFonts w:ascii="Arial" w:cs="Arial" w:eastAsia="Arial" w:hAnsi="Arial"/>
                  <w:sz w:val="17"/>
                  <w:szCs w:val="17"/>
                  <w:color w:val="0000FF"/>
                </w:rPr>
                <w:t>Employment Continuation Agreement of John A. Olin, dated September 14, 2021</w:t>
              </w:r>
            </w:hyperlink>
          </w:p>
        </w:tc>
        <w:tc>
          <w:tcPr>
            <w:tcW w:w="0" w:type="dxa"/>
            <w:vAlign w:val="bottom"/>
          </w:tcPr>
          <w:p>
            <w:pPr>
              <w:spacing w:after="0"/>
              <w:rPr>
                <w:sz w:val="1"/>
                <w:szCs w:val="1"/>
                <w:color w:val="auto"/>
              </w:rPr>
            </w:pPr>
          </w:p>
        </w:tc>
      </w:tr>
      <w:tr>
        <w:trPr>
          <w:trHeight w:val="193"/>
        </w:trPr>
        <w:tc>
          <w:tcPr>
            <w:tcW w:w="1180" w:type="dxa"/>
            <w:vAlign w:val="bottom"/>
            <w:tcBorders>
              <w:top w:val="single" w:sz="8" w:color="CCEEFF"/>
            </w:tcBorders>
          </w:tcPr>
          <w:p>
            <w:pPr>
              <w:ind w:left="480"/>
              <w:spacing w:after="0" w:line="184" w:lineRule="exact"/>
              <w:rPr>
                <w:sz w:val="20"/>
                <w:szCs w:val="20"/>
                <w:color w:val="auto"/>
              </w:rPr>
            </w:pPr>
            <w:r>
              <w:rPr>
                <w:rFonts w:ascii="Arial" w:cs="Arial" w:eastAsia="Arial" w:hAnsi="Arial"/>
                <w:sz w:val="17"/>
                <w:szCs w:val="17"/>
                <w:color w:val="auto"/>
              </w:rPr>
              <w:t>10.25</w:t>
            </w:r>
          </w:p>
        </w:tc>
        <w:tc>
          <w:tcPr>
            <w:tcW w:w="480" w:type="dxa"/>
            <w:vAlign w:val="bottom"/>
            <w:tcBorders>
              <w:top w:val="single" w:sz="8" w:color="CCEEFF"/>
            </w:tcBorders>
          </w:tcPr>
          <w:p>
            <w:pPr>
              <w:spacing w:after="0"/>
              <w:rPr>
                <w:sz w:val="16"/>
                <w:szCs w:val="16"/>
                <w:color w:val="auto"/>
              </w:rPr>
            </w:pPr>
          </w:p>
        </w:tc>
        <w:tc>
          <w:tcPr>
            <w:tcW w:w="5180" w:type="dxa"/>
            <w:vAlign w:val="bottom"/>
            <w:tcBorders>
              <w:top w:val="single" w:sz="8" w:color="0000FF"/>
              <w:bottom w:val="single" w:sz="8" w:color="0000FF"/>
            </w:tcBorders>
            <w:gridSpan w:val="12"/>
          </w:tcPr>
          <w:p>
            <w:pPr>
              <w:spacing w:after="0" w:line="184" w:lineRule="exact"/>
              <w:rPr>
                <w:rFonts w:ascii="Arial" w:cs="Arial" w:eastAsia="Arial" w:hAnsi="Arial"/>
                <w:sz w:val="17"/>
                <w:szCs w:val="17"/>
                <w:color w:val="0000FF"/>
                <w:w w:val="92"/>
              </w:rPr>
            </w:pPr>
            <w:hyperlink r:id="rId116">
              <w:r>
                <w:rPr>
                  <w:rFonts w:ascii="Arial" w:cs="Arial" w:eastAsia="Arial" w:hAnsi="Arial"/>
                  <w:sz w:val="17"/>
                  <w:szCs w:val="17"/>
                  <w:color w:val="0000FF"/>
                  <w:w w:val="92"/>
                </w:rPr>
                <w:t>Transition Agreement of Patrick A. Dugan, dated as of September 9, 2021</w:t>
              </w:r>
            </w:hyperlink>
          </w:p>
        </w:tc>
        <w:tc>
          <w:tcPr>
            <w:tcW w:w="520" w:type="dxa"/>
            <w:vAlign w:val="bottom"/>
            <w:tcBorders>
              <w:top w:val="single" w:sz="8" w:color="0000FF"/>
            </w:tcBorders>
          </w:tcPr>
          <w:p>
            <w:pPr>
              <w:spacing w:after="0"/>
              <w:rPr>
                <w:sz w:val="16"/>
                <w:szCs w:val="16"/>
                <w:color w:val="auto"/>
              </w:rPr>
            </w:pPr>
          </w:p>
        </w:tc>
        <w:tc>
          <w:tcPr>
            <w:tcW w:w="3500" w:type="dxa"/>
            <w:vAlign w:val="bottom"/>
            <w:tcBorders>
              <w:top w:val="single" w:sz="8" w:color="CCEEFF"/>
            </w:tcBorders>
            <w:gridSpan w:val="14"/>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480"/>
              <w:spacing w:after="0" w:line="193" w:lineRule="exact"/>
              <w:rPr>
                <w:sz w:val="20"/>
                <w:szCs w:val="20"/>
                <w:color w:val="auto"/>
              </w:rPr>
            </w:pPr>
            <w:r>
              <w:rPr>
                <w:rFonts w:ascii="Arial" w:cs="Arial" w:eastAsia="Arial" w:hAnsi="Arial"/>
                <w:sz w:val="17"/>
                <w:szCs w:val="17"/>
                <w:color w:val="auto"/>
              </w:rPr>
              <w:t>21.0</w:t>
            </w:r>
          </w:p>
        </w:tc>
        <w:tc>
          <w:tcPr>
            <w:tcW w:w="480" w:type="dxa"/>
            <w:vAlign w:val="bottom"/>
            <w:shd w:val="clear" w:color="auto" w:fill="CCEEFF"/>
          </w:tcPr>
          <w:p>
            <w:pPr>
              <w:spacing w:after="0"/>
              <w:rPr>
                <w:sz w:val="18"/>
                <w:szCs w:val="18"/>
                <w:color w:val="auto"/>
              </w:rPr>
            </w:pPr>
          </w:p>
        </w:tc>
        <w:tc>
          <w:tcPr>
            <w:tcW w:w="9200" w:type="dxa"/>
            <w:vAlign w:val="bottom"/>
            <w:gridSpan w:val="27"/>
            <w:shd w:val="clear" w:color="auto" w:fill="CCEEFF"/>
          </w:tcPr>
          <w:p>
            <w:pPr>
              <w:spacing w:after="0" w:line="193" w:lineRule="exact"/>
              <w:rPr>
                <w:rFonts w:ascii="Arial" w:cs="Arial" w:eastAsia="Arial" w:hAnsi="Arial"/>
                <w:sz w:val="17"/>
                <w:szCs w:val="17"/>
                <w:color w:val="0000FF"/>
              </w:rPr>
            </w:pPr>
            <w:hyperlink w:anchor="page93">
              <w:r>
                <w:rPr>
                  <w:rFonts w:ascii="Arial" w:cs="Arial" w:eastAsia="Arial" w:hAnsi="Arial"/>
                  <w:sz w:val="17"/>
                  <w:szCs w:val="17"/>
                  <w:color w:val="0000FF"/>
                </w:rPr>
                <w:t>List of subsidiaries of the Company</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tcPr>
          <w:p>
            <w:pPr>
              <w:ind w:left="480"/>
              <w:spacing w:after="0" w:line="184" w:lineRule="exact"/>
              <w:rPr>
                <w:sz w:val="20"/>
                <w:szCs w:val="20"/>
                <w:color w:val="auto"/>
              </w:rPr>
            </w:pPr>
            <w:r>
              <w:rPr>
                <w:rFonts w:ascii="Arial" w:cs="Arial" w:eastAsia="Arial" w:hAnsi="Arial"/>
                <w:sz w:val="17"/>
                <w:szCs w:val="17"/>
                <w:color w:val="auto"/>
              </w:rPr>
              <w:t>22.0</w:t>
            </w:r>
          </w:p>
        </w:tc>
        <w:tc>
          <w:tcPr>
            <w:tcW w:w="480" w:type="dxa"/>
            <w:vAlign w:val="bottom"/>
            <w:tcBorders>
              <w:top w:val="single" w:sz="8" w:color="CCEEFF"/>
            </w:tcBorders>
          </w:tcPr>
          <w:p>
            <w:pPr>
              <w:spacing w:after="0"/>
              <w:rPr>
                <w:sz w:val="15"/>
                <w:szCs w:val="15"/>
                <w:color w:val="auto"/>
              </w:rPr>
            </w:pPr>
          </w:p>
        </w:tc>
        <w:tc>
          <w:tcPr>
            <w:tcW w:w="2480" w:type="dxa"/>
            <w:vAlign w:val="bottom"/>
            <w:tcBorders>
              <w:top w:val="single" w:sz="8" w:color="0000FF"/>
            </w:tcBorders>
            <w:gridSpan w:val="6"/>
          </w:tcPr>
          <w:p>
            <w:pPr>
              <w:spacing w:after="0" w:line="184" w:lineRule="exact"/>
              <w:rPr>
                <w:rFonts w:ascii="Arial" w:cs="Arial" w:eastAsia="Arial" w:hAnsi="Arial"/>
                <w:sz w:val="17"/>
                <w:szCs w:val="17"/>
                <w:color w:val="0000FF"/>
              </w:rPr>
            </w:pPr>
            <w:hyperlink w:anchor="page99">
              <w:r>
                <w:rPr>
                  <w:rFonts w:ascii="Arial" w:cs="Arial" w:eastAsia="Arial" w:hAnsi="Arial"/>
                  <w:sz w:val="17"/>
                  <w:szCs w:val="17"/>
                  <w:color w:val="0000FF"/>
                </w:rPr>
                <w:t>List of Subsidiary Guarantors</w:t>
              </w:r>
            </w:hyperlink>
          </w:p>
        </w:tc>
        <w:tc>
          <w:tcPr>
            <w:tcW w:w="6720" w:type="dxa"/>
            <w:vAlign w:val="bottom"/>
            <w:tcBorders>
              <w:top w:val="single" w:sz="8" w:color="CCEEFF"/>
            </w:tcBorders>
            <w:gridSpan w:val="21"/>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23.1</w:t>
            </w:r>
          </w:p>
        </w:tc>
        <w:tc>
          <w:tcPr>
            <w:tcW w:w="48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0000FF"/>
            </w:tcBorders>
            <w:gridSpan w:val="5"/>
            <w:shd w:val="clear" w:color="auto" w:fill="CCEEFF"/>
          </w:tcPr>
          <w:p>
            <w:pPr>
              <w:spacing w:after="0" w:line="193" w:lineRule="exact"/>
              <w:rPr>
                <w:rFonts w:ascii="Arial" w:cs="Arial" w:eastAsia="Arial" w:hAnsi="Arial"/>
                <w:sz w:val="17"/>
                <w:szCs w:val="17"/>
                <w:color w:val="0000FF"/>
                <w:w w:val="94"/>
              </w:rPr>
            </w:pPr>
            <w:hyperlink w:anchor="page100">
              <w:r>
                <w:rPr>
                  <w:rFonts w:ascii="Arial" w:cs="Arial" w:eastAsia="Arial" w:hAnsi="Arial"/>
                  <w:sz w:val="17"/>
                  <w:szCs w:val="17"/>
                  <w:color w:val="0000FF"/>
                  <w:w w:val="94"/>
                </w:rPr>
                <w:t>Consent of Ernst &amp; Young LLP</w:t>
              </w:r>
            </w:hyperlink>
          </w:p>
        </w:tc>
        <w:tc>
          <w:tcPr>
            <w:tcW w:w="7000" w:type="dxa"/>
            <w:vAlign w:val="bottom"/>
            <w:tcBorders>
              <w:bottom w:val="single" w:sz="8" w:color="CCEEFF"/>
            </w:tcBorders>
            <w:gridSpan w:val="2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31.1</w:t>
            </w:r>
          </w:p>
        </w:tc>
        <w:tc>
          <w:tcPr>
            <w:tcW w:w="480" w:type="dxa"/>
            <w:vAlign w:val="bottom"/>
          </w:tcPr>
          <w:p>
            <w:pPr>
              <w:spacing w:after="0"/>
              <w:rPr>
                <w:sz w:val="16"/>
                <w:szCs w:val="16"/>
                <w:color w:val="auto"/>
              </w:rPr>
            </w:pPr>
          </w:p>
        </w:tc>
        <w:tc>
          <w:tcPr>
            <w:tcW w:w="2780" w:type="dxa"/>
            <w:vAlign w:val="bottom"/>
            <w:tcBorders>
              <w:bottom w:val="single" w:sz="8" w:color="0000FF"/>
            </w:tcBorders>
            <w:gridSpan w:val="7"/>
          </w:tcPr>
          <w:p>
            <w:pPr>
              <w:spacing w:after="0" w:line="184" w:lineRule="exact"/>
              <w:rPr>
                <w:rFonts w:ascii="Arial" w:cs="Arial" w:eastAsia="Arial" w:hAnsi="Arial"/>
                <w:sz w:val="17"/>
                <w:szCs w:val="17"/>
                <w:color w:val="0000FF"/>
                <w:w w:val="93"/>
              </w:rPr>
            </w:pPr>
            <w:hyperlink w:anchor="page101">
              <w:r>
                <w:rPr>
                  <w:rFonts w:ascii="Arial" w:cs="Arial" w:eastAsia="Arial" w:hAnsi="Arial"/>
                  <w:sz w:val="17"/>
                  <w:szCs w:val="17"/>
                  <w:color w:val="0000FF"/>
                  <w:w w:val="93"/>
                </w:rPr>
                <w:t>Rule 13a-14(a)/15d-14(a) Certifications</w:t>
              </w:r>
            </w:hyperlink>
          </w:p>
        </w:tc>
        <w:tc>
          <w:tcPr>
            <w:tcW w:w="642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8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31.2</w:t>
            </w:r>
          </w:p>
        </w:tc>
        <w:tc>
          <w:tcPr>
            <w:tcW w:w="48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7"/>
            <w:shd w:val="clear" w:color="auto" w:fill="CCEEFF"/>
          </w:tcPr>
          <w:p>
            <w:pPr>
              <w:spacing w:after="0" w:line="193" w:lineRule="exact"/>
              <w:rPr>
                <w:rFonts w:ascii="Arial" w:cs="Arial" w:eastAsia="Arial" w:hAnsi="Arial"/>
                <w:sz w:val="17"/>
                <w:szCs w:val="17"/>
                <w:color w:val="0000FF"/>
                <w:w w:val="93"/>
              </w:rPr>
            </w:pPr>
            <w:hyperlink w:anchor="page102">
              <w:r>
                <w:rPr>
                  <w:rFonts w:ascii="Arial" w:cs="Arial" w:eastAsia="Arial" w:hAnsi="Arial"/>
                  <w:sz w:val="17"/>
                  <w:szCs w:val="17"/>
                  <w:color w:val="0000FF"/>
                  <w:w w:val="93"/>
                </w:rPr>
                <w:t>Rule 13a-14(a)/15d-14(a) Certifications</w:t>
              </w:r>
            </w:hyperlink>
          </w:p>
        </w:tc>
        <w:tc>
          <w:tcPr>
            <w:tcW w:w="6420" w:type="dxa"/>
            <w:vAlign w:val="bottom"/>
            <w:tcBorders>
              <w:bottom w:val="single" w:sz="8" w:color="CCEEFF"/>
            </w:tcBorders>
            <w:gridSpan w:val="2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ind w:left="480"/>
              <w:spacing w:after="0" w:line="184" w:lineRule="exact"/>
              <w:rPr>
                <w:sz w:val="20"/>
                <w:szCs w:val="20"/>
                <w:color w:val="auto"/>
              </w:rPr>
            </w:pPr>
            <w:r>
              <w:rPr>
                <w:rFonts w:ascii="Arial" w:cs="Arial" w:eastAsia="Arial" w:hAnsi="Arial"/>
                <w:sz w:val="17"/>
                <w:szCs w:val="17"/>
                <w:color w:val="auto"/>
              </w:rPr>
              <w:t>32.1</w:t>
            </w:r>
          </w:p>
        </w:tc>
        <w:tc>
          <w:tcPr>
            <w:tcW w:w="480" w:type="dxa"/>
            <w:vAlign w:val="bottom"/>
          </w:tcPr>
          <w:p>
            <w:pPr>
              <w:spacing w:after="0"/>
              <w:rPr>
                <w:sz w:val="16"/>
                <w:szCs w:val="16"/>
                <w:color w:val="auto"/>
              </w:rPr>
            </w:pPr>
          </w:p>
        </w:tc>
        <w:tc>
          <w:tcPr>
            <w:tcW w:w="9200" w:type="dxa"/>
            <w:vAlign w:val="bottom"/>
            <w:gridSpan w:val="27"/>
          </w:tcPr>
          <w:p>
            <w:pPr>
              <w:spacing w:after="0" w:line="184" w:lineRule="exact"/>
              <w:rPr>
                <w:rFonts w:ascii="Arial" w:cs="Arial" w:eastAsia="Arial" w:hAnsi="Arial"/>
                <w:sz w:val="17"/>
                <w:szCs w:val="17"/>
                <w:color w:val="0000FF"/>
              </w:rPr>
            </w:pPr>
            <w:hyperlink w:anchor="page103">
              <w:r>
                <w:rPr>
                  <w:rFonts w:ascii="Arial" w:cs="Arial" w:eastAsia="Arial" w:hAnsi="Arial"/>
                  <w:sz w:val="17"/>
                  <w:szCs w:val="17"/>
                  <w:color w:val="0000FF"/>
                </w:rPr>
                <w:t>Section 1350 Certifications</w:t>
              </w:r>
            </w:hyperlink>
          </w:p>
        </w:tc>
        <w:tc>
          <w:tcPr>
            <w:tcW w:w="0" w:type="dxa"/>
            <w:vAlign w:val="bottom"/>
          </w:tcPr>
          <w:p>
            <w:pPr>
              <w:spacing w:after="0"/>
              <w:rPr>
                <w:sz w:val="1"/>
                <w:szCs w:val="1"/>
                <w:color w:val="auto"/>
              </w:rPr>
            </w:pPr>
          </w:p>
        </w:tc>
      </w:tr>
      <w:tr>
        <w:trPr>
          <w:trHeight w:val="232"/>
        </w:trPr>
        <w:tc>
          <w:tcPr>
            <w:tcW w:w="1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101.INS</w:t>
            </w:r>
          </w:p>
        </w:tc>
        <w:tc>
          <w:tcPr>
            <w:tcW w:w="480" w:type="dxa"/>
            <w:vAlign w:val="bottom"/>
            <w:shd w:val="clear" w:color="auto" w:fill="CCEEFF"/>
          </w:tcPr>
          <w:p>
            <w:pPr>
              <w:spacing w:after="0"/>
              <w:rPr>
                <w:sz w:val="20"/>
                <w:szCs w:val="20"/>
                <w:color w:val="auto"/>
              </w:rPr>
            </w:pPr>
          </w:p>
        </w:tc>
        <w:tc>
          <w:tcPr>
            <w:tcW w:w="1900" w:type="dxa"/>
            <w:vAlign w:val="bottom"/>
            <w:tcBorders>
              <w:top w:val="single" w:sz="8" w:color="0000FF"/>
            </w:tcBorders>
            <w:gridSpan w:val="3"/>
            <w:shd w:val="clear" w:color="auto" w:fill="CCEEFF"/>
          </w:tcPr>
          <w:p>
            <w:pPr>
              <w:spacing w:after="0"/>
              <w:rPr>
                <w:sz w:val="20"/>
                <w:szCs w:val="20"/>
                <w:color w:val="auto"/>
              </w:rPr>
            </w:pPr>
            <w:r>
              <w:rPr>
                <w:rFonts w:ascii="Arial" w:cs="Arial" w:eastAsia="Arial" w:hAnsi="Arial"/>
                <w:sz w:val="17"/>
                <w:szCs w:val="17"/>
                <w:color w:val="auto"/>
                <w:w w:val="93"/>
              </w:rPr>
              <w:t>XBRL Instance Document.</w:t>
            </w:r>
          </w:p>
        </w:tc>
        <w:tc>
          <w:tcPr>
            <w:tcW w:w="7300" w:type="dxa"/>
            <w:vAlign w:val="bottom"/>
            <w:gridSpan w:val="24"/>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180" w:type="dxa"/>
            <w:vAlign w:val="bottom"/>
          </w:tcPr>
          <w:p>
            <w:pPr>
              <w:ind w:left="480"/>
              <w:spacing w:after="0"/>
              <w:rPr>
                <w:sz w:val="20"/>
                <w:szCs w:val="20"/>
                <w:color w:val="auto"/>
              </w:rPr>
            </w:pPr>
            <w:r>
              <w:rPr>
                <w:rFonts w:ascii="Arial" w:cs="Arial" w:eastAsia="Arial" w:hAnsi="Arial"/>
                <w:sz w:val="17"/>
                <w:szCs w:val="17"/>
                <w:color w:val="auto"/>
                <w:w w:val="98"/>
              </w:rPr>
              <w:t>101.SCH</w:t>
            </w:r>
          </w:p>
        </w:tc>
        <w:tc>
          <w:tcPr>
            <w:tcW w:w="480" w:type="dxa"/>
            <w:vAlign w:val="bottom"/>
          </w:tcPr>
          <w:p>
            <w:pPr>
              <w:spacing w:after="0"/>
              <w:rPr>
                <w:sz w:val="19"/>
                <w:szCs w:val="19"/>
                <w:color w:val="auto"/>
              </w:rPr>
            </w:pPr>
          </w:p>
        </w:tc>
        <w:tc>
          <w:tcPr>
            <w:tcW w:w="9200" w:type="dxa"/>
            <w:vAlign w:val="bottom"/>
            <w:gridSpan w:val="27"/>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101.CAL</w:t>
            </w:r>
          </w:p>
        </w:tc>
        <w:tc>
          <w:tcPr>
            <w:tcW w:w="480" w:type="dxa"/>
            <w:vAlign w:val="bottom"/>
            <w:shd w:val="clear" w:color="auto" w:fill="CCEEFF"/>
          </w:tcPr>
          <w:p>
            <w:pPr>
              <w:spacing w:after="0"/>
              <w:rPr>
                <w:sz w:val="19"/>
                <w:szCs w:val="19"/>
                <w:color w:val="auto"/>
              </w:rPr>
            </w:pPr>
          </w:p>
        </w:tc>
        <w:tc>
          <w:tcPr>
            <w:tcW w:w="9200" w:type="dxa"/>
            <w:vAlign w:val="bottom"/>
            <w:gridSpan w:val="27"/>
            <w:shd w:val="clear" w:color="auto" w:fill="CCEEFF"/>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2"/>
        </w:trPr>
        <w:tc>
          <w:tcPr>
            <w:tcW w:w="1180" w:type="dxa"/>
            <w:vAlign w:val="bottom"/>
          </w:tcPr>
          <w:p>
            <w:pPr>
              <w:ind w:left="480"/>
              <w:spacing w:after="0"/>
              <w:rPr>
                <w:sz w:val="20"/>
                <w:szCs w:val="20"/>
                <w:color w:val="auto"/>
              </w:rPr>
            </w:pPr>
            <w:r>
              <w:rPr>
                <w:rFonts w:ascii="Arial" w:cs="Arial" w:eastAsia="Arial" w:hAnsi="Arial"/>
                <w:sz w:val="17"/>
                <w:szCs w:val="17"/>
                <w:color w:val="auto"/>
              </w:rPr>
              <w:t>101.DEF</w:t>
            </w:r>
          </w:p>
        </w:tc>
        <w:tc>
          <w:tcPr>
            <w:tcW w:w="480" w:type="dxa"/>
            <w:vAlign w:val="bottom"/>
          </w:tcPr>
          <w:p>
            <w:pPr>
              <w:spacing w:after="0"/>
              <w:rPr>
                <w:sz w:val="19"/>
                <w:szCs w:val="19"/>
                <w:color w:val="auto"/>
              </w:rPr>
            </w:pPr>
          </w:p>
        </w:tc>
        <w:tc>
          <w:tcPr>
            <w:tcW w:w="9200" w:type="dxa"/>
            <w:vAlign w:val="bottom"/>
            <w:gridSpan w:val="27"/>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101.LAB</w:t>
            </w:r>
          </w:p>
        </w:tc>
        <w:tc>
          <w:tcPr>
            <w:tcW w:w="480" w:type="dxa"/>
            <w:vAlign w:val="bottom"/>
            <w:shd w:val="clear" w:color="auto" w:fill="CCEEFF"/>
          </w:tcPr>
          <w:p>
            <w:pPr>
              <w:spacing w:after="0"/>
              <w:rPr>
                <w:sz w:val="19"/>
                <w:szCs w:val="19"/>
                <w:color w:val="auto"/>
              </w:rPr>
            </w:pPr>
          </w:p>
        </w:tc>
        <w:tc>
          <w:tcPr>
            <w:tcW w:w="9200" w:type="dxa"/>
            <w:vAlign w:val="bottom"/>
            <w:gridSpan w:val="27"/>
            <w:shd w:val="clear" w:color="auto" w:fill="CCEEFF"/>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22"/>
        </w:trPr>
        <w:tc>
          <w:tcPr>
            <w:tcW w:w="1180" w:type="dxa"/>
            <w:vAlign w:val="bottom"/>
          </w:tcPr>
          <w:p>
            <w:pPr>
              <w:ind w:left="480"/>
              <w:spacing w:after="0"/>
              <w:rPr>
                <w:sz w:val="20"/>
                <w:szCs w:val="20"/>
                <w:color w:val="auto"/>
              </w:rPr>
            </w:pPr>
            <w:r>
              <w:rPr>
                <w:rFonts w:ascii="Arial" w:cs="Arial" w:eastAsia="Arial" w:hAnsi="Arial"/>
                <w:sz w:val="17"/>
                <w:szCs w:val="17"/>
                <w:color w:val="auto"/>
                <w:w w:val="99"/>
              </w:rPr>
              <w:t>101.PRE</w:t>
            </w:r>
          </w:p>
        </w:tc>
        <w:tc>
          <w:tcPr>
            <w:tcW w:w="480" w:type="dxa"/>
            <w:vAlign w:val="bottom"/>
          </w:tcPr>
          <w:p>
            <w:pPr>
              <w:spacing w:after="0"/>
              <w:rPr>
                <w:sz w:val="19"/>
                <w:szCs w:val="19"/>
                <w:color w:val="auto"/>
              </w:rPr>
            </w:pPr>
          </w:p>
        </w:tc>
        <w:tc>
          <w:tcPr>
            <w:tcW w:w="9200" w:type="dxa"/>
            <w:vAlign w:val="bottom"/>
            <w:gridSpan w:val="27"/>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898640" cy="141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6898640" cy="141605"/>
                    </a:xfrm>
                    <a:prstGeom prst="rect">
                      <a:avLst/>
                    </a:prstGeom>
                    <a:noFill/>
                  </pic:spPr>
                </pic:pic>
              </a:graphicData>
            </a:graphic>
          </wp:anchor>
        </w:drawing>
      </w:r>
    </w:p>
    <w:p>
      <w:pPr>
        <w:ind w:left="1660" w:hanging="1175"/>
        <w:spacing w:after="0"/>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XBRL Cover Page Interactive Data (embedded within the Inline XBRL document)</w:t>
      </w:r>
    </w:p>
    <w:p>
      <w:pPr>
        <w:spacing w:after="0" w:line="145"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1 Filed herewith.</w:t>
      </w:r>
    </w:p>
    <w:p>
      <w:pPr>
        <w:spacing w:after="0" w:line="171"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2 Filed as an exhibit to the Company’s Registration Statement on Form S-1 (File No. 033-90866).</w:t>
      </w:r>
    </w:p>
    <w:p>
      <w:pPr>
        <w:spacing w:after="0" w:line="171"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3 Filed as an exhibit to the Company’s Quarterly Report on Form 10-Q (File No. 033-90866) for the period ended March 31, 2006.</w:t>
      </w:r>
    </w:p>
    <w:p>
      <w:pPr>
        <w:spacing w:after="0" w:line="171"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4 Filed as an Annex to the Company’s Schedule 14A Proxy Statement (File No. 033-90866) filed on March 31, 2017.</w:t>
      </w:r>
    </w:p>
    <w:p>
      <w:pPr>
        <w:spacing w:after="0" w:line="171"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7"/>
          <w:szCs w:val="17"/>
          <w:color w:val="auto"/>
        </w:rPr>
        <w:t>5 Filed as an exhibit to the Company’s Current Report on Form 8-K (File No. 033-90866) filed on January 20,2021.</w:t>
      </w:r>
    </w:p>
    <w:p>
      <w:pPr>
        <w:spacing w:after="0" w:line="171" w:lineRule="exact"/>
        <w:rPr>
          <w:rFonts w:ascii="Arial" w:cs="Arial" w:eastAsia="Arial" w:hAnsi="Arial"/>
          <w:sz w:val="17"/>
          <w:szCs w:val="17"/>
          <w:color w:val="auto"/>
        </w:rPr>
      </w:pPr>
    </w:p>
    <w:p>
      <w:pPr>
        <w:ind w:left="60" w:right="1320"/>
        <w:spacing w:after="0" w:line="482" w:lineRule="auto"/>
        <w:rPr>
          <w:rFonts w:ascii="Arial" w:cs="Arial" w:eastAsia="Arial" w:hAnsi="Arial"/>
          <w:sz w:val="17"/>
          <w:szCs w:val="17"/>
          <w:color w:val="auto"/>
        </w:rPr>
      </w:pPr>
      <w:r>
        <w:rPr>
          <w:rFonts w:ascii="Arial" w:cs="Arial" w:eastAsia="Arial" w:hAnsi="Arial"/>
          <w:sz w:val="17"/>
          <w:szCs w:val="17"/>
          <w:color w:val="auto"/>
        </w:rPr>
        <w:t>6 Filed as an exhibit to the Company’s Quarterly Report on Form 10-Q (File No. 033-90866) for the period ended September 30, 2008. 7 Filed as an exhibit to the Company’s Current Report on Form 8-K (File No. 033-90866) dated July 2, 2009.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800" w:top="1005" w:right="239" w:bottom="1440" w:gutter="0" w:footer="0" w:header="0"/>
        </w:sectPr>
      </w:pPr>
    </w:p>
    <w:bookmarkStart w:id="49" w:name="page50"/>
    <w:bookmarkEnd w:id="49"/>
    <w:p>
      <w:pPr>
        <w:ind w:left="680" w:hanging="184"/>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February 18, 2021.</w:t>
      </w:r>
    </w:p>
    <w:p>
      <w:pPr>
        <w:spacing w:after="0" w:line="171"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9 Filed as an exhibit to the Company’s Annual Report on Form 10-K (File No. 033-90866), dated February 25, 2011.</w:t>
      </w:r>
    </w:p>
    <w:p>
      <w:pPr>
        <w:spacing w:after="0" w:line="171" w:lineRule="exact"/>
        <w:rPr>
          <w:sz w:val="20"/>
          <w:szCs w:val="20"/>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Annual Report on Form 10-K (File No. 033-90866), dated February 22, 2013.</w:t>
      </w:r>
    </w:p>
    <w:p>
      <w:pPr>
        <w:spacing w:after="0" w:line="171" w:lineRule="exact"/>
        <w:rPr>
          <w:rFonts w:ascii="Arial" w:cs="Arial" w:eastAsia="Arial" w:hAnsi="Arial"/>
          <w:sz w:val="17"/>
          <w:szCs w:val="17"/>
          <w:color w:val="auto"/>
        </w:rPr>
      </w:pPr>
    </w:p>
    <w:p>
      <w:pPr>
        <w:ind w:left="680" w:hanging="265"/>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September 9, 2019.</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August 8, 2013.</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October 6,2015.</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October 26, 2016.</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November 3, 2016.</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10-K (File No. 033-90866), dated February 28, 2017.</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for the period ended March 31, 2017.</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Registration Statement on Form S-4 (File No. 0333-219354).</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for the period ended June 30, 2018.</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September 14, 2018.</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February 25, 2019.</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Annual Report on Form 10-K (File No. 033-90866), dated February 27, 2019.</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dated August 1, 2019.</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dated May 9, 2019.</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June 29, 2020.</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May 7, 2020.</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June 2, 2021</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April 28, 2021</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January 5, 2022</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Current Report on Form 8-K (File No 033-90866), dated October 21, 2021</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033-90866), for the period ended September 30, 2021.</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Annual Report on Form 10-K (File No. 033-90866), dated February 19, 2021.</w:t>
      </w:r>
    </w:p>
    <w:p>
      <w:pPr>
        <w:spacing w:after="0" w:line="171" w:lineRule="exact"/>
        <w:rPr>
          <w:rFonts w:ascii="Arial" w:cs="Arial" w:eastAsia="Arial" w:hAnsi="Arial"/>
          <w:sz w:val="17"/>
          <w:szCs w:val="17"/>
          <w:color w:val="auto"/>
        </w:rPr>
      </w:pPr>
    </w:p>
    <w:p>
      <w:pPr>
        <w:ind w:left="680" w:hanging="272"/>
        <w:spacing w:after="0"/>
        <w:tabs>
          <w:tab w:leader="none" w:pos="6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Filed as an exhibit to the Company's Registration Statement on Form S-8 (File No. 033-90866), dated March 2, 2012.</w:t>
      </w:r>
    </w:p>
    <w:p>
      <w:pPr>
        <w:spacing w:after="0" w:line="19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Management contract or compensatory plan.</w:t>
      </w:r>
    </w:p>
    <w:p>
      <w:pPr>
        <w:spacing w:after="0" w:line="27" w:lineRule="exact"/>
        <w:rPr>
          <w:rFonts w:ascii="Arial" w:cs="Arial" w:eastAsia="Arial" w:hAnsi="Arial"/>
          <w:sz w:val="17"/>
          <w:szCs w:val="17"/>
          <w:color w:val="auto"/>
        </w:rPr>
      </w:pPr>
    </w:p>
    <w:p>
      <w:pPr>
        <w:ind w:left="680" w:hanging="678"/>
        <w:spacing w:after="0" w:line="241"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40" w:top="913" w:right="6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MANAGEMENT’S REPORTS TO WABTEC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Financial Statements and Practices</w:t>
      </w:r>
    </w:p>
    <w:p>
      <w:pPr>
        <w:spacing w:after="0" w:line="125" w:lineRule="exact"/>
        <w:rPr>
          <w:sz w:val="20"/>
          <w:szCs w:val="20"/>
          <w:color w:val="auto"/>
        </w:rPr>
      </w:pPr>
    </w:p>
    <w:p>
      <w:pPr>
        <w:ind w:right="100" w:firstLine="472"/>
        <w:spacing w:after="0" w:line="267" w:lineRule="auto"/>
        <w:rPr>
          <w:sz w:val="20"/>
          <w:szCs w:val="20"/>
          <w:color w:val="auto"/>
        </w:rPr>
      </w:pPr>
      <w:r>
        <w:rPr>
          <w:rFonts w:ascii="Arial" w:cs="Arial" w:eastAsia="Arial" w:hAnsi="Arial"/>
          <w:sz w:val="17"/>
          <w:szCs w:val="17"/>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10-K is consistent with that in the financial statements.</w:t>
      </w:r>
    </w:p>
    <w:p>
      <w:pPr>
        <w:spacing w:after="0" w:line="73" w:lineRule="exact"/>
        <w:rPr>
          <w:sz w:val="20"/>
          <w:szCs w:val="20"/>
          <w:color w:val="auto"/>
        </w:rPr>
      </w:pPr>
    </w:p>
    <w:p>
      <w:pPr>
        <w:ind w:firstLine="472"/>
        <w:spacing w:after="0" w:line="267" w:lineRule="auto"/>
        <w:rPr>
          <w:sz w:val="20"/>
          <w:szCs w:val="20"/>
          <w:color w:val="auto"/>
        </w:rPr>
      </w:pPr>
      <w:r>
        <w:rPr>
          <w:rFonts w:ascii="Arial" w:cs="Arial" w:eastAsia="Arial" w:hAnsi="Arial"/>
          <w:sz w:val="17"/>
          <w:szCs w:val="17"/>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5" w:lineRule="exact"/>
        <w:rPr>
          <w:sz w:val="20"/>
          <w:szCs w:val="20"/>
          <w:color w:val="auto"/>
        </w:rPr>
      </w:pPr>
    </w:p>
    <w:p>
      <w:pPr>
        <w:ind w:firstLine="472"/>
        <w:spacing w:after="0" w:line="26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right="400" w:firstLine="472"/>
        <w:spacing w:after="0" w:line="273" w:lineRule="auto"/>
        <w:rPr>
          <w:sz w:val="20"/>
          <w:szCs w:val="20"/>
          <w:color w:val="auto"/>
        </w:rPr>
      </w:pPr>
      <w:r>
        <w:rPr>
          <w:rFonts w:ascii="Arial" w:cs="Arial" w:eastAsia="Arial" w:hAnsi="Arial"/>
          <w:sz w:val="17"/>
          <w:szCs w:val="17"/>
          <w:color w:val="auto"/>
        </w:rPr>
        <w:t>Management has excluded Nordco from its assessment of internal controls over financial reporting as of December 31, 2021 because the Company acquired Nordco effective March 31, 2021. Nordco is a subsidiary whose total assets and customer revenues represents 2.5% and 1.8%, respectively, of the related consolidated financial statement amounts as of and for the year ended December 31, 2021.</w:t>
      </w:r>
    </w:p>
    <w:p>
      <w:pPr>
        <w:spacing w:after="0" w:line="66" w:lineRule="exact"/>
        <w:rPr>
          <w:sz w:val="20"/>
          <w:szCs w:val="20"/>
          <w:color w:val="auto"/>
        </w:rPr>
      </w:pPr>
    </w:p>
    <w:p>
      <w:pPr>
        <w:ind w:right="100" w:firstLine="472"/>
        <w:spacing w:after="0" w:line="267" w:lineRule="auto"/>
        <w:rPr>
          <w:sz w:val="20"/>
          <w:szCs w:val="20"/>
          <w:color w:val="auto"/>
        </w:rPr>
      </w:pPr>
      <w:r>
        <w:rPr>
          <w:rFonts w:ascii="Arial" w:cs="Arial" w:eastAsia="Arial" w:hAnsi="Arial"/>
          <w:sz w:val="17"/>
          <w:szCs w:val="17"/>
          <w:color w:val="auto"/>
        </w:rPr>
        <w:t>Based on its assessment, Management has concluded that the Company maintained effective internal control over financial reporting as of December 31, 2021, based on criteria in Internal Control-Integrated Framework issued by the COSO. The effectiveness of the Company’s internal control over financial reporting as of December 31, 2021,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400" w:lineRule="exact"/>
        <w:rPr>
          <w:sz w:val="20"/>
          <w:szCs w:val="20"/>
          <w:color w:val="auto"/>
        </w:rPr>
      </w:pPr>
    </w:p>
    <w:p>
      <w:pPr>
        <w:ind w:right="4140"/>
        <w:spacing w:after="0" w:line="385" w:lineRule="auto"/>
        <w:rPr>
          <w:sz w:val="20"/>
          <w:szCs w:val="20"/>
          <w:color w:val="auto"/>
        </w:rPr>
      </w:pPr>
      <w:r>
        <w:rPr>
          <w:rFonts w:ascii="Arial" w:cs="Arial" w:eastAsia="Arial" w:hAnsi="Arial"/>
          <w:sz w:val="17"/>
          <w:szCs w:val="17"/>
          <w:color w:val="auto"/>
        </w:rPr>
        <w:t xml:space="preserve">To the Shareholders and the Board of Directors of Westinghouse Air Brake Technologies Corporation </w:t>
      </w:r>
      <w:r>
        <w:rPr>
          <w:rFonts w:ascii="Arial" w:cs="Arial" w:eastAsia="Arial" w:hAnsi="Arial"/>
          <w:sz w:val="17"/>
          <w:szCs w:val="17"/>
          <w:b w:val="1"/>
          <w:bCs w:val="1"/>
          <w:color w:val="auto"/>
        </w:rPr>
        <w:t>Opinion on the Financial Statements</w:t>
      </w:r>
    </w:p>
    <w:p>
      <w:pPr>
        <w:spacing w:after="0" w:line="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have audited the accompanying consolidated balance sheets of Westinghouse Air Brake Technologies Corporation (the Company) as of December 31, 2021 and 2020, the related consolidated statements of income, comprehensive income, cash flows and shareholders' equity for each of the three years in the period ended December 31, 2021,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77"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17, 2022 expressed an unqualified opinion thereon.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2" w:name="page53"/>
    <w:bookmarkEnd w:id="52"/>
    <w:p>
      <w:pPr>
        <w:ind w:left="1980"/>
        <w:spacing w:after="0"/>
        <w:rPr>
          <w:sz w:val="20"/>
          <w:szCs w:val="20"/>
          <w:color w:val="auto"/>
        </w:rPr>
      </w:pPr>
      <w:r>
        <w:rPr>
          <w:rFonts w:ascii="Arial" w:cs="Arial" w:eastAsia="Arial" w:hAnsi="Arial"/>
          <w:sz w:val="17"/>
          <w:szCs w:val="17"/>
          <w:b w:val="1"/>
          <w:bCs w:val="1"/>
          <w:i w:val="1"/>
          <w:iCs w:val="1"/>
          <w:color w:val="auto"/>
        </w:rPr>
        <w:t>Over Time Revenue Recognition for Long-Term Contracts</w:t>
      </w:r>
    </w:p>
    <w:p>
      <w:pPr>
        <w:spacing w:after="0" w:line="43" w:lineRule="exact"/>
        <w:rPr>
          <w:sz w:val="20"/>
          <w:szCs w:val="20"/>
          <w:color w:val="auto"/>
        </w:rPr>
      </w:pPr>
    </w:p>
    <w:p>
      <w:pPr>
        <w:ind w:left="1980" w:right="80" w:hanging="1951"/>
        <w:spacing w:after="0" w:line="266" w:lineRule="auto"/>
        <w:tabs>
          <w:tab w:leader="none" w:pos="1960" w:val="left"/>
        </w:tabs>
        <w:rPr>
          <w:sz w:val="20"/>
          <w:szCs w:val="20"/>
          <w:color w:val="auto"/>
        </w:rPr>
      </w:pPr>
      <w:r>
        <w:rPr>
          <w:rFonts w:ascii="Arial" w:cs="Arial" w:eastAsia="Arial" w:hAnsi="Arial"/>
          <w:sz w:val="16"/>
          <w:szCs w:val="16"/>
          <w:i w:val="1"/>
          <w:iCs w:val="1"/>
          <w:color w:val="333333"/>
        </w:rPr>
        <w:t>Description of the Matter</w:t>
      </w:r>
      <w:r>
        <w:rPr>
          <w:sz w:val="20"/>
          <w:szCs w:val="20"/>
          <w:color w:val="auto"/>
        </w:rPr>
        <w:tab/>
      </w:r>
      <w:r>
        <w:rPr>
          <w:rFonts w:ascii="Arial" w:cs="Arial" w:eastAsia="Arial" w:hAnsi="Arial"/>
          <w:sz w:val="16"/>
          <w:szCs w:val="16"/>
          <w:color w:val="auto"/>
        </w:rPr>
        <w:t>As described in Note 2 to the consolidated financial statements, the Company has long-term customer 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2021, a material amount of the Company's total revenues were derived from performance obligations that are satisfied over time.</w:t>
      </w:r>
    </w:p>
    <w:p>
      <w:pPr>
        <w:spacing w:after="0" w:line="163" w:lineRule="exact"/>
        <w:rPr>
          <w:sz w:val="20"/>
          <w:szCs w:val="20"/>
          <w:color w:val="auto"/>
        </w:rPr>
      </w:pPr>
    </w:p>
    <w:p>
      <w:pPr>
        <w:ind w:left="1980" w:right="80"/>
        <w:spacing w:after="0" w:line="287" w:lineRule="auto"/>
        <w:rPr>
          <w:sz w:val="20"/>
          <w:szCs w:val="20"/>
          <w:color w:val="auto"/>
        </w:rPr>
      </w:pPr>
      <w:r>
        <w:rPr>
          <w:rFonts w:ascii="Arial" w:cs="Arial" w:eastAsia="Arial" w:hAnsi="Arial"/>
          <w:sz w:val="15"/>
          <w:szCs w:val="15"/>
          <w:color w:val="auto"/>
        </w:rPr>
        <w:t>Auditing the Company's measurement of revenue recognized over time on long-term contracts is especially challenging because it involves subjective management assumptions regarding the estimated remaining costs of the long-term contract that could span several years. These assumptions could be impacted by the future cost of materials, labor availability and productivity, complexity of the work to be performed, and the performance of suppliers, customers and subcontractors that may be associated with the contract and may be affected by future market or economic conditions.</w:t>
      </w:r>
    </w:p>
    <w:p>
      <w:pPr>
        <w:spacing w:after="0" w:line="3" w:lineRule="exact"/>
        <w:rPr>
          <w:sz w:val="20"/>
          <w:szCs w:val="20"/>
          <w:color w:val="auto"/>
        </w:rPr>
      </w:pPr>
    </w:p>
    <w:p>
      <w:pPr>
        <w:ind w:left="20"/>
        <w:spacing w:after="0"/>
        <w:tabs>
          <w:tab w:leader="none" w:pos="1960" w:val="left"/>
        </w:tabs>
        <w:rPr>
          <w:sz w:val="20"/>
          <w:szCs w:val="20"/>
          <w:color w:val="auto"/>
        </w:rPr>
      </w:pPr>
      <w:r>
        <w:rPr>
          <w:rFonts w:ascii="Arial" w:cs="Arial" w:eastAsia="Arial" w:hAnsi="Arial"/>
          <w:sz w:val="17"/>
          <w:szCs w:val="17"/>
          <w:i w:val="1"/>
          <w:iCs w:val="1"/>
          <w:color w:val="333333"/>
        </w:rPr>
        <w:t>How We Addressed the</w:t>
      </w:r>
      <w:r>
        <w:rPr>
          <w:sz w:val="20"/>
          <w:szCs w:val="20"/>
          <w:color w:val="auto"/>
        </w:rPr>
        <w:tab/>
      </w:r>
      <w:r>
        <w:rPr>
          <w:rFonts w:ascii="Arial" w:cs="Arial" w:eastAsia="Arial" w:hAnsi="Arial"/>
          <w:sz w:val="15"/>
          <w:szCs w:val="15"/>
          <w:color w:val="auto"/>
        </w:rPr>
        <w:t>We obtained an understanding, evaluated the design and tested the operating effectiveness of controls over the</w:t>
      </w:r>
    </w:p>
    <w:p>
      <w:pPr>
        <w:spacing w:after="0" w:line="15" w:lineRule="exact"/>
        <w:rPr>
          <w:sz w:val="20"/>
          <w:szCs w:val="20"/>
          <w:color w:val="auto"/>
        </w:rPr>
      </w:pPr>
    </w:p>
    <w:p>
      <w:pPr>
        <w:ind w:left="1980" w:hanging="1951"/>
        <w:spacing w:after="0" w:line="256" w:lineRule="auto"/>
        <w:tabs>
          <w:tab w:leader="none" w:pos="1960" w:val="left"/>
        </w:tabs>
        <w:rPr>
          <w:sz w:val="20"/>
          <w:szCs w:val="20"/>
          <w:color w:val="auto"/>
        </w:rPr>
      </w:pPr>
      <w:r>
        <w:rPr>
          <w:rFonts w:ascii="Arial" w:cs="Arial" w:eastAsia="Arial" w:hAnsi="Arial"/>
          <w:sz w:val="17"/>
          <w:szCs w:val="17"/>
          <w:i w:val="1"/>
          <w:iCs w:val="1"/>
          <w:color w:val="333333"/>
        </w:rPr>
        <w:t>Matter in Our Audit</w:t>
      </w:r>
      <w:r>
        <w:rPr>
          <w:sz w:val="20"/>
          <w:szCs w:val="20"/>
          <w:color w:val="auto"/>
        </w:rPr>
        <w:tab/>
      </w:r>
      <w:r>
        <w:rPr>
          <w:rFonts w:ascii="Arial" w:cs="Arial" w:eastAsia="Arial" w:hAnsi="Arial"/>
          <w:sz w:val="17"/>
          <w:szCs w:val="17"/>
          <w:color w:val="auto"/>
        </w:rPr>
        <w:t>Company's process to recognize revenue over time on long-term contracts, including controls over management’s review of the significant underlying assumptions described above.</w:t>
      </w:r>
    </w:p>
    <w:p>
      <w:pPr>
        <w:spacing w:after="0" w:line="185" w:lineRule="exact"/>
        <w:rPr>
          <w:sz w:val="20"/>
          <w:szCs w:val="20"/>
          <w:color w:val="auto"/>
        </w:rPr>
      </w:pPr>
    </w:p>
    <w:p>
      <w:pPr>
        <w:ind w:left="1980" w:right="20"/>
        <w:spacing w:after="0" w:line="231" w:lineRule="auto"/>
        <w:rPr>
          <w:sz w:val="20"/>
          <w:szCs w:val="20"/>
          <w:color w:val="auto"/>
        </w:rPr>
      </w:pPr>
      <w:r>
        <w:rPr>
          <w:rFonts w:ascii="Arial" w:cs="Arial" w:eastAsia="Arial" w:hAnsi="Arial"/>
          <w:sz w:val="17"/>
          <w:szCs w:val="17"/>
          <w:color w:val="24282D"/>
        </w:rPr>
        <w:t>Our audit procedures also included, among others, evaluating the significant assumptions and the accuracy and completeness of the underlying data used in management's calculations. This included, for example, inspection of the executed contracts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a sample of contracts, we involved our construction and engineering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926" w:right="115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400" w:lineRule="exact"/>
        <w:rPr>
          <w:sz w:val="20"/>
          <w:szCs w:val="20"/>
          <w:color w:val="auto"/>
        </w:rPr>
      </w:pPr>
    </w:p>
    <w:p>
      <w:pPr>
        <w:ind w:right="4140"/>
        <w:spacing w:after="0" w:line="426" w:lineRule="auto"/>
        <w:rPr>
          <w:sz w:val="20"/>
          <w:szCs w:val="20"/>
          <w:color w:val="auto"/>
        </w:rPr>
      </w:pPr>
      <w:r>
        <w:rPr>
          <w:rFonts w:ascii="Arial" w:cs="Arial" w:eastAsia="Arial" w:hAnsi="Arial"/>
          <w:sz w:val="17"/>
          <w:szCs w:val="17"/>
          <w:color w:val="auto"/>
        </w:rPr>
        <w:t xml:space="preserve">To the Shareholders and the Board of Directors of Westinghouse Air Brake Technologies Corporation </w:t>
      </w:r>
      <w:r>
        <w:rPr>
          <w:rFonts w:ascii="Arial" w:cs="Arial" w:eastAsia="Arial" w:hAnsi="Arial"/>
          <w:sz w:val="17"/>
          <w:szCs w:val="17"/>
          <w:b w:val="1"/>
          <w:bCs w:val="1"/>
          <w:color w:val="auto"/>
        </w:rPr>
        <w:t>Opinion on Internal Control over Financial Reporting</w:t>
      </w:r>
    </w:p>
    <w:p>
      <w:pPr>
        <w:ind w:right="260"/>
        <w:spacing w:after="0" w:line="267" w:lineRule="auto"/>
        <w:rPr>
          <w:sz w:val="20"/>
          <w:szCs w:val="20"/>
          <w:color w:val="auto"/>
        </w:rPr>
      </w:pPr>
      <w:r>
        <w:rPr>
          <w:rFonts w:ascii="Arial" w:cs="Arial" w:eastAsia="Arial" w:hAnsi="Arial"/>
          <w:sz w:val="17"/>
          <w:szCs w:val="17"/>
          <w:color w:val="auto"/>
        </w:rPr>
        <w:t>We have audited Westinghouse Air Brake Technologies Corporation’s internal control over financial reporting as of December 31, 2021,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2021, based on the COSO criteria.</w:t>
      </w:r>
    </w:p>
    <w:p>
      <w:pPr>
        <w:spacing w:after="0" w:line="73"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Nordco, which is included in the 2021 consolidated financial statements of the Company and constituted 2.5% of total assets as of December 31, 2021 and 1.8% of net sales for the year then ended. Our audit of internal control over financial reporting of the Company also did not include an evaluation of the internal control over financial reporting of Nordco.</w:t>
      </w:r>
    </w:p>
    <w:p>
      <w:pPr>
        <w:spacing w:after="0" w:line="57"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cash flows and shareholders’ equity for each of the three years in the period ended December 31, 2021, and the related notes and financial statement schedule listed in the Index at Item 15.</w:t>
      </w:r>
    </w:p>
    <w:p>
      <w:pPr>
        <w:spacing w:after="0"/>
        <w:rPr>
          <w:sz w:val="20"/>
          <w:szCs w:val="20"/>
          <w:color w:val="auto"/>
        </w:rPr>
      </w:pPr>
      <w:r>
        <w:rPr>
          <w:rFonts w:ascii="Arial" w:cs="Arial" w:eastAsia="Arial" w:hAnsi="Arial"/>
          <w:sz w:val="17"/>
          <w:szCs w:val="17"/>
          <w:color w:val="auto"/>
        </w:rPr>
        <w:t>(2) and our report dated February 17, 2022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3" w:lineRule="exact"/>
        <w:rPr>
          <w:sz w:val="20"/>
          <w:szCs w:val="20"/>
          <w:color w:val="auto"/>
        </w:rPr>
      </w:pPr>
    </w:p>
    <w:p>
      <w:pPr>
        <w:jc w:val="both"/>
        <w:ind w:right="640"/>
        <w:spacing w:after="0" w:line="27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40"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par value</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1"/>
              <w:spacing w:after="0" w:line="170"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21"/>
              <w:spacing w:after="0" w:line="170"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00" w:type="dxa"/>
            <w:vAlign w:val="bottom"/>
            <w:gridSpan w:val="2"/>
          </w:tcPr>
          <w:p>
            <w:pPr>
              <w:ind w:left="20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8,485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ind w:left="4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 term liabilities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5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Commitments and Contingencies (Note 18)</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50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5"/>
              </w:rPr>
              <w:t>Common stock, $.01 par value; 500.0 shares authorized: 226.9 and 226.9 shares issued and 185.8 and 188.9 outstanding at</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gridSpan w:val="2"/>
          </w:tcPr>
          <w:p>
            <w:pPr>
              <w:ind w:left="20"/>
              <w:spacing w:after="0"/>
              <w:rPr>
                <w:sz w:val="20"/>
                <w:szCs w:val="20"/>
                <w:color w:val="auto"/>
              </w:rPr>
            </w:pPr>
            <w:r>
              <w:rPr>
                <w:rFonts w:ascii="Arial" w:cs="Arial" w:eastAsia="Arial" w:hAnsi="Arial"/>
                <w:sz w:val="16"/>
                <w:szCs w:val="16"/>
                <w:color w:val="auto"/>
              </w:rPr>
              <w:t>December 31, 2021 and 2020, respectively</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Treasury stock, at cost, 41.1 and 38.0 shares, at December 31, 2021 and 2020, respectively</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gridSpan w:val="2"/>
          </w:tcPr>
          <w:p>
            <w:pPr>
              <w:ind w:left="4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6000" w:type="dxa"/>
            <w:vAlign w:val="bottom"/>
            <w:gridSpan w:val="5"/>
          </w:tcPr>
          <w:p>
            <w:pPr>
              <w:ind w:left="540"/>
              <w:spacing w:after="0"/>
              <w:rPr>
                <w:sz w:val="20"/>
                <w:szCs w:val="20"/>
                <w:color w:val="auto"/>
              </w:rPr>
            </w:pPr>
            <w:r>
              <w:rPr>
                <w:rFonts w:ascii="Arial" w:cs="Arial" w:eastAsia="Arial" w:hAnsi="Arial"/>
                <w:sz w:val="17"/>
                <w:szCs w:val="17"/>
                <w:b w:val="1"/>
                <w:bCs w:val="1"/>
                <w:color w:val="auto"/>
              </w:rPr>
              <w:t>WESTINGHOUSE AIR BRAKE TECHNOLOGIES CORPORATION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CONSOLIDATED STATEMENTS OF INCOME</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6"/>
        </w:trPr>
        <w:tc>
          <w:tcPr>
            <w:tcW w:w="2420" w:type="dxa"/>
            <w:vAlign w:val="bottom"/>
            <w:tcBorders>
              <w:bottom w:val="single" w:sz="8" w:color="auto"/>
            </w:tcBorders>
          </w:tcPr>
          <w:p>
            <w:pPr>
              <w:spacing w:after="0" w:line="176" w:lineRule="exact"/>
              <w:rPr>
                <w:sz w:val="20"/>
                <w:szCs w:val="20"/>
                <w:color w:val="auto"/>
              </w:rPr>
            </w:pPr>
            <w:r>
              <w:rPr>
                <w:rFonts w:ascii="Arial" w:cs="Arial" w:eastAsia="Arial" w:hAnsi="Arial"/>
                <w:sz w:val="17"/>
                <w:szCs w:val="17"/>
                <w:b w:val="1"/>
                <w:bCs w:val="1"/>
                <w:i w:val="1"/>
                <w:iCs w:val="1"/>
                <w:color w:val="auto"/>
                <w:w w:val="89"/>
              </w:rPr>
              <w:t>In millions, except per share data</w:t>
            </w:r>
          </w:p>
        </w:tc>
        <w:tc>
          <w:tcPr>
            <w:tcW w:w="1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3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ind w:left="220"/>
              <w:spacing w:after="0"/>
              <w:rPr>
                <w:sz w:val="20"/>
                <w:szCs w:val="20"/>
                <w:color w:val="auto"/>
              </w:rPr>
            </w:pPr>
            <w:r>
              <w:rPr>
                <w:rFonts w:ascii="Arial" w:cs="Arial" w:eastAsia="Arial" w:hAnsi="Arial"/>
                <w:sz w:val="17"/>
                <w:szCs w:val="17"/>
                <w:color w:val="auto"/>
              </w:rPr>
              <w:t>Sales of goods</w:t>
            </w:r>
          </w:p>
        </w:tc>
        <w:tc>
          <w:tcPr>
            <w:tcW w:w="3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6,205</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6,233</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6,908</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Sales of services</w:t>
            </w:r>
          </w:p>
        </w:tc>
        <w:tc>
          <w:tcPr>
            <w:tcW w:w="34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216"/>
        </w:trPr>
        <w:tc>
          <w:tcPr>
            <w:tcW w:w="358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8,200</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ind w:left="220"/>
              <w:spacing w:after="0"/>
              <w:rPr>
                <w:sz w:val="20"/>
                <w:szCs w:val="20"/>
                <w:color w:val="auto"/>
              </w:rPr>
            </w:pPr>
            <w:r>
              <w:rPr>
                <w:rFonts w:ascii="Arial" w:cs="Arial" w:eastAsia="Arial" w:hAnsi="Arial"/>
                <w:sz w:val="17"/>
                <w:szCs w:val="17"/>
                <w:color w:val="auto"/>
              </w:rPr>
              <w:t>Cost of goods</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(5,128)</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Cost of services</w:t>
            </w:r>
          </w:p>
        </w:tc>
        <w:tc>
          <w:tcPr>
            <w:tcW w:w="34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4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Gross profit</w:t>
            </w:r>
          </w:p>
        </w:tc>
        <w:tc>
          <w:tcPr>
            <w:tcW w:w="3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9"/>
              </w:rPr>
              <w:t>Selling, general and administrative expenses</w:t>
            </w:r>
          </w:p>
        </w:tc>
        <w:tc>
          <w:tcPr>
            <w:tcW w:w="3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22"/>
        </w:trPr>
        <w:tc>
          <w:tcPr>
            <w:tcW w:w="3580" w:type="dxa"/>
            <w:vAlign w:val="bottom"/>
            <w:gridSpan w:val="2"/>
          </w:tcPr>
          <w:p>
            <w:pPr>
              <w:ind w:left="220"/>
              <w:spacing w:after="0"/>
              <w:rPr>
                <w:sz w:val="20"/>
                <w:szCs w:val="20"/>
                <w:color w:val="auto"/>
              </w:rPr>
            </w:pPr>
            <w:r>
              <w:rPr>
                <w:rFonts w:ascii="Arial" w:cs="Arial" w:eastAsia="Arial" w:hAnsi="Arial"/>
                <w:sz w:val="17"/>
                <w:szCs w:val="17"/>
                <w:color w:val="auto"/>
              </w:rPr>
              <w:t>Engineering expenses</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expense</w:t>
            </w:r>
          </w:p>
        </w:tc>
        <w:tc>
          <w:tcPr>
            <w:tcW w:w="34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Total operating expenses</w:t>
            </w:r>
          </w:p>
        </w:tc>
        <w:tc>
          <w:tcPr>
            <w:tcW w:w="34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from operations</w:t>
            </w:r>
          </w:p>
        </w:tc>
        <w:tc>
          <w:tcPr>
            <w:tcW w:w="3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7"/>
                <w:szCs w:val="17"/>
                <w:color w:val="auto"/>
              </w:rPr>
              <w:t>Other income and expenses:</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22"/>
        </w:trPr>
        <w:tc>
          <w:tcPr>
            <w:tcW w:w="3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 net</w:t>
            </w:r>
          </w:p>
        </w:tc>
        <w:tc>
          <w:tcPr>
            <w:tcW w:w="34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before income taxes</w:t>
            </w:r>
          </w:p>
        </w:tc>
        <w:tc>
          <w:tcPr>
            <w:tcW w:w="3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2"/>
        </w:trPr>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Income tax expense</w:t>
            </w:r>
          </w:p>
        </w:tc>
        <w:tc>
          <w:tcPr>
            <w:tcW w:w="34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3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22"/>
        </w:trPr>
        <w:tc>
          <w:tcPr>
            <w:tcW w:w="698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Less: Net (income) loss attributable to noncontrolling interest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6"/>
              </w:rPr>
              <w:t>Net income attributable to Wabtec shareholders</w:t>
            </w:r>
          </w:p>
        </w:tc>
        <w:tc>
          <w:tcPr>
            <w:tcW w:w="3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Earnings Per Common Share</w:t>
            </w:r>
          </w:p>
        </w:tc>
        <w:tc>
          <w:tcPr>
            <w:tcW w:w="3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w:t>
            </w:r>
          </w:p>
        </w:tc>
        <w:tc>
          <w:tcPr>
            <w:tcW w:w="3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120"/>
              <w:spacing w:after="0"/>
              <w:rPr>
                <w:sz w:val="20"/>
                <w:szCs w:val="20"/>
                <w:color w:val="auto"/>
              </w:rPr>
            </w:pPr>
            <w:r>
              <w:rPr>
                <w:rFonts w:ascii="Arial" w:cs="Arial" w:eastAsia="Arial" w:hAnsi="Arial"/>
                <w:sz w:val="17"/>
                <w:szCs w:val="17"/>
                <w:color w:val="auto"/>
                <w:w w:val="95"/>
              </w:rPr>
              <w:t>Net income attributable to Wabtec shareholders</w:t>
            </w:r>
          </w:p>
        </w:tc>
        <w:tc>
          <w:tcPr>
            <w:tcW w:w="3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Diluted</w:t>
            </w:r>
          </w:p>
        </w:tc>
        <w:tc>
          <w:tcPr>
            <w:tcW w:w="3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120"/>
              <w:spacing w:after="0"/>
              <w:rPr>
                <w:sz w:val="20"/>
                <w:szCs w:val="20"/>
                <w:color w:val="auto"/>
              </w:rPr>
            </w:pPr>
            <w:r>
              <w:rPr>
                <w:rFonts w:ascii="Arial" w:cs="Arial" w:eastAsia="Arial" w:hAnsi="Arial"/>
                <w:sz w:val="17"/>
                <w:szCs w:val="17"/>
                <w:color w:val="auto"/>
                <w:w w:val="95"/>
              </w:rPr>
              <w:t>Net income attributable to Wabtec shareholders</w:t>
            </w:r>
          </w:p>
        </w:tc>
        <w:tc>
          <w:tcPr>
            <w:tcW w:w="3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7"/>
                <w:szCs w:val="17"/>
                <w:color w:val="auto"/>
              </w:rPr>
              <w:t>Weighted average shares outstanding</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3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22"/>
        </w:trPr>
        <w:tc>
          <w:tcPr>
            <w:tcW w:w="3580" w:type="dxa"/>
            <w:vAlign w:val="bottom"/>
            <w:gridSpan w:val="2"/>
          </w:tcPr>
          <w:p>
            <w:pPr>
              <w:ind w:left="100"/>
              <w:spacing w:after="0"/>
              <w:rPr>
                <w:sz w:val="20"/>
                <w:szCs w:val="20"/>
                <w:color w:val="auto"/>
              </w:rPr>
            </w:pPr>
            <w:r>
              <w:rPr>
                <w:rFonts w:ascii="Arial" w:cs="Arial" w:eastAsia="Arial" w:hAnsi="Arial"/>
                <w:sz w:val="17"/>
                <w:szCs w:val="17"/>
                <w:color w:val="auto"/>
              </w:rPr>
              <w:t>Diluted</w:t>
            </w:r>
          </w:p>
        </w:tc>
        <w:tc>
          <w:tcPr>
            <w:tcW w:w="3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177.3</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7620" w:type="dxa"/>
            <w:vAlign w:val="bottom"/>
            <w:gridSpan w:val="4"/>
          </w:tcPr>
          <w:p>
            <w:pPr>
              <w:ind w:left="2140"/>
              <w:spacing w:after="0"/>
              <w:rPr>
                <w:sz w:val="20"/>
                <w:szCs w:val="20"/>
                <w:color w:val="auto"/>
              </w:rPr>
            </w:pPr>
            <w:r>
              <w:rPr>
                <w:rFonts w:ascii="Arial" w:cs="Arial" w:eastAsia="Arial" w:hAnsi="Arial"/>
                <w:sz w:val="17"/>
                <w:szCs w:val="17"/>
                <w:b w:val="1"/>
                <w:bCs w:val="1"/>
                <w:color w:val="auto"/>
              </w:rPr>
              <w:t>WESTINGHOUSE AIR BRAKE TECHNOLOGIES CORPORATION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5"/>
        </w:trPr>
        <w:tc>
          <w:tcPr>
            <w:tcW w:w="800" w:type="dxa"/>
            <w:vAlign w:val="bottom"/>
          </w:tcPr>
          <w:p>
            <w:pPr>
              <w:spacing w:after="0"/>
              <w:rPr>
                <w:sz w:val="23"/>
                <w:szCs w:val="23"/>
                <w:color w:val="auto"/>
              </w:rPr>
            </w:pPr>
          </w:p>
        </w:tc>
        <w:tc>
          <w:tcPr>
            <w:tcW w:w="7620" w:type="dxa"/>
            <w:vAlign w:val="bottom"/>
            <w:gridSpan w:val="4"/>
          </w:tcPr>
          <w:p>
            <w:pPr>
              <w:ind w:left="2140"/>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9"/>
        </w:trPr>
        <w:tc>
          <w:tcPr>
            <w:tcW w:w="8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16"/>
        </w:trPr>
        <w:tc>
          <w:tcPr>
            <w:tcW w:w="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r>
      <w:tr>
        <w:trPr>
          <w:trHeight w:val="186"/>
        </w:trPr>
        <w:tc>
          <w:tcPr>
            <w:tcW w:w="800" w:type="dxa"/>
            <w:vAlign w:val="bottom"/>
            <w:tcBorders>
              <w:bottom w:val="single" w:sz="8" w:color="auto"/>
            </w:tcBorders>
          </w:tcPr>
          <w:p>
            <w:pPr>
              <w:spacing w:after="0" w:line="176" w:lineRule="exact"/>
              <w:rPr>
                <w:sz w:val="20"/>
                <w:szCs w:val="20"/>
                <w:color w:val="auto"/>
              </w:rPr>
            </w:pPr>
            <w:r>
              <w:rPr>
                <w:rFonts w:ascii="Arial" w:cs="Arial" w:eastAsia="Arial" w:hAnsi="Arial"/>
                <w:sz w:val="17"/>
                <w:szCs w:val="17"/>
                <w:b w:val="1"/>
                <w:bCs w:val="1"/>
                <w:i w:val="1"/>
                <w:iCs w:val="1"/>
                <w:color w:val="auto"/>
                <w:w w:val="92"/>
              </w:rPr>
              <w:t>In millions</w:t>
            </w:r>
          </w:p>
        </w:tc>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16"/>
        </w:trPr>
        <w:tc>
          <w:tcPr>
            <w:tcW w:w="6980" w:type="dxa"/>
            <w:vAlign w:val="bottom"/>
            <w:gridSpan w:val="2"/>
          </w:tcPr>
          <w:p>
            <w:pPr>
              <w:spacing w:after="0"/>
              <w:rPr>
                <w:sz w:val="20"/>
                <w:szCs w:val="20"/>
                <w:color w:val="auto"/>
              </w:rPr>
            </w:pPr>
            <w:r>
              <w:rPr>
                <w:rFonts w:ascii="Arial" w:cs="Arial" w:eastAsia="Arial" w:hAnsi="Arial"/>
                <w:sz w:val="17"/>
                <w:szCs w:val="17"/>
                <w:color w:val="auto"/>
              </w:rPr>
              <w:t>Foreign currency translation (loss) gain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3"/>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(loss) gain on derivative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Unrealized gain (loss) on pension benefit plans and post-retirement benefit plans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 comprehensive (loss) income before tax</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2"/>
        </w:trPr>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(expense) benefit related to components of other comprehensive (loss)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 comprehensive (loss) income,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16"/>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Comprehensive income attributable to Wabtec shareholders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r>
      <w:tr>
        <w:trPr>
          <w:trHeight w:val="20"/>
        </w:trPr>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7620" w:type="dxa"/>
            <w:vAlign w:val="bottom"/>
            <w:gridSpan w:val="4"/>
          </w:tcPr>
          <w:p>
            <w:pPr>
              <w:jc w:val="center"/>
              <w:ind w:left="1873"/>
              <w:spacing w:after="0"/>
              <w:rPr>
                <w:sz w:val="20"/>
                <w:szCs w:val="20"/>
                <w:color w:val="auto"/>
              </w:rPr>
            </w:pPr>
            <w:r>
              <w:rPr>
                <w:rFonts w:ascii="Arial" w:cs="Arial" w:eastAsia="Arial" w:hAnsi="Arial"/>
                <w:sz w:val="17"/>
                <w:szCs w:val="17"/>
                <w:b w:val="1"/>
                <w:bCs w:val="1"/>
                <w:color w:val="auto"/>
              </w:rPr>
              <w:t>WESTINGHOUSE AIR BRAKE TECHNOLOGIES CORPORATION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4"/>
        </w:trPr>
        <w:tc>
          <w:tcPr>
            <w:tcW w:w="800" w:type="dxa"/>
            <w:vAlign w:val="bottom"/>
          </w:tcPr>
          <w:p>
            <w:pPr>
              <w:spacing w:after="0"/>
              <w:rPr>
                <w:sz w:val="24"/>
                <w:szCs w:val="24"/>
                <w:color w:val="auto"/>
              </w:rPr>
            </w:pPr>
          </w:p>
        </w:tc>
        <w:tc>
          <w:tcPr>
            <w:tcW w:w="7620" w:type="dxa"/>
            <w:vAlign w:val="bottom"/>
            <w:gridSpan w:val="4"/>
          </w:tcPr>
          <w:p>
            <w:pPr>
              <w:jc w:val="center"/>
              <w:ind w:left="1873"/>
              <w:spacing w:after="0"/>
              <w:rPr>
                <w:sz w:val="20"/>
                <w:szCs w:val="20"/>
                <w:color w:val="auto"/>
              </w:rPr>
            </w:pPr>
            <w:r>
              <w:rPr>
                <w:rFonts w:ascii="Arial" w:cs="Arial" w:eastAsia="Arial" w:hAnsi="Arial"/>
                <w:sz w:val="17"/>
                <w:szCs w:val="17"/>
                <w:b w:val="1"/>
                <w:bCs w:val="1"/>
                <w:color w:val="auto"/>
              </w:rPr>
              <w:t>CONSOLIDATED STATEMENTS OF CASH FLOWS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9"/>
        </w:trPr>
        <w:tc>
          <w:tcPr>
            <w:tcW w:w="8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16"/>
        </w:trPr>
        <w:tc>
          <w:tcPr>
            <w:tcW w:w="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r>
      <w:tr>
        <w:trPr>
          <w:trHeight w:val="186"/>
        </w:trPr>
        <w:tc>
          <w:tcPr>
            <w:tcW w:w="800" w:type="dxa"/>
            <w:vAlign w:val="bottom"/>
            <w:tcBorders>
              <w:bottom w:val="single" w:sz="8" w:color="auto"/>
            </w:tcBorders>
          </w:tcPr>
          <w:p>
            <w:pPr>
              <w:spacing w:after="0" w:line="176" w:lineRule="exact"/>
              <w:rPr>
                <w:sz w:val="20"/>
                <w:szCs w:val="20"/>
                <w:color w:val="auto"/>
              </w:rPr>
            </w:pPr>
            <w:r>
              <w:rPr>
                <w:rFonts w:ascii="Arial" w:cs="Arial" w:eastAsia="Arial" w:hAnsi="Arial"/>
                <w:sz w:val="17"/>
                <w:szCs w:val="17"/>
                <w:b w:val="1"/>
                <w:bCs w:val="1"/>
                <w:i w:val="1"/>
                <w:iCs w:val="1"/>
                <w:color w:val="auto"/>
                <w:w w:val="92"/>
              </w:rPr>
              <w:t>In millions</w:t>
            </w:r>
          </w:p>
        </w:tc>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2"/>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2"/>
        </w:trPr>
        <w:tc>
          <w:tcPr>
            <w:tcW w:w="69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23"/>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Below market intangible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(Gain) Loss on disposal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Changes in operating assets and liabilities, net of acquisitions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6980" w:type="dxa"/>
            <w:vAlign w:val="bottom"/>
            <w:gridSpan w:val="2"/>
          </w:tcPr>
          <w:p>
            <w:pPr>
              <w:ind w:left="440"/>
              <w:spacing w:after="0"/>
              <w:rPr>
                <w:sz w:val="20"/>
                <w:szCs w:val="20"/>
                <w:color w:val="auto"/>
              </w:rPr>
            </w:pPr>
            <w:r>
              <w:rPr>
                <w:rFonts w:ascii="Arial" w:cs="Arial" w:eastAsia="Arial" w:hAnsi="Arial"/>
                <w:sz w:val="17"/>
                <w:szCs w:val="17"/>
                <w:color w:val="auto"/>
              </w:rPr>
              <w:t>Accounts receivable and unbilled 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2"/>
        </w:trPr>
        <w:tc>
          <w:tcPr>
            <w:tcW w:w="6980" w:type="dxa"/>
            <w:vAlign w:val="bottom"/>
            <w:gridSpan w:val="2"/>
          </w:tcPr>
          <w:p>
            <w:pPr>
              <w:ind w:left="44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23"/>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Accrued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6980" w:type="dxa"/>
            <w:vAlign w:val="bottom"/>
            <w:gridSpan w:val="2"/>
          </w:tcPr>
          <w:p>
            <w:pPr>
              <w:ind w:left="440"/>
              <w:spacing w:after="0"/>
              <w:rPr>
                <w:sz w:val="20"/>
                <w:szCs w:val="20"/>
                <w:color w:val="auto"/>
              </w:rPr>
            </w:pPr>
            <w:r>
              <w:rPr>
                <w:rFonts w:ascii="Arial" w:cs="Arial" w:eastAsia="Arial" w:hAnsi="Arial"/>
                <w:sz w:val="17"/>
                <w:szCs w:val="17"/>
                <w:color w:val="auto"/>
              </w:rPr>
              <w:t>Accrued liabilities and customer deposits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16"/>
        </w:trPr>
        <w:tc>
          <w:tcPr>
            <w:tcW w:w="6980" w:type="dxa"/>
            <w:vAlign w:val="bottom"/>
            <w:gridSpan w:val="2"/>
          </w:tcPr>
          <w:p>
            <w:pPr>
              <w:ind w:left="64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1,016</w:t>
            </w:r>
          </w:p>
        </w:tc>
      </w:tr>
      <w:tr>
        <w:trPr>
          <w:trHeight w:val="223"/>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Purchase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Proceeds from disposal of property, plant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6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Acquisitions of business, net of cash acquired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w:t>
            </w:r>
          </w:p>
        </w:tc>
      </w:tr>
      <w:tr>
        <w:trPr>
          <w:trHeight w:val="216"/>
        </w:trPr>
        <w:tc>
          <w:tcPr>
            <w:tcW w:w="69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Net cash used for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(3,178)</w:t>
            </w:r>
          </w:p>
        </w:tc>
      </w:tr>
      <w:tr>
        <w:trPr>
          <w:trHeight w:val="223"/>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Proceeds from debt, net of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w:t>
            </w: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Payments of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(3,424)</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Repurchase of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980" w:type="dxa"/>
            <w:vAlign w:val="bottom"/>
            <w:gridSpan w:val="2"/>
          </w:tcPr>
          <w:p>
            <w:pPr>
              <w:ind w:left="200"/>
              <w:spacing w:after="0"/>
              <w:rPr>
                <w:sz w:val="20"/>
                <w:szCs w:val="20"/>
                <w:color w:val="auto"/>
              </w:rPr>
            </w:pPr>
            <w:r>
              <w:rPr>
                <w:rFonts w:ascii="Arial" w:cs="Arial" w:eastAsia="Arial" w:hAnsi="Arial"/>
                <w:sz w:val="17"/>
                <w:szCs w:val="17"/>
                <w:color w:val="auto"/>
              </w:rPr>
              <w:t>Payment of contingent consideration on acquisitions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Cash dividends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6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69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Net cash (used for) provided by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22"/>
        </w:trPr>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Effect of changes in currency exchange rates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69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Decrease in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w:t>
            </w:r>
          </w:p>
        </w:tc>
      </w:tr>
      <w:tr>
        <w:trPr>
          <w:trHeight w:val="222"/>
        </w:trPr>
        <w:tc>
          <w:tcPr>
            <w:tcW w:w="698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Cash and cash equivalents, beginning of year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w:t>
            </w:r>
          </w:p>
        </w:tc>
      </w:tr>
      <w:tr>
        <w:trPr>
          <w:trHeight w:val="241"/>
        </w:trPr>
        <w:tc>
          <w:tcPr>
            <w:tcW w:w="69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Cash and cash equivalents, end of year</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8" w:name="page59"/>
    <w:bookmarkEnd w:id="58"/>
    <w:p>
      <w:pPr>
        <w:ind w:left="298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32"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6"/>
              </w:rPr>
              <w:t>Common</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Common</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8"/>
              </w:rPr>
              <w:t>Additional Paid-in</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4"/>
              </w:rPr>
              <w:t>Treasury</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4"/>
              </w:rPr>
              <w:t>Treasury</w:t>
            </w:r>
          </w:p>
        </w:tc>
        <w:tc>
          <w:tcPr>
            <w:tcW w:w="1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Accumulated</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6"/>
              </w:rPr>
              <w:t>Non-controlling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0"/>
                <w:szCs w:val="10"/>
                <w:b w:val="1"/>
                <w:bCs w:val="1"/>
                <w:i w:val="1"/>
                <w:iCs w:val="1"/>
                <w:color w:val="auto"/>
              </w:rPr>
              <w:t>In millions, except share and per share data</w:t>
            </w: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95"/>
              </w:rPr>
              <w:t>Stock</w:t>
            </w:r>
          </w:p>
        </w:tc>
        <w:tc>
          <w:tcPr>
            <w:tcW w:w="10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93"/>
              </w:rPr>
              <w:t>Other Comprehensive</w:t>
            </w: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Stock Shares</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Stock Shares</w:t>
            </w:r>
          </w:p>
        </w:tc>
        <w:tc>
          <w:tcPr>
            <w:tcW w:w="8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Stock Amount</w:t>
            </w:r>
          </w:p>
        </w:tc>
        <w:tc>
          <w:tcPr>
            <w:tcW w:w="1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Loss</w:t>
            </w:r>
          </w:p>
        </w:tc>
        <w:tc>
          <w:tcPr>
            <w:tcW w:w="16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Interest</w:t>
            </w: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132,349,534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(35,734,588)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2"/>
                <w:szCs w:val="12"/>
                <w:color w:val="auto"/>
                <w:w w:val="92"/>
              </w:rPr>
              <w:t>(257)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Cash dividends ($0.48 dividend per share)</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3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Proceeds from treasury stock issued from the</w:t>
            </w: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shd w:val="clear" w:color="auto" w:fill="CCEEFF"/>
          </w:tcPr>
          <w:p>
            <w:pPr>
              <w:spacing w:after="0"/>
              <w:rPr>
                <w:sz w:val="9"/>
                <w:szCs w:val="9"/>
                <w:color w:val="auto"/>
              </w:rPr>
            </w:pPr>
          </w:p>
        </w:tc>
        <w:tc>
          <w:tcPr>
            <w:tcW w:w="2300" w:type="dxa"/>
            <w:vAlign w:val="bottom"/>
            <w:gridSpan w:val="3"/>
            <w:shd w:val="clear" w:color="auto" w:fill="CCEEFF"/>
          </w:tcPr>
          <w:p>
            <w:pPr>
              <w:spacing w:after="0" w:line="105" w:lineRule="exact"/>
              <w:rPr>
                <w:sz w:val="20"/>
                <w:szCs w:val="20"/>
                <w:color w:val="auto"/>
              </w:rPr>
            </w:pPr>
            <w:r>
              <w:rPr>
                <w:rFonts w:ascii="Arial" w:cs="Arial" w:eastAsia="Arial" w:hAnsi="Arial"/>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486,601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plans, net of tax</w:t>
            </w: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income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Other comprehensive loss, net of tax</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ind w:left="780"/>
              <w:spacing w:after="0"/>
              <w:rPr>
                <w:sz w:val="20"/>
                <w:szCs w:val="20"/>
                <w:color w:val="auto"/>
              </w:rPr>
            </w:pPr>
            <w:r>
              <w:rPr>
                <w:rFonts w:ascii="Arial" w:cs="Arial" w:eastAsia="Arial" w:hAnsi="Arial"/>
                <w:sz w:val="12"/>
                <w:szCs w:val="12"/>
                <w:color w:val="auto"/>
                <w:w w:val="92"/>
              </w:rPr>
              <w:t>(126)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Acquisition of GE Transportation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94,597,646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6,939</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6,971</w:t>
            </w: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226,947,180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(35,247,987)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2"/>
                <w:szCs w:val="12"/>
                <w:color w:val="auto"/>
                <w:w w:val="92"/>
              </w:rPr>
              <w:t>(383)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Cash dividends ($0.48 dividend per share)</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3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Proceeds from treasury stock issued from the</w:t>
            </w: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shd w:val="clear" w:color="auto" w:fill="CCEEFF"/>
          </w:tcPr>
          <w:p>
            <w:pPr>
              <w:spacing w:after="0"/>
              <w:rPr>
                <w:sz w:val="9"/>
                <w:szCs w:val="9"/>
                <w:color w:val="auto"/>
              </w:rPr>
            </w:pPr>
          </w:p>
        </w:tc>
        <w:tc>
          <w:tcPr>
            <w:tcW w:w="2300" w:type="dxa"/>
            <w:vAlign w:val="bottom"/>
            <w:gridSpan w:val="3"/>
            <w:shd w:val="clear" w:color="auto" w:fill="CCEEFF"/>
          </w:tcPr>
          <w:p>
            <w:pPr>
              <w:spacing w:after="0" w:line="105" w:lineRule="exact"/>
              <w:rPr>
                <w:sz w:val="20"/>
                <w:szCs w:val="20"/>
                <w:color w:val="auto"/>
              </w:rPr>
            </w:pPr>
            <w:r>
              <w:rPr>
                <w:rFonts w:ascii="Arial" w:cs="Arial" w:eastAsia="Arial" w:hAnsi="Arial"/>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315,988</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plans, net of tax</w:t>
            </w: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income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Other comprehensive income (loss), net of tax</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ind w:left="90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(3,127,698)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2"/>
                <w:szCs w:val="12"/>
                <w:color w:val="auto"/>
              </w:rPr>
              <w:t>Other</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226,947,180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7,881</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(38,059,697)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w w:val="92"/>
              </w:rPr>
              <w:t>(339)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10,153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Cash dividends ($0.48 dividend per share)</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3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Proceeds from treasury stock issued from the</w:t>
            </w: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shd w:val="clear" w:color="auto" w:fill="CCEEFF"/>
          </w:tcPr>
          <w:p>
            <w:pPr>
              <w:spacing w:after="0"/>
              <w:rPr>
                <w:sz w:val="9"/>
                <w:szCs w:val="9"/>
                <w:color w:val="auto"/>
              </w:rPr>
            </w:pPr>
          </w:p>
        </w:tc>
        <w:tc>
          <w:tcPr>
            <w:tcW w:w="2300" w:type="dxa"/>
            <w:vAlign w:val="bottom"/>
            <w:gridSpan w:val="3"/>
            <w:shd w:val="clear" w:color="auto" w:fill="CCEEFF"/>
          </w:tcPr>
          <w:p>
            <w:pPr>
              <w:spacing w:after="0" w:line="105" w:lineRule="exact"/>
              <w:rPr>
                <w:sz w:val="20"/>
                <w:szCs w:val="20"/>
                <w:color w:val="auto"/>
              </w:rPr>
            </w:pPr>
            <w:r>
              <w:rPr>
                <w:rFonts w:ascii="Arial" w:cs="Arial" w:eastAsia="Arial" w:hAnsi="Arial"/>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244,541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plans, net of tax</w:t>
            </w: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income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Other comprehensive loss, net of tax</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ind w:left="780"/>
              <w:spacing w:after="0"/>
              <w:rPr>
                <w:sz w:val="20"/>
                <w:szCs w:val="20"/>
                <w:color w:val="auto"/>
              </w:rPr>
            </w:pPr>
            <w:r>
              <w:rPr>
                <w:rFonts w:ascii="Arial" w:cs="Arial" w:eastAsia="Arial" w:hAnsi="Arial"/>
                <w:sz w:val="12"/>
                <w:szCs w:val="12"/>
                <w:color w:val="auto"/>
                <w:w w:val="92"/>
              </w:rPr>
              <w:t>(127)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(3,329,003)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1"/>
                <w:szCs w:val="11"/>
                <w:color w:val="auto"/>
              </w:rPr>
              <w:t>Other</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3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Balance,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226,947,180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(41,144,159)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2"/>
                <w:szCs w:val="12"/>
                <w:color w:val="auto"/>
                <w:w w:val="92"/>
              </w:rPr>
              <w:t>(466)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w:t>
      </w:r>
    </w:p>
    <w:p>
      <w:pPr>
        <w:spacing w:after="0" w:line="107" w:lineRule="exact"/>
        <w:rPr>
          <w:sz w:val="20"/>
          <w:szCs w:val="20"/>
          <w:color w:val="auto"/>
        </w:rPr>
      </w:pPr>
    </w:p>
    <w:p>
      <w:pPr>
        <w:ind w:right="40" w:firstLine="472"/>
        <w:spacing w:after="0" w:line="308" w:lineRule="auto"/>
        <w:rPr>
          <w:sz w:val="20"/>
          <w:szCs w:val="20"/>
          <w:color w:val="auto"/>
        </w:rPr>
      </w:pPr>
      <w:r>
        <w:rPr>
          <w:rFonts w:ascii="Arial" w:cs="Arial" w:eastAsia="Arial" w:hAnsi="Arial"/>
          <w:sz w:val="15"/>
          <w:szCs w:val="15"/>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2021, approximately 60% of the Company’s net sales came from customers outside the U.S.</w:t>
      </w:r>
    </w:p>
    <w:p>
      <w:pPr>
        <w:spacing w:after="0" w:line="46" w:lineRule="exact"/>
        <w:rPr>
          <w:sz w:val="20"/>
          <w:szCs w:val="20"/>
          <w:color w:val="auto"/>
        </w:rPr>
      </w:pPr>
    </w:p>
    <w:p>
      <w:pPr>
        <w:ind w:firstLine="472"/>
        <w:spacing w:after="0" w:line="278" w:lineRule="auto"/>
        <w:rPr>
          <w:sz w:val="20"/>
          <w:szCs w:val="20"/>
          <w:color w:val="auto"/>
        </w:rPr>
      </w:pPr>
      <w:r>
        <w:rPr>
          <w:rFonts w:ascii="Arial" w:cs="Arial" w:eastAsia="Arial" w:hAnsi="Arial"/>
          <w:sz w:val="16"/>
          <w:szCs w:val="16"/>
          <w:color w:val="auto"/>
        </w:rPr>
        <w:t>The COVID-19 pandemic had a materially adverse impact on our operations and business results for the years ended December 31, 2021, and 2020 which is discussed in more detail in the Results of Operations section in Part II, Item 7 of this report. COVID-19 has continued to impact our sales channels, supply chain, manufacturing operations, workforce, and other key aspects of our operations. Our top concern is, and remains, the health and well-being of our employees around the world. The outbreak and preventive measures taken to help curb the spread, including temporary plant closures during 2020 in China, India, Italy and other countries where outbreaks and stay-at-home orders were most prevalent, had an adverse impact on our operations and business results. Supply chain disruptions and labor availability have caused component and chip shortages resulting in an adverse effect on the timing of the Company’s revenue generation. Additionally, broad-based inflation, escalation of metals and commodities costs, transportation and logistics costs and labor costs have all resulted from the COVID-19 pandemic. The Company has implemented various mitigating actions to lessen the impact of supply chain disruptions caused by the COVID-19 pandemic. These actions include price escalations in long-term contracts, implementing price surcharges, driving operational efficiencies through various cost mitigation efforts and discretionary spend management, strategic sourcing alignments, and accelerating integration synergies where possible. The Company expects to continue to realize these increased costs over the next few quarters.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5" w:lineRule="exact"/>
        <w:rPr>
          <w:sz w:val="20"/>
          <w:szCs w:val="20"/>
          <w:color w:val="auto"/>
        </w:rPr>
      </w:pPr>
    </w:p>
    <w:p>
      <w:pPr>
        <w:ind w:right="120" w:firstLine="472"/>
        <w:spacing w:after="0" w:line="267"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the Company and all subsidiaries that it controls.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Cash equivalents are highly liquid investments purchased with an original maturity of three months or less.</w:t>
      </w:r>
    </w:p>
    <w:p>
      <w:pPr>
        <w:spacing w:after="0" w:line="119" w:lineRule="exact"/>
        <w:rPr>
          <w:sz w:val="20"/>
          <w:szCs w:val="20"/>
          <w:color w:val="auto"/>
        </w:rPr>
      </w:pPr>
    </w:p>
    <w:p>
      <w:pPr>
        <w:ind w:right="40" w:firstLine="472"/>
        <w:spacing w:after="0" w:line="297"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The allowance for doubtful accounts receivable reflects our best estimate of expected losses inherent in our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determined on the basis of historical experience, relevant credit forecast information, changes to customer's solvency and other currently available evidence. The allowance for doubtful accounts was $32 million and $37 million as of December 31, 2021 and 2020, respectively.</w:t>
      </w:r>
    </w:p>
    <w:p>
      <w:pPr>
        <w:spacing w:after="0" w:line="50" w:lineRule="exact"/>
        <w:rPr>
          <w:sz w:val="20"/>
          <w:szCs w:val="20"/>
          <w:color w:val="auto"/>
        </w:rPr>
      </w:pPr>
    </w:p>
    <w:p>
      <w:pPr>
        <w:ind w:right="300" w:firstLine="472"/>
        <w:spacing w:after="0" w:line="289"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Cost is determined under the first-in, first-out (FIFO) method. Inventory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include material, labor and overhead.</w:t>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 xml:space="preserve">Property, Plant and Equipment </w:t>
      </w:r>
      <w:r>
        <w:rPr>
          <w:rFonts w:ascii="Arial" w:cs="Arial" w:eastAsia="Arial" w:hAnsi="Arial"/>
          <w:sz w:val="15"/>
          <w:szCs w:val="15"/>
          <w:color w:val="auto"/>
        </w:rPr>
        <w:t>Property, plant and equipment additions are stated at cost. Expenditures for renewals and improvements are capitalized.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Expenditures for ordinary maintenance and repairs are expensed as incurred. The Company computes book depreciation principally on the straight-line method.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Accelerated depreciation methods are utilized for income tax purposes.</w:t>
      </w:r>
    </w:p>
    <w:p>
      <w:pPr>
        <w:spacing w:after="0" w:line="107" w:lineRule="exact"/>
        <w:rPr>
          <w:sz w:val="20"/>
          <w:szCs w:val="20"/>
          <w:color w:val="auto"/>
        </w:rPr>
      </w:pPr>
    </w:p>
    <w:p>
      <w:pPr>
        <w:ind w:right="140" w:firstLine="472"/>
        <w:spacing w:after="0" w:line="265" w:lineRule="auto"/>
        <w:rPr>
          <w:sz w:val="20"/>
          <w:szCs w:val="20"/>
          <w:color w:val="auto"/>
        </w:rPr>
      </w:pPr>
      <w:r>
        <w:rPr>
          <w:rFonts w:ascii="Arial" w:cs="Arial" w:eastAsia="Arial" w:hAnsi="Arial"/>
          <w:sz w:val="17"/>
          <w:szCs w:val="17"/>
          <w:b w:val="1"/>
          <w:bCs w:val="1"/>
          <w:i w:val="1"/>
          <w:iCs w:val="1"/>
          <w:color w:val="auto"/>
        </w:rPr>
        <w:t xml:space="preserve">Leasing Arrangements </w:t>
      </w:r>
      <w:r>
        <w:rPr>
          <w:rFonts w:ascii="Arial" w:cs="Arial" w:eastAsia="Arial" w:hAnsi="Arial"/>
          <w:sz w:val="17"/>
          <w:szCs w:val="17"/>
          <w:color w:val="auto"/>
        </w:rPr>
        <w:t>The Company conducts a portion of its operations from leased facilities and finances certain equipment purchases through lease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 on the Consolidated Balance Sheets.</w:t>
      </w:r>
    </w:p>
    <w:p>
      <w:pPr>
        <w:spacing w:after="0" w:line="73" w:lineRule="exact"/>
        <w:rPr>
          <w:sz w:val="20"/>
          <w:szCs w:val="20"/>
          <w:color w:val="auto"/>
        </w:rPr>
      </w:pPr>
    </w:p>
    <w:p>
      <w:pPr>
        <w:ind w:right="20" w:firstLine="472"/>
        <w:spacing w:after="0" w:line="265"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Goodwill and other intangible assets with indefinite lives are not amortized. Other intangibles (with definite lives)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Management of the Company assesses whether or not an indicator of impairment is present that would necessitate an impairment analysis be performed.</w:t>
      </w:r>
    </w:p>
    <w:p>
      <w:pPr>
        <w:spacing w:after="0" w:line="130" w:lineRule="exact"/>
        <w:rPr>
          <w:sz w:val="20"/>
          <w:szCs w:val="20"/>
          <w:color w:val="auto"/>
        </w:rPr>
      </w:pPr>
    </w:p>
    <w:p>
      <w:pPr>
        <w:ind w:right="180" w:firstLine="472"/>
        <w:spacing w:after="0" w:line="267" w:lineRule="auto"/>
        <w:rPr>
          <w:sz w:val="20"/>
          <w:szCs w:val="20"/>
          <w:color w:val="auto"/>
        </w:rPr>
      </w:pPr>
      <w:r>
        <w:rPr>
          <w:rFonts w:ascii="Arial" w:cs="Arial" w:eastAsia="Arial" w:hAnsi="Arial"/>
          <w:sz w:val="17"/>
          <w:szCs w:val="17"/>
          <w:b w:val="1"/>
          <w:bCs w:val="1"/>
          <w:i w:val="1"/>
          <w:iCs w:val="1"/>
          <w:color w:val="auto"/>
        </w:rPr>
        <w:t xml:space="preserve">Equity Method Investments </w:t>
      </w:r>
      <w:r>
        <w:rPr>
          <w:rFonts w:ascii="Arial" w:cs="Arial" w:eastAsia="Arial" w:hAnsi="Arial"/>
          <w:sz w:val="17"/>
          <w:szCs w:val="17"/>
          <w:color w:val="auto"/>
        </w:rPr>
        <w:t>The Company invests in privately-held companies which are accounted for using the equity method. The equity method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applied in situations where the Company has the ability to exercise significant influence, but not control, over the investee. Equity method investments are classified as other assets under the caption "Other noncurrent assets" on the Consolidated Balance Sheets. Equity method investments were $96 million and $100 million at December 31, 2021 and 2020, respectively.</w:t>
      </w:r>
    </w:p>
    <w:p>
      <w:pPr>
        <w:spacing w:after="0" w:line="73"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Depreciation of property, plant and equipment related to the manufacturing of products or services provided is included in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Warranty Costs </w:t>
      </w:r>
      <w:r>
        <w:rPr>
          <w:rFonts w:ascii="Arial" w:cs="Arial" w:eastAsia="Arial" w:hAnsi="Arial"/>
          <w:sz w:val="17"/>
          <w:szCs w:val="17"/>
          <w:color w:val="auto"/>
        </w:rPr>
        <w:t>Warranty costs are accrued based on Management’s estimates of repair or upgrade costs per unit and historical experience.</w:t>
      </w:r>
    </w:p>
    <w:p>
      <w:pPr>
        <w:spacing w:after="0" w:line="119" w:lineRule="exact"/>
        <w:rPr>
          <w:sz w:val="20"/>
          <w:szCs w:val="20"/>
          <w:color w:val="auto"/>
        </w:rPr>
      </w:pPr>
    </w:p>
    <w:p>
      <w:pPr>
        <w:jc w:val="both"/>
        <w:ind w:right="80" w:firstLine="472"/>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are accounted for under the liability method. Deferred tax assets and liabilities are determined based on differences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reporting and tax basis of assets and liabilities and are measured using the enacted tax rates and laws. The provision for income taxes includes federal, state and foreign income taxes.</w:t>
      </w:r>
    </w:p>
    <w:p>
      <w:pPr>
        <w:spacing w:after="0" w:line="66"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The Company recognizes compensation expense for stock-based compensation based on the grant date fair value amortized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ratably over the requisite service period following the date of grant.</w:t>
      </w:r>
    </w:p>
    <w:p>
      <w:pPr>
        <w:spacing w:after="0" w:line="53" w:lineRule="exact"/>
        <w:rPr>
          <w:sz w:val="20"/>
          <w:szCs w:val="20"/>
          <w:color w:val="auto"/>
        </w:rPr>
      </w:pPr>
    </w:p>
    <w:p>
      <w:pPr>
        <w:ind w:right="60" w:firstLine="472"/>
        <w:spacing w:after="0" w:line="262" w:lineRule="auto"/>
        <w:rPr>
          <w:sz w:val="20"/>
          <w:szCs w:val="20"/>
          <w:color w:val="auto"/>
        </w:rPr>
      </w:pPr>
      <w:r>
        <w:rPr>
          <w:rFonts w:ascii="Arial" w:cs="Arial" w:eastAsia="Arial" w:hAnsi="Arial"/>
          <w:sz w:val="17"/>
          <w:szCs w:val="17"/>
          <w:b w:val="1"/>
          <w:bCs w:val="1"/>
          <w:i w:val="1"/>
          <w:iCs w:val="1"/>
          <w:color w:val="auto"/>
        </w:rPr>
        <w:t xml:space="preserve">Financial Derivatives and Hedging Activities </w:t>
      </w:r>
      <w:r>
        <w:rPr>
          <w:rFonts w:ascii="Arial" w:cs="Arial" w:eastAsia="Arial" w:hAnsi="Arial"/>
          <w:sz w:val="17"/>
          <w:szCs w:val="17"/>
          <w:color w:val="auto"/>
        </w:rPr>
        <w:t>In the normal course of business, the Company is exposed to interest rate, commodity price and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exchange rate fluctuations. At times, the Company limits these risks through the use of derivatives such as cross-currency swaps, foreign currency forward contracts, interest rate swaps, commodity swaps and options.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Note 17.</w:t>
      </w:r>
    </w:p>
    <w:p>
      <w:pPr>
        <w:spacing w:after="0" w:line="78" w:lineRule="exact"/>
        <w:rPr>
          <w:sz w:val="20"/>
          <w:szCs w:val="20"/>
          <w:color w:val="auto"/>
        </w:rPr>
      </w:pPr>
    </w:p>
    <w:p>
      <w:pPr>
        <w:ind w:firstLine="472"/>
        <w:spacing w:after="0" w:line="245"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Certain of our international operations have determined that the local currency is the functional currency whereas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 Foreign exchange transaction gains (losses) recognized in Other income, net were $8 million, $(8) million and $(14) million for 2021, 2020 and 2019, respectively.</w:t>
      </w:r>
    </w:p>
    <w:p>
      <w:pPr>
        <w:spacing w:after="0" w:line="77" w:lineRule="exact"/>
        <w:rPr>
          <w:sz w:val="20"/>
          <w:szCs w:val="20"/>
          <w:color w:val="auto"/>
        </w:rPr>
      </w:pPr>
    </w:p>
    <w:p>
      <w:pPr>
        <w:jc w:val="both"/>
        <w:ind w:right="20" w:firstLine="472"/>
        <w:spacing w:after="0" w:line="273" w:lineRule="auto"/>
        <w:rPr>
          <w:sz w:val="20"/>
          <w:szCs w:val="20"/>
          <w:color w:val="auto"/>
        </w:rPr>
      </w:pPr>
      <w:r>
        <w:rPr>
          <w:rFonts w:ascii="Arial" w:cs="Arial" w:eastAsia="Arial" w:hAnsi="Arial"/>
          <w:sz w:val="17"/>
          <w:szCs w:val="17"/>
          <w:b w:val="1"/>
          <w:bCs w:val="1"/>
          <w:i w:val="1"/>
          <w:iCs w:val="1"/>
          <w:color w:val="auto"/>
        </w:rPr>
        <w:t xml:space="preserve">Noncontrolling Interests </w:t>
      </w:r>
      <w:r>
        <w:rPr>
          <w:rFonts w:ascii="Arial" w:cs="Arial" w:eastAsia="Arial" w:hAnsi="Arial"/>
          <w:sz w:val="17"/>
          <w:szCs w:val="17"/>
          <w:color w:val="auto"/>
        </w:rPr>
        <w:t>In accordance with ASC 810, the Company has classified noncontrolling interests as equity on our consolidated balance sheets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December 31, 2021 and 2020. Net (income) loss attributable to noncontrolling interests was not material for the years ended December 31, 2021, 2020 and 2019.</w:t>
      </w:r>
    </w:p>
    <w:p>
      <w:pPr>
        <w:spacing w:after="0" w:line="66" w:lineRule="exact"/>
        <w:rPr>
          <w:sz w:val="20"/>
          <w:szCs w:val="20"/>
          <w:color w:val="auto"/>
        </w:rPr>
      </w:pPr>
    </w:p>
    <w:p>
      <w:pPr>
        <w:jc w:val="both"/>
        <w:ind w:right="40" w:firstLine="472"/>
        <w:spacing w:after="0" w:line="27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The Company accounts for Revenue under ASC 606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provides a five-step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66" w:lineRule="exact"/>
        <w:rPr>
          <w:sz w:val="20"/>
          <w:szCs w:val="20"/>
          <w:color w:val="auto"/>
        </w:rPr>
      </w:pPr>
    </w:p>
    <w:p>
      <w:pPr>
        <w:ind w:right="80" w:firstLine="472"/>
        <w:spacing w:after="0" w:line="267" w:lineRule="auto"/>
        <w:rPr>
          <w:sz w:val="20"/>
          <w:szCs w:val="20"/>
          <w:color w:val="auto"/>
        </w:rPr>
      </w:pPr>
      <w:r>
        <w:rPr>
          <w:rFonts w:ascii="Arial" w:cs="Arial" w:eastAsia="Arial" w:hAnsi="Arial"/>
          <w:sz w:val="17"/>
          <w:szCs w:val="17"/>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 All fees billed to the customer for shipping and handling are classified as a component of Net sales. All costs associated with shipping and handling are classified as a component of Cost of sales.</w:t>
      </w:r>
    </w:p>
    <w:p>
      <w:pPr>
        <w:spacing w:after="0" w:line="73" w:lineRule="exact"/>
        <w:rPr>
          <w:sz w:val="20"/>
          <w:szCs w:val="20"/>
          <w:color w:val="auto"/>
        </w:rPr>
      </w:pPr>
    </w:p>
    <w:p>
      <w:pPr>
        <w:jc w:val="both"/>
        <w:ind w:right="360" w:firstLine="472"/>
        <w:spacing w:after="0" w:line="314" w:lineRule="auto"/>
        <w:rPr>
          <w:sz w:val="20"/>
          <w:szCs w:val="20"/>
          <w:color w:val="auto"/>
        </w:rPr>
      </w:pPr>
      <w:r>
        <w:rPr>
          <w:rFonts w:ascii="Arial" w:cs="Arial" w:eastAsia="Arial" w:hAnsi="Arial"/>
          <w:sz w:val="15"/>
          <w:szCs w:val="15"/>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61" w:name="page62"/>
    <w:bookmarkEnd w:id="61"/>
    <w:p>
      <w:pPr>
        <w:ind w:right="140"/>
        <w:spacing w:after="0" w:line="265" w:lineRule="auto"/>
        <w:rPr>
          <w:sz w:val="20"/>
          <w:szCs w:val="20"/>
          <w:color w:val="auto"/>
        </w:rPr>
      </w:pPr>
      <w:r>
        <w:rPr>
          <w:rFonts w:ascii="Arial" w:cs="Arial" w:eastAsia="Arial" w:hAnsi="Arial"/>
          <w:sz w:val="17"/>
          <w:szCs w:val="17"/>
          <w:color w:val="auto"/>
        </w:rPr>
        <w:t>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throughout the year and adjustments are reflected in the accounting period as such amounts are determined. Additional information with respect to contract assets and liabilities is included in Note 8.</w:t>
      </w:r>
    </w:p>
    <w:p>
      <w:pPr>
        <w:spacing w:after="0" w:line="73" w:lineRule="exact"/>
        <w:rPr>
          <w:sz w:val="20"/>
          <w:szCs w:val="20"/>
          <w:color w:val="auto"/>
        </w:rPr>
      </w:pPr>
    </w:p>
    <w:p>
      <w:pPr>
        <w:ind w:right="20" w:firstLine="472"/>
        <w:spacing w:after="0" w:line="26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1" w:lineRule="exact"/>
        <w:rPr>
          <w:sz w:val="20"/>
          <w:szCs w:val="20"/>
          <w:color w:val="auto"/>
        </w:rPr>
      </w:pPr>
    </w:p>
    <w:p>
      <w:pPr>
        <w:ind w:right="60" w:firstLine="472"/>
        <w:spacing w:after="0" w:line="283" w:lineRule="auto"/>
        <w:rPr>
          <w:sz w:val="20"/>
          <w:szCs w:val="20"/>
          <w:color w:val="auto"/>
        </w:rPr>
      </w:pPr>
      <w:r>
        <w:rPr>
          <w:rFonts w:ascii="Arial" w:cs="Arial" w:eastAsia="Arial" w:hAnsi="Arial"/>
          <w:sz w:val="16"/>
          <w:szCs w:val="16"/>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61" w:lineRule="exact"/>
        <w:rPr>
          <w:sz w:val="20"/>
          <w:szCs w:val="20"/>
          <w:color w:val="auto"/>
        </w:rPr>
      </w:pPr>
    </w:p>
    <w:p>
      <w:pPr>
        <w:jc w:val="both"/>
        <w:ind w:right="620" w:firstLine="472"/>
        <w:spacing w:after="0" w:line="297" w:lineRule="auto"/>
        <w:rPr>
          <w:sz w:val="20"/>
          <w:szCs w:val="20"/>
          <w:color w:val="auto"/>
        </w:rPr>
      </w:pPr>
      <w:r>
        <w:rPr>
          <w:rFonts w:ascii="Arial" w:cs="Arial" w:eastAsia="Arial" w:hAnsi="Arial"/>
          <w:sz w:val="16"/>
          <w:szCs w:val="16"/>
          <w:color w:val="auto"/>
        </w:rPr>
        <w:t>Remaining performance obligations represent the allocated transaction price of unsatisfied or partially unsatisfied performance obligations. As of December 31, 2021, the Company's remaining performance obligations were approximately $22 billion. The Company expects to recognize revenue of approximately 25% of remaining performance obligations over the next 12 months, with the remainder recognized thereafter.</w:t>
      </w:r>
    </w:p>
    <w:p>
      <w:pPr>
        <w:spacing w:after="0" w:line="50" w:lineRule="exact"/>
        <w:rPr>
          <w:sz w:val="20"/>
          <w:szCs w:val="20"/>
          <w:color w:val="auto"/>
        </w:rPr>
      </w:pPr>
    </w:p>
    <w:p>
      <w:pPr>
        <w:ind w:right="20" w:firstLine="472"/>
        <w:spacing w:after="0" w:line="297" w:lineRule="auto"/>
        <w:rPr>
          <w:sz w:val="20"/>
          <w:szCs w:val="20"/>
          <w:color w:val="auto"/>
        </w:rPr>
      </w:pPr>
      <w:r>
        <w:rPr>
          <w:rFonts w:ascii="Arial" w:cs="Arial" w:eastAsia="Arial" w:hAnsi="Arial"/>
          <w:sz w:val="15"/>
          <w:szCs w:val="15"/>
          <w:b w:val="1"/>
          <w:bCs w:val="1"/>
          <w:i w:val="1"/>
          <w:iCs w:val="1"/>
          <w:color w:val="auto"/>
        </w:rPr>
        <w:t xml:space="preserve">Revolving Receivables Program </w:t>
      </w:r>
      <w:r>
        <w:rPr>
          <w:rFonts w:ascii="Arial" w:cs="Arial" w:eastAsia="Arial" w:hAnsi="Arial"/>
          <w:sz w:val="15"/>
          <w:szCs w:val="15"/>
          <w:color w:val="auto"/>
        </w:rPr>
        <w:t>In May 2020, the Company entered into a revolving agreement to transfer up to $150 million of certain receivables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subsidiaries of the Company (the "Originators") 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that are pledged as collateral under this agreement. At December 31, 2021, and 2020 the bankruptcy-remote subsidiary held receivables of $324 million and $114 million, respectively. The transfers are recorded at the fair value of the proceeds received and obligations assumed less derecognized receivables. No obligation was recorded at December 31, 2021 or 2020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gridSpan w:val="3"/>
          </w:tcPr>
          <w:p>
            <w:pPr>
              <w:ind w:left="480"/>
              <w:spacing w:after="0"/>
              <w:rPr>
                <w:sz w:val="20"/>
                <w:szCs w:val="20"/>
                <w:color w:val="auto"/>
              </w:rPr>
            </w:pPr>
            <w:r>
              <w:rPr>
                <w:rFonts w:ascii="Arial" w:cs="Arial" w:eastAsia="Arial" w:hAnsi="Arial"/>
                <w:sz w:val="17"/>
                <w:szCs w:val="17"/>
                <w:color w:val="auto"/>
              </w:rPr>
              <w:t>The following table sets forth a summary of receivables sold:</w:t>
            </w:r>
          </w:p>
        </w:tc>
        <w:tc>
          <w:tcPr>
            <w:tcW w:w="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197"/>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80" w:type="dxa"/>
            <w:vAlign w:val="bottom"/>
          </w:tcPr>
          <w:p>
            <w:pPr>
              <w:jc w:val="right"/>
              <w:ind w:right="413"/>
              <w:spacing w:after="0"/>
              <w:rPr>
                <w:sz w:val="20"/>
                <w:szCs w:val="20"/>
                <w:color w:val="auto"/>
              </w:rPr>
            </w:pPr>
            <w:r>
              <w:rPr>
                <w:rFonts w:ascii="Arial" w:cs="Arial" w:eastAsia="Arial" w:hAnsi="Arial"/>
                <w:sz w:val="17"/>
                <w:szCs w:val="17"/>
                <w:b w:val="1"/>
                <w:bCs w:val="1"/>
                <w:color w:val="auto"/>
                <w:w w:val="98"/>
              </w:rPr>
              <w:t>Twelve Months Ended</w:t>
            </w:r>
          </w:p>
        </w:tc>
        <w:tc>
          <w:tcPr>
            <w:tcW w:w="360" w:type="dxa"/>
            <w:vAlign w:val="bottom"/>
          </w:tcPr>
          <w:p>
            <w:pPr>
              <w:spacing w:after="0"/>
              <w:rPr>
                <w:sz w:val="17"/>
                <w:szCs w:val="17"/>
                <w:color w:val="auto"/>
              </w:rPr>
            </w:pPr>
          </w:p>
        </w:tc>
        <w:tc>
          <w:tcPr>
            <w:tcW w:w="2020" w:type="dxa"/>
            <w:vAlign w:val="bottom"/>
          </w:tcPr>
          <w:p>
            <w:pPr>
              <w:jc w:val="right"/>
              <w:ind w:right="153"/>
              <w:spacing w:after="0"/>
              <w:rPr>
                <w:sz w:val="20"/>
                <w:szCs w:val="20"/>
                <w:color w:val="auto"/>
              </w:rPr>
            </w:pPr>
            <w:r>
              <w:rPr>
                <w:rFonts w:ascii="Arial" w:cs="Arial" w:eastAsia="Arial" w:hAnsi="Arial"/>
                <w:sz w:val="17"/>
                <w:szCs w:val="17"/>
                <w:b w:val="1"/>
                <w:bCs w:val="1"/>
                <w:color w:val="auto"/>
                <w:w w:val="98"/>
              </w:rPr>
              <w:t>Twelve Months Ended</w:t>
            </w:r>
          </w:p>
        </w:tc>
      </w:tr>
      <w:tr>
        <w:trPr>
          <w:trHeight w:val="183"/>
        </w:trPr>
        <w:tc>
          <w:tcPr>
            <w:tcW w:w="50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600" w:type="dxa"/>
            <w:vAlign w:val="bottom"/>
          </w:tcPr>
          <w:p>
            <w:pPr>
              <w:spacing w:after="0"/>
              <w:rPr>
                <w:sz w:val="15"/>
                <w:szCs w:val="15"/>
                <w:color w:val="auto"/>
              </w:rPr>
            </w:pPr>
          </w:p>
        </w:tc>
        <w:tc>
          <w:tcPr>
            <w:tcW w:w="2280" w:type="dxa"/>
            <w:vAlign w:val="bottom"/>
          </w:tcPr>
          <w:p>
            <w:pPr>
              <w:jc w:val="right"/>
              <w:ind w:right="773"/>
              <w:spacing w:after="0" w:line="184" w:lineRule="exact"/>
              <w:rPr>
                <w:sz w:val="20"/>
                <w:szCs w:val="20"/>
                <w:color w:val="auto"/>
              </w:rPr>
            </w:pPr>
            <w:r>
              <w:rPr>
                <w:rFonts w:ascii="Arial" w:cs="Arial" w:eastAsia="Arial" w:hAnsi="Arial"/>
                <w:sz w:val="17"/>
                <w:szCs w:val="17"/>
                <w:b w:val="1"/>
                <w:bCs w:val="1"/>
                <w:color w:val="auto"/>
                <w:w w:val="91"/>
              </w:rPr>
              <w:t>December 31, 2021</w:t>
            </w:r>
          </w:p>
        </w:tc>
        <w:tc>
          <w:tcPr>
            <w:tcW w:w="360" w:type="dxa"/>
            <w:vAlign w:val="bottom"/>
          </w:tcPr>
          <w:p>
            <w:pPr>
              <w:spacing w:after="0"/>
              <w:rPr>
                <w:sz w:val="15"/>
                <w:szCs w:val="15"/>
                <w:color w:val="auto"/>
              </w:rPr>
            </w:pPr>
          </w:p>
        </w:tc>
        <w:tc>
          <w:tcPr>
            <w:tcW w:w="2020" w:type="dxa"/>
            <w:vAlign w:val="bottom"/>
          </w:tcPr>
          <w:p>
            <w:pPr>
              <w:jc w:val="right"/>
              <w:ind w:right="513"/>
              <w:spacing w:after="0" w:line="184" w:lineRule="exact"/>
              <w:rPr>
                <w:sz w:val="20"/>
                <w:szCs w:val="20"/>
                <w:color w:val="auto"/>
              </w:rPr>
            </w:pPr>
            <w:r>
              <w:rPr>
                <w:rFonts w:ascii="Arial" w:cs="Arial" w:eastAsia="Arial" w:hAnsi="Arial"/>
                <w:sz w:val="17"/>
                <w:szCs w:val="17"/>
                <w:b w:val="1"/>
                <w:bCs w:val="1"/>
                <w:color w:val="auto"/>
                <w:w w:val="91"/>
              </w:rPr>
              <w:t>December 31, 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receivables sold/cash proceeds received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1,319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r>
      <w:tr>
        <w:trPr>
          <w:trHeight w:val="222"/>
        </w:trPr>
        <w:tc>
          <w:tcPr>
            <w:tcW w:w="50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Collections reinvested under revolving agreement</w:t>
            </w:r>
          </w:p>
        </w:tc>
        <w:tc>
          <w:tcPr>
            <w:tcW w:w="600" w:type="dxa"/>
            <w:vAlign w:val="bottom"/>
          </w:tcPr>
          <w:p>
            <w:pPr>
              <w:spacing w:after="0"/>
              <w:rPr>
                <w:sz w:val="19"/>
                <w:szCs w:val="19"/>
                <w:color w:val="auto"/>
              </w:rPr>
            </w:pPr>
          </w:p>
        </w:tc>
        <w:tc>
          <w:tcPr>
            <w:tcW w:w="2280" w:type="dxa"/>
            <w:vAlign w:val="bottom"/>
          </w:tcPr>
          <w:p>
            <w:pPr>
              <w:jc w:val="right"/>
              <w:ind w:right="213"/>
              <w:spacing w:after="0"/>
              <w:rPr>
                <w:sz w:val="20"/>
                <w:szCs w:val="20"/>
                <w:color w:val="auto"/>
              </w:rPr>
            </w:pPr>
            <w:r>
              <w:rPr>
                <w:rFonts w:ascii="Arial" w:cs="Arial" w:eastAsia="Arial" w:hAnsi="Arial"/>
                <w:sz w:val="17"/>
                <w:szCs w:val="17"/>
                <w:color w:val="auto"/>
              </w:rPr>
              <w:t>1,372</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779</w:t>
            </w:r>
          </w:p>
        </w:tc>
      </w:tr>
      <w:tr>
        <w:trPr>
          <w:trHeight w:val="223"/>
        </w:trPr>
        <w:tc>
          <w:tcPr>
            <w:tcW w:w="50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proceeds (remitted) received</w:t>
            </w:r>
          </w:p>
        </w:tc>
        <w:tc>
          <w:tcPr>
            <w:tcW w:w="60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(53)</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bl>
    <w:p>
      <w:pPr>
        <w:spacing w:after="0" w:line="236" w:lineRule="exact"/>
        <w:rPr>
          <w:sz w:val="20"/>
          <w:szCs w:val="20"/>
          <w:color w:val="auto"/>
        </w:rPr>
      </w:pPr>
    </w:p>
    <w:p>
      <w:pPr>
        <w:jc w:val="both"/>
        <w:ind w:right="60" w:firstLine="472"/>
        <w:spacing w:after="0" w:line="32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life of the contracts. Deferred pre-production costs were $86 million and $87 million at December 31, 2021 and 2020, respectively.</w:t>
      </w:r>
    </w:p>
    <w:p>
      <w:pPr>
        <w:spacing w:after="0" w:line="30" w:lineRule="exact"/>
        <w:rPr>
          <w:sz w:val="20"/>
          <w:szCs w:val="20"/>
          <w:color w:val="auto"/>
        </w:rPr>
      </w:pPr>
    </w:p>
    <w:p>
      <w:pPr>
        <w:ind w:right="160" w:firstLine="472"/>
        <w:spacing w:after="0" w:line="289"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The Company’s authorized capital stock includes 1,000,000 shares of preferred stock. The Board of Directors has the authority to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preferred stock and to fix the designations, powers, preferences and rights of the shares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2" w:name="page63"/>
    <w:bookmarkEnd w:id="62"/>
    <w:p>
      <w:pPr>
        <w:ind w:right="40"/>
        <w:spacing w:after="0" w:line="273" w:lineRule="auto"/>
        <w:rPr>
          <w:sz w:val="20"/>
          <w:szCs w:val="20"/>
          <w:color w:val="auto"/>
        </w:rPr>
      </w:pPr>
      <w:r>
        <w:rPr>
          <w:rFonts w:ascii="Arial" w:cs="Arial" w:eastAsia="Arial" w:hAnsi="Arial"/>
          <w:sz w:val="17"/>
          <w:szCs w:val="17"/>
          <w:color w:val="auto"/>
        </w:rPr>
        <w:t>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2021 and 2020 there was no preferred stock issued or outstanding.</w:t>
      </w:r>
    </w:p>
    <w:p>
      <w:pPr>
        <w:spacing w:after="0" w:line="66" w:lineRule="exact"/>
        <w:rPr>
          <w:sz w:val="20"/>
          <w:szCs w:val="20"/>
          <w:color w:val="auto"/>
        </w:rPr>
      </w:pPr>
    </w:p>
    <w:p>
      <w:pPr>
        <w:ind w:right="320" w:firstLine="472"/>
        <w:spacing w:after="0" w:line="273" w:lineRule="auto"/>
        <w:rPr>
          <w:sz w:val="20"/>
          <w:szCs w:val="20"/>
          <w:color w:val="auto"/>
        </w:rPr>
      </w:pPr>
      <w:r>
        <w:rPr>
          <w:rFonts w:ascii="Arial" w:cs="Arial" w:eastAsia="Arial" w:hAnsi="Arial"/>
          <w:sz w:val="17"/>
          <w:szCs w:val="17"/>
          <w:b w:val="1"/>
          <w:bCs w:val="1"/>
          <w:i w:val="1"/>
          <w:iCs w:val="1"/>
          <w:color w:val="auto"/>
        </w:rPr>
        <w:t xml:space="preserve">Significant Customers and Concentrations of Credit Risk </w:t>
      </w:r>
      <w:r>
        <w:rPr>
          <w:rFonts w:ascii="Arial" w:cs="Arial" w:eastAsia="Arial" w:hAnsi="Arial"/>
          <w:sz w:val="17"/>
          <w:szCs w:val="17"/>
          <w:color w:val="auto"/>
        </w:rPr>
        <w:t>The Company’s trade receivables are primarily from rail and transit industry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manufacturers, Class I railroads, railroad carriers and commercial companies that utilize rail cars in their operations, such as utility and chemical companies. No one customer accounted for more than 10% of the Company’s consolidated net sales in 2021, 2020 or 2019.</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prior year amounts have been reclassified, where necessary, to conform to the current year presentation.</w:t>
      </w:r>
    </w:p>
    <w:p>
      <w:pPr>
        <w:spacing w:after="0" w:line="119" w:lineRule="exact"/>
        <w:rPr>
          <w:sz w:val="20"/>
          <w:szCs w:val="20"/>
          <w:color w:val="auto"/>
        </w:rPr>
      </w:pPr>
    </w:p>
    <w:p>
      <w:pPr>
        <w:ind w:right="200" w:firstLine="472"/>
        <w:spacing w:after="0" w:line="289"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Accounting Standards Adopted in 2021</w:t>
      </w:r>
    </w:p>
    <w:p>
      <w:pPr>
        <w:spacing w:after="0" w:line="119" w:lineRule="exact"/>
        <w:rPr>
          <w:sz w:val="20"/>
          <w:szCs w:val="20"/>
          <w:color w:val="auto"/>
        </w:rPr>
      </w:pPr>
    </w:p>
    <w:p>
      <w:pPr>
        <w:ind w:right="20" w:firstLine="472"/>
        <w:spacing w:after="0" w:line="265"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amendments in this update simplify the accounting for certain income tax transactions by removing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to the general principles in Accounting Standards Codification ("ASC") 740, "Income Taxes." This guidance was effective for fiscal years beginning after December 15, 2020 with early adoption permitted. The adoption of this standard did not have a material impact on the Company's consolidated financial statements.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Accounting Standards Issued in 2021</w:t>
      </w:r>
    </w:p>
    <w:p>
      <w:pPr>
        <w:spacing w:after="0" w:line="119" w:lineRule="exact"/>
        <w:rPr>
          <w:sz w:val="20"/>
          <w:szCs w:val="20"/>
          <w:color w:val="auto"/>
        </w:rPr>
      </w:pPr>
    </w:p>
    <w:p>
      <w:pPr>
        <w:ind w:firstLine="472"/>
        <w:spacing w:after="0" w:line="265"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amendments in this update provide specific guidance on how to recognize and measure acquired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from revenue contracts in a business combination and address how to determine whether a contract liability is recognized by the acquirer in a business combination. The amendments in this update will be effective for Wabtec on January 1, 2023 and will be applied prospectively to business combinations occurring on or after the effective date.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8" w:right="37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3.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Nordco</w:t>
      </w:r>
    </w:p>
    <w:p>
      <w:pPr>
        <w:spacing w:after="0" w:line="119" w:lineRule="exact"/>
        <w:rPr>
          <w:sz w:val="20"/>
          <w:szCs w:val="20"/>
          <w:color w:val="auto"/>
        </w:rPr>
      </w:pPr>
    </w:p>
    <w:p>
      <w:pPr>
        <w:ind w:right="480" w:firstLine="472"/>
        <w:spacing w:after="0" w:line="273" w:lineRule="auto"/>
        <w:rPr>
          <w:sz w:val="20"/>
          <w:szCs w:val="20"/>
          <w:color w:val="auto"/>
        </w:rPr>
      </w:pPr>
      <w:r>
        <w:rPr>
          <w:rFonts w:ascii="Arial" w:cs="Arial" w:eastAsia="Arial" w:hAnsi="Arial"/>
          <w:sz w:val="17"/>
          <w:szCs w:val="17"/>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preliminary fair value of the Nordco assets acquired and liabilities assumed: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9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 acquired</w:t>
            </w: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Cash and cash equivalents</w:t>
            </w: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22"/>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20" w:type="dxa"/>
            <w:vAlign w:val="bottom"/>
          </w:tcPr>
          <w:p>
            <w:pPr>
              <w:spacing w:after="0"/>
              <w:rPr>
                <w:sz w:val="18"/>
                <w:szCs w:val="18"/>
                <w:color w:val="auto"/>
              </w:rPr>
            </w:pPr>
          </w:p>
        </w:tc>
        <w:tc>
          <w:tcPr>
            <w:tcW w:w="9700" w:type="dxa"/>
            <w:vAlign w:val="bottom"/>
            <w:gridSpan w:val="2"/>
          </w:tcPr>
          <w:p>
            <w:pPr>
              <w:ind w:left="220"/>
              <w:spacing w:after="0"/>
              <w:rPr>
                <w:sz w:val="20"/>
                <w:szCs w:val="20"/>
                <w:color w:val="auto"/>
              </w:rPr>
            </w:pPr>
            <w:r>
              <w:rPr>
                <w:rFonts w:ascii="Arial" w:cs="Arial" w:eastAsia="Arial" w:hAnsi="Arial"/>
                <w:sz w:val="17"/>
                <w:szCs w:val="17"/>
                <w:color w:val="auto"/>
              </w:rPr>
              <w:t>Total assets acquired</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475</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liabilities assumed</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assets acquired</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380" w:firstLine="472"/>
        <w:spacing w:after="0" w:line="283"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These estimates are preliminary in nature and subject to adjustments, which could be material. Any necessary adjustments will be finalized within one year from the date of acquisition; adjustments to date have not been significant. Intangible assets acquired include customer relationships and intellectual property that are subject to amortization, and trade names that were assigned an indefinite life and are not subject to amortization. Contingent liabilities assumed as part of the transaction were not material.</w:t>
      </w:r>
    </w:p>
    <w:p>
      <w:pPr>
        <w:spacing w:after="0" w:line="61" w:lineRule="exact"/>
        <w:rPr>
          <w:sz w:val="20"/>
          <w:szCs w:val="20"/>
          <w:color w:val="auto"/>
        </w:rPr>
      </w:pPr>
    </w:p>
    <w:p>
      <w:pPr>
        <w:ind w:right="280" w:firstLine="472"/>
        <w:spacing w:after="0" w:line="265" w:lineRule="auto"/>
        <w:rPr>
          <w:sz w:val="20"/>
          <w:szCs w:val="20"/>
          <w:color w:val="auto"/>
        </w:rPr>
      </w:pPr>
      <w:r>
        <w:rPr>
          <w:rFonts w:ascii="Arial" w:cs="Arial" w:eastAsia="Arial" w:hAnsi="Arial"/>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Freight segment and the Services product line. The pro forma impact on Wabtec’s sales and results of operations, including the pro forma effect of events that are directly attributable to the acquisition, was not significant.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Electric Transportation</w:t>
      </w:r>
    </w:p>
    <w:p>
      <w:pPr>
        <w:spacing w:after="0" w:line="119" w:lineRule="exact"/>
        <w:rPr>
          <w:sz w:val="20"/>
          <w:szCs w:val="20"/>
          <w:color w:val="auto"/>
        </w:rPr>
      </w:pPr>
    </w:p>
    <w:p>
      <w:pPr>
        <w:ind w:right="120" w:firstLine="472"/>
        <w:spacing w:after="0" w:line="263" w:lineRule="auto"/>
        <w:rPr>
          <w:sz w:val="20"/>
          <w:szCs w:val="20"/>
          <w:color w:val="auto"/>
        </w:rPr>
      </w:pPr>
      <w:r>
        <w:rPr>
          <w:rFonts w:ascii="Arial" w:cs="Arial" w:eastAsia="Arial" w:hAnsi="Arial"/>
          <w:sz w:val="17"/>
          <w:szCs w:val="17"/>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77" w:lineRule="exact"/>
        <w:rPr>
          <w:sz w:val="20"/>
          <w:szCs w:val="20"/>
          <w:color w:val="auto"/>
        </w:rPr>
      </w:pPr>
    </w:p>
    <w:p>
      <w:pPr>
        <w:ind w:right="100" w:firstLine="472"/>
        <w:spacing w:after="0" w:line="289" w:lineRule="auto"/>
        <w:rPr>
          <w:sz w:val="20"/>
          <w:szCs w:val="20"/>
          <w:color w:val="auto"/>
        </w:rPr>
      </w:pPr>
      <w:r>
        <w:rPr>
          <w:rFonts w:ascii="Arial" w:cs="Arial" w:eastAsia="Arial" w:hAnsi="Arial"/>
          <w:sz w:val="16"/>
          <w:szCs w:val="16"/>
          <w:color w:val="auto"/>
        </w:rPr>
        <w:t>As part of the Merger,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4" w:name="page65"/>
    <w:bookmarkEnd w:id="64"/>
    <w:p>
      <w:pPr>
        <w:ind w:right="40"/>
        <w:spacing w:after="0" w:line="267" w:lineRule="auto"/>
        <w:rPr>
          <w:sz w:val="20"/>
          <w:szCs w:val="20"/>
          <w:color w:val="auto"/>
        </w:rPr>
      </w:pPr>
      <w:r>
        <w:rPr>
          <w:rFonts w:ascii="Arial" w:cs="Arial" w:eastAsia="Arial" w:hAnsi="Arial"/>
          <w:sz w:val="17"/>
          <w:szCs w:val="17"/>
          <w:color w:val="auto"/>
        </w:rPr>
        <w:t>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73" w:lineRule="exact"/>
        <w:rPr>
          <w:sz w:val="20"/>
          <w:szCs w:val="20"/>
          <w:color w:val="auto"/>
        </w:rPr>
      </w:pPr>
    </w:p>
    <w:p>
      <w:pPr>
        <w:ind w:right="40" w:firstLine="472"/>
        <w:spacing w:after="0" w:line="26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 million in cash to GE in exchange for all of the shares of SpinCo Class B preferred stock.</w:t>
      </w:r>
    </w:p>
    <w:p>
      <w:pPr>
        <w:spacing w:after="0" w:line="81" w:lineRule="exact"/>
        <w:rPr>
          <w:sz w:val="20"/>
          <w:szCs w:val="20"/>
          <w:color w:val="auto"/>
        </w:rPr>
      </w:pPr>
    </w:p>
    <w:p>
      <w:pPr>
        <w:ind w:right="40" w:firstLine="472"/>
        <w:spacing w:after="0" w:line="302" w:lineRule="auto"/>
        <w:rPr>
          <w:sz w:val="20"/>
          <w:szCs w:val="20"/>
          <w:color w:val="auto"/>
        </w:rPr>
      </w:pPr>
      <w:r>
        <w:rPr>
          <w:rFonts w:ascii="Arial" w:cs="Arial" w:eastAsia="Arial" w:hAnsi="Arial"/>
          <w:sz w:val="15"/>
          <w:szCs w:val="15"/>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53" w:lineRule="exact"/>
        <w:rPr>
          <w:sz w:val="20"/>
          <w:szCs w:val="20"/>
          <w:color w:val="auto"/>
        </w:rPr>
      </w:pPr>
    </w:p>
    <w:p>
      <w:pPr>
        <w:ind w:right="20" w:firstLine="472"/>
        <w:spacing w:after="0" w:line="265" w:lineRule="auto"/>
        <w:rPr>
          <w:sz w:val="20"/>
          <w:szCs w:val="20"/>
          <w:color w:val="auto"/>
        </w:rPr>
      </w:pPr>
      <w:r>
        <w:rPr>
          <w:rFonts w:ascii="Arial" w:cs="Arial" w:eastAsia="Arial" w:hAnsi="Arial"/>
          <w:sz w:val="17"/>
          <w:szCs w:val="17"/>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73" w:lineRule="exact"/>
        <w:rPr>
          <w:sz w:val="20"/>
          <w:szCs w:val="20"/>
          <w:color w:val="auto"/>
        </w:rPr>
      </w:pPr>
    </w:p>
    <w:p>
      <w:pPr>
        <w:ind w:firstLine="472"/>
        <w:spacing w:after="0" w:line="28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61" w:lineRule="exact"/>
        <w:rPr>
          <w:sz w:val="20"/>
          <w:szCs w:val="20"/>
          <w:color w:val="auto"/>
        </w:rPr>
      </w:pPr>
    </w:p>
    <w:p>
      <w:pPr>
        <w:ind w:right="20" w:firstLine="472"/>
        <w:spacing w:after="0" w:line="262" w:lineRule="auto"/>
        <w:rPr>
          <w:sz w:val="20"/>
          <w:szCs w:val="20"/>
          <w:color w:val="auto"/>
        </w:rPr>
      </w:pPr>
      <w:r>
        <w:rPr>
          <w:rFonts w:ascii="Arial" w:cs="Arial" w:eastAsia="Arial" w:hAnsi="Arial"/>
          <w:sz w:val="17"/>
          <w:szCs w:val="17"/>
          <w:color w:val="auto"/>
        </w:rPr>
        <w:t>Total future consideration to be paid by Wabtec to GE included a fixed payment of $470 million, of which $99 million and $115 million were paid during 2021 and 2020, respectively,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estimated total value of the consideration to be paid by Wabtec in the acquisition transactions is approximately $10.3 billion, including the cash paid for the Direct Sales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78" w:lineRule="exact"/>
        <w:rPr>
          <w:sz w:val="20"/>
          <w:szCs w:val="20"/>
          <w:color w:val="auto"/>
        </w:rPr>
      </w:pPr>
    </w:p>
    <w:p>
      <w:pPr>
        <w:ind w:firstLine="472"/>
        <w:spacing w:after="0" w:line="280"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65" w:name="page66"/>
    <w:bookmarkEnd w:id="65"/>
    <w:p>
      <w:pPr>
        <w:ind w:left="480"/>
        <w:spacing w:after="0"/>
        <w:rPr>
          <w:sz w:val="20"/>
          <w:szCs w:val="20"/>
          <w:color w:val="auto"/>
        </w:rPr>
      </w:pPr>
      <w:r>
        <w:rPr>
          <w:rFonts w:ascii="Arial" w:cs="Arial" w:eastAsia="Arial" w:hAnsi="Arial"/>
          <w:sz w:val="17"/>
          <w:szCs w:val="17"/>
          <w:color w:val="auto"/>
        </w:rPr>
        <w:t>The following table summarizes the final fair value of the GE Transportation assets acquired and liabilities assumed: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6"/>
        </w:trPr>
        <w:tc>
          <w:tcPr>
            <w:tcW w:w="50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Assets acquired</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Inventories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Property, plant, and equipment</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Goodwill</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5,984</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Trade names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Customer relationships</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Intellectual property</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Backlog</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noncurrent assets</w:t>
            </w:r>
          </w:p>
        </w:tc>
        <w:tc>
          <w:tcPr>
            <w:tcW w:w="10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199"/>
        </w:trPr>
        <w:tc>
          <w:tcPr>
            <w:tcW w:w="500" w:type="dxa"/>
            <w:vAlign w:val="bottom"/>
          </w:tcPr>
          <w:p>
            <w:pPr>
              <w:spacing w:after="0"/>
              <w:rPr>
                <w:sz w:val="17"/>
                <w:szCs w:val="17"/>
                <w:color w:val="auto"/>
              </w:rPr>
            </w:pPr>
          </w:p>
        </w:tc>
        <w:tc>
          <w:tcPr>
            <w:tcW w:w="8800" w:type="dxa"/>
            <w:vAlign w:val="bottom"/>
            <w:gridSpan w:val="2"/>
          </w:tcPr>
          <w:p>
            <w:pPr>
              <w:ind w:left="200"/>
              <w:spacing w:after="0"/>
              <w:rPr>
                <w:sz w:val="20"/>
                <w:szCs w:val="20"/>
                <w:color w:val="auto"/>
              </w:rPr>
            </w:pPr>
            <w:r>
              <w:rPr>
                <w:rFonts w:ascii="Arial" w:cs="Arial" w:eastAsia="Arial" w:hAnsi="Arial"/>
                <w:sz w:val="16"/>
                <w:szCs w:val="16"/>
                <w:color w:val="auto"/>
              </w:rPr>
              <w:t>Total assets acquired</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12,608</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assumed</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Current liabilities</w:t>
            </w:r>
          </w:p>
        </w:tc>
        <w:tc>
          <w:tcPr>
            <w:tcW w:w="10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Contingent consideration</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6"/>
        </w:trPr>
        <w:tc>
          <w:tcPr>
            <w:tcW w:w="500" w:type="dxa"/>
            <w:vAlign w:val="bottom"/>
            <w:tcBorders>
              <w:bottom w:val="single" w:sz="8" w:color="CCEEFF"/>
            </w:tcBorders>
          </w:tcPr>
          <w:p>
            <w:pPr>
              <w:spacing w:after="0"/>
              <w:rPr>
                <w:sz w:val="17"/>
                <w:szCs w:val="17"/>
                <w:color w:val="auto"/>
              </w:rPr>
            </w:pPr>
          </w:p>
        </w:tc>
        <w:tc>
          <w:tcPr>
            <w:tcW w:w="8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noncurrent liabilities</w:t>
            </w:r>
          </w:p>
        </w:tc>
        <w:tc>
          <w:tcPr>
            <w:tcW w:w="1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203"/>
        </w:trPr>
        <w:tc>
          <w:tcPr>
            <w:tcW w:w="500" w:type="dxa"/>
            <w:vAlign w:val="bottom"/>
            <w:shd w:val="clear" w:color="auto" w:fill="CCEEFF"/>
          </w:tcPr>
          <w:p>
            <w:pPr>
              <w:spacing w:after="0"/>
              <w:rPr>
                <w:sz w:val="17"/>
                <w:szCs w:val="17"/>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liabilities assumed</w:t>
            </w:r>
          </w:p>
        </w:tc>
        <w:tc>
          <w:tcPr>
            <w:tcW w:w="10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r>
      <w:tr>
        <w:trPr>
          <w:trHeight w:val="206"/>
        </w:trPr>
        <w:tc>
          <w:tcPr>
            <w:tcW w:w="500" w:type="dxa"/>
            <w:vAlign w:val="bottom"/>
          </w:tcPr>
          <w:p>
            <w:pPr>
              <w:spacing w:after="0"/>
              <w:rPr>
                <w:sz w:val="17"/>
                <w:szCs w:val="17"/>
                <w:color w:val="auto"/>
              </w:rPr>
            </w:pPr>
          </w:p>
        </w:tc>
        <w:tc>
          <w:tcPr>
            <w:tcW w:w="8800" w:type="dxa"/>
            <w:vAlign w:val="bottom"/>
            <w:gridSpan w:val="2"/>
          </w:tcPr>
          <w:p>
            <w:pPr>
              <w:ind w:left="100"/>
              <w:spacing w:after="0"/>
              <w:rPr>
                <w:sz w:val="20"/>
                <w:szCs w:val="20"/>
                <w:color w:val="auto"/>
              </w:rPr>
            </w:pPr>
            <w:r>
              <w:rPr>
                <w:rFonts w:ascii="Arial" w:cs="Arial" w:eastAsia="Arial" w:hAnsi="Arial"/>
                <w:sz w:val="16"/>
                <w:szCs w:val="16"/>
                <w:color w:val="auto"/>
              </w:rPr>
              <w:t>Net assets acquired</w:t>
            </w:r>
          </w:p>
        </w:tc>
        <w:tc>
          <w:tcPr>
            <w:tcW w:w="1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10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bl>
    <w:p>
      <w:pPr>
        <w:spacing w:after="0" w:line="236"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The revisions to the initial estimates were based on information that existed at the date of the acquisition. Trade names, customer relationships, patents and backlog intangible assets are subject to amortization. Customer relationship and backlog intangible assets are amortized using the straight-line method of amortization using a shortened estimated useful life then the projected future cash flow benefits of the intangible assets. Contingent liabilities assumed as part of the transaction were not material and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$525 million of customer contracts whose terms are unfavorable compared to market terms at the date of consummation of the GE Transportation acquisition.</w:t>
      </w:r>
    </w:p>
    <w:p>
      <w:pPr>
        <w:spacing w:after="0" w:line="78" w:lineRule="exact"/>
        <w:rPr>
          <w:sz w:val="20"/>
          <w:szCs w:val="20"/>
          <w:color w:val="auto"/>
        </w:rPr>
      </w:pPr>
    </w:p>
    <w:p>
      <w:pPr>
        <w:ind w:right="260" w:firstLine="472"/>
        <w:spacing w:after="0" w:line="267" w:lineRule="auto"/>
        <w:rPr>
          <w:sz w:val="20"/>
          <w:szCs w:val="20"/>
          <w:color w:val="auto"/>
        </w:rPr>
      </w:pPr>
      <w:r>
        <w:rPr>
          <w:rFonts w:ascii="Arial" w:cs="Arial" w:eastAsia="Arial" w:hAnsi="Arial"/>
          <w:sz w:val="17"/>
          <w:szCs w:val="17"/>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expected to be deductible for tax purposes. The goodwill has been allocated to the Freight segment.</w:t>
      </w:r>
    </w:p>
    <w:p>
      <w:pPr>
        <w:spacing w:after="0" w:line="73" w:lineRule="exact"/>
        <w:rPr>
          <w:sz w:val="20"/>
          <w:szCs w:val="20"/>
          <w:color w:val="auto"/>
        </w:rPr>
      </w:pPr>
    </w:p>
    <w:p>
      <w:pPr>
        <w:ind w:right="200" w:firstLine="472"/>
        <w:spacing w:after="0" w:line="359" w:lineRule="auto"/>
        <w:rPr>
          <w:sz w:val="20"/>
          <w:szCs w:val="20"/>
          <w:color w:val="auto"/>
        </w:rPr>
      </w:pPr>
      <w:r>
        <w:rPr>
          <w:rFonts w:ascii="Arial" w:cs="Arial" w:eastAsia="Arial" w:hAnsi="Arial"/>
          <w:sz w:val="15"/>
          <w:szCs w:val="15"/>
          <w:color w:val="auto"/>
        </w:rPr>
        <w:t>Costs related to the acquisition and integration of GE Transportation were approximately $3 million, $48 million and $63 million for the years ended December 31, 2021, 2020 and 2019, respectively, and are included in Selling, general and administrative expenses on the Consolidated Statements of Income.</w:t>
      </w:r>
    </w:p>
    <w:p>
      <w:pPr>
        <w:spacing w:after="0" w:line="8" w:lineRule="exact"/>
        <w:rPr>
          <w:sz w:val="20"/>
          <w:szCs w:val="20"/>
          <w:color w:val="auto"/>
        </w:rPr>
      </w:pPr>
    </w:p>
    <w:p>
      <w:pPr>
        <w:ind w:right="420" w:firstLine="472"/>
        <w:spacing w:after="0" w:line="280" w:lineRule="auto"/>
        <w:rPr>
          <w:sz w:val="20"/>
          <w:szCs w:val="20"/>
          <w:color w:val="auto"/>
        </w:rPr>
      </w:pPr>
      <w:r>
        <w:rPr>
          <w:rFonts w:ascii="Arial" w:cs="Arial" w:eastAsia="Arial" w:hAnsi="Arial"/>
          <w:sz w:val="17"/>
          <w:szCs w:val="17"/>
          <w:color w:val="auto"/>
        </w:rPr>
        <w:t>The following unaudited pro forma consolidated financial information presents income statement results as if the GE Transportation acquisition had occurred January 1, 2018:</w:t>
      </w: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jc w:val="right"/>
              <w:ind w:right="141"/>
              <w:spacing w:after="0" w:line="159" w:lineRule="exact"/>
              <w:rPr>
                <w:sz w:val="20"/>
                <w:szCs w:val="20"/>
                <w:color w:val="auto"/>
              </w:rPr>
            </w:pPr>
            <w:r>
              <w:rPr>
                <w:rFonts w:ascii="Arial" w:cs="Arial" w:eastAsia="Arial" w:hAnsi="Arial"/>
                <w:sz w:val="16"/>
                <w:szCs w:val="16"/>
                <w:b w:val="1"/>
                <w:bCs w:val="1"/>
                <w:color w:val="auto"/>
                <w:w w:val="94"/>
              </w:rPr>
              <w:t>Twelve Months</w:t>
            </w:r>
          </w:p>
        </w:tc>
      </w:tr>
      <w:tr>
        <w:trPr>
          <w:trHeight w:val="170"/>
        </w:trPr>
        <w:tc>
          <w:tcPr>
            <w:tcW w:w="50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940" w:type="dxa"/>
            <w:vAlign w:val="bottom"/>
            <w:gridSpan w:val="2"/>
          </w:tcPr>
          <w:p>
            <w:pPr>
              <w:jc w:val="right"/>
              <w:ind w:right="21"/>
              <w:spacing w:after="0" w:line="171" w:lineRule="exact"/>
              <w:rPr>
                <w:sz w:val="20"/>
                <w:szCs w:val="20"/>
                <w:color w:val="auto"/>
              </w:rPr>
            </w:pPr>
            <w:r>
              <w:rPr>
                <w:rFonts w:ascii="Arial" w:cs="Arial" w:eastAsia="Arial" w:hAnsi="Arial"/>
                <w:sz w:val="16"/>
                <w:szCs w:val="16"/>
                <w:b w:val="1"/>
                <w:bCs w:val="1"/>
                <w:color w:val="auto"/>
                <w:w w:val="92"/>
              </w:rPr>
              <w:t>Ended December 31, 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r>
      <w:tr>
        <w:trPr>
          <w:trHeight w:val="206"/>
        </w:trPr>
        <w:tc>
          <w:tcPr>
            <w:tcW w:w="50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2,343</w:t>
            </w: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Wabtec shareholders</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06"/>
        </w:trPr>
        <w:tc>
          <w:tcPr>
            <w:tcW w:w="50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As Reported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3"/>
        </w:trPr>
        <w:tc>
          <w:tcPr>
            <w:tcW w:w="500" w:type="dxa"/>
            <w:vAlign w:val="bottom"/>
          </w:tcPr>
          <w:p>
            <w:pPr>
              <w:spacing w:after="0"/>
              <w:rPr>
                <w:sz w:val="17"/>
                <w:szCs w:val="17"/>
                <w:color w:val="auto"/>
              </w:rPr>
            </w:pPr>
          </w:p>
        </w:tc>
        <w:tc>
          <w:tcPr>
            <w:tcW w:w="8800" w:type="dxa"/>
            <w:vAlign w:val="bottom"/>
            <w:gridSpan w:val="2"/>
          </w:tcPr>
          <w:p>
            <w:pPr>
              <w:ind w:left="300"/>
              <w:spacing w:after="0"/>
              <w:rPr>
                <w:sz w:val="20"/>
                <w:szCs w:val="20"/>
                <w:color w:val="auto"/>
              </w:rPr>
            </w:pPr>
            <w:r>
              <w:rPr>
                <w:rFonts w:ascii="Arial" w:cs="Arial" w:eastAsia="Arial" w:hAnsi="Arial"/>
                <w:sz w:val="16"/>
                <w:szCs w:val="16"/>
                <w:color w:val="auto"/>
              </w:rPr>
              <w:t>Pro forma</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6" w:name="page67"/>
    <w:bookmarkEnd w:id="66"/>
    <w:p>
      <w:pPr>
        <w:ind w:right="360" w:firstLine="515"/>
        <w:spacing w:after="0" w:line="289" w:lineRule="auto"/>
        <w:rPr>
          <w:sz w:val="20"/>
          <w:szCs w:val="20"/>
          <w:color w:val="auto"/>
        </w:rPr>
      </w:pPr>
      <w:r>
        <w:rPr>
          <w:rFonts w:ascii="Arial" w:cs="Arial" w:eastAsia="Arial" w:hAnsi="Arial"/>
          <w:sz w:val="16"/>
          <w:szCs w:val="16"/>
          <w:color w:val="auto"/>
        </w:rPr>
        <w:t>The historical consolidated financial information of the Company and the GE Transportation acquisition detailed above has been adjusted in the pro forma information to give effect to pro forma events that are (1) directly attributable to the transactions, (2) factually supportable and (3) expected to have a continuing impact on the combined results. Pro forma data may not be indicative of the results that would have been obtained had the GE Transportation acquisition occurred at the beginning of the periods presented, nor is it intended to be a projection of future results.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also made smaller acquisitions not listed above which are individually and collectively immaterial.</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SUPPLEMENTAL CASH FLOW DISCLOSURES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88"/>
              </w:rPr>
              <w:t>Year Ended December 31,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8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5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Interest paid during the year</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164</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 during the year, net of amount refunded</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Business acquisitions: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Fair value of assets acquired</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gridSpan w:val="2"/>
          </w:tcPr>
          <w:p>
            <w:pPr>
              <w:ind w:left="200"/>
              <w:spacing w:after="0"/>
              <w:rPr>
                <w:sz w:val="20"/>
                <w:szCs w:val="20"/>
                <w:color w:val="auto"/>
              </w:rPr>
            </w:pPr>
            <w:r>
              <w:rPr>
                <w:rFonts w:ascii="Arial" w:cs="Arial" w:eastAsia="Arial" w:hAnsi="Arial"/>
                <w:sz w:val="16"/>
                <w:szCs w:val="16"/>
                <w:color w:val="auto"/>
              </w:rPr>
              <w:t>Liabilities assumed</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Non-controlling interest (acquired) assumed</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gridSpan w:val="2"/>
          </w:tcPr>
          <w:p>
            <w:pPr>
              <w:ind w:left="320"/>
              <w:spacing w:after="0"/>
              <w:rPr>
                <w:sz w:val="20"/>
                <w:szCs w:val="20"/>
                <w:color w:val="auto"/>
              </w:rPr>
            </w:pPr>
            <w:r>
              <w:rPr>
                <w:rFonts w:ascii="Arial" w:cs="Arial" w:eastAsia="Arial" w:hAnsi="Arial"/>
                <w:sz w:val="16"/>
                <w:szCs w:val="16"/>
                <w:color w:val="auto"/>
              </w:rPr>
              <w:t>Stock and cash paid</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10,116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Cash acquired</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Stock used for acquisition</w:t>
            </w: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Net cash paid</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INVENTORIES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inventory, net of reserves, were:</w:t>
      </w:r>
    </w:p>
    <w:p>
      <w:pPr>
        <w:spacing w:after="0" w:line="157"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21"/>
              <w:spacing w:after="0" w:line="170"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21"/>
              <w:spacing w:after="0" w:line="170"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Raw materials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06"/>
        </w:trPr>
        <w:tc>
          <w:tcPr>
            <w:tcW w:w="2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Arial" w:cs="Arial" w:eastAsia="Arial" w:hAnsi="Arial"/>
                <w:sz w:val="16"/>
                <w:szCs w:val="16"/>
                <w:color w:val="auto"/>
              </w:rPr>
              <w:t>Work-in-progress</w:t>
            </w:r>
          </w:p>
        </w:tc>
        <w:tc>
          <w:tcPr>
            <w:tcW w:w="3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0"/>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06"/>
        </w:trPr>
        <w:tc>
          <w:tcPr>
            <w:tcW w:w="2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PLANT &amp; EQUIPMENT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major classes of depreciable assets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6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14"/>
                <w:szCs w:val="14"/>
                <w:color w:val="auto"/>
              </w:rPr>
            </w:pPr>
          </w:p>
        </w:tc>
        <w:tc>
          <w:tcPr>
            <w:tcW w:w="1120" w:type="dxa"/>
            <w:vAlign w:val="bottom"/>
          </w:tcPr>
          <w:p>
            <w:pPr>
              <w:jc w:val="right"/>
              <w:ind w:right="50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8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06"/>
        </w:trPr>
        <w:tc>
          <w:tcPr>
            <w:tcW w:w="50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Buildings and improvements</w:t>
            </w:r>
          </w:p>
        </w:tc>
        <w:tc>
          <w:tcPr>
            <w:tcW w:w="8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3"/>
        </w:trPr>
        <w:tc>
          <w:tcPr>
            <w:tcW w:w="50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6"/>
        </w:trPr>
        <w:tc>
          <w:tcPr>
            <w:tcW w:w="50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6"/>
        </w:trPr>
        <w:tc>
          <w:tcPr>
            <w:tcW w:w="500" w:type="dxa"/>
            <w:vAlign w:val="bottom"/>
            <w:shd w:val="clear" w:color="auto" w:fill="CCEEFF"/>
          </w:tcPr>
          <w:p>
            <w:pPr>
              <w:spacing w:after="0"/>
              <w:rPr>
                <w:sz w:val="17"/>
                <w:szCs w:val="17"/>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Property, plant and equipment</w:t>
            </w: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06"/>
        </w:trPr>
        <w:tc>
          <w:tcPr>
            <w:tcW w:w="500" w:type="dxa"/>
            <w:vAlign w:val="bottom"/>
            <w:tcBorders>
              <w:bottom w:val="single" w:sz="8" w:color="CCEEFF"/>
            </w:tcBorders>
          </w:tcPr>
          <w:p>
            <w:pPr>
              <w:spacing w:after="0"/>
              <w:rPr>
                <w:sz w:val="17"/>
                <w:szCs w:val="17"/>
                <w:color w:val="auto"/>
              </w:rPr>
            </w:pPr>
          </w:p>
        </w:tc>
        <w:tc>
          <w:tcPr>
            <w:tcW w:w="6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7" w:name="page68"/>
    <w:bookmarkEnd w:id="67"/>
    <w:p>
      <w:pPr>
        <w:ind w:left="520"/>
        <w:spacing w:after="0"/>
        <w:rPr>
          <w:sz w:val="20"/>
          <w:szCs w:val="20"/>
          <w:color w:val="auto"/>
        </w:rPr>
      </w:pPr>
      <w:r>
        <w:rPr>
          <w:rFonts w:ascii="Arial" w:cs="Arial" w:eastAsia="Arial" w:hAnsi="Arial"/>
          <w:sz w:val="17"/>
          <w:szCs w:val="17"/>
          <w:color w:val="auto"/>
        </w:rPr>
        <w:t>The estimated useful lives of property, plant and equipment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b w:val="1"/>
                <w:bCs w:val="1"/>
                <w:color w:val="auto"/>
                <w:w w:val="87"/>
              </w:rPr>
              <w:t>Years</w:t>
            </w:r>
          </w:p>
        </w:tc>
      </w:tr>
      <w:tr>
        <w:trPr>
          <w:trHeight w:val="206"/>
        </w:trPr>
        <w:tc>
          <w:tcPr>
            <w:tcW w:w="9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Land improvements</w:t>
            </w:r>
          </w:p>
        </w:tc>
        <w:tc>
          <w:tcPr>
            <w:tcW w:w="15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89"/>
              </w:rPr>
              <w:t>10 to 20</w:t>
            </w:r>
          </w:p>
        </w:tc>
      </w:tr>
      <w:tr>
        <w:trPr>
          <w:trHeight w:val="206"/>
        </w:trPr>
        <w:tc>
          <w:tcPr>
            <w:tcW w:w="9740" w:type="dxa"/>
            <w:vAlign w:val="bottom"/>
          </w:tcPr>
          <w:p>
            <w:pPr>
              <w:ind w:left="500"/>
              <w:spacing w:after="0"/>
              <w:rPr>
                <w:sz w:val="20"/>
                <w:szCs w:val="20"/>
                <w:color w:val="auto"/>
              </w:rPr>
            </w:pPr>
            <w:r>
              <w:rPr>
                <w:rFonts w:ascii="Arial" w:cs="Arial" w:eastAsia="Arial" w:hAnsi="Arial"/>
                <w:sz w:val="16"/>
                <w:szCs w:val="16"/>
                <w:color w:val="auto"/>
              </w:rPr>
              <w:t>Building and improvements</w:t>
            </w:r>
          </w:p>
        </w:tc>
        <w:tc>
          <w:tcPr>
            <w:tcW w:w="1500" w:type="dxa"/>
            <w:vAlign w:val="bottom"/>
          </w:tcPr>
          <w:p>
            <w:pPr>
              <w:jc w:val="center"/>
              <w:ind w:left="381"/>
              <w:spacing w:after="0"/>
              <w:rPr>
                <w:sz w:val="20"/>
                <w:szCs w:val="20"/>
                <w:color w:val="auto"/>
              </w:rPr>
            </w:pPr>
            <w:r>
              <w:rPr>
                <w:rFonts w:ascii="Arial" w:cs="Arial" w:eastAsia="Arial" w:hAnsi="Arial"/>
                <w:sz w:val="16"/>
                <w:szCs w:val="16"/>
                <w:color w:val="auto"/>
                <w:w w:val="89"/>
              </w:rPr>
              <w:t>20 to 40</w:t>
            </w:r>
          </w:p>
        </w:tc>
      </w:tr>
      <w:tr>
        <w:trPr>
          <w:trHeight w:val="213"/>
        </w:trPr>
        <w:tc>
          <w:tcPr>
            <w:tcW w:w="9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Machinery and equipment</w:t>
            </w:r>
          </w:p>
        </w:tc>
        <w:tc>
          <w:tcPr>
            <w:tcW w:w="15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89"/>
              </w:rPr>
              <w:t>3 to 15</w:t>
            </w:r>
          </w:p>
        </w:tc>
      </w:tr>
    </w:tbl>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was $198 million, $183 million, and $158 million for 2021, 2020 and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INTANGIBLES</w:t>
      </w:r>
    </w:p>
    <w:p>
      <w:pPr>
        <w:spacing w:after="0" w:line="125"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Goodwill and indefinite lived intangible assets are reviewed annually during the fourth quarter for impairment. For 2021, the Company opted to proceed directly to the quantitative impairment test for all reporting units with goodwill. The discounted cash flow method and the market approach were used to estimate the fair value of each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each reporting unit. The market approach requires several assumptions including EBITDA (earnings before interest, taxes, depreciation and amortization) multiples for comparable companies that operate in the same markets as the Company’s reporting units. For 2021, the discounted cash flow method was given more weight compared to the market approach due to a relatively reduced amount of publicly available data from companies with comparable operations to those of Wabtec; however, both valuations resulted in a conclusion that the estimated fair value of all three of the Company's reporting units was in excess of their respective carrying value, which resulted in a conclusion that no impairment existed.</w:t>
      </w:r>
    </w:p>
    <w:p>
      <w:pPr>
        <w:spacing w:after="0" w:line="83" w:lineRule="exact"/>
        <w:rPr>
          <w:sz w:val="20"/>
          <w:szCs w:val="20"/>
          <w:color w:val="auto"/>
        </w:rPr>
      </w:pPr>
    </w:p>
    <w:p>
      <w:pPr>
        <w:ind w:right="20" w:firstLine="472"/>
        <w:spacing w:after="0" w:line="278" w:lineRule="auto"/>
        <w:rPr>
          <w:sz w:val="20"/>
          <w:szCs w:val="20"/>
          <w:color w:val="auto"/>
        </w:rPr>
      </w:pPr>
      <w:r>
        <w:rPr>
          <w:rFonts w:ascii="Arial" w:cs="Arial" w:eastAsia="Arial" w:hAnsi="Arial"/>
          <w:sz w:val="16"/>
          <w:szCs w:val="16"/>
          <w:color w:val="auto"/>
        </w:rPr>
        <w:t>Additionally, the Company proceeded directly to the quantitative impairment test for some trade names with indefinite lives. The fair value of all material trade names subject to the quantitative impairment test exceeded its respective carrying value, resulting in a conclusion that no material impairment existed. For trade names not subject to the quantitative testing, the Company opted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the Company assessed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change in the carrying amount of goodwill by segment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Freight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Transit</w:t>
            </w:r>
          </w:p>
        </w:tc>
        <w:tc>
          <w:tcPr>
            <w:tcW w:w="780" w:type="dxa"/>
            <w:vAlign w:val="bottom"/>
          </w:tcPr>
          <w:p>
            <w:pPr>
              <w:spacing w:after="0"/>
              <w:rPr>
                <w:sz w:val="16"/>
                <w:szCs w:val="16"/>
                <w:color w:val="auto"/>
              </w:rPr>
            </w:pPr>
          </w:p>
        </w:tc>
        <w:tc>
          <w:tcPr>
            <w:tcW w:w="108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Pr>
          <w:p>
            <w:pPr>
              <w:jc w:val="right"/>
              <w:ind w:right="141"/>
              <w:spacing w:after="0" w:line="171" w:lineRule="exact"/>
              <w:rPr>
                <w:sz w:val="20"/>
                <w:szCs w:val="20"/>
                <w:color w:val="auto"/>
              </w:rPr>
            </w:pPr>
            <w:r>
              <w:rPr>
                <w:rFonts w:ascii="Arial" w:cs="Arial" w:eastAsia="Arial" w:hAnsi="Arial"/>
                <w:sz w:val="16"/>
                <w:szCs w:val="16"/>
                <w:b w:val="1"/>
                <w:bCs w:val="1"/>
                <w:color w:val="auto"/>
              </w:rPr>
              <w:t>Segment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2"/>
          </w:tcPr>
          <w:p>
            <w:pPr>
              <w:ind w:left="40"/>
              <w:spacing w:after="0" w:line="171" w:lineRule="exact"/>
              <w:rPr>
                <w:sz w:val="20"/>
                <w:szCs w:val="20"/>
                <w:color w:val="auto"/>
              </w:rPr>
            </w:pPr>
            <w:r>
              <w:rPr>
                <w:rFonts w:ascii="Arial" w:cs="Arial" w:eastAsia="Arial" w:hAnsi="Arial"/>
                <w:sz w:val="16"/>
                <w:szCs w:val="16"/>
                <w:b w:val="1"/>
                <w:bCs w:val="1"/>
                <w:color w:val="auto"/>
              </w:rPr>
              <w:t>Segment</w:t>
            </w:r>
          </w:p>
        </w:tc>
        <w:tc>
          <w:tcPr>
            <w:tcW w:w="7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44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6,877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8,361</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4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Disposals</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50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 currency impact</w:t>
            </w:r>
          </w:p>
        </w:tc>
        <w:tc>
          <w:tcPr>
            <w:tcW w:w="1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44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6,872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8,485</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4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1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Balance at December 31, 2021</w:t>
            </w:r>
          </w:p>
        </w:tc>
        <w:tc>
          <w:tcPr>
            <w:tcW w:w="14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7,073</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60" w:firstLine="472"/>
        <w:spacing w:after="0" w:line="273" w:lineRule="auto"/>
        <w:rPr>
          <w:sz w:val="20"/>
          <w:szCs w:val="20"/>
          <w:color w:val="auto"/>
        </w:rPr>
      </w:pPr>
      <w:r>
        <w:rPr>
          <w:rFonts w:ascii="Arial" w:cs="Arial" w:eastAsia="Arial" w:hAnsi="Arial"/>
          <w:sz w:val="17"/>
          <w:szCs w:val="17"/>
          <w:color w:val="auto"/>
        </w:rPr>
        <w:t>As of December 31, 2021 and 2020, the Company’s trade names had a net carrying amount of $635 million and $651 million, respectively, and the Company believes these intangibles have indefinite lives, with the exception of the right to use the GE Transportation trade name, to which the Company has assigned a useful life of 5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8" w:name="page69"/>
    <w:bookmarkEnd w:id="68"/>
    <w:p>
      <w:pPr>
        <w:ind w:left="480"/>
        <w:spacing w:after="0"/>
        <w:rPr>
          <w:sz w:val="20"/>
          <w:szCs w:val="20"/>
          <w:color w:val="auto"/>
        </w:rPr>
      </w:pPr>
      <w:r>
        <w:rPr>
          <w:rFonts w:ascii="Arial" w:cs="Arial" w:eastAsia="Arial" w:hAnsi="Arial"/>
          <w:sz w:val="17"/>
          <w:szCs w:val="17"/>
          <w:color w:val="auto"/>
        </w:rPr>
        <w:t>Intangible assets of the Company, other than goodwill and trade names,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6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14"/>
                <w:szCs w:val="14"/>
                <w:color w:val="auto"/>
              </w:rPr>
            </w:pPr>
          </w:p>
        </w:tc>
        <w:tc>
          <w:tcPr>
            <w:tcW w:w="1120" w:type="dxa"/>
            <w:vAlign w:val="bottom"/>
          </w:tcPr>
          <w:p>
            <w:pPr>
              <w:jc w:val="right"/>
              <w:ind w:right="50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Intellectual property, patents, and other intangibles, net of accumulated amortization of $334 and $223</w:t>
            </w:r>
          </w:p>
        </w:tc>
        <w:tc>
          <w:tcPr>
            <w:tcW w:w="8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06"/>
        </w:trPr>
        <w:tc>
          <w:tcPr>
            <w:tcW w:w="50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Backlog, net of accumulated amortization of $309 and $206</w:t>
            </w:r>
          </w:p>
        </w:tc>
        <w:tc>
          <w:tcPr>
            <w:tcW w:w="8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10"/>
        </w:trPr>
        <w:tc>
          <w:tcPr>
            <w:tcW w:w="50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relationships, net of accumulated amortization of $331 and $276</w:t>
            </w:r>
          </w:p>
        </w:tc>
        <w:tc>
          <w:tcPr>
            <w:tcW w:w="8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r>
      <w:tr>
        <w:trPr>
          <w:trHeight w:val="206"/>
        </w:trPr>
        <w:tc>
          <w:tcPr>
            <w:tcW w:w="50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0" w:firstLine="472"/>
        <w:spacing w:after="0" w:line="267" w:lineRule="auto"/>
        <w:rPr>
          <w:sz w:val="20"/>
          <w:szCs w:val="20"/>
          <w:color w:val="auto"/>
        </w:rPr>
      </w:pPr>
      <w:r>
        <w:rPr>
          <w:rFonts w:ascii="Arial" w:cs="Arial" w:eastAsia="Arial" w:hAnsi="Arial"/>
          <w:sz w:val="17"/>
          <w:szCs w:val="17"/>
          <w:color w:val="auto"/>
        </w:rPr>
        <w:t>The remaining weighted average useful lives of backlog, intellectual property, customer relationships, and other intangibles were 10 years, 11 years, 17 years, and 9 years, respectively. The backlog intangible primarily consists of in-place long-term service agreements acquired by the Company in conjunction with the acquisition of GE Transportation. Amortization expense for intangible assets was $287 million, $282 million, and $238 million for the years ended December 31, 2021, 2020, and 2019, respectively.</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Estimated amortization expense for the five succeeding years is as follows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shd w:val="clear" w:color="auto" w:fill="CCEEFF"/>
          </w:tcPr>
          <w:p>
            <w:pPr>
              <w:jc w:val="right"/>
              <w:ind w:right="4361"/>
              <w:spacing w:after="0"/>
              <w:rPr>
                <w:sz w:val="20"/>
                <w:szCs w:val="20"/>
                <w:color w:val="auto"/>
              </w:rPr>
            </w:pPr>
            <w:r>
              <w:rPr>
                <w:rFonts w:ascii="Arial" w:cs="Arial" w:eastAsia="Arial" w:hAnsi="Arial"/>
                <w:sz w:val="16"/>
                <w:szCs w:val="16"/>
                <w:color w:val="auto"/>
              </w:rPr>
              <w:t>2022</w:t>
            </w:r>
          </w:p>
        </w:tc>
        <w:tc>
          <w:tcPr>
            <w:tcW w:w="504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6"/>
        </w:trPr>
        <w:tc>
          <w:tcPr>
            <w:tcW w:w="5360" w:type="dxa"/>
            <w:vAlign w:val="bottom"/>
          </w:tcPr>
          <w:p>
            <w:pPr>
              <w:jc w:val="right"/>
              <w:ind w:right="4361"/>
              <w:spacing w:after="0"/>
              <w:rPr>
                <w:sz w:val="20"/>
                <w:szCs w:val="20"/>
                <w:color w:val="auto"/>
              </w:rPr>
            </w:pPr>
            <w:r>
              <w:rPr>
                <w:rFonts w:ascii="Arial" w:cs="Arial" w:eastAsia="Arial" w:hAnsi="Arial"/>
                <w:sz w:val="16"/>
                <w:szCs w:val="16"/>
                <w:color w:val="auto"/>
              </w:rPr>
              <w:t>2023</w:t>
            </w:r>
          </w:p>
        </w:tc>
        <w:tc>
          <w:tcPr>
            <w:tcW w:w="504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5360" w:type="dxa"/>
            <w:vAlign w:val="bottom"/>
            <w:shd w:val="clear" w:color="auto" w:fill="CCEEFF"/>
          </w:tcPr>
          <w:p>
            <w:pPr>
              <w:jc w:val="right"/>
              <w:ind w:right="4361"/>
              <w:spacing w:after="0"/>
              <w:rPr>
                <w:sz w:val="20"/>
                <w:szCs w:val="20"/>
                <w:color w:val="auto"/>
              </w:rPr>
            </w:pPr>
            <w:r>
              <w:rPr>
                <w:rFonts w:ascii="Arial" w:cs="Arial" w:eastAsia="Arial" w:hAnsi="Arial"/>
                <w:sz w:val="16"/>
                <w:szCs w:val="16"/>
                <w:color w:val="auto"/>
              </w:rPr>
              <w:t>2024</w:t>
            </w:r>
          </w:p>
        </w:tc>
        <w:tc>
          <w:tcPr>
            <w:tcW w:w="504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06"/>
        </w:trPr>
        <w:tc>
          <w:tcPr>
            <w:tcW w:w="5360" w:type="dxa"/>
            <w:vAlign w:val="bottom"/>
          </w:tcPr>
          <w:p>
            <w:pPr>
              <w:jc w:val="right"/>
              <w:ind w:right="4361"/>
              <w:spacing w:after="0"/>
              <w:rPr>
                <w:sz w:val="20"/>
                <w:szCs w:val="20"/>
                <w:color w:val="auto"/>
              </w:rPr>
            </w:pPr>
            <w:r>
              <w:rPr>
                <w:rFonts w:ascii="Arial" w:cs="Arial" w:eastAsia="Arial" w:hAnsi="Arial"/>
                <w:sz w:val="16"/>
                <w:szCs w:val="16"/>
                <w:color w:val="auto"/>
              </w:rPr>
              <w:t>2025</w:t>
            </w:r>
          </w:p>
        </w:tc>
        <w:tc>
          <w:tcPr>
            <w:tcW w:w="504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5360" w:type="dxa"/>
            <w:vAlign w:val="bottom"/>
            <w:shd w:val="clear" w:color="auto" w:fill="CCEEFF"/>
          </w:tcPr>
          <w:p>
            <w:pPr>
              <w:jc w:val="right"/>
              <w:ind w:right="4361"/>
              <w:spacing w:after="0"/>
              <w:rPr>
                <w:sz w:val="20"/>
                <w:szCs w:val="20"/>
                <w:color w:val="auto"/>
              </w:rPr>
            </w:pPr>
            <w:r>
              <w:rPr>
                <w:rFonts w:ascii="Arial" w:cs="Arial" w:eastAsia="Arial" w:hAnsi="Arial"/>
                <w:sz w:val="16"/>
                <w:szCs w:val="16"/>
                <w:color w:val="auto"/>
              </w:rPr>
              <w:t>2026</w:t>
            </w:r>
          </w:p>
        </w:tc>
        <w:tc>
          <w:tcPr>
            <w:tcW w:w="504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CONTRACT ASSETS AND CONTRACT LIABILITIES</w:t>
      </w:r>
    </w:p>
    <w:p>
      <w:pPr>
        <w:spacing w:after="0" w:line="125" w:lineRule="exact"/>
        <w:rPr>
          <w:sz w:val="20"/>
          <w:szCs w:val="20"/>
          <w:color w:val="auto"/>
        </w:rPr>
      </w:pPr>
    </w:p>
    <w:p>
      <w:pPr>
        <w:ind w:right="40" w:firstLine="472"/>
        <w:spacing w:after="0" w:line="26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$153 million and $101 million at December 31, 2021 and 2020, respectively. Included in noncurrent contract assets are certain costs that are specifically related to a contract, however, do not directly contribute to the transfer of control of the tangible product being created, such as pre-production costs. The Company has elected to use the practical expedient and not consider unbilled amounts anticipated to be paid within one year as significant financing components.</w:t>
      </w:r>
    </w:p>
    <w:p>
      <w:pPr>
        <w:spacing w:after="0" w:line="78" w:lineRule="exact"/>
        <w:rPr>
          <w:sz w:val="20"/>
          <w:szCs w:val="20"/>
          <w:color w:val="auto"/>
        </w:rPr>
      </w:pPr>
    </w:p>
    <w:p>
      <w:pPr>
        <w:ind w:right="20" w:firstLine="472"/>
        <w:spacing w:after="0" w:line="261"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$88 million and $80 million at December 31, 2021 and 2020, respectively.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$107 million and $109 million at December 31, 2021 and 2020, respectively. These provisions for estimated losses are classified as current liabilities and included within the caption “Other accrued liabilities” on the Consolidated Balance Sheets.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9" w:name="page70"/>
    <w:bookmarkEnd w:id="69"/>
    <w:p>
      <w:pPr>
        <w:ind w:left="480"/>
        <w:spacing w:after="0"/>
        <w:rPr>
          <w:sz w:val="20"/>
          <w:szCs w:val="20"/>
          <w:color w:val="auto"/>
        </w:rPr>
      </w:pPr>
      <w:r>
        <w:rPr>
          <w:rFonts w:ascii="Arial" w:cs="Arial" w:eastAsia="Arial" w:hAnsi="Arial"/>
          <w:sz w:val="17"/>
          <w:szCs w:val="17"/>
          <w:color w:val="auto"/>
        </w:rPr>
        <w:t>The following table reconciles the changes in the Company’s contract assets and liabilities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80" w:type="dxa"/>
            <w:vAlign w:val="bottom"/>
            <w:gridSpan w:val="3"/>
          </w:tcPr>
          <w:p>
            <w:pPr>
              <w:jc w:val="right"/>
              <w:ind w:right="61"/>
              <w:spacing w:after="0"/>
              <w:rPr>
                <w:sz w:val="20"/>
                <w:szCs w:val="20"/>
                <w:color w:val="auto"/>
              </w:rPr>
            </w:pPr>
            <w:r>
              <w:rPr>
                <w:rFonts w:ascii="Arial" w:cs="Arial" w:eastAsia="Arial" w:hAnsi="Arial"/>
                <w:sz w:val="16"/>
                <w:szCs w:val="16"/>
                <w:b w:val="1"/>
                <w:bCs w:val="1"/>
                <w:color w:val="auto"/>
              </w:rPr>
              <w:t>Contract Assets</w:t>
            </w:r>
          </w:p>
        </w:tc>
        <w:tc>
          <w:tcPr>
            <w:tcW w:w="1040" w:type="dxa"/>
            <w:vAlign w:val="bottom"/>
          </w:tcPr>
          <w:p>
            <w:pPr>
              <w:spacing w:after="0"/>
              <w:rPr>
                <w:sz w:val="17"/>
                <w:szCs w:val="17"/>
                <w:color w:val="auto"/>
              </w:rPr>
            </w:pPr>
          </w:p>
        </w:tc>
      </w:tr>
      <w:tr>
        <w:trPr>
          <w:trHeight w:val="177"/>
        </w:trPr>
        <w:tc>
          <w:tcPr>
            <w:tcW w:w="50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5"/>
                <w:szCs w:val="15"/>
                <w:color w:val="auto"/>
              </w:rPr>
            </w:pPr>
          </w:p>
        </w:tc>
        <w:tc>
          <w:tcPr>
            <w:tcW w:w="1100" w:type="dxa"/>
            <w:vAlign w:val="bottom"/>
          </w:tcPr>
          <w:p>
            <w:pPr>
              <w:jc w:val="right"/>
              <w:ind w:right="481"/>
              <w:spacing w:after="0" w:line="17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481"/>
              <w:spacing w:after="0" w:line="17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Acquisitions</w:t>
            </w:r>
          </w:p>
        </w:tc>
        <w:tc>
          <w:tcPr>
            <w:tcW w:w="8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Recognized in current year</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Reclassified to accounts receivable</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0"/>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Foreign currency impact</w:t>
            </w: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50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6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rPr>
              <w:t>Contract Liabilities</w:t>
            </w:r>
          </w:p>
        </w:tc>
        <w:tc>
          <w:tcPr>
            <w:tcW w:w="960" w:type="dxa"/>
            <w:vAlign w:val="bottom"/>
          </w:tcPr>
          <w:p>
            <w:pPr>
              <w:spacing w:after="0"/>
              <w:rPr>
                <w:sz w:val="17"/>
                <w:szCs w:val="17"/>
                <w:color w:val="auto"/>
              </w:rPr>
            </w:pPr>
          </w:p>
        </w:tc>
      </w:tr>
      <w:tr>
        <w:trPr>
          <w:trHeight w:val="177"/>
        </w:trPr>
        <w:tc>
          <w:tcPr>
            <w:tcW w:w="500" w:type="dxa"/>
            <w:vAlign w:val="bottom"/>
          </w:tcPr>
          <w:p>
            <w:pPr>
              <w:spacing w:after="0"/>
              <w:rPr>
                <w:sz w:val="15"/>
                <w:szCs w:val="15"/>
                <w:color w:val="auto"/>
              </w:rPr>
            </w:pPr>
          </w:p>
        </w:tc>
        <w:tc>
          <w:tcPr>
            <w:tcW w:w="682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rPr>
              <w:t>In millions</w:t>
            </w:r>
          </w:p>
        </w:tc>
        <w:tc>
          <w:tcPr>
            <w:tcW w:w="800" w:type="dxa"/>
            <w:vAlign w:val="bottom"/>
          </w:tcPr>
          <w:p>
            <w:pPr>
              <w:spacing w:after="0"/>
              <w:rPr>
                <w:sz w:val="15"/>
                <w:szCs w:val="15"/>
                <w:color w:val="auto"/>
              </w:rPr>
            </w:pPr>
          </w:p>
        </w:tc>
        <w:tc>
          <w:tcPr>
            <w:tcW w:w="1100" w:type="dxa"/>
            <w:vAlign w:val="bottom"/>
          </w:tcPr>
          <w:p>
            <w:pPr>
              <w:jc w:val="right"/>
              <w:ind w:right="481"/>
              <w:spacing w:after="0" w:line="17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jc w:val="right"/>
              <w:ind w:right="481"/>
              <w:spacing w:after="0" w:line="17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Acquisitions</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Recognized in current year</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06"/>
        </w:trPr>
        <w:tc>
          <w:tcPr>
            <w:tcW w:w="500" w:type="dxa"/>
            <w:vAlign w:val="bottom"/>
          </w:tcPr>
          <w:p>
            <w:pPr>
              <w:spacing w:after="0"/>
              <w:rPr>
                <w:sz w:val="17"/>
                <w:szCs w:val="17"/>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Amounts in beginning balance reclassified to revenue</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3"/>
        </w:trPr>
        <w:tc>
          <w:tcPr>
            <w:tcW w:w="50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Current year amounts reclassified to revenue</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6"/>
        </w:trPr>
        <w:tc>
          <w:tcPr>
            <w:tcW w:w="50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Foreign currency impact</w:t>
            </w:r>
          </w:p>
        </w:tc>
        <w:tc>
          <w:tcPr>
            <w:tcW w:w="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8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9. LONG-TERM DEBT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December 31,</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Effective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w w:val="89"/>
              </w:rPr>
              <w:t>2021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95"/>
              </w:rPr>
              <w:t>2020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In millions</w:t>
            </w:r>
          </w:p>
        </w:tc>
        <w:tc>
          <w:tcPr>
            <w:tcW w:w="1220" w:type="dxa"/>
            <w:vAlign w:val="bottom"/>
          </w:tcPr>
          <w:p>
            <w:pPr>
              <w:jc w:val="right"/>
              <w:ind w:right="201"/>
              <w:spacing w:after="0" w:line="151" w:lineRule="exact"/>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3"/>
          </w:tcPr>
          <w:p>
            <w:pPr>
              <w:ind w:left="120"/>
              <w:spacing w:after="0" w:line="151" w:lineRule="exact"/>
              <w:rPr>
                <w:sz w:val="20"/>
                <w:szCs w:val="20"/>
                <w:color w:val="auto"/>
              </w:rPr>
            </w:pPr>
            <w:r>
              <w:rPr>
                <w:rFonts w:ascii="Arial" w:cs="Arial" w:eastAsia="Arial" w:hAnsi="Arial"/>
                <w:sz w:val="16"/>
                <w:szCs w:val="16"/>
                <w:b w:val="1"/>
                <w:bCs w:val="1"/>
                <w:color w:val="auto"/>
              </w:rPr>
              <w:t>Face</w:t>
            </w:r>
          </w:p>
        </w:tc>
        <w:tc>
          <w:tcPr>
            <w:tcW w:w="680" w:type="dxa"/>
            <w:vAlign w:val="bottom"/>
          </w:tcPr>
          <w:p>
            <w:pPr>
              <w:spacing w:after="0"/>
              <w:rPr>
                <w:sz w:val="13"/>
                <w:szCs w:val="13"/>
                <w:color w:val="auto"/>
              </w:rPr>
            </w:pPr>
          </w:p>
        </w:tc>
        <w:tc>
          <w:tcPr>
            <w:tcW w:w="920" w:type="dxa"/>
            <w:vAlign w:val="bottom"/>
            <w:gridSpan w:val="2"/>
          </w:tcPr>
          <w:p>
            <w:pPr>
              <w:ind w:left="140"/>
              <w:spacing w:after="0" w:line="151" w:lineRule="exact"/>
              <w:rPr>
                <w:sz w:val="20"/>
                <w:szCs w:val="20"/>
                <w:color w:val="auto"/>
              </w:rPr>
            </w:pPr>
            <w:r>
              <w:rPr>
                <w:rFonts w:ascii="Arial" w:cs="Arial" w:eastAsia="Arial" w:hAnsi="Arial"/>
                <w:sz w:val="16"/>
                <w:szCs w:val="16"/>
                <w:b w:val="1"/>
                <w:bCs w:val="1"/>
                <w:color w:val="auto"/>
              </w:rPr>
              <w:t>Book</w:t>
            </w:r>
          </w:p>
        </w:tc>
        <w:tc>
          <w:tcPr>
            <w:tcW w:w="660" w:type="dxa"/>
            <w:vAlign w:val="bottom"/>
          </w:tcPr>
          <w:p>
            <w:pPr>
              <w:spacing w:after="0"/>
              <w:rPr>
                <w:sz w:val="13"/>
                <w:szCs w:val="13"/>
                <w:color w:val="auto"/>
              </w:rPr>
            </w:pPr>
          </w:p>
        </w:tc>
        <w:tc>
          <w:tcPr>
            <w:tcW w:w="940" w:type="dxa"/>
            <w:vAlign w:val="bottom"/>
            <w:gridSpan w:val="2"/>
          </w:tcPr>
          <w:p>
            <w:pPr>
              <w:jc w:val="center"/>
              <w:ind w:right="300"/>
              <w:spacing w:after="0" w:line="151" w:lineRule="exact"/>
              <w:rPr>
                <w:sz w:val="20"/>
                <w:szCs w:val="20"/>
                <w:color w:val="auto"/>
              </w:rPr>
            </w:pPr>
            <w:r>
              <w:rPr>
                <w:rFonts w:ascii="Arial" w:cs="Arial" w:eastAsia="Arial" w:hAnsi="Arial"/>
                <w:sz w:val="16"/>
                <w:szCs w:val="16"/>
                <w:b w:val="1"/>
                <w:bCs w:val="1"/>
                <w:color w:val="auto"/>
                <w:w w:val="95"/>
              </w:rPr>
              <w:t>Fair</w:t>
            </w:r>
          </w:p>
        </w:tc>
        <w:tc>
          <w:tcPr>
            <w:tcW w:w="560" w:type="dxa"/>
            <w:vAlign w:val="bottom"/>
          </w:tcPr>
          <w:p>
            <w:pPr>
              <w:spacing w:after="0"/>
              <w:rPr>
                <w:sz w:val="13"/>
                <w:szCs w:val="13"/>
                <w:color w:val="auto"/>
              </w:rPr>
            </w:pPr>
          </w:p>
        </w:tc>
        <w:tc>
          <w:tcPr>
            <w:tcW w:w="1040" w:type="dxa"/>
            <w:vAlign w:val="bottom"/>
            <w:gridSpan w:val="2"/>
          </w:tcPr>
          <w:p>
            <w:pPr>
              <w:ind w:left="260"/>
              <w:spacing w:after="0" w:line="151" w:lineRule="exact"/>
              <w:rPr>
                <w:sz w:val="20"/>
                <w:szCs w:val="20"/>
                <w:color w:val="auto"/>
              </w:rPr>
            </w:pPr>
            <w:r>
              <w:rPr>
                <w:rFonts w:ascii="Arial" w:cs="Arial" w:eastAsia="Arial" w:hAnsi="Arial"/>
                <w:sz w:val="16"/>
                <w:szCs w:val="16"/>
                <w:b w:val="1"/>
                <w:bCs w:val="1"/>
                <w:color w:val="auto"/>
              </w:rPr>
              <w:t>Book</w:t>
            </w:r>
          </w:p>
        </w:tc>
        <w:tc>
          <w:tcPr>
            <w:tcW w:w="660" w:type="dxa"/>
            <w:vAlign w:val="bottom"/>
          </w:tcPr>
          <w:p>
            <w:pPr>
              <w:spacing w:after="0"/>
              <w:rPr>
                <w:sz w:val="13"/>
                <w:szCs w:val="13"/>
                <w:color w:val="auto"/>
              </w:rPr>
            </w:pPr>
          </w:p>
        </w:tc>
        <w:tc>
          <w:tcPr>
            <w:tcW w:w="860" w:type="dxa"/>
            <w:vAlign w:val="bottom"/>
          </w:tcPr>
          <w:p>
            <w:pPr>
              <w:jc w:val="right"/>
              <w:ind w:right="302"/>
              <w:spacing w:after="0" w:line="151"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20" w:type="dxa"/>
            <w:vAlign w:val="bottom"/>
          </w:tcPr>
          <w:p>
            <w:pPr>
              <w:jc w:val="right"/>
              <w:ind w:right="301"/>
              <w:spacing w:after="0" w:line="171" w:lineRule="exact"/>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560"/>
              <w:spacing w:after="0" w:line="171" w:lineRule="exact"/>
              <w:rPr>
                <w:sz w:val="20"/>
                <w:szCs w:val="20"/>
                <w:color w:val="auto"/>
              </w:rPr>
            </w:pPr>
            <w:r>
              <w:rPr>
                <w:rFonts w:ascii="Arial" w:cs="Arial" w:eastAsia="Arial" w:hAnsi="Arial"/>
                <w:sz w:val="16"/>
                <w:szCs w:val="16"/>
                <w:b w:val="1"/>
                <w:bCs w:val="1"/>
                <w:color w:val="auto"/>
              </w:rPr>
              <w:t>Value</w:t>
            </w:r>
          </w:p>
        </w:tc>
        <w:tc>
          <w:tcPr>
            <w:tcW w:w="1600" w:type="dxa"/>
            <w:vAlign w:val="bottom"/>
            <w:gridSpan w:val="3"/>
          </w:tcPr>
          <w:p>
            <w:pPr>
              <w:ind w:left="560"/>
              <w:spacing w:after="0" w:line="171" w:lineRule="exact"/>
              <w:rPr>
                <w:sz w:val="20"/>
                <w:szCs w:val="20"/>
                <w:color w:val="auto"/>
              </w:rPr>
            </w:pPr>
            <w:r>
              <w:rPr>
                <w:rFonts w:ascii="Arial" w:cs="Arial" w:eastAsia="Arial" w:hAnsi="Arial"/>
                <w:sz w:val="16"/>
                <w:szCs w:val="16"/>
                <w:b w:val="1"/>
                <w:bCs w:val="1"/>
                <w:color w:val="auto"/>
              </w:rPr>
              <w:t>Value</w:t>
            </w:r>
          </w:p>
        </w:tc>
        <w:tc>
          <w:tcPr>
            <w:tcW w:w="660" w:type="dxa"/>
            <w:vAlign w:val="bottom"/>
          </w:tcPr>
          <w:p>
            <w:pPr>
              <w:spacing w:after="0"/>
              <w:rPr>
                <w:sz w:val="14"/>
                <w:szCs w:val="14"/>
                <w:color w:val="auto"/>
              </w:rPr>
            </w:pPr>
          </w:p>
        </w:tc>
        <w:tc>
          <w:tcPr>
            <w:tcW w:w="940" w:type="dxa"/>
            <w:vAlign w:val="bottom"/>
            <w:gridSpan w:val="2"/>
          </w:tcPr>
          <w:p>
            <w:pPr>
              <w:jc w:val="center"/>
              <w:ind w:right="300"/>
              <w:spacing w:after="0" w:line="171" w:lineRule="exact"/>
              <w:rPr>
                <w:sz w:val="20"/>
                <w:szCs w:val="20"/>
                <w:color w:val="auto"/>
              </w:rPr>
            </w:pPr>
            <w:r>
              <w:rPr>
                <w:rFonts w:ascii="Arial" w:cs="Arial" w:eastAsia="Arial" w:hAnsi="Arial"/>
                <w:sz w:val="15"/>
                <w:szCs w:val="15"/>
                <w:b w:val="1"/>
                <w:bCs w:val="1"/>
                <w:color w:val="auto"/>
                <w:w w:val="93"/>
              </w:rPr>
              <w:t xml:space="preserve">Value </w:t>
            </w:r>
            <w:r>
              <w:rPr>
                <w:rFonts w:ascii="Arial" w:cs="Arial" w:eastAsia="Arial" w:hAnsi="Arial"/>
                <w:sz w:val="19"/>
                <w:szCs w:val="19"/>
                <w:b w:val="1"/>
                <w:bCs w:val="1"/>
                <w:color w:val="auto"/>
                <w:w w:val="93"/>
                <w:vertAlign w:val="superscript"/>
              </w:rPr>
              <w:t>1</w:t>
            </w:r>
          </w:p>
        </w:tc>
        <w:tc>
          <w:tcPr>
            <w:tcW w:w="560" w:type="dxa"/>
            <w:vAlign w:val="bottom"/>
          </w:tcPr>
          <w:p>
            <w:pPr>
              <w:spacing w:after="0"/>
              <w:rPr>
                <w:sz w:val="14"/>
                <w:szCs w:val="14"/>
                <w:color w:val="auto"/>
              </w:rPr>
            </w:pPr>
          </w:p>
        </w:tc>
        <w:tc>
          <w:tcPr>
            <w:tcW w:w="104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Value</w:t>
            </w:r>
          </w:p>
        </w:tc>
        <w:tc>
          <w:tcPr>
            <w:tcW w:w="660" w:type="dxa"/>
            <w:vAlign w:val="bottom"/>
          </w:tcPr>
          <w:p>
            <w:pPr>
              <w:spacing w:after="0"/>
              <w:rPr>
                <w:sz w:val="14"/>
                <w:szCs w:val="14"/>
                <w:color w:val="auto"/>
              </w:rPr>
            </w:pPr>
          </w:p>
        </w:tc>
        <w:tc>
          <w:tcPr>
            <w:tcW w:w="860" w:type="dxa"/>
            <w:vAlign w:val="bottom"/>
          </w:tcPr>
          <w:p>
            <w:pPr>
              <w:jc w:val="right"/>
              <w:ind w:right="202"/>
              <w:spacing w:after="0" w:line="171" w:lineRule="exact"/>
              <w:rPr>
                <w:sz w:val="20"/>
                <w:szCs w:val="20"/>
                <w:color w:val="auto"/>
              </w:rPr>
            </w:pPr>
            <w:r>
              <w:rPr>
                <w:rFonts w:ascii="Arial" w:cs="Arial" w:eastAsia="Arial" w:hAnsi="Arial"/>
                <w:sz w:val="15"/>
                <w:szCs w:val="15"/>
                <w:b w:val="1"/>
                <w:bCs w:val="1"/>
                <w:color w:val="auto"/>
              </w:rPr>
              <w:t xml:space="preserve">Value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0" w:lineRule="exact"/>
              <w:rPr>
                <w:sz w:val="20"/>
                <w:szCs w:val="20"/>
                <w:color w:val="auto"/>
              </w:rPr>
            </w:pPr>
            <w:r>
              <w:rPr>
                <w:rFonts w:ascii="Arial" w:cs="Arial" w:eastAsia="Arial" w:hAnsi="Arial"/>
                <w:sz w:val="16"/>
                <w:szCs w:val="16"/>
                <w:color w:val="auto"/>
              </w:rPr>
              <w:t>Senior Credit and</w:t>
            </w: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4"/>
                <w:szCs w:val="14"/>
                <w:color w:val="auto"/>
              </w:rPr>
              <w:t xml:space="preserve">364 </w:t>
            </w:r>
            <w:r>
              <w:rPr>
                <w:rFonts w:ascii="Arial" w:cs="Arial" w:eastAsia="Arial" w:hAnsi="Arial"/>
                <w:sz w:val="15"/>
                <w:szCs w:val="15"/>
                <w:color w:val="auto"/>
              </w:rPr>
              <w:t>Day Facility</w:t>
            </w:r>
            <w:r>
              <w:rPr>
                <w:rFonts w:ascii="Arial" w:cs="Arial" w:eastAsia="Arial" w:hAnsi="Arial"/>
                <w:sz w:val="20"/>
                <w:szCs w:val="20"/>
                <w:color w:val="auto"/>
                <w:vertAlign w:val="superscript"/>
              </w:rPr>
              <w:t>2</w:t>
            </w:r>
            <w:r>
              <w:rPr>
                <w:rFonts w:ascii="Arial" w:cs="Arial" w:eastAsia="Arial" w:hAnsi="Arial"/>
                <w:sz w:val="15"/>
                <w:szCs w:val="15"/>
                <w:color w:val="auto"/>
              </w:rPr>
              <w:t>:</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80" w:type="dxa"/>
            <w:vAlign w:val="bottom"/>
            <w:gridSpan w:val="2"/>
          </w:tcPr>
          <w:p>
            <w:pPr>
              <w:ind w:left="100"/>
              <w:spacing w:after="0" w:line="161" w:lineRule="exact"/>
              <w:rPr>
                <w:sz w:val="20"/>
                <w:szCs w:val="20"/>
                <w:color w:val="auto"/>
              </w:rPr>
            </w:pPr>
            <w:r>
              <w:rPr>
                <w:rFonts w:ascii="Arial" w:cs="Arial" w:eastAsia="Arial" w:hAnsi="Arial"/>
                <w:sz w:val="16"/>
                <w:szCs w:val="16"/>
                <w:color w:val="auto"/>
              </w:rPr>
              <w:t>U.S. dollar-</w:t>
            </w: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80" w:type="dxa"/>
            <w:vAlign w:val="bottom"/>
            <w:gridSpan w:val="3"/>
          </w:tcPr>
          <w:p>
            <w:pPr>
              <w:ind w:left="120"/>
              <w:spacing w:after="0" w:line="158" w:lineRule="exact"/>
              <w:rPr>
                <w:sz w:val="20"/>
                <w:szCs w:val="20"/>
                <w:color w:val="auto"/>
              </w:rPr>
            </w:pPr>
            <w:r>
              <w:rPr>
                <w:rFonts w:ascii="Arial" w:cs="Arial" w:eastAsia="Arial" w:hAnsi="Arial"/>
                <w:sz w:val="16"/>
                <w:szCs w:val="16"/>
                <w:color w:val="auto"/>
              </w:rPr>
              <w:t>denominated Term</w:t>
            </w:r>
          </w:p>
        </w:tc>
        <w:tc>
          <w:tcPr>
            <w:tcW w:w="1220" w:type="dxa"/>
            <w:vAlign w:val="bottom"/>
            <w:vMerge w:val="restart"/>
          </w:tcPr>
          <w:p>
            <w:pPr>
              <w:jc w:val="right"/>
              <w:ind w:right="421"/>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3"/>
            <w:vMerge w:val="restart"/>
          </w:tcPr>
          <w:p>
            <w:pPr>
              <w:ind w:left="480"/>
              <w:spacing w:after="0"/>
              <w:rPr>
                <w:sz w:val="20"/>
                <w:szCs w:val="20"/>
                <w:color w:val="auto"/>
              </w:rPr>
            </w:pPr>
            <w:r>
              <w:rPr>
                <w:rFonts w:ascii="Arial" w:cs="Arial" w:eastAsia="Arial" w:hAnsi="Arial"/>
                <w:sz w:val="16"/>
                <w:szCs w:val="16"/>
                <w:color w:val="auto"/>
              </w:rPr>
              <w:t>N/A</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3"/>
                <w:szCs w:val="13"/>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6"/>
        </w:trPr>
        <w:tc>
          <w:tcPr>
            <w:tcW w:w="1780" w:type="dxa"/>
            <w:vAlign w:val="bottom"/>
            <w:gridSpan w:val="3"/>
          </w:tcPr>
          <w:p>
            <w:pPr>
              <w:ind w:left="120"/>
              <w:spacing w:after="0" w:line="207" w:lineRule="exact"/>
              <w:rPr>
                <w:sz w:val="20"/>
                <w:szCs w:val="20"/>
                <w:color w:val="auto"/>
              </w:rPr>
            </w:pPr>
            <w:r>
              <w:rPr>
                <w:rFonts w:ascii="Arial" w:cs="Arial" w:eastAsia="Arial" w:hAnsi="Arial"/>
                <w:sz w:val="16"/>
                <w:szCs w:val="16"/>
                <w:color w:val="auto"/>
              </w:rPr>
              <w:t>Loans</w:t>
            </w:r>
            <w:r>
              <w:rPr>
                <w:rFonts w:ascii="Arial" w:cs="Arial" w:eastAsia="Arial" w:hAnsi="Arial"/>
                <w:sz w:val="20"/>
                <w:szCs w:val="20"/>
                <w:color w:val="auto"/>
                <w:vertAlign w:val="superscript"/>
              </w:rPr>
              <w:t>3</w:t>
            </w:r>
          </w:p>
        </w:tc>
        <w:tc>
          <w:tcPr>
            <w:tcW w:w="1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6"/>
                <w:szCs w:val="16"/>
                <w:color w:val="auto"/>
              </w:rPr>
              <w:t>Multi-Currency</w:t>
            </w:r>
          </w:p>
        </w:tc>
        <w:tc>
          <w:tcPr>
            <w:tcW w:w="1220" w:type="dxa"/>
            <w:vAlign w:val="bottom"/>
            <w:vMerge w:val="restart"/>
            <w:shd w:val="clear" w:color="auto" w:fill="CCEEFF"/>
          </w:tcPr>
          <w:p>
            <w:pPr>
              <w:jc w:val="right"/>
              <w:ind w:right="421"/>
              <w:spacing w:after="0"/>
              <w:rPr>
                <w:sz w:val="20"/>
                <w:szCs w:val="20"/>
                <w:color w:val="auto"/>
              </w:rPr>
            </w:pPr>
            <w:r>
              <w:rPr>
                <w:rFonts w:ascii="Arial" w:cs="Arial" w:eastAsia="Arial" w:hAnsi="Arial"/>
                <w:sz w:val="16"/>
                <w:szCs w:val="16"/>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gridSpan w:val="3"/>
            <w:vMerge w:val="restart"/>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Revolving loan facility</w:t>
            </w:r>
          </w:p>
        </w:tc>
        <w:tc>
          <w:tcPr>
            <w:tcW w:w="1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Senior Notes: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6"/>
                <w:szCs w:val="16"/>
                <w:color w:val="auto"/>
              </w:rPr>
              <w:t>4.375% Senior</w:t>
            </w:r>
          </w:p>
        </w:tc>
        <w:tc>
          <w:tcPr>
            <w:tcW w:w="1220" w:type="dxa"/>
            <w:vAlign w:val="bottom"/>
            <w:vMerge w:val="restart"/>
            <w:shd w:val="clear" w:color="auto" w:fill="CCEEFF"/>
          </w:tcPr>
          <w:p>
            <w:pPr>
              <w:jc w:val="right"/>
              <w:ind w:right="421"/>
              <w:spacing w:after="0"/>
              <w:rPr>
                <w:sz w:val="20"/>
                <w:szCs w:val="20"/>
                <w:color w:val="auto"/>
              </w:rPr>
            </w:pPr>
            <w:r>
              <w:rPr>
                <w:rFonts w:ascii="Arial" w:cs="Arial" w:eastAsia="Arial" w:hAnsi="Arial"/>
                <w:sz w:val="16"/>
                <w:szCs w:val="16"/>
                <w:color w:val="auto"/>
              </w:rPr>
              <w:t>4.5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Notes, due 2023</w:t>
            </w:r>
          </w:p>
        </w:tc>
        <w:tc>
          <w:tcPr>
            <w:tcW w:w="1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80" w:type="dxa"/>
            <w:vAlign w:val="bottom"/>
            <w:gridSpan w:val="2"/>
          </w:tcPr>
          <w:p>
            <w:pPr>
              <w:ind w:left="100"/>
              <w:spacing w:after="0" w:line="161" w:lineRule="exact"/>
              <w:rPr>
                <w:sz w:val="20"/>
                <w:szCs w:val="20"/>
                <w:color w:val="auto"/>
              </w:rPr>
            </w:pPr>
            <w:r>
              <w:rPr>
                <w:rFonts w:ascii="Arial" w:cs="Arial" w:eastAsia="Arial" w:hAnsi="Arial"/>
                <w:sz w:val="16"/>
                <w:szCs w:val="16"/>
                <w:color w:val="auto"/>
              </w:rPr>
              <w:t>4.15% Senior</w:t>
            </w:r>
          </w:p>
        </w:tc>
        <w:tc>
          <w:tcPr>
            <w:tcW w:w="1220" w:type="dxa"/>
            <w:vAlign w:val="bottom"/>
            <w:vMerge w:val="restart"/>
          </w:tcPr>
          <w:p>
            <w:pPr>
              <w:jc w:val="right"/>
              <w:ind w:right="421"/>
              <w:spacing w:after="0"/>
              <w:rPr>
                <w:sz w:val="20"/>
                <w:szCs w:val="20"/>
                <w:color w:val="auto"/>
              </w:rPr>
            </w:pPr>
            <w:r>
              <w:rPr>
                <w:rFonts w:ascii="Arial" w:cs="Arial" w:eastAsia="Arial" w:hAnsi="Arial"/>
                <w:sz w:val="16"/>
                <w:szCs w:val="16"/>
                <w:color w:val="auto"/>
              </w:rPr>
              <w:t>4.6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3"/>
                <w:szCs w:val="13"/>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746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3"/>
        </w:trPr>
        <w:tc>
          <w:tcPr>
            <w:tcW w:w="1780" w:type="dxa"/>
            <w:vAlign w:val="bottom"/>
            <w:gridSpan w:val="3"/>
          </w:tcPr>
          <w:p>
            <w:pPr>
              <w:ind w:left="120"/>
              <w:spacing w:after="0"/>
              <w:rPr>
                <w:sz w:val="20"/>
                <w:szCs w:val="20"/>
                <w:color w:val="auto"/>
              </w:rPr>
            </w:pPr>
            <w:r>
              <w:rPr>
                <w:rFonts w:ascii="Arial" w:cs="Arial" w:eastAsia="Arial" w:hAnsi="Arial"/>
                <w:sz w:val="16"/>
                <w:szCs w:val="16"/>
                <w:color w:val="auto"/>
              </w:rPr>
              <w:t>Notes, due 2024</w:t>
            </w:r>
          </w:p>
        </w:tc>
        <w:tc>
          <w:tcPr>
            <w:tcW w:w="1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6"/>
                <w:szCs w:val="16"/>
                <w:color w:val="auto"/>
              </w:rPr>
              <w:t>3.20% Senior</w:t>
            </w:r>
          </w:p>
        </w:tc>
        <w:tc>
          <w:tcPr>
            <w:tcW w:w="1220" w:type="dxa"/>
            <w:vAlign w:val="bottom"/>
            <w:vMerge w:val="restart"/>
            <w:shd w:val="clear" w:color="auto" w:fill="CCEEFF"/>
          </w:tcPr>
          <w:p>
            <w:pPr>
              <w:jc w:val="right"/>
              <w:ind w:right="421"/>
              <w:spacing w:after="0"/>
              <w:rPr>
                <w:sz w:val="20"/>
                <w:szCs w:val="20"/>
                <w:color w:val="auto"/>
              </w:rPr>
            </w:pPr>
            <w:r>
              <w:rPr>
                <w:rFonts w:ascii="Arial" w:cs="Arial" w:eastAsia="Arial" w:hAnsi="Arial"/>
                <w:sz w:val="16"/>
                <w:szCs w:val="16"/>
                <w:color w:val="auto"/>
              </w:rPr>
              <w:t>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Notes, due 2025</w:t>
            </w:r>
          </w:p>
        </w:tc>
        <w:tc>
          <w:tcPr>
            <w:tcW w:w="1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80" w:type="dxa"/>
            <w:vAlign w:val="bottom"/>
            <w:gridSpan w:val="2"/>
          </w:tcPr>
          <w:p>
            <w:pPr>
              <w:ind w:left="100"/>
              <w:spacing w:after="0" w:line="161" w:lineRule="exact"/>
              <w:rPr>
                <w:sz w:val="20"/>
                <w:szCs w:val="20"/>
                <w:color w:val="auto"/>
              </w:rPr>
            </w:pPr>
            <w:r>
              <w:rPr>
                <w:rFonts w:ascii="Arial" w:cs="Arial" w:eastAsia="Arial" w:hAnsi="Arial"/>
                <w:sz w:val="16"/>
                <w:szCs w:val="16"/>
                <w:color w:val="auto"/>
              </w:rPr>
              <w:t>3.45% Senior</w:t>
            </w:r>
          </w:p>
        </w:tc>
        <w:tc>
          <w:tcPr>
            <w:tcW w:w="1220" w:type="dxa"/>
            <w:vAlign w:val="bottom"/>
            <w:vMerge w:val="restart"/>
          </w:tcPr>
          <w:p>
            <w:pPr>
              <w:jc w:val="right"/>
              <w:ind w:right="421"/>
              <w:spacing w:after="0"/>
              <w:rPr>
                <w:sz w:val="20"/>
                <w:szCs w:val="20"/>
                <w:color w:val="auto"/>
              </w:rPr>
            </w:pPr>
            <w:r>
              <w:rPr>
                <w:rFonts w:ascii="Arial" w:cs="Arial" w:eastAsia="Arial" w:hAnsi="Arial"/>
                <w:sz w:val="16"/>
                <w:szCs w:val="16"/>
                <w:color w:val="auto"/>
              </w:rPr>
              <w:t>3.5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3"/>
                <w:szCs w:val="13"/>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3"/>
        </w:trPr>
        <w:tc>
          <w:tcPr>
            <w:tcW w:w="1780" w:type="dxa"/>
            <w:vAlign w:val="bottom"/>
            <w:gridSpan w:val="3"/>
          </w:tcPr>
          <w:p>
            <w:pPr>
              <w:ind w:left="120"/>
              <w:spacing w:after="0"/>
              <w:rPr>
                <w:sz w:val="20"/>
                <w:szCs w:val="20"/>
                <w:color w:val="auto"/>
              </w:rPr>
            </w:pPr>
            <w:r>
              <w:rPr>
                <w:rFonts w:ascii="Arial" w:cs="Arial" w:eastAsia="Arial" w:hAnsi="Arial"/>
                <w:sz w:val="16"/>
                <w:szCs w:val="16"/>
                <w:color w:val="auto"/>
              </w:rPr>
              <w:t>Notes, due 2026</w:t>
            </w:r>
          </w:p>
        </w:tc>
        <w:tc>
          <w:tcPr>
            <w:tcW w:w="1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6"/>
                <w:szCs w:val="16"/>
                <w:color w:val="auto"/>
              </w:rPr>
              <w:t>1.25% Senior</w:t>
            </w:r>
          </w:p>
        </w:tc>
        <w:tc>
          <w:tcPr>
            <w:tcW w:w="1220" w:type="dxa"/>
            <w:vAlign w:val="bottom"/>
            <w:vMerge w:val="restart"/>
            <w:shd w:val="clear" w:color="auto" w:fill="CCEEFF"/>
          </w:tcPr>
          <w:p>
            <w:pPr>
              <w:jc w:val="right"/>
              <w:ind w:right="421"/>
              <w:spacing w:after="0"/>
              <w:rPr>
                <w:sz w:val="20"/>
                <w:szCs w:val="20"/>
                <w:color w:val="auto"/>
              </w:rPr>
            </w:pPr>
            <w:r>
              <w:rPr>
                <w:rFonts w:ascii="Arial" w:cs="Arial" w:eastAsia="Arial" w:hAnsi="Arial"/>
                <w:sz w:val="16"/>
                <w:szCs w:val="16"/>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8"/>
              </w:rPr>
              <w:t>Notes (EUR), due 2027</w:t>
            </w:r>
          </w:p>
        </w:tc>
        <w:tc>
          <w:tcPr>
            <w:tcW w:w="12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80" w:type="dxa"/>
            <w:vAlign w:val="bottom"/>
            <w:gridSpan w:val="2"/>
          </w:tcPr>
          <w:p>
            <w:pPr>
              <w:ind w:left="100"/>
              <w:spacing w:after="0" w:line="161" w:lineRule="exact"/>
              <w:rPr>
                <w:sz w:val="20"/>
                <w:szCs w:val="20"/>
                <w:color w:val="auto"/>
              </w:rPr>
            </w:pPr>
            <w:r>
              <w:rPr>
                <w:rFonts w:ascii="Arial" w:cs="Arial" w:eastAsia="Arial" w:hAnsi="Arial"/>
                <w:sz w:val="16"/>
                <w:szCs w:val="16"/>
                <w:color w:val="auto"/>
              </w:rPr>
              <w:t>4.70% Senior</w:t>
            </w:r>
          </w:p>
        </w:tc>
        <w:tc>
          <w:tcPr>
            <w:tcW w:w="1220" w:type="dxa"/>
            <w:vAlign w:val="bottom"/>
            <w:vMerge w:val="restart"/>
          </w:tcPr>
          <w:p>
            <w:pPr>
              <w:jc w:val="right"/>
              <w:ind w:right="421"/>
              <w:spacing w:after="0"/>
              <w:rPr>
                <w:sz w:val="20"/>
                <w:szCs w:val="20"/>
                <w:color w:val="auto"/>
              </w:rPr>
            </w:pPr>
            <w:r>
              <w:rPr>
                <w:rFonts w:ascii="Arial" w:cs="Arial" w:eastAsia="Arial" w:hAnsi="Arial"/>
                <w:sz w:val="16"/>
                <w:szCs w:val="16"/>
                <w:color w:val="auto"/>
              </w:rPr>
              <w:t>5.0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3"/>
                <w:szCs w:val="13"/>
                <w:color w:val="auto"/>
              </w:rPr>
            </w:pPr>
          </w:p>
        </w:tc>
        <w:tc>
          <w:tcPr>
            <w:tcW w:w="7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03"/>
        </w:trPr>
        <w:tc>
          <w:tcPr>
            <w:tcW w:w="1780" w:type="dxa"/>
            <w:vAlign w:val="bottom"/>
            <w:gridSpan w:val="3"/>
          </w:tcPr>
          <w:p>
            <w:pPr>
              <w:ind w:left="120"/>
              <w:spacing w:after="0"/>
              <w:rPr>
                <w:sz w:val="20"/>
                <w:szCs w:val="20"/>
                <w:color w:val="auto"/>
              </w:rPr>
            </w:pPr>
            <w:r>
              <w:rPr>
                <w:rFonts w:ascii="Arial" w:cs="Arial" w:eastAsia="Arial" w:hAnsi="Arial"/>
                <w:sz w:val="16"/>
                <w:szCs w:val="16"/>
                <w:color w:val="auto"/>
              </w:rPr>
              <w:t>Notes, due 2028</w:t>
            </w:r>
          </w:p>
        </w:tc>
        <w:tc>
          <w:tcPr>
            <w:tcW w:w="1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Borrowings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4,383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4,239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6"/>
                <w:szCs w:val="16"/>
                <w:color w:val="auto"/>
              </w:rPr>
              <w:t>Less: current</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6"/>
        </w:trPr>
        <w:tc>
          <w:tcPr>
            <w:tcW w:w="17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portion</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500" w:type="dxa"/>
            <w:vAlign w:val="bottom"/>
          </w:tcPr>
          <w:p>
            <w:pPr>
              <w:spacing w:after="0"/>
              <w:rPr>
                <w:sz w:val="12"/>
                <w:szCs w:val="12"/>
                <w:color w:val="auto"/>
              </w:rPr>
            </w:pPr>
          </w:p>
        </w:tc>
        <w:tc>
          <w:tcPr>
            <w:tcW w:w="1280" w:type="dxa"/>
            <w:vAlign w:val="bottom"/>
            <w:gridSpan w:val="2"/>
          </w:tcPr>
          <w:p>
            <w:pPr>
              <w:ind w:left="220"/>
              <w:spacing w:after="0" w:line="141" w:lineRule="exact"/>
              <w:rPr>
                <w:sz w:val="20"/>
                <w:szCs w:val="20"/>
                <w:color w:val="auto"/>
              </w:rPr>
            </w:pPr>
            <w:r>
              <w:rPr>
                <w:rFonts w:ascii="Arial" w:cs="Arial" w:eastAsia="Arial" w:hAnsi="Arial"/>
                <w:sz w:val="16"/>
                <w:szCs w:val="16"/>
                <w:color w:val="auto"/>
              </w:rPr>
              <w:t>Long-term</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2"/>
                <w:szCs w:val="12"/>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4,381</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3,792</w:t>
            </w:r>
          </w:p>
        </w:tc>
        <w:tc>
          <w:tcPr>
            <w:tcW w:w="80" w:type="dxa"/>
            <w:vAlign w:val="bottom"/>
          </w:tcPr>
          <w:p>
            <w:pPr>
              <w:spacing w:after="0"/>
              <w:rPr>
                <w:sz w:val="12"/>
                <w:szCs w:val="12"/>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185"/>
        </w:trPr>
        <w:tc>
          <w:tcPr>
            <w:tcW w:w="1780" w:type="dxa"/>
            <w:vAlign w:val="bottom"/>
            <w:gridSpan w:val="3"/>
          </w:tcPr>
          <w:p>
            <w:pPr>
              <w:ind w:left="240"/>
              <w:spacing w:after="0" w:line="181" w:lineRule="exact"/>
              <w:rPr>
                <w:sz w:val="20"/>
                <w:szCs w:val="20"/>
                <w:color w:val="auto"/>
              </w:rPr>
            </w:pPr>
            <w:r>
              <w:rPr>
                <w:rFonts w:ascii="Arial" w:cs="Arial" w:eastAsia="Arial" w:hAnsi="Arial"/>
                <w:sz w:val="16"/>
                <w:szCs w:val="16"/>
                <w:color w:val="auto"/>
              </w:rPr>
              <w:t>portion</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140" w:hanging="135"/>
        <w:spacing w:after="0"/>
        <w:tabs>
          <w:tab w:leader="none" w:pos="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17 for information on the fair value measurement of the Company's long-term debt.</w:t>
      </w:r>
    </w:p>
    <w:p>
      <w:pPr>
        <w:spacing w:after="0" w:line="8" w:lineRule="exact"/>
        <w:rPr>
          <w:rFonts w:ascii="Arial" w:cs="Arial" w:eastAsia="Arial" w:hAnsi="Arial"/>
          <w:sz w:val="14"/>
          <w:szCs w:val="14"/>
          <w:color w:val="auto"/>
        </w:rPr>
      </w:pPr>
    </w:p>
    <w:p>
      <w:pPr>
        <w:ind w:left="140" w:hanging="135"/>
        <w:spacing w:after="0" w:line="234" w:lineRule="auto"/>
        <w:tabs>
          <w:tab w:leader="none" w:pos="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During the second quarter of 2021, the Company repaid all outstanding term loan borrowings and related interest under the Senior Credit Facility and the 364 Day Facility.</w:t>
      </w:r>
    </w:p>
    <w:p>
      <w:pPr>
        <w:ind w:left="140" w:hanging="135"/>
        <w:spacing w:after="0"/>
        <w:tabs>
          <w:tab w:leader="none" w:pos="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U.S. dollar-denominated Term Loans includes the total outstanding balance of term loans denominated in U.S. dollars from the Senior Credit Facility and the 364 Day Facility.</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Variances between Face Value and Book Value are the result of unamortized discounts and debt issuance fees.</w:t>
      </w:r>
    </w:p>
    <w:p>
      <w:pPr>
        <w:spacing w:after="0" w:line="25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The Company borrows and repays against the Multi-Currency Revolving loan facility for added flexibility in liquidity to manage cash during the operating cycle. The proceeds from borrowing and the repayments are included within the Financing Activities section of the 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540" w:type="dxa"/>
            <w:vAlign w:val="bottom"/>
            <w:gridSpan w:val="2"/>
          </w:tcPr>
          <w:p>
            <w:pPr>
              <w:ind w:left="620"/>
              <w:spacing w:after="0"/>
              <w:rPr>
                <w:sz w:val="20"/>
                <w:szCs w:val="20"/>
                <w:color w:val="auto"/>
              </w:rPr>
            </w:pPr>
            <w:r>
              <w:rPr>
                <w:rFonts w:ascii="Arial" w:cs="Arial" w:eastAsia="Arial" w:hAnsi="Arial"/>
                <w:sz w:val="17"/>
                <w:szCs w:val="17"/>
                <w:color w:val="auto"/>
              </w:rPr>
              <w:t>As of December 31, 2021, the annual repayment requirements for debt obligations are as follows:</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i w:val="1"/>
                <w:iCs w:val="1"/>
                <w:color w:val="auto"/>
                <w:w w:val="89"/>
              </w:rPr>
              <w:t>In millions</w:t>
            </w:r>
          </w:p>
        </w:tc>
        <w:tc>
          <w:tcPr>
            <w:tcW w:w="89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206"/>
        </w:trPr>
        <w:tc>
          <w:tcPr>
            <w:tcW w:w="660" w:type="dxa"/>
            <w:vAlign w:val="bottom"/>
            <w:gridSpan w:val="2"/>
          </w:tcPr>
          <w:p>
            <w:pPr>
              <w:jc w:val="right"/>
              <w:ind w:right="121"/>
              <w:spacing w:after="0"/>
              <w:rPr>
                <w:sz w:val="20"/>
                <w:szCs w:val="20"/>
                <w:color w:val="auto"/>
              </w:rPr>
            </w:pPr>
            <w:r>
              <w:rPr>
                <w:rFonts w:ascii="Arial" w:cs="Arial" w:eastAsia="Arial" w:hAnsi="Arial"/>
                <w:sz w:val="16"/>
                <w:szCs w:val="16"/>
                <w:color w:val="auto"/>
              </w:rPr>
              <w:t>2022</w:t>
            </w:r>
          </w:p>
        </w:tc>
        <w:tc>
          <w:tcPr>
            <w:tcW w:w="890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2023</w:t>
            </w:r>
          </w:p>
        </w:tc>
        <w:tc>
          <w:tcPr>
            <w:tcW w:w="8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6"/>
        </w:trPr>
        <w:tc>
          <w:tcPr>
            <w:tcW w:w="660" w:type="dxa"/>
            <w:vAlign w:val="bottom"/>
            <w:gridSpan w:val="2"/>
          </w:tcPr>
          <w:p>
            <w:pPr>
              <w:jc w:val="right"/>
              <w:ind w:right="121"/>
              <w:spacing w:after="0"/>
              <w:rPr>
                <w:sz w:val="20"/>
                <w:szCs w:val="20"/>
                <w:color w:val="auto"/>
              </w:rPr>
            </w:pPr>
            <w:r>
              <w:rPr>
                <w:rFonts w:ascii="Arial" w:cs="Arial" w:eastAsia="Arial" w:hAnsi="Arial"/>
                <w:sz w:val="16"/>
                <w:szCs w:val="16"/>
                <w:color w:val="auto"/>
              </w:rPr>
              <w:t>2024</w:t>
            </w:r>
          </w:p>
        </w:tc>
        <w:tc>
          <w:tcPr>
            <w:tcW w:w="8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762</w:t>
            </w:r>
          </w:p>
        </w:tc>
      </w:tr>
      <w:tr>
        <w:trPr>
          <w:trHeight w:val="213"/>
        </w:trPr>
        <w:tc>
          <w:tcPr>
            <w:tcW w:w="6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2025</w:t>
            </w:r>
          </w:p>
        </w:tc>
        <w:tc>
          <w:tcPr>
            <w:tcW w:w="8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660" w:type="dxa"/>
            <w:vAlign w:val="bottom"/>
            <w:gridSpan w:val="2"/>
          </w:tcPr>
          <w:p>
            <w:pPr>
              <w:jc w:val="right"/>
              <w:ind w:right="121"/>
              <w:spacing w:after="0"/>
              <w:rPr>
                <w:sz w:val="20"/>
                <w:szCs w:val="20"/>
                <w:color w:val="auto"/>
              </w:rPr>
            </w:pPr>
            <w:r>
              <w:rPr>
                <w:rFonts w:ascii="Arial" w:cs="Arial" w:eastAsia="Arial" w:hAnsi="Arial"/>
                <w:sz w:val="16"/>
                <w:szCs w:val="16"/>
                <w:color w:val="auto"/>
              </w:rPr>
              <w:t>2026</w:t>
            </w:r>
          </w:p>
        </w:tc>
        <w:tc>
          <w:tcPr>
            <w:tcW w:w="8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0"/>
        </w:trPr>
        <w:tc>
          <w:tcPr>
            <w:tcW w:w="2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r>
      <w:tr>
        <w:trPr>
          <w:trHeight w:val="206"/>
        </w:trPr>
        <w:tc>
          <w:tcPr>
            <w:tcW w:w="20" w:type="dxa"/>
            <w:vAlign w:val="bottom"/>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60" w:firstLine="472"/>
        <w:spacing w:after="0" w:line="247" w:lineRule="auto"/>
        <w:rPr>
          <w:sz w:val="20"/>
          <w:szCs w:val="20"/>
          <w:color w:val="auto"/>
        </w:rPr>
      </w:pPr>
      <w:r>
        <w:rPr>
          <w:rFonts w:ascii="Arial" w:cs="Arial" w:eastAsia="Arial" w:hAnsi="Arial"/>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2021 and 2020, the Company had total unamortized debt issuance costs and discounts of $23 million and $21 million, respectively. At December 31, 2021, the weighted average interest rate on the Company's available variable debt facilities was 1.5%.</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Credit Facility</w:t>
      </w:r>
    </w:p>
    <w:p>
      <w:pPr>
        <w:spacing w:after="0" w:line="119" w:lineRule="exact"/>
        <w:rPr>
          <w:sz w:val="20"/>
          <w:szCs w:val="20"/>
          <w:color w:val="auto"/>
        </w:rPr>
      </w:pPr>
    </w:p>
    <w:p>
      <w:pPr>
        <w:jc w:val="both"/>
        <w:ind w:right="120" w:firstLine="472"/>
        <w:spacing w:after="0" w:line="267" w:lineRule="auto"/>
        <w:rPr>
          <w:sz w:val="20"/>
          <w:szCs w:val="20"/>
          <w:color w:val="auto"/>
        </w:rPr>
      </w:pPr>
      <w:r>
        <w:rPr>
          <w:rFonts w:ascii="Arial" w:cs="Arial" w:eastAsia="Arial" w:hAnsi="Arial"/>
          <w:sz w:val="17"/>
          <w:szCs w:val="17"/>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 million in multi-currency revolving loans (inclusive of swingline</w:t>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71" w:name="page72"/>
    <w:bookmarkEnd w:id="71"/>
    <w:p>
      <w:pPr>
        <w:ind w:right="320"/>
        <w:spacing w:after="0" w:line="289" w:lineRule="auto"/>
        <w:rPr>
          <w:sz w:val="20"/>
          <w:szCs w:val="20"/>
          <w:color w:val="auto"/>
        </w:rPr>
      </w:pPr>
      <w:r>
        <w:rPr>
          <w:rFonts w:ascii="Arial" w:cs="Arial" w:eastAsia="Arial" w:hAnsi="Arial"/>
          <w:sz w:val="17"/>
          <w:szCs w:val="17"/>
          <w:color w:val="auto"/>
        </w:rPr>
        <w:t>loans of up to $75 million and letters of credit of up to $450 million (the "Revolving Credit Facility")). The Revolving Credit Facility will mature on June 8, 2023.</w:t>
      </w:r>
    </w:p>
    <w:p>
      <w:pPr>
        <w:spacing w:after="0" w:line="53" w:lineRule="exact"/>
        <w:rPr>
          <w:sz w:val="20"/>
          <w:szCs w:val="20"/>
          <w:color w:val="auto"/>
        </w:rPr>
      </w:pPr>
    </w:p>
    <w:p>
      <w:pPr>
        <w:ind w:right="120" w:firstLine="472"/>
        <w:spacing w:after="0" w:line="267" w:lineRule="auto"/>
        <w:rPr>
          <w:sz w:val="20"/>
          <w:szCs w:val="20"/>
          <w:color w:val="auto"/>
        </w:rPr>
      </w:pPr>
      <w:r>
        <w:rPr>
          <w:rFonts w:ascii="Arial" w:cs="Arial" w:eastAsia="Arial" w:hAnsi="Arial"/>
          <w:sz w:val="17"/>
          <w:szCs w:val="17"/>
          <w:color w:val="auto"/>
        </w:rPr>
        <w:t>Under the Senior Credit Facility, we can elect to receive advances bearing interest based on either the ABR rate, the LIBOR rate or the adjusted risk free rate (each as defined in the Senior Credit Facility) plus applicable margin that is determined based on our credit ratings or the Company's Leverage.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73" w:lineRule="exact"/>
        <w:rPr>
          <w:sz w:val="20"/>
          <w:szCs w:val="20"/>
          <w:color w:val="auto"/>
        </w:rPr>
      </w:pPr>
    </w:p>
    <w:p>
      <w:pPr>
        <w:jc w:val="both"/>
        <w:ind w:right="220" w:firstLine="472"/>
        <w:spacing w:after="0" w:line="273" w:lineRule="auto"/>
        <w:rPr>
          <w:sz w:val="20"/>
          <w:szCs w:val="20"/>
          <w:color w:val="auto"/>
        </w:rPr>
      </w:pPr>
      <w:r>
        <w:rPr>
          <w:rFonts w:ascii="Arial" w:cs="Arial" w:eastAsia="Arial" w:hAnsi="Arial"/>
          <w:sz w:val="17"/>
          <w:szCs w:val="17"/>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 ended:</w:t>
      </w:r>
    </w:p>
    <w:tbl>
      <w:tblPr>
        <w:tblLayout w:type="fixed"/>
        <w:tblInd w:w="0" w:type="dxa"/>
        <w:tblCellMar>
          <w:top w:w="0" w:type="dxa"/>
          <w:left w:w="0" w:type="dxa"/>
          <w:bottom w:w="0" w:type="dxa"/>
          <w:right w:w="0" w:type="dxa"/>
        </w:tblCellMar>
      </w:tblPr>
      <w:tr>
        <w:trPr>
          <w:trHeight w:val="236"/>
        </w:trPr>
        <w:tc>
          <w:tcPr>
            <w:tcW w:w="6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 xml:space="preserve">Interest Coverage Ratio </w:t>
            </w:r>
            <w:r>
              <w:rPr>
                <w:rFonts w:ascii="Arial" w:cs="Arial" w:eastAsia="Arial" w:hAnsi="Arial"/>
                <w:sz w:val="20"/>
                <w:szCs w:val="20"/>
                <w:color w:val="auto"/>
                <w:vertAlign w:val="superscript"/>
              </w:rPr>
              <w:t>1</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3.0x</w:t>
            </w:r>
          </w:p>
        </w:tc>
      </w:tr>
      <w:tr>
        <w:trPr>
          <w:trHeight w:val="298"/>
        </w:trPr>
        <w:tc>
          <w:tcPr>
            <w:tcW w:w="6480" w:type="dxa"/>
            <w:vAlign w:val="bottom"/>
          </w:tcPr>
          <w:p>
            <w:pPr>
              <w:ind w:left="500"/>
              <w:spacing w:after="0"/>
              <w:rPr>
                <w:sz w:val="20"/>
                <w:szCs w:val="20"/>
                <w:color w:val="auto"/>
              </w:rPr>
            </w:pPr>
            <w:r>
              <w:rPr>
                <w:rFonts w:ascii="Arial" w:cs="Arial" w:eastAsia="Arial" w:hAnsi="Arial"/>
                <w:sz w:val="16"/>
                <w:szCs w:val="16"/>
                <w:color w:val="auto"/>
              </w:rPr>
              <w:t xml:space="preserve">Leverage Ratio </w:t>
            </w:r>
            <w:r>
              <w:rPr>
                <w:rFonts w:ascii="Arial" w:cs="Arial" w:eastAsia="Arial" w:hAnsi="Arial"/>
                <w:sz w:val="20"/>
                <w:szCs w:val="20"/>
                <w:color w:val="auto"/>
                <w:vertAlign w:val="superscript"/>
              </w:rPr>
              <w:t>2</w:t>
            </w:r>
          </w:p>
        </w:tc>
        <w:tc>
          <w:tcPr>
            <w:tcW w:w="4760" w:type="dxa"/>
            <w:vAlign w:val="bottom"/>
          </w:tcPr>
          <w:p>
            <w:pPr>
              <w:jc w:val="right"/>
              <w:spacing w:after="0"/>
              <w:rPr>
                <w:sz w:val="20"/>
                <w:szCs w:val="20"/>
                <w:color w:val="auto"/>
              </w:rPr>
            </w:pPr>
            <w:r>
              <w:rPr>
                <w:rFonts w:ascii="Arial" w:cs="Arial" w:eastAsia="Arial" w:hAnsi="Arial"/>
                <w:sz w:val="16"/>
                <w:szCs w:val="16"/>
                <w:color w:val="auto"/>
              </w:rPr>
              <w:t>3.25x</w:t>
            </w:r>
          </w:p>
        </w:tc>
      </w:tr>
    </w:tbl>
    <w:p>
      <w:pPr>
        <w:spacing w:after="0" w:line="169" w:lineRule="exact"/>
        <w:rPr>
          <w:sz w:val="20"/>
          <w:szCs w:val="20"/>
          <w:color w:val="auto"/>
        </w:rPr>
      </w:pPr>
    </w:p>
    <w:p>
      <w:pPr>
        <w:ind w:right="60" w:firstLine="5"/>
        <w:spacing w:after="0" w:line="243" w:lineRule="auto"/>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interest coverage ratio is defined as EBITDA (earnings before interest, taxes, depreciation, and amortization), as defined in the Senior Credit Facility, to net interest expense for the four quarters then ended.</w:t>
      </w: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w:t>
      </w:r>
    </w:p>
    <w:p>
      <w:pPr>
        <w:spacing w:after="0" w:line="82" w:lineRule="exact"/>
        <w:rPr>
          <w:sz w:val="20"/>
          <w:szCs w:val="20"/>
          <w:color w:val="auto"/>
        </w:rPr>
      </w:pPr>
    </w:p>
    <w:p>
      <w:pPr>
        <w:jc w:val="both"/>
        <w:ind w:right="140" w:firstLine="472"/>
        <w:spacing w:after="0" w:line="236" w:lineRule="auto"/>
        <w:rPr>
          <w:sz w:val="20"/>
          <w:szCs w:val="20"/>
          <w:color w:val="auto"/>
        </w:rPr>
      </w:pPr>
      <w:r>
        <w:rPr>
          <w:rFonts w:ascii="Arial" w:cs="Arial" w:eastAsia="Arial" w:hAnsi="Arial"/>
          <w:sz w:val="17"/>
          <w:szCs w:val="17"/>
          <w:color w:val="auto"/>
        </w:rPr>
        <w:t>The Senior Credit Facility was amended in the second quarter of 2021 so the Company may increase the maximum leverage ratio to (x) 3.75 to 1.00 at the end of the fiscal quarter in which the Nordco acquisition was consummated and each of the three fiscal quarters immediately following such fiscal quarter and (y) 3.50 to 1.00 at the end of each of the fourth and fifth full fiscal quarters after the consummation of the Nordco acquisition upon the Company's request. The Company has not requested any increase in the leverage ratio at this time.</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was in compliance with all covenants in the Senior Credit Facility as of December 31, 2021.</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availability under the Revolving Facilities: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99"/>
              </w:rPr>
              <w:t>Revolving Credit Facility</w:t>
            </w:r>
          </w:p>
        </w:tc>
      </w:tr>
      <w:tr>
        <w:trPr>
          <w:trHeight w:val="206"/>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 Availability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06"/>
        </w:trPr>
        <w:tc>
          <w:tcPr>
            <w:tcW w:w="8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Letters of Credit Under Credit Agreement</w:t>
            </w: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Availability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364-Day Facility</w:t>
      </w:r>
    </w:p>
    <w:p>
      <w:pPr>
        <w:spacing w:after="0" w:line="119" w:lineRule="exact"/>
        <w:rPr>
          <w:sz w:val="20"/>
          <w:szCs w:val="20"/>
          <w:color w:val="auto"/>
        </w:rPr>
      </w:pPr>
    </w:p>
    <w:p>
      <w:pPr>
        <w:ind w:right="20" w:firstLine="472"/>
        <w:spacing w:after="0" w:line="262" w:lineRule="auto"/>
        <w:rPr>
          <w:sz w:val="20"/>
          <w:szCs w:val="20"/>
          <w:color w:val="auto"/>
        </w:rPr>
      </w:pPr>
      <w:r>
        <w:rPr>
          <w:rFonts w:ascii="Arial" w:cs="Arial" w:eastAsia="Arial" w:hAnsi="Arial"/>
          <w:sz w:val="17"/>
          <w:szCs w:val="17"/>
          <w:color w:val="auto"/>
        </w:rPr>
        <w:t>On April 10, 2020 the Company entered into a new $600 million 364 day credit facility ("364 Day Facility") maturing April 2021 with a group of banks which included a $144 million revolving credit facility ("364 Day Revolver") and a $456 million term loan ("364 Term Loan"). The agreement called for interest at either a LIBOR-based rate, or a rate based on the prime lending rate of the agent bank, at the Company's option. The agreement contained affirmative, negative and financial covenants, and events of default customary for facilities of this type and substantially similar to our existing Senior Credit Facility. The obligations under the 364 Day Facility were guaranteed by certain of the Company's U.S. subsidiaries, as guarantors. On June 12, 2020, the Company amended the 364 Day Facility maturity to July 9, 2021. On June 3, 2021, the Company repaid all outstanding borrowings and related interest, effectively retiring the facility.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9" w:lineRule="exact"/>
        <w:rPr>
          <w:sz w:val="20"/>
          <w:szCs w:val="20"/>
          <w:color w:val="auto"/>
        </w:rPr>
      </w:pPr>
    </w:p>
    <w:p>
      <w:pPr>
        <w:ind w:right="40" w:firstLine="472"/>
        <w:spacing w:after="0" w:line="261" w:lineRule="auto"/>
        <w:rPr>
          <w:sz w:val="20"/>
          <w:szCs w:val="20"/>
          <w:color w:val="auto"/>
        </w:rPr>
      </w:pPr>
      <w:r>
        <w:rPr>
          <w:rFonts w:ascii="Arial" w:cs="Arial" w:eastAsia="Arial" w:hAnsi="Arial"/>
          <w:sz w:val="17"/>
          <w:szCs w:val="17"/>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discussed below),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senior to all existing and future subordinated indebtedness of the Company.</w:t>
      </w:r>
    </w:p>
    <w:p>
      <w:pPr>
        <w:spacing w:after="0" w:line="78" w:lineRule="exact"/>
        <w:rPr>
          <w:sz w:val="20"/>
          <w:szCs w:val="20"/>
          <w:color w:val="auto"/>
        </w:rPr>
      </w:pPr>
    </w:p>
    <w:p>
      <w:pPr>
        <w:jc w:val="both"/>
        <w:ind w:right="300" w:firstLine="472"/>
        <w:spacing w:after="0" w:line="273" w:lineRule="auto"/>
        <w:rPr>
          <w:sz w:val="20"/>
          <w:szCs w:val="20"/>
          <w:color w:val="auto"/>
        </w:rPr>
      </w:pPr>
      <w:r>
        <w:rPr>
          <w:rFonts w:ascii="Arial" w:cs="Arial" w:eastAsia="Arial" w:hAnsi="Arial"/>
          <w:sz w:val="17"/>
          <w:szCs w:val="17"/>
          <w:color w:val="auto"/>
        </w:rPr>
        <w:t>On June 3, 2021, Wabtec Transportation Netherlands B.V. ("Wabtec Netherlands") issued €500 million of 1.25% Senior Notes due in 2027, which are fully and unconditionally guaranteed by the Company. The Euro Notes were issued at 99.267% of face value. Interest on the Euro Notes accrues at a rate of 1.25% per annum and is payable annually beginning December 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2" w:name="page73"/>
    <w:bookmarkEnd w:id="72"/>
    <w:p>
      <w:pPr>
        <w:ind w:right="760"/>
        <w:spacing w:after="0" w:line="289" w:lineRule="auto"/>
        <w:rPr>
          <w:sz w:val="20"/>
          <w:szCs w:val="20"/>
          <w:color w:val="auto"/>
        </w:rPr>
      </w:pPr>
      <w:r>
        <w:rPr>
          <w:rFonts w:ascii="Arial" w:cs="Arial" w:eastAsia="Arial" w:hAnsi="Arial"/>
          <w:sz w:val="17"/>
          <w:szCs w:val="17"/>
          <w:color w:val="auto"/>
        </w:rPr>
        <w:t>2021. The Company incurred approximately $4 million of deferred financing costs related to the issuance of the Euro Notes for total net proceeds of approximately $599 million after consideration of the discount.</w:t>
      </w:r>
    </w:p>
    <w:p>
      <w:pPr>
        <w:spacing w:after="0" w:line="53" w:lineRule="exact"/>
        <w:rPr>
          <w:sz w:val="20"/>
          <w:szCs w:val="20"/>
          <w:color w:val="auto"/>
        </w:rPr>
      </w:pPr>
    </w:p>
    <w:p>
      <w:pPr>
        <w:jc w:val="both"/>
        <w:ind w:right="20" w:firstLine="472"/>
        <w:spacing w:after="0" w:line="267" w:lineRule="auto"/>
        <w:rPr>
          <w:sz w:val="20"/>
          <w:szCs w:val="20"/>
          <w:color w:val="auto"/>
        </w:rPr>
      </w:pPr>
      <w:r>
        <w:rPr>
          <w:rFonts w:ascii="Arial" w:cs="Arial" w:eastAsia="Arial" w:hAnsi="Arial"/>
          <w:sz w:val="17"/>
          <w:szCs w:val="17"/>
          <w:color w:val="auto"/>
        </w:rPr>
        <w:t>On June 29, 2020, the Company issued $500 million of 3.20% Senior Notes due in 2025 (the "2025 Notes"). The 2025 Notes were issued at 99.892% of face value. Interest on the 2025 Notes accrues at a rate of 3.20% per annum and is payable semi-annually on June 15 and December 15 of each year beginning December 15, 2020. The proceeds were used to redeem outstanding variable rate debt. The Company incurred $2 million of deferred financing costs related to the issuance of the 2025 Notes.</w:t>
      </w:r>
    </w:p>
    <w:p>
      <w:pPr>
        <w:spacing w:after="0" w:line="73" w:lineRule="exact"/>
        <w:rPr>
          <w:sz w:val="20"/>
          <w:szCs w:val="20"/>
          <w:color w:val="auto"/>
        </w:rPr>
      </w:pPr>
    </w:p>
    <w:p>
      <w:pPr>
        <w:ind w:right="80" w:firstLine="472"/>
        <w:spacing w:after="0" w:line="265" w:lineRule="auto"/>
        <w:rPr>
          <w:sz w:val="20"/>
          <w:szCs w:val="20"/>
          <w:color w:val="auto"/>
        </w:rPr>
      </w:pPr>
      <w:r>
        <w:rPr>
          <w:rFonts w:ascii="Arial" w:cs="Arial" w:eastAsia="Arial" w:hAnsi="Arial"/>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w:t>
      </w:r>
    </w:p>
    <w:p>
      <w:pPr>
        <w:spacing w:after="0" w:line="73" w:lineRule="exact"/>
        <w:rPr>
          <w:sz w:val="20"/>
          <w:szCs w:val="20"/>
          <w:color w:val="auto"/>
        </w:rPr>
      </w:pPr>
    </w:p>
    <w:p>
      <w:pPr>
        <w:ind w:right="240" w:firstLine="472"/>
        <w:spacing w:after="0" w:line="289" w:lineRule="auto"/>
        <w:rPr>
          <w:sz w:val="20"/>
          <w:szCs w:val="20"/>
          <w:color w:val="auto"/>
        </w:rPr>
      </w:pPr>
      <w:r>
        <w:rPr>
          <w:rFonts w:ascii="Arial" w:cs="Arial" w:eastAsia="Arial" w:hAnsi="Arial"/>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Pooling</w:t>
      </w:r>
    </w:p>
    <w:p>
      <w:pPr>
        <w:spacing w:after="0" w:line="119" w:lineRule="exact"/>
        <w:rPr>
          <w:sz w:val="20"/>
          <w:szCs w:val="20"/>
          <w:color w:val="auto"/>
        </w:rPr>
      </w:pPr>
    </w:p>
    <w:p>
      <w:pPr>
        <w:ind w:firstLine="472"/>
        <w:spacing w:after="0" w:line="263" w:lineRule="auto"/>
        <w:rPr>
          <w:sz w:val="20"/>
          <w:szCs w:val="20"/>
          <w:color w:val="auto"/>
        </w:rPr>
      </w:pPr>
      <w:r>
        <w:rPr>
          <w:rFonts w:ascii="Arial" w:cs="Arial" w:eastAsia="Arial" w:hAnsi="Arial"/>
          <w:sz w:val="17"/>
          <w:szCs w:val="17"/>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 and Bank Guarantees</w:t>
      </w:r>
    </w:p>
    <w:p>
      <w:pPr>
        <w:spacing w:after="0" w:line="119" w:lineRule="exact"/>
        <w:rPr>
          <w:sz w:val="20"/>
          <w:szCs w:val="20"/>
          <w:color w:val="auto"/>
        </w:rPr>
      </w:pPr>
    </w:p>
    <w:p>
      <w:pPr>
        <w:ind w:firstLine="472"/>
        <w:spacing w:after="0" w:line="297" w:lineRule="auto"/>
        <w:rPr>
          <w:sz w:val="20"/>
          <w:szCs w:val="20"/>
          <w:color w:val="auto"/>
        </w:rPr>
      </w:pPr>
      <w:r>
        <w:rPr>
          <w:rFonts w:ascii="Arial" w:cs="Arial" w:eastAsia="Arial" w:hAnsi="Arial"/>
          <w:sz w:val="16"/>
          <w:szCs w:val="16"/>
          <w:color w:val="auto"/>
        </w:rPr>
        <w:t>In the ordinary course of its business, the Company arranges for certain types of bank guarantees and letters of credit, such as performance bonds, bid bonds and financial guarantees, that are issued by certain banks and insurance companies to support customer contracts. The outstanding amount, including the letters of credit issued under the credit facility, were $791 million and $737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78" w:right="459" w:bottom="1440" w:gutter="0" w:footer="0" w:header="0"/>
        </w:sectPr>
      </w:pPr>
    </w:p>
    <w:bookmarkStart w:id="73" w:name="page74"/>
    <w:bookmarkEnd w:id="73"/>
    <w:p>
      <w:pPr>
        <w:ind w:right="8500" w:firstLine="5"/>
        <w:spacing w:after="0" w:line="389" w:lineRule="auto"/>
        <w:tabs>
          <w:tab w:leader="none" w:pos="262"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Defined Benefit Pension Plans</w:t>
      </w:r>
    </w:p>
    <w:p>
      <w:pPr>
        <w:spacing w:after="0" w:line="1" w:lineRule="exact"/>
        <w:rPr>
          <w:sz w:val="20"/>
          <w:szCs w:val="20"/>
          <w:color w:val="auto"/>
        </w:rPr>
      </w:pPr>
    </w:p>
    <w:p>
      <w:pPr>
        <w:ind w:right="280" w:firstLine="472"/>
        <w:spacing w:after="0" w:line="322" w:lineRule="auto"/>
        <w:rPr>
          <w:sz w:val="20"/>
          <w:szCs w:val="20"/>
          <w:color w:val="auto"/>
        </w:rPr>
      </w:pPr>
      <w:r>
        <w:rPr>
          <w:rFonts w:ascii="Arial" w:cs="Arial" w:eastAsia="Arial" w:hAnsi="Arial"/>
          <w:sz w:val="16"/>
          <w:szCs w:val="16"/>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30" w:lineRule="exact"/>
        <w:rPr>
          <w:sz w:val="20"/>
          <w:szCs w:val="20"/>
          <w:color w:val="auto"/>
        </w:rPr>
      </w:pPr>
    </w:p>
    <w:p>
      <w:pPr>
        <w:ind w:right="460" w:firstLine="472"/>
        <w:spacing w:after="0" w:line="289" w:lineRule="auto"/>
        <w:rPr>
          <w:sz w:val="20"/>
          <w:szCs w:val="20"/>
          <w:color w:val="auto"/>
        </w:rPr>
      </w:pPr>
      <w:r>
        <w:rPr>
          <w:rFonts w:ascii="Arial" w:cs="Arial" w:eastAsia="Arial" w:hAnsi="Arial"/>
          <w:sz w:val="17"/>
          <w:szCs w:val="17"/>
          <w:color w:val="auto"/>
        </w:rPr>
        <w:t>The following tables provide information regarding the Company’s significant defined benefit pension plans summarized by U.S. and international components.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Obligations and Funded Status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U.S.</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940" w:type="dxa"/>
            <w:vAlign w:val="bottom"/>
          </w:tcPr>
          <w:p>
            <w:pPr>
              <w:jc w:val="right"/>
              <w:ind w:right="36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Change in projected benefit obligation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Obligation at beginning of year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Service cost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Plan settlements and amendments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Actuarial gain (loss)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currency rate changes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Arial" w:cs="Arial" w:eastAsia="Arial" w:hAnsi="Arial"/>
                <w:sz w:val="16"/>
                <w:szCs w:val="16"/>
                <w:color w:val="auto"/>
              </w:rPr>
              <w:t>Obligation at end of year</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Change in plan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Fair value of plan assets at beginning of year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Actual return on plan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Employer contributions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Settlements and other</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Effect of currency rate changes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Fair value of plan assets at end of year</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Funded status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Fair value of plan assets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Benefit obligations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Funded status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Amounts recognized in the statement of financial position consist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Arial" w:cs="Arial" w:eastAsia="Arial" w:hAnsi="Arial"/>
                <w:sz w:val="16"/>
                <w:szCs w:val="16"/>
                <w:color w:val="auto"/>
              </w:rPr>
              <w:t>Net amount recognized</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0"/>
              </w:rPr>
              <w:t>Amounts recognized in Accumulated other comprehensive loss, before tax consist of:</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6"/>
                <w:szCs w:val="16"/>
                <w:color w:val="auto"/>
              </w:rPr>
              <w:t>Prior service cost</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actuarial loss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Arial" w:cs="Arial" w:eastAsia="Arial" w:hAnsi="Arial"/>
                <w:sz w:val="16"/>
                <w:szCs w:val="16"/>
                <w:color w:val="auto"/>
              </w:rPr>
              <w:t>Net amount recognized</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74" w:name="page75"/>
    <w:bookmarkEnd w:id="74"/>
    <w:p>
      <w:pPr>
        <w:ind w:right="80" w:firstLine="472"/>
        <w:spacing w:after="0" w:line="272" w:lineRule="auto"/>
        <w:rPr>
          <w:sz w:val="20"/>
          <w:szCs w:val="20"/>
          <w:color w:val="auto"/>
        </w:rPr>
      </w:pPr>
      <w:r>
        <w:rPr>
          <w:rFonts w:ascii="Arial" w:cs="Arial" w:eastAsia="Arial" w:hAnsi="Arial"/>
          <w:sz w:val="17"/>
          <w:szCs w:val="17"/>
          <w:color w:val="auto"/>
        </w:rPr>
        <w:t>The aggregate accumulated benefit obligation for the U.S. pension plans was $38 million and $42 million as of December 31, 2021 and 2020, respectively. The aggregate accumulated benefit obligation for the international pension plans was $345 million and $372 million as of December 31, 2021 and 2020,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U.S.</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International</w:t>
            </w:r>
          </w:p>
        </w:tc>
        <w:tc>
          <w:tcPr>
            <w:tcW w:w="88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Pr>
          <w:p>
            <w:pPr>
              <w:jc w:val="center"/>
              <w:ind w:left="381"/>
              <w:spacing w:after="0" w:line="167"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321"/>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34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right"/>
              <w:ind w:right="34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6"/>
        </w:trPr>
        <w:tc>
          <w:tcPr>
            <w:tcW w:w="500" w:type="dxa"/>
            <w:vAlign w:val="bottom"/>
            <w:shd w:val="clear" w:color="auto" w:fill="CCEEFF"/>
          </w:tcPr>
          <w:p>
            <w:pPr>
              <w:spacing w:after="0"/>
              <w:rPr>
                <w:sz w:val="11"/>
                <w:szCs w:val="11"/>
                <w:color w:val="auto"/>
              </w:rPr>
            </w:pPr>
          </w:p>
        </w:tc>
        <w:tc>
          <w:tcPr>
            <w:tcW w:w="440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Information for pension plans with accumulated benefit</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1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obligations in excess of Plan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6"/>
                <w:szCs w:val="16"/>
                <w:color w:val="auto"/>
              </w:rPr>
              <w:t>Projected benefit obligation</w:t>
            </w:r>
          </w:p>
        </w:tc>
        <w:tc>
          <w:tcPr>
            <w:tcW w:w="1240" w:type="dxa"/>
            <w:vAlign w:val="bottom"/>
            <w:gridSpan w:val="2"/>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481"/>
              <w:spacing w:after="0"/>
              <w:rPr>
                <w:sz w:val="20"/>
                <w:szCs w:val="20"/>
                <w:color w:val="auto"/>
              </w:rPr>
            </w:pPr>
            <w:r>
              <w:rPr>
                <w:rFonts w:ascii="Arial" w:cs="Arial" w:eastAsia="Arial" w:hAnsi="Arial"/>
                <w:sz w:val="16"/>
                <w:szCs w:val="16"/>
                <w:color w:val="auto"/>
                <w:w w:val="91"/>
              </w:rPr>
              <w:t>(43)</w:t>
            </w:r>
          </w:p>
        </w:tc>
        <w:tc>
          <w:tcPr>
            <w:tcW w:w="100" w:type="dxa"/>
            <w:vAlign w:val="bottom"/>
          </w:tcPr>
          <w:p>
            <w:pPr>
              <w:spacing w:after="0"/>
              <w:rPr>
                <w:sz w:val="17"/>
                <w:szCs w:val="17"/>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421"/>
              <w:spacing w:after="0"/>
              <w:rPr>
                <w:sz w:val="20"/>
                <w:szCs w:val="20"/>
                <w:color w:val="auto"/>
              </w:rPr>
            </w:pPr>
            <w:r>
              <w:rPr>
                <w:rFonts w:ascii="Arial" w:cs="Arial" w:eastAsia="Arial" w:hAnsi="Arial"/>
                <w:sz w:val="16"/>
                <w:szCs w:val="16"/>
                <w:color w:val="auto"/>
                <w:w w:val="90"/>
              </w:rPr>
              <w:t>(316)</w:t>
            </w:r>
          </w:p>
        </w:tc>
      </w:tr>
      <w:tr>
        <w:trPr>
          <w:trHeight w:val="213"/>
        </w:trPr>
        <w:tc>
          <w:tcPr>
            <w:tcW w:w="5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Accumulated benefit obligation</w:t>
            </w:r>
          </w:p>
        </w:tc>
        <w:tc>
          <w:tcPr>
            <w:tcW w:w="1240" w:type="dxa"/>
            <w:vAlign w:val="bottom"/>
            <w:gridSpan w:val="2"/>
            <w:shd w:val="clear" w:color="auto" w:fill="CCEEFF"/>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91"/>
              </w:rPr>
              <w:t>(42)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0"/>
              </w:rPr>
              <w:t>(304)</w:t>
            </w:r>
          </w:p>
        </w:tc>
      </w:tr>
      <w:tr>
        <w:trPr>
          <w:trHeight w:val="206"/>
        </w:trPr>
        <w:tc>
          <w:tcPr>
            <w:tcW w:w="50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6"/>
                <w:szCs w:val="16"/>
                <w:color w:val="auto"/>
              </w:rPr>
              <w:t>Fair value of plan assets</w:t>
            </w:r>
          </w:p>
        </w:tc>
        <w:tc>
          <w:tcPr>
            <w:tcW w:w="1240" w:type="dxa"/>
            <w:vAlign w:val="bottom"/>
            <w:gridSpan w:val="2"/>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tcPr>
          <w:p>
            <w:pPr>
              <w:spacing w:after="0"/>
              <w:rPr>
                <w:sz w:val="17"/>
                <w:szCs w:val="17"/>
                <w:color w:val="auto"/>
              </w:rPr>
            </w:pPr>
          </w:p>
        </w:tc>
        <w:tc>
          <w:tcPr>
            <w:tcW w:w="860" w:type="dxa"/>
            <w:vAlign w:val="bottom"/>
          </w:tcPr>
          <w:p>
            <w:pPr>
              <w:jc w:val="center"/>
              <w:ind w:left="501"/>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center"/>
              <w:ind w:left="441"/>
              <w:spacing w:after="0"/>
              <w:rPr>
                <w:sz w:val="20"/>
                <w:szCs w:val="20"/>
                <w:color w:val="auto"/>
              </w:rPr>
            </w:pPr>
            <w:r>
              <w:rPr>
                <w:rFonts w:ascii="Arial" w:cs="Arial" w:eastAsia="Arial" w:hAnsi="Arial"/>
                <w:sz w:val="16"/>
                <w:szCs w:val="16"/>
                <w:color w:val="auto"/>
                <w:w w:val="89"/>
              </w:rPr>
              <w:t>222</w:t>
            </w:r>
          </w:p>
        </w:tc>
      </w:tr>
      <w:tr>
        <w:trPr>
          <w:trHeight w:val="160"/>
        </w:trPr>
        <w:tc>
          <w:tcPr>
            <w:tcW w:w="500" w:type="dxa"/>
            <w:vAlign w:val="bottom"/>
            <w:shd w:val="clear" w:color="auto" w:fill="CCEEFF"/>
          </w:tcPr>
          <w:p>
            <w:pPr>
              <w:spacing w:after="0"/>
              <w:rPr>
                <w:sz w:val="13"/>
                <w:szCs w:val="13"/>
                <w:color w:val="auto"/>
              </w:rPr>
            </w:pPr>
          </w:p>
        </w:tc>
        <w:tc>
          <w:tcPr>
            <w:tcW w:w="440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Information for pension plans with projected benefit</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1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obligations in excess of plan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6"/>
                <w:szCs w:val="16"/>
                <w:color w:val="auto"/>
              </w:rPr>
              <w:t>Projected benefit obligation</w:t>
            </w:r>
          </w:p>
        </w:tc>
        <w:tc>
          <w:tcPr>
            <w:tcW w:w="1240" w:type="dxa"/>
            <w:vAlign w:val="bottom"/>
            <w:gridSpan w:val="2"/>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481"/>
              <w:spacing w:after="0"/>
              <w:rPr>
                <w:sz w:val="20"/>
                <w:szCs w:val="20"/>
                <w:color w:val="auto"/>
              </w:rPr>
            </w:pPr>
            <w:r>
              <w:rPr>
                <w:rFonts w:ascii="Arial" w:cs="Arial" w:eastAsia="Arial" w:hAnsi="Arial"/>
                <w:sz w:val="16"/>
                <w:szCs w:val="16"/>
                <w:color w:val="auto"/>
                <w:w w:val="91"/>
              </w:rPr>
              <w:t>(43)</w:t>
            </w:r>
          </w:p>
        </w:tc>
        <w:tc>
          <w:tcPr>
            <w:tcW w:w="100" w:type="dxa"/>
            <w:vAlign w:val="bottom"/>
          </w:tcPr>
          <w:p>
            <w:pPr>
              <w:spacing w:after="0"/>
              <w:rPr>
                <w:sz w:val="17"/>
                <w:szCs w:val="17"/>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421"/>
              <w:spacing w:after="0"/>
              <w:rPr>
                <w:sz w:val="20"/>
                <w:szCs w:val="20"/>
                <w:color w:val="auto"/>
              </w:rPr>
            </w:pPr>
            <w:r>
              <w:rPr>
                <w:rFonts w:ascii="Arial" w:cs="Arial" w:eastAsia="Arial" w:hAnsi="Arial"/>
                <w:sz w:val="16"/>
                <w:szCs w:val="16"/>
                <w:color w:val="auto"/>
                <w:w w:val="90"/>
              </w:rPr>
              <w:t>(317)</w:t>
            </w:r>
          </w:p>
        </w:tc>
      </w:tr>
      <w:tr>
        <w:trPr>
          <w:trHeight w:val="213"/>
        </w:trPr>
        <w:tc>
          <w:tcPr>
            <w:tcW w:w="5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Accumulated benefit obligation</w:t>
            </w:r>
          </w:p>
        </w:tc>
        <w:tc>
          <w:tcPr>
            <w:tcW w:w="1240" w:type="dxa"/>
            <w:vAlign w:val="bottom"/>
            <w:gridSpan w:val="2"/>
            <w:shd w:val="clear" w:color="auto" w:fill="CCEEFF"/>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81"/>
              <w:spacing w:after="0"/>
              <w:rPr>
                <w:sz w:val="20"/>
                <w:szCs w:val="20"/>
                <w:color w:val="auto"/>
              </w:rPr>
            </w:pPr>
            <w:r>
              <w:rPr>
                <w:rFonts w:ascii="Arial" w:cs="Arial" w:eastAsia="Arial" w:hAnsi="Arial"/>
                <w:sz w:val="16"/>
                <w:szCs w:val="16"/>
                <w:color w:val="auto"/>
                <w:w w:val="91"/>
              </w:rPr>
              <w:t>(42)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0"/>
              </w:rPr>
              <w:t>(305)</w:t>
            </w:r>
          </w:p>
        </w:tc>
      </w:tr>
      <w:tr>
        <w:trPr>
          <w:trHeight w:val="203"/>
        </w:trPr>
        <w:tc>
          <w:tcPr>
            <w:tcW w:w="500" w:type="dxa"/>
            <w:vAlign w:val="bottom"/>
          </w:tcPr>
          <w:p>
            <w:pPr>
              <w:spacing w:after="0"/>
              <w:rPr>
                <w:sz w:val="17"/>
                <w:szCs w:val="17"/>
                <w:color w:val="auto"/>
              </w:rPr>
            </w:pPr>
          </w:p>
        </w:tc>
        <w:tc>
          <w:tcPr>
            <w:tcW w:w="4400" w:type="dxa"/>
            <w:vAlign w:val="bottom"/>
            <w:gridSpan w:val="2"/>
          </w:tcPr>
          <w:p>
            <w:pPr>
              <w:ind w:left="300"/>
              <w:spacing w:after="0"/>
              <w:rPr>
                <w:sz w:val="20"/>
                <w:szCs w:val="20"/>
                <w:color w:val="auto"/>
              </w:rPr>
            </w:pPr>
            <w:r>
              <w:rPr>
                <w:rFonts w:ascii="Arial" w:cs="Arial" w:eastAsia="Arial" w:hAnsi="Arial"/>
                <w:sz w:val="16"/>
                <w:szCs w:val="16"/>
                <w:color w:val="auto"/>
              </w:rPr>
              <w:t>Fair value of plan assets</w:t>
            </w:r>
          </w:p>
        </w:tc>
        <w:tc>
          <w:tcPr>
            <w:tcW w:w="1240" w:type="dxa"/>
            <w:vAlign w:val="bottom"/>
            <w:gridSpan w:val="2"/>
          </w:tcPr>
          <w:p>
            <w:pPr>
              <w:jc w:val="center"/>
              <w:ind w:left="281"/>
              <w:spacing w:after="0"/>
              <w:rPr>
                <w:sz w:val="20"/>
                <w:szCs w:val="20"/>
                <w:color w:val="auto"/>
              </w:rPr>
            </w:pPr>
            <w:r>
              <w:rPr>
                <w:rFonts w:ascii="Arial" w:cs="Arial" w:eastAsia="Arial" w:hAnsi="Arial"/>
                <w:sz w:val="16"/>
                <w:szCs w:val="16"/>
                <w:color w:val="auto"/>
              </w:rPr>
              <w:t>N/A</w:t>
            </w:r>
          </w:p>
        </w:tc>
        <w:tc>
          <w:tcPr>
            <w:tcW w:w="720" w:type="dxa"/>
            <w:vAlign w:val="bottom"/>
          </w:tcPr>
          <w:p>
            <w:pPr>
              <w:spacing w:after="0"/>
              <w:rPr>
                <w:sz w:val="17"/>
                <w:szCs w:val="17"/>
                <w:color w:val="auto"/>
              </w:rPr>
            </w:pPr>
          </w:p>
        </w:tc>
        <w:tc>
          <w:tcPr>
            <w:tcW w:w="860" w:type="dxa"/>
            <w:vAlign w:val="bottom"/>
          </w:tcPr>
          <w:p>
            <w:pPr>
              <w:jc w:val="center"/>
              <w:ind w:left="501"/>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center"/>
              <w:ind w:left="441"/>
              <w:spacing w:after="0"/>
              <w:rPr>
                <w:sz w:val="20"/>
                <w:szCs w:val="20"/>
                <w:color w:val="auto"/>
              </w:rPr>
            </w:pPr>
            <w:r>
              <w:rPr>
                <w:rFonts w:ascii="Arial" w:cs="Arial" w:eastAsia="Arial" w:hAnsi="Arial"/>
                <w:sz w:val="16"/>
                <w:szCs w:val="16"/>
                <w:color w:val="auto"/>
                <w:w w:val="89"/>
              </w:rPr>
              <w:t>224</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Components of Net Periodic Benefit Costs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U.S.</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67"/>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760" w:type="dxa"/>
            <w:vAlign w:val="bottom"/>
          </w:tcPr>
          <w:p>
            <w:pPr>
              <w:jc w:val="right"/>
              <w:ind w:right="26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1"/>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61"/>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1"/>
              <w:spacing w:after="0" w:line="167"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 cost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r>
      <w:tr>
        <w:trPr>
          <w:trHeight w:val="206"/>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Amortization of net loss</w:t>
            </w:r>
          </w:p>
        </w:tc>
        <w:tc>
          <w:tcPr>
            <w:tcW w:w="2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Settlement and curtailment losses recognized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4760" w:type="dxa"/>
            <w:vAlign w:val="bottom"/>
            <w:gridSpan w:val="2"/>
          </w:tcPr>
          <w:p>
            <w:pPr>
              <w:ind w:left="200"/>
              <w:spacing w:after="0"/>
              <w:rPr>
                <w:sz w:val="20"/>
                <w:szCs w:val="20"/>
                <w:color w:val="auto"/>
              </w:rPr>
            </w:pPr>
            <w:r>
              <w:rPr>
                <w:rFonts w:ascii="Arial" w:cs="Arial" w:eastAsia="Arial" w:hAnsi="Arial"/>
                <w:sz w:val="16"/>
                <w:szCs w:val="16"/>
                <w:color w:val="auto"/>
              </w:rPr>
              <w:t>Net periodic benefit cost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100" w:firstLine="472"/>
        <w:spacing w:after="0" w:line="289" w:lineRule="auto"/>
        <w:rPr>
          <w:sz w:val="20"/>
          <w:szCs w:val="20"/>
          <w:color w:val="auto"/>
        </w:rPr>
      </w:pPr>
      <w:r>
        <w:rPr>
          <w:rFonts w:ascii="Arial" w:cs="Arial" w:eastAsia="Arial" w:hAnsi="Arial"/>
          <w:sz w:val="17"/>
          <w:szCs w:val="17"/>
          <w:color w:val="auto"/>
        </w:rPr>
        <w:t>Interest cost is recorded in Interest expense, net on the Consolidated Statements of Income. Expected return on plan assets, Amortization of net loss, and Settlement and curtailment losses recognized are recorded within Other expense, net on the Consolidated Statements of Income.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Changes in Plan Assets and Benefit Obligations Recognized in Other Comprehensive Income during 2021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220" w:type="dxa"/>
            <w:vAlign w:val="bottom"/>
          </w:tcPr>
          <w:p>
            <w:pPr>
              <w:spacing w:after="0"/>
              <w:rPr>
                <w:sz w:val="16"/>
                <w:szCs w:val="16"/>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b w:val="1"/>
                <w:bCs w:val="1"/>
                <w:color w:val="auto"/>
              </w:rPr>
              <w:t>International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arising during the year</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Effect of exchange rates and other</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benefit recognized in Other comprehensive income</w:t>
            </w: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gridSpan w:val="2"/>
          </w:tcPr>
          <w:p>
            <w:pPr>
              <w:ind w:left="200"/>
              <w:spacing w:after="0" w:line="182" w:lineRule="exact"/>
              <w:rPr>
                <w:sz w:val="20"/>
                <w:szCs w:val="20"/>
                <w:color w:val="auto"/>
              </w:rPr>
            </w:pPr>
            <w:r>
              <w:rPr>
                <w:rFonts w:ascii="Arial" w:cs="Arial" w:eastAsia="Arial" w:hAnsi="Arial"/>
                <w:sz w:val="16"/>
                <w:szCs w:val="16"/>
                <w:color w:val="auto"/>
              </w:rPr>
              <w:t>Total benefit recognized in Net periodic benefit cost and Other comprehensive income</w:t>
            </w:r>
          </w:p>
        </w:tc>
        <w:tc>
          <w:tcPr>
            <w:tcW w:w="36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82"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20" w:firstLine="472"/>
        <w:spacing w:after="0" w:line="280" w:lineRule="auto"/>
        <w:rPr>
          <w:sz w:val="20"/>
          <w:szCs w:val="20"/>
          <w:color w:val="auto"/>
        </w:rPr>
      </w:pPr>
      <w:r>
        <w:rPr>
          <w:rFonts w:ascii="Arial" w:cs="Arial" w:eastAsia="Arial" w:hAnsi="Arial"/>
          <w:sz w:val="17"/>
          <w:szCs w:val="17"/>
          <w:color w:val="auto"/>
        </w:rPr>
        <w:t>The weighted average assumptions in the following table represent the rates used to develop the actuarial present value of the projected benefit obligation for the year listed.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U.S.</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4"/>
              </w:rPr>
              <w:t>2021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78"/>
              </w:rPr>
              <w:t>2019</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4"/>
              </w:rPr>
              <w:t>2019</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Discount rate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3"/>
              </w:rPr>
              <w:t>1.39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860" w:type="dxa"/>
            <w:vAlign w:val="bottom"/>
          </w:tcPr>
          <w:p>
            <w:pPr>
              <w:ind w:left="500"/>
              <w:spacing w:after="0" w:line="161" w:lineRule="exact"/>
              <w:rPr>
                <w:sz w:val="20"/>
                <w:szCs w:val="20"/>
                <w:color w:val="auto"/>
              </w:rPr>
            </w:pPr>
            <w:r>
              <w:rPr>
                <w:rFonts w:ascii="Arial" w:cs="Arial" w:eastAsia="Arial" w:hAnsi="Arial"/>
                <w:sz w:val="16"/>
                <w:szCs w:val="16"/>
                <w:color w:val="auto"/>
                <w:w w:val="99"/>
              </w:rPr>
              <w:t>Expected return on</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4.27</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20" w:type="dxa"/>
            <w:vAlign w:val="bottom"/>
            <w:vMerge w:val="restart"/>
          </w:tcPr>
          <w:p>
            <w:pPr>
              <w:ind w:left="540"/>
              <w:spacing w:after="0"/>
              <w:rPr>
                <w:sz w:val="20"/>
                <w:szCs w:val="20"/>
                <w:color w:val="auto"/>
              </w:rPr>
            </w:pPr>
            <w:r>
              <w:rPr>
                <w:rFonts w:ascii="Arial" w:cs="Arial" w:eastAsia="Arial" w:hAnsi="Arial"/>
                <w:sz w:val="16"/>
                <w:szCs w:val="16"/>
                <w:color w:val="auto"/>
                <w:w w:val="83"/>
              </w:rPr>
              <w:t>4.43</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5.01</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860" w:type="dxa"/>
            <w:vAlign w:val="bottom"/>
          </w:tcPr>
          <w:p>
            <w:pPr>
              <w:ind w:left="20"/>
              <w:spacing w:after="0"/>
              <w:rPr>
                <w:sz w:val="20"/>
                <w:szCs w:val="20"/>
                <w:color w:val="auto"/>
              </w:rPr>
            </w:pPr>
            <w:r>
              <w:rPr>
                <w:rFonts w:ascii="Arial" w:cs="Arial" w:eastAsia="Arial" w:hAnsi="Arial"/>
                <w:sz w:val="16"/>
                <w:szCs w:val="16"/>
                <w:color w:val="auto"/>
              </w:rPr>
              <w:t>plan assets</w:t>
            </w: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860" w:type="dxa"/>
            <w:vAlign w:val="bottom"/>
            <w:shd w:val="clear" w:color="auto" w:fill="CCEEFF"/>
          </w:tcPr>
          <w:p>
            <w:pPr>
              <w:ind w:left="500"/>
              <w:spacing w:after="0" w:line="164" w:lineRule="exact"/>
              <w:rPr>
                <w:sz w:val="20"/>
                <w:szCs w:val="20"/>
                <w:color w:val="auto"/>
              </w:rPr>
            </w:pPr>
            <w:r>
              <w:rPr>
                <w:rFonts w:ascii="Arial" w:cs="Arial" w:eastAsia="Arial" w:hAnsi="Arial"/>
                <w:sz w:val="16"/>
                <w:szCs w:val="16"/>
                <w:color w:val="auto"/>
              </w:rPr>
              <w:t>Rate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w w:val="83"/>
              </w:rPr>
              <w:t>2.65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increase</w:t>
            </w:r>
          </w:p>
        </w:tc>
        <w:tc>
          <w:tcPr>
            <w:tcW w:w="8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sectPr>
      </w:pPr>
    </w:p>
    <w:bookmarkStart w:id="75" w:name="page76"/>
    <w:bookmarkEnd w:id="75"/>
    <w:p>
      <w:pPr>
        <w:ind w:firstLine="472"/>
        <w:spacing w:after="0" w:line="289" w:lineRule="auto"/>
        <w:rPr>
          <w:sz w:val="20"/>
          <w:szCs w:val="20"/>
          <w:color w:val="auto"/>
        </w:rPr>
      </w:pPr>
      <w:r>
        <w:rPr>
          <w:rFonts w:ascii="Arial" w:cs="Arial" w:eastAsia="Arial" w:hAnsi="Arial"/>
          <w:sz w:val="17"/>
          <w:szCs w:val="17"/>
          <w:color w:val="auto"/>
        </w:rPr>
        <w:t>The amounts of net actuarial loss and prior service cost included in other comprehensive loss expected to be recognized as components of periodic benefit costs in 2022 are not material.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Plan Assets</w:t>
      </w:r>
    </w:p>
    <w:p>
      <w:pPr>
        <w:spacing w:after="0" w:line="119" w:lineRule="exact"/>
        <w:rPr>
          <w:sz w:val="20"/>
          <w:szCs w:val="20"/>
          <w:color w:val="auto"/>
        </w:rPr>
      </w:pPr>
    </w:p>
    <w:p>
      <w:pPr>
        <w:ind w:right="60" w:firstLine="472"/>
        <w:spacing w:after="0" w:line="281" w:lineRule="auto"/>
        <w:rPr>
          <w:sz w:val="20"/>
          <w:szCs w:val="20"/>
          <w:color w:val="auto"/>
        </w:rPr>
      </w:pPr>
      <w:r>
        <w:rPr>
          <w:rFonts w:ascii="Arial" w:cs="Arial" w:eastAsia="Arial" w:hAnsi="Arial"/>
          <w:sz w:val="16"/>
          <w:szCs w:val="16"/>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insurance contracts, and temporary cash and cash equivalent investments. The assets held in these funds are generally actively managed and are valued at the net asset value per share multiplied by the number of shares held as of the measurement date. (See Note 17 “Fair Value Measurement” included herein). Plan assets by asset category at December 31, 2021 and 2020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6"/>
              </w:rPr>
              <w:t>U.S.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International</w:t>
            </w:r>
          </w:p>
        </w:tc>
        <w:tc>
          <w:tcPr>
            <w:tcW w:w="84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20" w:type="dxa"/>
            <w:vAlign w:val="bottom"/>
          </w:tcPr>
          <w:p>
            <w:pPr>
              <w:spacing w:after="0"/>
              <w:rPr>
                <w:sz w:val="14"/>
                <w:szCs w:val="14"/>
                <w:color w:val="auto"/>
              </w:rPr>
            </w:pPr>
          </w:p>
        </w:tc>
        <w:tc>
          <w:tcPr>
            <w:tcW w:w="860" w:type="dxa"/>
            <w:vAlign w:val="bottom"/>
          </w:tcPr>
          <w:p>
            <w:pPr>
              <w:jc w:val="right"/>
              <w:ind w:right="323"/>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right"/>
              <w:ind w:right="303"/>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32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ind w:right="32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Pension Plan Assets</w:t>
            </w: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4060" w:type="dxa"/>
            <w:vAlign w:val="bottom"/>
            <w:gridSpan w:val="2"/>
          </w:tcPr>
          <w:p>
            <w:pPr>
              <w:ind w:left="200"/>
              <w:spacing w:after="0"/>
              <w:rPr>
                <w:sz w:val="20"/>
                <w:szCs w:val="20"/>
                <w:color w:val="auto"/>
              </w:rPr>
            </w:pPr>
            <w:r>
              <w:rPr>
                <w:rFonts w:ascii="Arial" w:cs="Arial" w:eastAsia="Arial" w:hAnsi="Arial"/>
                <w:sz w:val="16"/>
                <w:szCs w:val="16"/>
                <w:color w:val="auto"/>
              </w:rPr>
              <w:t>Equity security funds</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5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security funds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6"/>
        </w:trPr>
        <w:tc>
          <w:tcPr>
            <w:tcW w:w="500" w:type="dxa"/>
            <w:vAlign w:val="bottom"/>
          </w:tcPr>
          <w:p>
            <w:pPr>
              <w:spacing w:after="0"/>
              <w:rPr>
                <w:sz w:val="17"/>
                <w:szCs w:val="17"/>
                <w:color w:val="auto"/>
              </w:rPr>
            </w:pPr>
          </w:p>
        </w:tc>
        <w:tc>
          <w:tcPr>
            <w:tcW w:w="4060" w:type="dxa"/>
            <w:vAlign w:val="bottom"/>
            <w:gridSpan w:val="2"/>
          </w:tcPr>
          <w:p>
            <w:pPr>
              <w:ind w:left="200"/>
              <w:spacing w:after="0"/>
              <w:rPr>
                <w:sz w:val="20"/>
                <w:szCs w:val="20"/>
                <w:color w:val="auto"/>
              </w:rPr>
            </w:pPr>
            <w:r>
              <w:rPr>
                <w:rFonts w:ascii="Arial" w:cs="Arial" w:eastAsia="Arial" w:hAnsi="Arial"/>
                <w:sz w:val="16"/>
                <w:szCs w:val="16"/>
                <w:color w:val="auto"/>
              </w:rPr>
              <w:t>Insurance Contracts</w:t>
            </w:r>
          </w:p>
        </w:tc>
        <w:tc>
          <w:tcPr>
            <w:tcW w:w="7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5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and other</w:t>
            </w: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500" w:type="dxa"/>
            <w:vAlign w:val="bottom"/>
          </w:tcPr>
          <w:p>
            <w:pPr>
              <w:spacing w:after="0"/>
              <w:rPr>
                <w:sz w:val="17"/>
                <w:szCs w:val="17"/>
                <w:color w:val="auto"/>
              </w:rPr>
            </w:pPr>
          </w:p>
        </w:tc>
        <w:tc>
          <w:tcPr>
            <w:tcW w:w="4060" w:type="dxa"/>
            <w:vAlign w:val="bottom"/>
            <w:gridSpan w:val="2"/>
          </w:tcPr>
          <w:p>
            <w:pPr>
              <w:ind w:left="420"/>
              <w:spacing w:after="0"/>
              <w:rPr>
                <w:sz w:val="20"/>
                <w:szCs w:val="20"/>
                <w:color w:val="auto"/>
              </w:rPr>
            </w:pPr>
            <w:r>
              <w:rPr>
                <w:rFonts w:ascii="Arial" w:cs="Arial" w:eastAsia="Arial" w:hAnsi="Arial"/>
                <w:sz w:val="16"/>
                <w:szCs w:val="16"/>
                <w:color w:val="auto"/>
              </w:rPr>
              <w:t>Fair value of plan assets</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260" w:firstLine="472"/>
        <w:spacing w:after="0" w:line="273" w:lineRule="auto"/>
        <w:rPr>
          <w:sz w:val="20"/>
          <w:szCs w:val="20"/>
          <w:color w:val="auto"/>
        </w:rPr>
      </w:pPr>
      <w:r>
        <w:rPr>
          <w:rFonts w:ascii="Arial" w:cs="Arial" w:eastAsia="Arial" w:hAnsi="Arial"/>
          <w:sz w:val="17"/>
          <w:szCs w:val="17"/>
          <w:color w:val="auto"/>
        </w:rPr>
        <w:t>The U.S. plan has a target asset allocation of 75% equity securities and 25% debt securities. The International plan has a target asset allocation of 10% equity securities, 22% debt securities and 68% in other investments. Investment policies are determined by the respective Plan’s Pension Committee and set forth in its Investment Policy. Rebalancing of the asset allocation occurs on a quarterly basis.</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summarize our pension plan assets measured at fair value on a recurring basis by fair value hierarchy level (See Note 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December 31, 2021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4"/>
                <w:szCs w:val="14"/>
                <w:color w:val="auto"/>
              </w:rPr>
            </w:pPr>
          </w:p>
        </w:tc>
        <w:tc>
          <w:tcPr>
            <w:tcW w:w="900" w:type="dxa"/>
            <w:vAlign w:val="bottom"/>
            <w:gridSpan w:val="2"/>
          </w:tcPr>
          <w:p>
            <w:pPr>
              <w:ind w:left="120"/>
              <w:spacing w:after="0" w:line="167" w:lineRule="exact"/>
              <w:rPr>
                <w:sz w:val="20"/>
                <w:szCs w:val="20"/>
                <w:color w:val="auto"/>
              </w:rPr>
            </w:pPr>
            <w:r>
              <w:rPr>
                <w:rFonts w:ascii="Arial" w:cs="Arial" w:eastAsia="Arial" w:hAnsi="Arial"/>
                <w:sz w:val="16"/>
                <w:szCs w:val="16"/>
                <w:b w:val="1"/>
                <w:bCs w:val="1"/>
                <w:color w:val="auto"/>
              </w:rPr>
              <w:t>NAV</w:t>
            </w:r>
          </w:p>
        </w:tc>
        <w:tc>
          <w:tcPr>
            <w:tcW w:w="640" w:type="dxa"/>
            <w:vAlign w:val="bottom"/>
          </w:tcPr>
          <w:p>
            <w:pPr>
              <w:spacing w:after="0"/>
              <w:rPr>
                <w:sz w:val="14"/>
                <w:szCs w:val="14"/>
                <w:color w:val="auto"/>
              </w:rPr>
            </w:pPr>
          </w:p>
        </w:tc>
        <w:tc>
          <w:tcPr>
            <w:tcW w:w="940" w:type="dxa"/>
            <w:vAlign w:val="bottom"/>
            <w:gridSpan w:val="2"/>
          </w:tcPr>
          <w:p>
            <w:pPr>
              <w:ind w:left="80"/>
              <w:spacing w:after="0" w:line="167" w:lineRule="exact"/>
              <w:rPr>
                <w:sz w:val="20"/>
                <w:szCs w:val="20"/>
                <w:color w:val="auto"/>
              </w:rPr>
            </w:pPr>
            <w:r>
              <w:rPr>
                <w:rFonts w:ascii="Arial" w:cs="Arial" w:eastAsia="Arial" w:hAnsi="Arial"/>
                <w:sz w:val="16"/>
                <w:szCs w:val="16"/>
                <w:b w:val="1"/>
                <w:bCs w:val="1"/>
                <w:color w:val="auto"/>
              </w:rPr>
              <w:t>Level 1</w:t>
            </w:r>
          </w:p>
        </w:tc>
        <w:tc>
          <w:tcPr>
            <w:tcW w:w="660" w:type="dxa"/>
            <w:vAlign w:val="bottom"/>
          </w:tcPr>
          <w:p>
            <w:pPr>
              <w:spacing w:after="0"/>
              <w:rPr>
                <w:sz w:val="14"/>
                <w:szCs w:val="14"/>
                <w:color w:val="auto"/>
              </w:rPr>
            </w:pPr>
          </w:p>
        </w:tc>
        <w:tc>
          <w:tcPr>
            <w:tcW w:w="1220" w:type="dxa"/>
            <w:vAlign w:val="bottom"/>
            <w:gridSpan w:val="3"/>
          </w:tcPr>
          <w:p>
            <w:pPr>
              <w:ind w:left="100"/>
              <w:spacing w:after="0" w:line="167" w:lineRule="exact"/>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14"/>
                <w:szCs w:val="14"/>
                <w:color w:val="auto"/>
              </w:rPr>
            </w:pPr>
          </w:p>
        </w:tc>
        <w:tc>
          <w:tcPr>
            <w:tcW w:w="940" w:type="dxa"/>
            <w:vAlign w:val="bottom"/>
            <w:gridSpan w:val="2"/>
          </w:tcPr>
          <w:p>
            <w:pPr>
              <w:ind w:left="80"/>
              <w:spacing w:after="0" w:line="167" w:lineRule="exact"/>
              <w:rPr>
                <w:sz w:val="20"/>
                <w:szCs w:val="20"/>
                <w:color w:val="auto"/>
              </w:rPr>
            </w:pPr>
            <w:r>
              <w:rPr>
                <w:rFonts w:ascii="Arial" w:cs="Arial" w:eastAsia="Arial" w:hAnsi="Arial"/>
                <w:sz w:val="16"/>
                <w:szCs w:val="16"/>
                <w:b w:val="1"/>
                <w:bCs w:val="1"/>
                <w:color w:val="auto"/>
              </w:rPr>
              <w:t>Level 3</w:t>
            </w:r>
          </w:p>
        </w:tc>
        <w:tc>
          <w:tcPr>
            <w:tcW w:w="700" w:type="dxa"/>
            <w:vAlign w:val="bottom"/>
          </w:tcPr>
          <w:p>
            <w:pPr>
              <w:spacing w:after="0"/>
              <w:rPr>
                <w:sz w:val="14"/>
                <w:szCs w:val="14"/>
                <w:color w:val="auto"/>
              </w:rPr>
            </w:pPr>
          </w:p>
        </w:tc>
        <w:tc>
          <w:tcPr>
            <w:tcW w:w="840" w:type="dxa"/>
            <w:vAlign w:val="bottom"/>
          </w:tcPr>
          <w:p>
            <w:pPr>
              <w:jc w:val="right"/>
              <w:ind w:right="281"/>
              <w:spacing w:after="0" w:line="167" w:lineRule="exact"/>
              <w:rPr>
                <w:sz w:val="20"/>
                <w:szCs w:val="20"/>
                <w:color w:val="auto"/>
              </w:rPr>
            </w:pPr>
            <w:r>
              <w:rPr>
                <w:rFonts w:ascii="Arial" w:cs="Arial" w:eastAsia="Arial" w:hAnsi="Arial"/>
                <w:sz w:val="16"/>
                <w:szCs w:val="16"/>
                <w:b w:val="1"/>
                <w:bCs w:val="1"/>
                <w:color w:val="auto"/>
              </w:rPr>
              <w:t>Total</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272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w:t>
            </w:r>
          </w:p>
        </w:tc>
      </w:tr>
      <w:tr>
        <w:trPr>
          <w:trHeight w:val="213"/>
        </w:trPr>
        <w:tc>
          <w:tcPr>
            <w:tcW w:w="5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206"/>
        </w:trPr>
        <w:tc>
          <w:tcPr>
            <w:tcW w:w="500" w:type="dxa"/>
            <w:vAlign w:val="bottom"/>
          </w:tcPr>
          <w:p>
            <w:pPr>
              <w:spacing w:after="0"/>
              <w:rPr>
                <w:sz w:val="17"/>
                <w:szCs w:val="17"/>
                <w:color w:val="auto"/>
              </w:rPr>
            </w:pPr>
          </w:p>
        </w:tc>
        <w:tc>
          <w:tcPr>
            <w:tcW w:w="272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7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w:t>
            </w:r>
          </w:p>
        </w:tc>
      </w:tr>
      <w:tr>
        <w:trPr>
          <w:trHeight w:val="213"/>
        </w:trPr>
        <w:tc>
          <w:tcPr>
            <w:tcW w:w="5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International:</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272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87</w:t>
            </w:r>
          </w:p>
        </w:tc>
      </w:tr>
      <w:tr>
        <w:trPr>
          <w:trHeight w:val="213"/>
        </w:trPr>
        <w:tc>
          <w:tcPr>
            <w:tcW w:w="5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r>
      <w:tr>
        <w:trPr>
          <w:trHeight w:val="206"/>
        </w:trPr>
        <w:tc>
          <w:tcPr>
            <w:tcW w:w="500" w:type="dxa"/>
            <w:vAlign w:val="bottom"/>
          </w:tcPr>
          <w:p>
            <w:pPr>
              <w:spacing w:after="0"/>
              <w:rPr>
                <w:sz w:val="17"/>
                <w:szCs w:val="17"/>
                <w:color w:val="auto"/>
              </w:rPr>
            </w:pPr>
          </w:p>
        </w:tc>
        <w:tc>
          <w:tcPr>
            <w:tcW w:w="2720" w:type="dxa"/>
            <w:vAlign w:val="bottom"/>
            <w:gridSpan w:val="2"/>
          </w:tcPr>
          <w:p>
            <w:pPr>
              <w:ind w:left="200"/>
              <w:spacing w:after="0"/>
              <w:rPr>
                <w:sz w:val="20"/>
                <w:szCs w:val="20"/>
                <w:color w:val="auto"/>
              </w:rPr>
            </w:pPr>
            <w:r>
              <w:rPr>
                <w:rFonts w:ascii="Arial" w:cs="Arial" w:eastAsia="Arial" w:hAnsi="Arial"/>
                <w:sz w:val="16"/>
                <w:szCs w:val="16"/>
                <w:color w:val="auto"/>
              </w:rPr>
              <w:t>Insurance Contracts</w:t>
            </w:r>
          </w:p>
        </w:tc>
        <w:tc>
          <w:tcPr>
            <w:tcW w:w="7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210"/>
        </w:trPr>
        <w:tc>
          <w:tcPr>
            <w:tcW w:w="5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Cash and cash equivalents and other</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r>
      <w:tr>
        <w:trPr>
          <w:trHeight w:val="206"/>
        </w:trPr>
        <w:tc>
          <w:tcPr>
            <w:tcW w:w="50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347</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6" w:name="page77"/>
    <w:bookmarkEnd w:id="76"/>
    <w:tbl>
      <w:tblPr>
        <w:tblLayout w:type="fixed"/>
        <w:tblInd w:w="6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7"/>
              </w:rPr>
              <w:t>December 31, 2020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67"/>
        </w:trPr>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40" w:type="dxa"/>
            <w:vAlign w:val="bottom"/>
            <w:gridSpan w:val="2"/>
          </w:tcPr>
          <w:p>
            <w:pPr>
              <w:ind w:left="180"/>
              <w:spacing w:after="0" w:line="167" w:lineRule="exact"/>
              <w:rPr>
                <w:sz w:val="20"/>
                <w:szCs w:val="20"/>
                <w:color w:val="auto"/>
              </w:rPr>
            </w:pPr>
            <w:r>
              <w:rPr>
                <w:rFonts w:ascii="Arial" w:cs="Arial" w:eastAsia="Arial" w:hAnsi="Arial"/>
                <w:sz w:val="16"/>
                <w:szCs w:val="16"/>
                <w:b w:val="1"/>
                <w:bCs w:val="1"/>
                <w:color w:val="auto"/>
              </w:rPr>
              <w:t>NAV</w:t>
            </w:r>
          </w:p>
        </w:tc>
        <w:tc>
          <w:tcPr>
            <w:tcW w:w="220" w:type="dxa"/>
            <w:vAlign w:val="bottom"/>
          </w:tcPr>
          <w:p>
            <w:pPr>
              <w:spacing w:after="0"/>
              <w:rPr>
                <w:sz w:val="14"/>
                <w:szCs w:val="14"/>
                <w:color w:val="auto"/>
              </w:rPr>
            </w:pPr>
          </w:p>
        </w:tc>
        <w:tc>
          <w:tcPr>
            <w:tcW w:w="980" w:type="dxa"/>
            <w:vAlign w:val="bottom"/>
          </w:tcPr>
          <w:p>
            <w:pPr>
              <w:jc w:val="right"/>
              <w:ind w:right="281"/>
              <w:spacing w:after="0" w:line="167"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line="167" w:lineRule="exact"/>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4"/>
                <w:szCs w:val="14"/>
                <w:color w:val="auto"/>
              </w:rPr>
            </w:pPr>
          </w:p>
        </w:tc>
        <w:tc>
          <w:tcPr>
            <w:tcW w:w="1080" w:type="dxa"/>
            <w:vAlign w:val="bottom"/>
            <w:gridSpan w:val="2"/>
          </w:tcPr>
          <w:p>
            <w:pPr>
              <w:ind w:left="120"/>
              <w:spacing w:after="0" w:line="167" w:lineRule="exact"/>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4"/>
                <w:szCs w:val="14"/>
                <w:color w:val="auto"/>
              </w:rPr>
            </w:pPr>
          </w:p>
        </w:tc>
        <w:tc>
          <w:tcPr>
            <w:tcW w:w="940" w:type="dxa"/>
            <w:vAlign w:val="bottom"/>
          </w:tcPr>
          <w:p>
            <w:pPr>
              <w:jc w:val="right"/>
              <w:ind w:right="341"/>
              <w:spacing w:after="0" w:line="167" w:lineRule="exact"/>
              <w:rPr>
                <w:sz w:val="20"/>
                <w:szCs w:val="20"/>
                <w:color w:val="auto"/>
              </w:rPr>
            </w:pPr>
            <w:r>
              <w:rPr>
                <w:rFonts w:ascii="Arial" w:cs="Arial" w:eastAsia="Arial" w:hAnsi="Arial"/>
                <w:sz w:val="16"/>
                <w:szCs w:val="16"/>
                <w:b w:val="1"/>
                <w:bCs w:val="1"/>
                <w:color w:val="auto"/>
              </w:rPr>
              <w:t>Total</w:t>
            </w: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2"/>
        </w:trPr>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4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4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Insurance Contracts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4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47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0"/>
        </w:trPr>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no material changes to the Level 3 assets during 2020 and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19" w:lineRule="exact"/>
        <w:rPr>
          <w:sz w:val="20"/>
          <w:szCs w:val="20"/>
          <w:color w:val="auto"/>
        </w:rPr>
      </w:pPr>
    </w:p>
    <w:p>
      <w:pPr>
        <w:ind w:right="300" w:firstLine="472"/>
        <w:spacing w:after="0" w:line="359" w:lineRule="auto"/>
        <w:rPr>
          <w:sz w:val="20"/>
          <w:szCs w:val="20"/>
          <w:color w:val="auto"/>
        </w:rPr>
      </w:pPr>
      <w:r>
        <w:rPr>
          <w:rFonts w:ascii="Arial" w:cs="Arial" w:eastAsia="Arial" w:hAnsi="Arial"/>
          <w:sz w:val="15"/>
          <w:szCs w:val="15"/>
          <w:color w:val="auto"/>
        </w:rPr>
        <w:t>The Company’s funding methods are based on governmental requirements and differ from those methods used to recognize pension expense. The Company expects to contribute $3 million to the international pension plan and does not expect to make a contribution to the U.S. pension plan during 2022.</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Benefit payments expected to be paid to plan participants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U.S.</w:t>
            </w:r>
          </w:p>
        </w:tc>
        <w:tc>
          <w:tcPr>
            <w:tcW w:w="680" w:type="dxa"/>
            <w:vAlign w:val="bottom"/>
          </w:tcPr>
          <w:p>
            <w:pPr>
              <w:spacing w:after="0"/>
              <w:rPr>
                <w:sz w:val="16"/>
                <w:szCs w:val="16"/>
                <w:color w:val="auto"/>
              </w:rPr>
            </w:pPr>
          </w:p>
        </w:tc>
        <w:tc>
          <w:tcPr>
            <w:tcW w:w="1300" w:type="dxa"/>
            <w:vAlign w:val="bottom"/>
          </w:tcPr>
          <w:p>
            <w:pPr>
              <w:jc w:val="right"/>
              <w:ind w:right="221"/>
              <w:spacing w:after="0"/>
              <w:rPr>
                <w:sz w:val="20"/>
                <w:szCs w:val="20"/>
                <w:color w:val="auto"/>
              </w:rPr>
            </w:pPr>
            <w:r>
              <w:rPr>
                <w:rFonts w:ascii="Arial" w:cs="Arial" w:eastAsia="Arial" w:hAnsi="Arial"/>
                <w:sz w:val="16"/>
                <w:szCs w:val="16"/>
                <w:b w:val="1"/>
                <w:bCs w:val="1"/>
                <w:color w:val="auto"/>
              </w:rPr>
              <w:t>International</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6"/>
        </w:trPr>
        <w:tc>
          <w:tcPr>
            <w:tcW w:w="1120" w:type="dxa"/>
            <w:vAlign w:val="bottom"/>
            <w:gridSpan w:val="2"/>
          </w:tcPr>
          <w:p>
            <w:pPr>
              <w:ind w:left="500"/>
              <w:spacing w:after="0"/>
              <w:rPr>
                <w:sz w:val="20"/>
                <w:szCs w:val="20"/>
                <w:color w:val="auto"/>
              </w:rPr>
            </w:pPr>
            <w:r>
              <w:rPr>
                <w:rFonts w:ascii="Arial" w:cs="Arial" w:eastAsia="Arial" w:hAnsi="Arial"/>
                <w:sz w:val="16"/>
                <w:szCs w:val="16"/>
                <w:color w:val="auto"/>
              </w:rPr>
              <w:t>2022</w:t>
            </w:r>
          </w:p>
        </w:tc>
        <w:tc>
          <w:tcPr>
            <w:tcW w:w="6140" w:type="dxa"/>
            <w:vAlign w:val="bottom"/>
          </w:tcPr>
          <w:p>
            <w:pPr>
              <w:spacing w:after="0"/>
              <w:rPr>
                <w:sz w:val="17"/>
                <w:szCs w:val="17"/>
                <w:color w:val="auto"/>
              </w:rPr>
            </w:pPr>
          </w:p>
        </w:tc>
        <w:tc>
          <w:tcPr>
            <w:tcW w:w="8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2023</w:t>
            </w:r>
          </w:p>
        </w:tc>
        <w:tc>
          <w:tcPr>
            <w:tcW w:w="6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1120" w:type="dxa"/>
            <w:vAlign w:val="bottom"/>
            <w:gridSpan w:val="2"/>
          </w:tcPr>
          <w:p>
            <w:pPr>
              <w:ind w:left="500"/>
              <w:spacing w:after="0"/>
              <w:rPr>
                <w:sz w:val="20"/>
                <w:szCs w:val="20"/>
                <w:color w:val="auto"/>
              </w:rPr>
            </w:pPr>
            <w:r>
              <w:rPr>
                <w:rFonts w:ascii="Arial" w:cs="Arial" w:eastAsia="Arial" w:hAnsi="Arial"/>
                <w:sz w:val="16"/>
                <w:szCs w:val="16"/>
                <w:color w:val="auto"/>
              </w:rPr>
              <w:t>2024</w:t>
            </w:r>
          </w:p>
        </w:tc>
        <w:tc>
          <w:tcPr>
            <w:tcW w:w="6140" w:type="dxa"/>
            <w:vAlign w:val="bottom"/>
          </w:tcPr>
          <w:p>
            <w:pPr>
              <w:spacing w:after="0"/>
              <w:rPr>
                <w:sz w:val="17"/>
                <w:szCs w:val="17"/>
                <w:color w:val="auto"/>
              </w:rPr>
            </w:pPr>
          </w:p>
        </w:tc>
        <w:tc>
          <w:tcPr>
            <w:tcW w:w="8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2025</w:t>
            </w:r>
          </w:p>
        </w:tc>
        <w:tc>
          <w:tcPr>
            <w:tcW w:w="6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6"/>
        </w:trPr>
        <w:tc>
          <w:tcPr>
            <w:tcW w:w="1120" w:type="dxa"/>
            <w:vAlign w:val="bottom"/>
            <w:gridSpan w:val="2"/>
          </w:tcPr>
          <w:p>
            <w:pPr>
              <w:ind w:left="500"/>
              <w:spacing w:after="0"/>
              <w:rPr>
                <w:sz w:val="20"/>
                <w:szCs w:val="20"/>
                <w:color w:val="auto"/>
              </w:rPr>
            </w:pPr>
            <w:r>
              <w:rPr>
                <w:rFonts w:ascii="Arial" w:cs="Arial" w:eastAsia="Arial" w:hAnsi="Arial"/>
                <w:sz w:val="16"/>
                <w:szCs w:val="16"/>
                <w:color w:val="auto"/>
              </w:rPr>
              <w:t>2026</w:t>
            </w:r>
          </w:p>
        </w:tc>
        <w:tc>
          <w:tcPr>
            <w:tcW w:w="6140" w:type="dxa"/>
            <w:vAlign w:val="bottom"/>
          </w:tcPr>
          <w:p>
            <w:pPr>
              <w:spacing w:after="0"/>
              <w:rPr>
                <w:sz w:val="17"/>
                <w:szCs w:val="17"/>
                <w:color w:val="auto"/>
              </w:rPr>
            </w:pPr>
          </w:p>
        </w:tc>
        <w:tc>
          <w:tcPr>
            <w:tcW w:w="8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50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2027 through 2031</w:t>
            </w:r>
          </w:p>
        </w:tc>
        <w:tc>
          <w:tcPr>
            <w:tcW w:w="8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Contribution Plans</w:t>
      </w:r>
    </w:p>
    <w:p>
      <w:pPr>
        <w:spacing w:after="0" w:line="125" w:lineRule="exact"/>
        <w:rPr>
          <w:sz w:val="20"/>
          <w:szCs w:val="20"/>
          <w:color w:val="auto"/>
        </w:rPr>
      </w:pPr>
    </w:p>
    <w:p>
      <w:pPr>
        <w:ind w:right="220" w:firstLine="472"/>
        <w:spacing w:after="0" w:line="267" w:lineRule="auto"/>
        <w:rPr>
          <w:sz w:val="20"/>
          <w:szCs w:val="20"/>
          <w:color w:val="auto"/>
        </w:rPr>
      </w:pPr>
      <w:r>
        <w:rPr>
          <w:rFonts w:ascii="Arial" w:cs="Arial" w:eastAsia="Arial" w:hAnsi="Arial"/>
          <w:sz w:val="17"/>
          <w:szCs w:val="17"/>
          <w:color w:val="auto"/>
        </w:rPr>
        <w:t>The Company participates in certain defined contribution plans. Costs recognized during 2021, 2020, and 2019 were approximately $55 million each year. The 401(k) savings plan is a participant directed defined contribution plan that holds shares of the Company’s stock as one of the investment options. At December 31, 2021 and 2020, the plan held on behalf of its participants approximately 387,000 shares with a market value of $36 million, and approximately 409,000 shares with a market value of $30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125" w:lineRule="exact"/>
        <w:rPr>
          <w:sz w:val="20"/>
          <w:szCs w:val="20"/>
          <w:color w:val="auto"/>
        </w:rPr>
      </w:pPr>
    </w:p>
    <w:p>
      <w:pPr>
        <w:ind w:right="20" w:firstLine="472"/>
        <w:spacing w:after="0" w:line="273" w:lineRule="auto"/>
        <w:rPr>
          <w:sz w:val="20"/>
          <w:szCs w:val="20"/>
          <w:color w:val="auto"/>
        </w:rPr>
      </w:pPr>
      <w:r>
        <w:rPr>
          <w:rFonts w:ascii="Arial" w:cs="Arial" w:eastAsia="Arial" w:hAnsi="Arial"/>
          <w:sz w:val="17"/>
          <w:szCs w:val="17"/>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66" w:lineRule="exact"/>
        <w:rPr>
          <w:sz w:val="20"/>
          <w:szCs w:val="20"/>
          <w:color w:val="auto"/>
        </w:rPr>
      </w:pPr>
    </w:p>
    <w:p>
      <w:pPr>
        <w:ind w:right="240" w:firstLine="472"/>
        <w:spacing w:after="0" w:line="280" w:lineRule="auto"/>
        <w:rPr>
          <w:sz w:val="20"/>
          <w:szCs w:val="20"/>
          <w:color w:val="auto"/>
        </w:rPr>
      </w:pPr>
      <w:r>
        <w:rPr>
          <w:rFonts w:ascii="Arial" w:cs="Arial" w:eastAsia="Arial" w:hAnsi="Arial"/>
          <w:sz w:val="17"/>
          <w:szCs w:val="17"/>
          <w:color w:val="auto"/>
        </w:rPr>
        <w:t>The components of the income before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jc w:val="center"/>
              <w:ind w:left="301"/>
              <w:spacing w:after="0" w:line="159" w:lineRule="exact"/>
              <w:rPr>
                <w:sz w:val="20"/>
                <w:szCs w:val="20"/>
                <w:color w:val="auto"/>
              </w:rPr>
            </w:pPr>
            <w:r>
              <w:rPr>
                <w:rFonts w:ascii="Arial" w:cs="Arial" w:eastAsia="Arial" w:hAnsi="Arial"/>
                <w:sz w:val="16"/>
                <w:szCs w:val="16"/>
                <w:b w:val="1"/>
                <w:bCs w:val="1"/>
                <w:color w:val="auto"/>
                <w:w w:val="87"/>
              </w:rPr>
              <w:t>For the year ended</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7"/>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4"/>
              </w:rPr>
              <w:t>December 31,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6"/>
        </w:trPr>
        <w:tc>
          <w:tcPr>
            <w:tcW w:w="50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1060" w:type="dxa"/>
            <w:vAlign w:val="bottom"/>
          </w:tcPr>
          <w:p>
            <w:pPr>
              <w:jc w:val="right"/>
              <w:ind w:right="461"/>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80" w:type="dxa"/>
            <w:vAlign w:val="bottom"/>
          </w:tcPr>
          <w:p>
            <w:pPr>
              <w:jc w:val="right"/>
              <w:ind w:right="81"/>
              <w:spacing w:after="0" w:line="166"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461"/>
              <w:spacing w:after="0" w:line="166" w:lineRule="exact"/>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Domestic</w:t>
            </w: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6"/>
        </w:trPr>
        <w:tc>
          <w:tcPr>
            <w:tcW w:w="50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Foreign</w:t>
            </w: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8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77" w:name="page78"/>
    <w:bookmarkEnd w:id="77"/>
    <w:p>
      <w:pPr>
        <w:ind w:left="480"/>
        <w:spacing w:after="0"/>
        <w:rPr>
          <w:sz w:val="20"/>
          <w:szCs w:val="20"/>
          <w:color w:val="auto"/>
        </w:rPr>
      </w:pPr>
      <w:r>
        <w:rPr>
          <w:rFonts w:ascii="Arial" w:cs="Arial" w:eastAsia="Arial" w:hAnsi="Arial"/>
          <w:sz w:val="17"/>
          <w:szCs w:val="17"/>
          <w:color w:val="auto"/>
        </w:rPr>
        <w:t>The consolidated provision for income taxes included in the Consolidated Statements of Income consisted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ind w:left="301"/>
              <w:spacing w:after="0"/>
              <w:rPr>
                <w:sz w:val="20"/>
                <w:szCs w:val="20"/>
                <w:color w:val="auto"/>
              </w:rPr>
            </w:pPr>
            <w:r>
              <w:rPr>
                <w:rFonts w:ascii="Arial" w:cs="Arial" w:eastAsia="Arial" w:hAnsi="Arial"/>
                <w:sz w:val="16"/>
                <w:szCs w:val="16"/>
                <w:b w:val="1"/>
                <w:bCs w:val="1"/>
                <w:color w:val="auto"/>
                <w:w w:val="89"/>
              </w:rPr>
              <w:t>For the year ended</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7"/>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w w:val="94"/>
              </w:rPr>
              <w:t>December 31,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6"/>
        </w:trPr>
        <w:tc>
          <w:tcPr>
            <w:tcW w:w="50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spacing w:after="0"/>
              <w:rPr>
                <w:sz w:val="14"/>
                <w:szCs w:val="14"/>
                <w:color w:val="auto"/>
              </w:rPr>
            </w:pPr>
          </w:p>
        </w:tc>
        <w:tc>
          <w:tcPr>
            <w:tcW w:w="1060" w:type="dxa"/>
            <w:vAlign w:val="bottom"/>
          </w:tcPr>
          <w:p>
            <w:pPr>
              <w:jc w:val="right"/>
              <w:ind w:right="441"/>
              <w:spacing w:after="0" w:line="166"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1460" w:type="dxa"/>
            <w:vAlign w:val="bottom"/>
          </w:tcPr>
          <w:p>
            <w:pPr>
              <w:jc w:val="right"/>
              <w:ind w:right="81"/>
              <w:spacing w:after="0" w:line="166"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461"/>
              <w:spacing w:after="0" w:line="166" w:lineRule="exact"/>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tax expense (benefit)</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4980" w:type="dxa"/>
            <w:vAlign w:val="bottom"/>
            <w:gridSpan w:val="2"/>
          </w:tcPr>
          <w:p>
            <w:pPr>
              <w:ind w:left="200"/>
              <w:spacing w:after="0"/>
              <w:rPr>
                <w:sz w:val="20"/>
                <w:szCs w:val="20"/>
                <w:color w:val="auto"/>
              </w:rPr>
            </w:pPr>
            <w:r>
              <w:rPr>
                <w:rFonts w:ascii="Arial" w:cs="Arial" w:eastAsia="Arial" w:hAnsi="Arial"/>
                <w:sz w:val="16"/>
                <w:szCs w:val="16"/>
                <w:color w:val="auto"/>
              </w:rPr>
              <w:t>Federal</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1460" w:type="dxa"/>
            <w:vAlign w:val="bottom"/>
          </w:tcPr>
          <w:p>
            <w:pPr>
              <w:ind w:left="4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0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0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Foreign</w:t>
            </w: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06"/>
        </w:trPr>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199"/>
        </w:trPr>
        <w:tc>
          <w:tcPr>
            <w:tcW w:w="50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6"/>
                <w:szCs w:val="16"/>
                <w:color w:val="auto"/>
              </w:rPr>
              <w:t>Deferred tax expense (benefit)</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500" w:type="dxa"/>
            <w:vAlign w:val="bottom"/>
          </w:tcPr>
          <w:p>
            <w:pPr>
              <w:spacing w:after="0"/>
              <w:rPr>
                <w:sz w:val="17"/>
                <w:szCs w:val="17"/>
                <w:color w:val="auto"/>
              </w:rPr>
            </w:pPr>
          </w:p>
        </w:tc>
        <w:tc>
          <w:tcPr>
            <w:tcW w:w="4980" w:type="dxa"/>
            <w:vAlign w:val="bottom"/>
            <w:gridSpan w:val="2"/>
          </w:tcPr>
          <w:p>
            <w:pPr>
              <w:ind w:left="200"/>
              <w:spacing w:after="0"/>
              <w:rPr>
                <w:sz w:val="20"/>
                <w:szCs w:val="20"/>
                <w:color w:val="auto"/>
              </w:rPr>
            </w:pPr>
            <w:r>
              <w:rPr>
                <w:rFonts w:ascii="Arial" w:cs="Arial" w:eastAsia="Arial" w:hAnsi="Arial"/>
                <w:sz w:val="16"/>
                <w:szCs w:val="16"/>
                <w:color w:val="auto"/>
              </w:rPr>
              <w:t>State</w:t>
            </w:r>
          </w:p>
        </w:tc>
        <w:tc>
          <w:tcPr>
            <w:tcW w:w="7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0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5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provision</w:t>
            </w: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00" w:firstLine="472"/>
        <w:spacing w:after="0" w:line="280" w:lineRule="auto"/>
        <w:rPr>
          <w:sz w:val="20"/>
          <w:szCs w:val="20"/>
          <w:color w:val="auto"/>
        </w:rPr>
      </w:pPr>
      <w:r>
        <w:rPr>
          <w:rFonts w:ascii="Arial" w:cs="Arial" w:eastAsia="Arial" w:hAnsi="Arial"/>
          <w:sz w:val="17"/>
          <w:szCs w:val="17"/>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ind w:left="580"/>
              <w:spacing w:after="0" w:line="159" w:lineRule="exact"/>
              <w:rPr>
                <w:sz w:val="20"/>
                <w:szCs w:val="20"/>
                <w:color w:val="auto"/>
              </w:rPr>
            </w:pPr>
            <w:r>
              <w:rPr>
                <w:rFonts w:ascii="Arial" w:cs="Arial" w:eastAsia="Arial" w:hAnsi="Arial"/>
                <w:sz w:val="16"/>
                <w:szCs w:val="16"/>
                <w:b w:val="1"/>
                <w:bCs w:val="1"/>
                <w:color w:val="auto"/>
              </w:rPr>
              <w:t>For the year ended</w:t>
            </w: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7"/>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166"/>
        </w:trPr>
        <w:tc>
          <w:tcPr>
            <w:tcW w:w="50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80" w:type="dxa"/>
            <w:vAlign w:val="bottom"/>
          </w:tcPr>
          <w:p>
            <w:pPr>
              <w:jc w:val="right"/>
              <w:ind w:right="141"/>
              <w:spacing w:after="0" w:line="166" w:lineRule="exact"/>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181"/>
              <w:spacing w:after="0" w:line="166"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41"/>
              <w:spacing w:after="0" w:line="166"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federal statutory rate</w:t>
            </w:r>
          </w:p>
        </w:tc>
        <w:tc>
          <w:tcPr>
            <w:tcW w:w="15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State taxes</w:t>
            </w:r>
          </w:p>
        </w:tc>
        <w:tc>
          <w:tcPr>
            <w:tcW w:w="1580" w:type="dxa"/>
            <w:vAlign w:val="bottom"/>
          </w:tcPr>
          <w:p>
            <w:pPr>
              <w:jc w:val="right"/>
              <w:ind w:right="241"/>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261"/>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221"/>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w:t>
            </w:r>
          </w:p>
        </w:tc>
        <w:tc>
          <w:tcPr>
            <w:tcW w:w="15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(0.4)</w:t>
            </w:r>
          </w:p>
        </w:tc>
        <w:tc>
          <w:tcPr>
            <w:tcW w:w="36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Research and development credit</w:t>
            </w:r>
          </w:p>
        </w:tc>
        <w:tc>
          <w:tcPr>
            <w:tcW w:w="1580" w:type="dxa"/>
            <w:vAlign w:val="bottom"/>
          </w:tcPr>
          <w:p>
            <w:pPr>
              <w:jc w:val="right"/>
              <w:ind w:right="201"/>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221"/>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81"/>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net operating loss carryback</w:t>
            </w:r>
          </w:p>
        </w:tc>
        <w:tc>
          <w:tcPr>
            <w:tcW w:w="15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Changes in valuation allowance</w:t>
            </w:r>
          </w:p>
        </w:tc>
        <w:tc>
          <w:tcPr>
            <w:tcW w:w="1580" w:type="dxa"/>
            <w:vAlign w:val="bottom"/>
          </w:tcPr>
          <w:p>
            <w:pPr>
              <w:jc w:val="right"/>
              <w:ind w:right="241"/>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221"/>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221"/>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tax reform provision</w:t>
            </w:r>
          </w:p>
        </w:tc>
        <w:tc>
          <w:tcPr>
            <w:tcW w:w="15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Transaction costs related to acquisitions</w:t>
            </w:r>
          </w:p>
        </w:tc>
        <w:tc>
          <w:tcPr>
            <w:tcW w:w="1580" w:type="dxa"/>
            <w:vAlign w:val="bottom"/>
          </w:tcPr>
          <w:p>
            <w:pPr>
              <w:jc w:val="right"/>
              <w:ind w:right="241"/>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221"/>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7"/>
                <w:szCs w:val="17"/>
                <w:color w:val="auto"/>
              </w:rPr>
            </w:pPr>
          </w:p>
        </w:tc>
      </w:tr>
      <w:tr>
        <w:trPr>
          <w:trHeight w:val="210"/>
        </w:trPr>
        <w:tc>
          <w:tcPr>
            <w:tcW w:w="5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net</w:t>
            </w:r>
          </w:p>
        </w:tc>
        <w:tc>
          <w:tcPr>
            <w:tcW w:w="15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0.7</w:t>
            </w:r>
          </w:p>
        </w:tc>
        <w:tc>
          <w:tcPr>
            <w:tcW w:w="360" w:type="dxa"/>
            <w:vAlign w:val="bottom"/>
            <w:tcBorders>
              <w:bottom w:val="single" w:sz="8" w:color="auto"/>
            </w:tcBorders>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Effective rate</w:t>
            </w: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23.2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26.9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60" w:firstLine="472"/>
        <w:spacing w:after="0" w:line="247" w:lineRule="auto"/>
        <w:rPr>
          <w:sz w:val="20"/>
          <w:szCs w:val="20"/>
          <w:color w:val="auto"/>
        </w:rPr>
      </w:pPr>
      <w:r>
        <w:rPr>
          <w:rFonts w:ascii="Arial" w:cs="Arial" w:eastAsia="Arial" w:hAnsi="Arial"/>
          <w:sz w:val="17"/>
          <w:szCs w:val="17"/>
          <w:color w:val="auto"/>
        </w:rPr>
        <w:t>The decrease in the effective tax rate is primarily the result of filing amended federal and state income tax returns in 2021. The Company amended the 2019 federal tax return to incorporate changes in tax regulations which generated a net operating loss that was carried back to tax years 2014 to 2016, which were at a higher federal tax rate. Other, net includes the impact of amended state returns reflecting changes in apportioned state income. These amendments resulted in a current year tax benefit. In addition, there was a decrease in the US tax reform provision resulting from the provisions of the Tax Cut and Jobs Act, a decrease in state tax expense and a decrease in foreign tax expense due to mix of taxable income which were partially offset by an increase in valuation allowances.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8" w:name="page79"/>
    <w:bookmarkEnd w:id="78"/>
    <w:p>
      <w:pPr>
        <w:ind w:left="480"/>
        <w:spacing w:after="0"/>
        <w:rPr>
          <w:sz w:val="20"/>
          <w:szCs w:val="20"/>
          <w:color w:val="auto"/>
        </w:rPr>
      </w:pPr>
      <w:r>
        <w:rPr>
          <w:rFonts w:ascii="Arial" w:cs="Arial" w:eastAsia="Arial" w:hAnsi="Arial"/>
          <w:sz w:val="17"/>
          <w:szCs w:val="17"/>
          <w:color w:val="auto"/>
        </w:rPr>
        <w:t>Components of deferred tax assets and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110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 assets: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6840" w:type="dxa"/>
            <w:vAlign w:val="bottom"/>
            <w:gridSpan w:val="2"/>
          </w:tcPr>
          <w:p>
            <w:pPr>
              <w:ind w:left="200"/>
              <w:spacing w:after="0"/>
              <w:rPr>
                <w:sz w:val="20"/>
                <w:szCs w:val="20"/>
                <w:color w:val="auto"/>
              </w:rPr>
            </w:pPr>
            <w:r>
              <w:rPr>
                <w:rFonts w:ascii="Arial" w:cs="Arial" w:eastAsia="Arial" w:hAnsi="Arial"/>
                <w:sz w:val="16"/>
                <w:szCs w:val="16"/>
                <w:color w:val="auto"/>
              </w:rPr>
              <w:t>Accrued expenses and reserves</w:t>
            </w:r>
          </w:p>
        </w:tc>
        <w:tc>
          <w:tcPr>
            <w:tcW w:w="8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8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Warranty reserve</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500" w:type="dxa"/>
            <w:vAlign w:val="bottom"/>
          </w:tcPr>
          <w:p>
            <w:pPr>
              <w:spacing w:after="0"/>
              <w:rPr>
                <w:sz w:val="17"/>
                <w:szCs w:val="17"/>
                <w:color w:val="auto"/>
              </w:rPr>
            </w:pPr>
          </w:p>
        </w:tc>
        <w:tc>
          <w:tcPr>
            <w:tcW w:w="6840" w:type="dxa"/>
            <w:vAlign w:val="bottom"/>
            <w:gridSpan w:val="2"/>
          </w:tcPr>
          <w:p>
            <w:pPr>
              <w:ind w:left="200"/>
              <w:spacing w:after="0"/>
              <w:rPr>
                <w:sz w:val="20"/>
                <w:szCs w:val="20"/>
                <w:color w:val="auto"/>
              </w:rPr>
            </w:pPr>
            <w:r>
              <w:rPr>
                <w:rFonts w:ascii="Arial" w:cs="Arial" w:eastAsia="Arial" w:hAnsi="Arial"/>
                <w:sz w:val="16"/>
                <w:szCs w:val="16"/>
                <w:color w:val="auto"/>
              </w:rPr>
              <w:t>Deferred compensation/employee benefits</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Right-of-use asset</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6"/>
        </w:trPr>
        <w:tc>
          <w:tcPr>
            <w:tcW w:w="500" w:type="dxa"/>
            <w:vAlign w:val="bottom"/>
          </w:tcPr>
          <w:p>
            <w:pPr>
              <w:spacing w:after="0"/>
              <w:rPr>
                <w:sz w:val="17"/>
                <w:szCs w:val="17"/>
                <w:color w:val="auto"/>
              </w:rPr>
            </w:pPr>
          </w:p>
        </w:tc>
        <w:tc>
          <w:tcPr>
            <w:tcW w:w="6840" w:type="dxa"/>
            <w:vAlign w:val="bottom"/>
            <w:gridSpan w:val="2"/>
          </w:tcPr>
          <w:p>
            <w:pPr>
              <w:ind w:left="200"/>
              <w:spacing w:after="0"/>
              <w:rPr>
                <w:sz w:val="20"/>
                <w:szCs w:val="20"/>
                <w:color w:val="auto"/>
              </w:rPr>
            </w:pPr>
            <w:r>
              <w:rPr>
                <w:rFonts w:ascii="Arial" w:cs="Arial" w:eastAsia="Arial" w:hAnsi="Arial"/>
                <w:sz w:val="16"/>
                <w:szCs w:val="16"/>
                <w:color w:val="auto"/>
              </w:rPr>
              <w:t>Pension and postretirement obligations</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Property, plant &amp; equipment</w:t>
            </w:r>
          </w:p>
        </w:tc>
        <w:tc>
          <w:tcPr>
            <w:tcW w:w="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500" w:type="dxa"/>
            <w:vAlign w:val="bottom"/>
          </w:tcPr>
          <w:p>
            <w:pPr>
              <w:spacing w:after="0"/>
              <w:rPr>
                <w:sz w:val="17"/>
                <w:szCs w:val="17"/>
                <w:color w:val="auto"/>
              </w:rPr>
            </w:pPr>
          </w:p>
        </w:tc>
        <w:tc>
          <w:tcPr>
            <w:tcW w:w="6840" w:type="dxa"/>
            <w:vAlign w:val="bottom"/>
            <w:gridSpan w:val="2"/>
          </w:tcPr>
          <w:p>
            <w:pPr>
              <w:ind w:left="200"/>
              <w:spacing w:after="0"/>
              <w:rPr>
                <w:sz w:val="20"/>
                <w:szCs w:val="20"/>
                <w:color w:val="auto"/>
              </w:rPr>
            </w:pPr>
            <w:r>
              <w:rPr>
                <w:rFonts w:ascii="Arial" w:cs="Arial" w:eastAsia="Arial" w:hAnsi="Arial"/>
                <w:sz w:val="16"/>
                <w:szCs w:val="16"/>
                <w:color w:val="auto"/>
              </w:rPr>
              <w:t>Inventory</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operating loss carry forwards</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6"/>
        </w:trPr>
        <w:tc>
          <w:tcPr>
            <w:tcW w:w="50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6"/>
        </w:trPr>
        <w:tc>
          <w:tcPr>
            <w:tcW w:w="50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deferred income tax assets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06"/>
        </w:trPr>
        <w:tc>
          <w:tcPr>
            <w:tcW w:w="50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Valuation allowance</w:t>
            </w:r>
          </w:p>
        </w:tc>
        <w:tc>
          <w:tcPr>
            <w:tcW w:w="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50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deferred income tax assets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6"/>
        </w:trPr>
        <w:tc>
          <w:tcPr>
            <w:tcW w:w="500" w:type="dxa"/>
            <w:vAlign w:val="bottom"/>
          </w:tcPr>
          <w:p>
            <w:pPr>
              <w:spacing w:after="0"/>
              <w:rPr>
                <w:sz w:val="17"/>
                <w:szCs w:val="17"/>
                <w:color w:val="auto"/>
              </w:rPr>
            </w:pPr>
          </w:p>
        </w:tc>
        <w:tc>
          <w:tcPr>
            <w:tcW w:w="6840" w:type="dxa"/>
            <w:vAlign w:val="bottom"/>
            <w:gridSpan w:val="2"/>
          </w:tcPr>
          <w:p>
            <w:pPr>
              <w:spacing w:after="0"/>
              <w:rPr>
                <w:sz w:val="20"/>
                <w:szCs w:val="20"/>
                <w:color w:val="auto"/>
              </w:rPr>
            </w:pPr>
            <w:r>
              <w:rPr>
                <w:rFonts w:ascii="Arial" w:cs="Arial" w:eastAsia="Arial" w:hAnsi="Arial"/>
                <w:sz w:val="16"/>
                <w:szCs w:val="16"/>
                <w:color w:val="auto"/>
              </w:rPr>
              <w:t>Deferred income tax liabilities:</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Property, plant &amp; equipment</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0" w:type="dxa"/>
            <w:vAlign w:val="bottom"/>
          </w:tcPr>
          <w:p>
            <w:pPr>
              <w:spacing w:after="0"/>
              <w:rPr>
                <w:sz w:val="17"/>
                <w:szCs w:val="17"/>
                <w:color w:val="auto"/>
              </w:rPr>
            </w:pPr>
          </w:p>
        </w:tc>
        <w:tc>
          <w:tcPr>
            <w:tcW w:w="6840" w:type="dxa"/>
            <w:vAlign w:val="bottom"/>
            <w:gridSpan w:val="2"/>
          </w:tcPr>
          <w:p>
            <w:pPr>
              <w:ind w:left="200"/>
              <w:spacing w:after="0"/>
              <w:rPr>
                <w:sz w:val="20"/>
                <w:szCs w:val="20"/>
                <w:color w:val="auto"/>
              </w:rPr>
            </w:pPr>
            <w:r>
              <w:rPr>
                <w:rFonts w:ascii="Arial" w:cs="Arial" w:eastAsia="Arial" w:hAnsi="Arial"/>
                <w:sz w:val="16"/>
                <w:szCs w:val="16"/>
                <w:color w:val="auto"/>
              </w:rPr>
              <w:t>Right-of-use liability</w:t>
            </w: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5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199"/>
        </w:trPr>
        <w:tc>
          <w:tcPr>
            <w:tcW w:w="50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deferred income tax liabilities</w:t>
            </w:r>
          </w:p>
        </w:tc>
        <w:tc>
          <w:tcPr>
            <w:tcW w:w="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deferred income tax liability</w:t>
            </w:r>
          </w:p>
        </w:tc>
        <w:tc>
          <w:tcPr>
            <w:tcW w:w="8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80" w:firstLine="472"/>
        <w:spacing w:after="0" w:line="236"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 As of December 31, 2021, the valuation allowance for certain foreign deferred tax asset carryforwards was $(64) million primarily in China, Denmark, France, the Netherlands, South Africa, and the United States. The increase in valuation allowance in 2021 is primarily related to state net operating loss carry-forwards that are not expected to be realized.</w:t>
      </w:r>
    </w:p>
    <w:p>
      <w:pPr>
        <w:spacing w:after="0" w:line="83" w:lineRule="exact"/>
        <w:rPr>
          <w:sz w:val="20"/>
          <w:szCs w:val="20"/>
          <w:color w:val="auto"/>
        </w:rPr>
      </w:pPr>
    </w:p>
    <w:p>
      <w:pPr>
        <w:ind w:right="140" w:firstLine="472"/>
        <w:spacing w:after="0" w:line="289" w:lineRule="auto"/>
        <w:rPr>
          <w:sz w:val="20"/>
          <w:szCs w:val="20"/>
          <w:color w:val="auto"/>
        </w:rPr>
      </w:pPr>
      <w:r>
        <w:rPr>
          <w:rFonts w:ascii="Arial" w:cs="Arial" w:eastAsia="Arial" w:hAnsi="Arial"/>
          <w:sz w:val="17"/>
          <w:szCs w:val="17"/>
          <w:color w:val="auto"/>
        </w:rPr>
        <w:t>The Company has net operating loss carry-forwards in the amount of $311 million, of which $192 million are indefinite lived, $66 million expire within ten years and $53 million expire in various periods between December 31, 2032 to December 31, 2041.</w:t>
      </w:r>
    </w:p>
    <w:p>
      <w:pPr>
        <w:spacing w:after="0" w:line="53" w:lineRule="exact"/>
        <w:rPr>
          <w:sz w:val="20"/>
          <w:szCs w:val="20"/>
          <w:color w:val="auto"/>
        </w:rPr>
      </w:pPr>
    </w:p>
    <w:p>
      <w:pPr>
        <w:ind w:firstLine="472"/>
        <w:spacing w:after="0" w:line="267" w:lineRule="auto"/>
        <w:rPr>
          <w:sz w:val="20"/>
          <w:szCs w:val="20"/>
          <w:color w:val="auto"/>
        </w:rPr>
      </w:pPr>
      <w:r>
        <w:rPr>
          <w:rFonts w:ascii="Arial" w:cs="Arial" w:eastAsia="Arial" w:hAnsi="Arial"/>
          <w:sz w:val="17"/>
          <w:szCs w:val="17"/>
          <w:color w:val="auto"/>
        </w:rPr>
        <w:t>As of December 31, 2021, the liability for income taxes associated with unrecognized tax benefits was $32 million, of which $18 million, if recognized, would favorably affect the Company’s effective income tax rate. As of December 31, 2020, the liability for income taxes associated with unrecognized tax benefits was $16 million, of which $15 million, if recognized, would favorably affect the Company’s effective income tax rate. A reconciliation of the beginning and ending amount of the liability for income taxes associated with unrecognized tax benefits follows:</w:t>
      </w:r>
    </w:p>
    <w:tbl>
      <w:tblPr>
        <w:tblLayout w:type="fixed"/>
        <w:tblInd w:w="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spacing w:after="0"/>
              <w:rPr>
                <w:sz w:val="15"/>
                <w:szCs w:val="15"/>
                <w:color w:val="auto"/>
              </w:rPr>
            </w:pPr>
          </w:p>
        </w:tc>
        <w:tc>
          <w:tcPr>
            <w:tcW w:w="1060" w:type="dxa"/>
            <w:vAlign w:val="bottom"/>
          </w:tcPr>
          <w:p>
            <w:pPr>
              <w:ind w:left="220"/>
              <w:spacing w:after="0" w:line="17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ind w:right="461"/>
              <w:spacing w:after="0" w:line="178"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441"/>
              <w:spacing w:after="0" w:line="178" w:lineRule="exact"/>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liability for unrecognized tax benefits at beginning of year</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6"/>
        </w:trPr>
        <w:tc>
          <w:tcPr>
            <w:tcW w:w="5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Gross increases - unrecognized tax benefits in prior periods</w:t>
            </w:r>
          </w:p>
        </w:tc>
        <w:tc>
          <w:tcPr>
            <w:tcW w:w="78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decreases - audit settlement during year</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Gross decreases - expiration of audit statute of limitations</w:t>
            </w:r>
          </w:p>
        </w:tc>
        <w:tc>
          <w:tcPr>
            <w:tcW w:w="780" w:type="dxa"/>
            <w:vAlign w:val="bottom"/>
          </w:tcPr>
          <w:p>
            <w:pPr>
              <w:spacing w:after="0"/>
              <w:rPr>
                <w:sz w:val="17"/>
                <w:szCs w:val="17"/>
                <w:color w:val="auto"/>
              </w:rPr>
            </w:pPr>
          </w:p>
        </w:tc>
        <w:tc>
          <w:tcPr>
            <w:tcW w:w="1060" w:type="dxa"/>
            <w:vAlign w:val="bottom"/>
          </w:tcPr>
          <w:p>
            <w:pPr>
              <w:ind w:left="86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5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liability for unrecognized tax benefits at end of year</w:t>
            </w:r>
          </w:p>
        </w:tc>
        <w:tc>
          <w:tcPr>
            <w:tcW w:w="7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60" w:firstLine="472"/>
        <w:spacing w:after="0" w:line="289" w:lineRule="auto"/>
        <w:rPr>
          <w:sz w:val="20"/>
          <w:szCs w:val="20"/>
          <w:color w:val="auto"/>
        </w:rPr>
      </w:pPr>
      <w:r>
        <w:rPr>
          <w:rFonts w:ascii="Arial" w:cs="Arial" w:eastAsia="Arial" w:hAnsi="Arial"/>
          <w:sz w:val="17"/>
          <w:szCs w:val="17"/>
          <w:color w:val="auto"/>
        </w:rPr>
        <w:t>The Company includes interest and penalties related to unrecognized tax benefits in income tax expense. As of December 31, 2021 and 2020, the total interest and penalties accrued was approximately $5 million.</w:t>
      </w:r>
    </w:p>
    <w:p>
      <w:pPr>
        <w:spacing w:after="0" w:line="5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With limited exception, the Company is no longer subject to examination by various U.S. and foreign taxing authorities for years before 2016. At this time, the Company believes that it is reasonably possible that unrecognized tax benefits of approximately $5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12. EARNINGS PER SHARE</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computation of earnings per share from operations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440"/>
              <w:spacing w:after="0"/>
              <w:rPr>
                <w:sz w:val="20"/>
                <w:szCs w:val="20"/>
                <w:color w:val="auto"/>
              </w:rPr>
            </w:pPr>
            <w:r>
              <w:rPr>
                <w:rFonts w:ascii="Arial" w:cs="Arial" w:eastAsia="Arial" w:hAnsi="Arial"/>
                <w:sz w:val="16"/>
                <w:szCs w:val="16"/>
                <w:b w:val="1"/>
                <w:bCs w:val="1"/>
                <w:color w:val="auto"/>
                <w:w w:val="92"/>
              </w:rPr>
              <w:t>For the Year Ended</w:t>
            </w: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6"/>
        </w:trPr>
        <w:tc>
          <w:tcPr>
            <w:tcW w:w="50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760" w:type="dxa"/>
            <w:vAlign w:val="bottom"/>
          </w:tcPr>
          <w:p>
            <w:pPr>
              <w:spacing w:after="0"/>
              <w:rPr>
                <w:sz w:val="14"/>
                <w:szCs w:val="14"/>
                <w:color w:val="auto"/>
              </w:rPr>
            </w:pPr>
          </w:p>
        </w:tc>
        <w:tc>
          <w:tcPr>
            <w:tcW w:w="1000" w:type="dxa"/>
            <w:vAlign w:val="bottom"/>
          </w:tcPr>
          <w:p>
            <w:pPr>
              <w:jc w:val="right"/>
              <w:ind w:right="401"/>
              <w:spacing w:after="0" w:line="16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381"/>
              <w:spacing w:after="0" w:line="16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01"/>
              <w:spacing w:after="0" w:line="166" w:lineRule="exact"/>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Net income attributable to Wabtec common shareholders - basic</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7"/>
                <w:szCs w:val="17"/>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325</w:t>
            </w:r>
          </w:p>
        </w:tc>
      </w:tr>
      <w:tr>
        <w:trPr>
          <w:trHeight w:val="210"/>
        </w:trPr>
        <w:tc>
          <w:tcPr>
            <w:tcW w:w="5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 dividends declared - preferred shares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w w:val="99"/>
              </w:rPr>
              <w:t>Net income attributable to Wabtec common shareholders - diluted</w:t>
            </w:r>
          </w:p>
        </w:tc>
        <w:tc>
          <w:tcPr>
            <w:tcW w:w="7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326</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Denominator</w:t>
            </w: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basic</w:t>
            </w:r>
          </w:p>
        </w:tc>
        <w:tc>
          <w:tcPr>
            <w:tcW w:w="7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170.5</w:t>
            </w:r>
          </w:p>
        </w:tc>
      </w:tr>
      <w:tr>
        <w:trPr>
          <w:trHeight w:val="213"/>
        </w:trPr>
        <w:tc>
          <w:tcPr>
            <w:tcW w:w="5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Assumed conversion of preferred shares</w:t>
            </w:r>
          </w:p>
        </w:tc>
        <w:tc>
          <w:tcPr>
            <w:tcW w:w="7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6.4</w:t>
            </w:r>
          </w:p>
        </w:tc>
      </w:tr>
      <w:tr>
        <w:trPr>
          <w:trHeight w:val="210"/>
        </w:trPr>
        <w:tc>
          <w:tcPr>
            <w:tcW w:w="5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Assumed conversion of dilutive stock-based compensation plans</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diluted</w:t>
            </w: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177.3</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0"/>
              </w:rPr>
              <w:t>Net income per common share attributable to Wabtec shareholders</w:t>
            </w: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6"/>
        </w:trPr>
        <w:tc>
          <w:tcPr>
            <w:tcW w:w="50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1.91</w:t>
            </w:r>
          </w:p>
        </w:tc>
      </w:tr>
      <w:tr>
        <w:trPr>
          <w:trHeight w:val="213"/>
        </w:trPr>
        <w:tc>
          <w:tcPr>
            <w:tcW w:w="5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w:t>
            </w:r>
          </w:p>
        </w:tc>
      </w:tr>
    </w:tbl>
    <w:p>
      <w:pPr>
        <w:spacing w:after="0" w:line="236" w:lineRule="exact"/>
        <w:rPr>
          <w:sz w:val="20"/>
          <w:szCs w:val="20"/>
          <w:color w:val="auto"/>
        </w:rPr>
      </w:pPr>
    </w:p>
    <w:p>
      <w:pPr>
        <w:ind w:right="260" w:firstLine="472"/>
        <w:spacing w:after="0" w:line="265"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resulting in a variance between net income used in the numerator and Net income attributable to Wabtec shareholders shown within the Consolidated Statements of Income. Additionally, the weighted average share counts in the denominator excludes the dilutive impact of the respective non-vested restricted stock.</w:t>
      </w:r>
    </w:p>
    <w:p>
      <w:pPr>
        <w:spacing w:after="0" w:line="126" w:lineRule="exact"/>
        <w:rPr>
          <w:sz w:val="20"/>
          <w:szCs w:val="20"/>
          <w:color w:val="auto"/>
        </w:rPr>
      </w:pPr>
    </w:p>
    <w:p>
      <w:pPr>
        <w:ind w:right="260" w:firstLine="472"/>
        <w:spacing w:after="0" w:line="273" w:lineRule="auto"/>
        <w:rPr>
          <w:sz w:val="20"/>
          <w:szCs w:val="20"/>
          <w:color w:val="auto"/>
        </w:rPr>
      </w:pPr>
      <w:r>
        <w:rPr>
          <w:rFonts w:ascii="Arial" w:cs="Arial" w:eastAsia="Arial" w:hAnsi="Arial"/>
          <w:sz w:val="17"/>
          <w:szCs w:val="17"/>
          <w:color w:val="auto"/>
        </w:rPr>
        <w:t>Approximately 0.4 million, and 0.3 million outstanding shares of Common Stock for the years ended December 31, 2020 and 2019, respectively, were not included in the computation of year-to-date diluted earnings per share because their exercise price exceeded the average market price of the Company's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STOCK-BASED COMPENSATION PLANS</w:t>
      </w:r>
    </w:p>
    <w:p>
      <w:pPr>
        <w:spacing w:after="0" w:line="125" w:lineRule="exact"/>
        <w:rPr>
          <w:sz w:val="20"/>
          <w:szCs w:val="20"/>
          <w:color w:val="auto"/>
        </w:rPr>
      </w:pPr>
    </w:p>
    <w:p>
      <w:pPr>
        <w:ind w:right="20" w:firstLine="472"/>
        <w:spacing w:after="0" w:line="279" w:lineRule="auto"/>
        <w:rPr>
          <w:sz w:val="20"/>
          <w:szCs w:val="20"/>
          <w:color w:val="auto"/>
        </w:rPr>
      </w:pPr>
      <w:r>
        <w:rPr>
          <w:rFonts w:ascii="Arial" w:cs="Arial" w:eastAsia="Arial" w:hAnsi="Arial"/>
          <w:sz w:val="16"/>
          <w:szCs w:val="16"/>
          <w:color w:val="auto"/>
        </w:rPr>
        <w:t>As of December 31, 2021,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2021 the number of shares available for future grants under the 2011 Plan was 6,399,200 shares, which includes remaining shares to grant under the 2000 Plan. The Company also maintains a 1995 Non-Employee Directors’ Fee and Stock Option Plan as amended and restated (“the Directors Plan”). The Directors Plan, as amended, authorizes a total of 1,000,000 shares of Common Stock to be issued. Under the Directors Plan options issued become exercisable over a three-year vesting period and expire ten years from the date of grant, and restricted stock issued under the plan vests one year from the date of grant. The amount of restricted stock issued to non-employee directors as compensation for directors’ fees was as follows: 18,142 shares for 2021; 23,152 shares for 2020; and 15,729 shares for 2019. The total number of shares issued under the Directors Plan as of December 31, 2021 was 951,175 shares.</w:t>
      </w:r>
    </w:p>
    <w:p>
      <w:pPr>
        <w:spacing w:after="0" w:line="66" w:lineRule="exact"/>
        <w:rPr>
          <w:sz w:val="20"/>
          <w:szCs w:val="20"/>
          <w:color w:val="auto"/>
        </w:rPr>
      </w:pPr>
    </w:p>
    <w:p>
      <w:pPr>
        <w:ind w:firstLine="472"/>
        <w:spacing w:after="0" w:line="283" w:lineRule="auto"/>
        <w:rPr>
          <w:sz w:val="20"/>
          <w:szCs w:val="20"/>
          <w:color w:val="auto"/>
        </w:rPr>
      </w:pPr>
      <w:r>
        <w:rPr>
          <w:rFonts w:ascii="Arial" w:cs="Arial" w:eastAsia="Arial" w:hAnsi="Arial"/>
          <w:sz w:val="16"/>
          <w:szCs w:val="16"/>
          <w:color w:val="auto"/>
        </w:rPr>
        <w:t>Stock-based compensation expense for all of the plans was $46 million, $20 million and $50 million for the years ended December 31, 2021, 2020 and 2019, respectively. The Company recognized associated tax benefits related to the stock-based compensation plans of $1 million, $2 million and $1 million for the respective periods. Included in the stock-based compensation expense for 2021 above is $3 million of expense related to stock options, $13 million related to non-vested restricted stock, $6 million related to restricted stock units, $1 million related to units issued for Directors’ fees and $23 million of expense related to incentive stock units. At December 31, 2021, unamortized compensation expense related to those stock options, non-vested restricted shares and incentive stock units expected to vest totaled $38 million and will be recognized over a weighted period of 1.3 years.</w:t>
      </w:r>
    </w:p>
    <w:p>
      <w:pPr>
        <w:spacing w:after="0" w:line="55" w:lineRule="exact"/>
        <w:rPr>
          <w:sz w:val="20"/>
          <w:szCs w:val="20"/>
          <w:color w:val="auto"/>
        </w:rPr>
      </w:pPr>
    </w:p>
    <w:p>
      <w:pPr>
        <w:jc w:val="both"/>
        <w:ind w:right="200" w:firstLine="472"/>
        <w:spacing w:after="0" w:line="277"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Stock options are granted to eligible employees and directors at the fair market value, which is the average of the high and low Wabtec</w:t>
      </w:r>
      <w:r>
        <w:rPr>
          <w:rFonts w:ascii="Arial" w:cs="Arial" w:eastAsia="Arial" w:hAnsi="Arial"/>
          <w:sz w:val="17"/>
          <w:szCs w:val="17"/>
          <w:b w:val="1"/>
          <w:bCs w:val="1"/>
          <w:color w:val="auto"/>
        </w:rPr>
        <w:t xml:space="preserve"> </w:t>
      </w:r>
      <w:r>
        <w:rPr>
          <w:rFonts w:ascii="Arial" w:cs="Arial" w:eastAsia="Arial" w:hAnsi="Arial"/>
          <w:sz w:val="17"/>
          <w:szCs w:val="17"/>
          <w:color w:val="auto"/>
        </w:rPr>
        <w:t>stock price on the date of grant. Under the 2011 Plan and the 2000 Plan, options become exercisable over a three year vesting period and expire 10 years from the date of grant.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0" w:name="page81"/>
    <w:bookmarkEnd w:id="80"/>
    <w:p>
      <w:pPr>
        <w:ind w:right="120" w:firstLine="472"/>
        <w:spacing w:after="0" w:line="289" w:lineRule="auto"/>
        <w:rPr>
          <w:sz w:val="20"/>
          <w:szCs w:val="20"/>
          <w:color w:val="auto"/>
        </w:rPr>
      </w:pPr>
      <w:r>
        <w:rPr>
          <w:rFonts w:ascii="Arial" w:cs="Arial" w:eastAsia="Arial" w:hAnsi="Arial"/>
          <w:sz w:val="17"/>
          <w:szCs w:val="17"/>
          <w:color w:val="auto"/>
        </w:rPr>
        <w:t>The following table summarizes the Company’s stock option activity and related information for the 2011 Plan, the 2000 Plan and Directors Plan for the years ended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6"/>
                <w:szCs w:val="16"/>
                <w:color w:val="auto"/>
              </w:rPr>
            </w:pPr>
          </w:p>
        </w:tc>
        <w:tc>
          <w:tcPr>
            <w:tcW w:w="12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8"/>
              </w:rPr>
              <w:t>Average</w:t>
            </w:r>
          </w:p>
        </w:tc>
        <w:tc>
          <w:tcPr>
            <w:tcW w:w="1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32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5"/>
              </w:rPr>
              <w:t>Exercise</w:t>
            </w:r>
          </w:p>
        </w:tc>
        <w:tc>
          <w:tcPr>
            <w:tcW w:w="17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7"/>
              </w:rPr>
              <w:t>Remaining</w:t>
            </w:r>
          </w:p>
        </w:tc>
        <w:tc>
          <w:tcPr>
            <w:tcW w:w="140" w:type="dxa"/>
            <w:vAlign w:val="bottom"/>
          </w:tcPr>
          <w:p>
            <w:pPr>
              <w:spacing w:after="0"/>
              <w:rPr>
                <w:sz w:val="13"/>
                <w:szCs w:val="13"/>
                <w:color w:val="auto"/>
              </w:rPr>
            </w:pPr>
          </w:p>
        </w:tc>
        <w:tc>
          <w:tcPr>
            <w:tcW w:w="1200" w:type="dxa"/>
            <w:vAlign w:val="bottom"/>
          </w:tcPr>
          <w:p>
            <w:pPr>
              <w:jc w:val="center"/>
              <w:ind w:right="61"/>
              <w:spacing w:after="0" w:line="158" w:lineRule="exact"/>
              <w:rPr>
                <w:sz w:val="20"/>
                <w:szCs w:val="20"/>
                <w:color w:val="auto"/>
              </w:rPr>
            </w:pPr>
            <w:r>
              <w:rPr>
                <w:rFonts w:ascii="Arial" w:cs="Arial" w:eastAsia="Arial" w:hAnsi="Arial"/>
                <w:sz w:val="16"/>
                <w:szCs w:val="16"/>
                <w:b w:val="1"/>
                <w:bCs w:val="1"/>
                <w:color w:val="auto"/>
                <w:w w:val="91"/>
              </w:rPr>
              <w:t>Intrinsic value</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Contractual Life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(in millions)</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134,450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70.44</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(8,235)</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73.00</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136,506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77.75</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(85,716)</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73.73</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126,794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81.21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(33,820)</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73.53</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531,915</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December 31, 2021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73.39</w:t>
            </w: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308,591</w:t>
            </w:r>
          </w:p>
        </w:tc>
        <w:tc>
          <w:tcPr>
            <w:tcW w:w="34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Options outstanding at December 31, 2021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6"/>
                <w:szCs w:val="16"/>
                <w:b w:val="1"/>
                <w:bCs w:val="1"/>
                <w:color w:val="auto"/>
                <w:w w:val="88"/>
              </w:rPr>
              <w:t>Weighted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8"/>
              </w:rPr>
              <w:t>Weighted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left="321"/>
              <w:spacing w:after="0" w:line="158" w:lineRule="exact"/>
              <w:rPr>
                <w:sz w:val="20"/>
                <w:szCs w:val="20"/>
                <w:color w:val="auto"/>
              </w:rPr>
            </w:pPr>
            <w:r>
              <w:rPr>
                <w:rFonts w:ascii="Arial" w:cs="Arial" w:eastAsia="Arial" w:hAnsi="Arial"/>
                <w:sz w:val="16"/>
                <w:szCs w:val="16"/>
                <w:b w:val="1"/>
                <w:bCs w:val="1"/>
                <w:color w:val="auto"/>
                <w:w w:val="88"/>
              </w:rPr>
              <w:t>Average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left="321"/>
              <w:spacing w:after="0" w:line="158" w:lineRule="exact"/>
              <w:rPr>
                <w:sz w:val="20"/>
                <w:szCs w:val="20"/>
                <w:color w:val="auto"/>
              </w:rPr>
            </w:pPr>
            <w:r>
              <w:rPr>
                <w:rFonts w:ascii="Arial" w:cs="Arial" w:eastAsia="Arial" w:hAnsi="Arial"/>
                <w:sz w:val="16"/>
                <w:szCs w:val="16"/>
                <w:b w:val="1"/>
                <w:bCs w:val="1"/>
                <w:color w:val="auto"/>
                <w:w w:val="85"/>
              </w:rPr>
              <w:t>Exercise</w:t>
            </w:r>
          </w:p>
        </w:tc>
        <w:tc>
          <w:tcPr>
            <w:tcW w:w="108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5"/>
              </w:rPr>
              <w:t>Average</w:t>
            </w: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left="321"/>
              <w:spacing w:after="0" w:line="158" w:lineRule="exact"/>
              <w:rPr>
                <w:sz w:val="20"/>
                <w:szCs w:val="20"/>
                <w:color w:val="auto"/>
              </w:rPr>
            </w:pPr>
            <w:r>
              <w:rPr>
                <w:rFonts w:ascii="Arial" w:cs="Arial" w:eastAsia="Arial" w:hAnsi="Arial"/>
                <w:sz w:val="16"/>
                <w:szCs w:val="16"/>
                <w:b w:val="1"/>
                <w:bCs w:val="1"/>
                <w:color w:val="auto"/>
                <w:w w:val="88"/>
              </w:rPr>
              <w:t>Price of</w:t>
            </w: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Remaining</w:t>
            </w: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41"/>
              <w:spacing w:after="0" w:line="158" w:lineRule="exact"/>
              <w:rPr>
                <w:sz w:val="20"/>
                <w:szCs w:val="20"/>
                <w:color w:val="auto"/>
              </w:rPr>
            </w:pPr>
            <w:r>
              <w:rPr>
                <w:rFonts w:ascii="Arial" w:cs="Arial" w:eastAsia="Arial" w:hAnsi="Arial"/>
                <w:sz w:val="16"/>
                <w:szCs w:val="16"/>
                <w:b w:val="1"/>
                <w:bCs w:val="1"/>
                <w:color w:val="auto"/>
                <w:w w:val="86"/>
              </w:rPr>
              <w:t>Exercise Price of</w:t>
            </w:r>
          </w:p>
        </w:tc>
        <w:tc>
          <w:tcPr>
            <w:tcW w:w="0" w:type="dxa"/>
            <w:vAlign w:val="bottom"/>
          </w:tcPr>
          <w:p>
            <w:pPr>
              <w:spacing w:after="0"/>
              <w:rPr>
                <w:sz w:val="1"/>
                <w:szCs w:val="1"/>
                <w:color w:val="auto"/>
              </w:rPr>
            </w:pPr>
          </w:p>
        </w:tc>
      </w:tr>
      <w:tr>
        <w:trPr>
          <w:trHeight w:val="157"/>
        </w:trPr>
        <w:tc>
          <w:tcPr>
            <w:tcW w:w="3000" w:type="dxa"/>
            <w:vAlign w:val="bottom"/>
            <w:gridSpan w:val="3"/>
            <w:vMerge w:val="restart"/>
          </w:tcPr>
          <w:p>
            <w:pPr>
              <w:ind w:left="1080"/>
              <w:spacing w:after="0"/>
              <w:rPr>
                <w:sz w:val="20"/>
                <w:szCs w:val="20"/>
                <w:color w:val="auto"/>
              </w:rPr>
            </w:pPr>
            <w:r>
              <w:rPr>
                <w:rFonts w:ascii="Arial" w:cs="Arial" w:eastAsia="Arial" w:hAnsi="Arial"/>
                <w:sz w:val="16"/>
                <w:szCs w:val="16"/>
                <w:b w:val="1"/>
                <w:bCs w:val="1"/>
                <w:color w:val="auto"/>
              </w:rPr>
              <w:t>Range of exercise prices</w:t>
            </w:r>
          </w:p>
        </w:tc>
        <w:tc>
          <w:tcPr>
            <w:tcW w:w="1120" w:type="dxa"/>
            <w:vAlign w:val="bottom"/>
            <w:gridSpan w:val="2"/>
          </w:tcPr>
          <w:p>
            <w:pPr>
              <w:jc w:val="center"/>
              <w:ind w:left="321"/>
              <w:spacing w:after="0" w:line="158" w:lineRule="exact"/>
              <w:rPr>
                <w:sz w:val="20"/>
                <w:szCs w:val="20"/>
                <w:color w:val="auto"/>
              </w:rPr>
            </w:pPr>
            <w:r>
              <w:rPr>
                <w:rFonts w:ascii="Arial" w:cs="Arial" w:eastAsia="Arial" w:hAnsi="Arial"/>
                <w:sz w:val="16"/>
                <w:szCs w:val="16"/>
                <w:b w:val="1"/>
                <w:bCs w:val="1"/>
                <w:color w:val="auto"/>
                <w:w w:val="85"/>
              </w:rPr>
              <w:t>Options</w:t>
            </w:r>
          </w:p>
        </w:tc>
        <w:tc>
          <w:tcPr>
            <w:tcW w:w="1080" w:type="dxa"/>
            <w:vAlign w:val="bottom"/>
          </w:tcPr>
          <w:p>
            <w:pPr>
              <w:jc w:val="right"/>
              <w:ind w:right="321"/>
              <w:spacing w:after="0" w:line="158" w:lineRule="exact"/>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Contractual</w:t>
            </w: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Currently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41"/>
              <w:spacing w:after="0" w:line="158" w:lineRule="exact"/>
              <w:rPr>
                <w:sz w:val="20"/>
                <w:szCs w:val="20"/>
                <w:color w:val="auto"/>
              </w:rPr>
            </w:pPr>
            <w:r>
              <w:rPr>
                <w:rFonts w:ascii="Arial" w:cs="Arial" w:eastAsia="Arial" w:hAnsi="Arial"/>
                <w:sz w:val="16"/>
                <w:szCs w:val="16"/>
                <w:b w:val="1"/>
                <w:bCs w:val="1"/>
                <w:color w:val="auto"/>
                <w:w w:val="91"/>
              </w:rPr>
              <w:t>Options Currently</w:t>
            </w:r>
          </w:p>
        </w:tc>
        <w:tc>
          <w:tcPr>
            <w:tcW w:w="0" w:type="dxa"/>
            <w:vAlign w:val="bottom"/>
          </w:tcPr>
          <w:p>
            <w:pPr>
              <w:spacing w:after="0"/>
              <w:rPr>
                <w:sz w:val="1"/>
                <w:szCs w:val="1"/>
                <w:color w:val="auto"/>
              </w:rPr>
            </w:pPr>
          </w:p>
        </w:tc>
      </w:tr>
      <w:tr>
        <w:trPr>
          <w:trHeight w:val="170"/>
        </w:trPr>
        <w:tc>
          <w:tcPr>
            <w:tcW w:w="3000" w:type="dxa"/>
            <w:vAlign w:val="bottom"/>
            <w:gridSpan w:val="3"/>
            <w:vMerge w:val="continue"/>
          </w:tcPr>
          <w:p>
            <w:pPr>
              <w:spacing w:after="0"/>
              <w:rPr>
                <w:sz w:val="14"/>
                <w:szCs w:val="14"/>
                <w:color w:val="auto"/>
              </w:rPr>
            </w:pPr>
          </w:p>
        </w:tc>
        <w:tc>
          <w:tcPr>
            <w:tcW w:w="2200" w:type="dxa"/>
            <w:vAlign w:val="bottom"/>
            <w:gridSpan w:val="3"/>
          </w:tcPr>
          <w:p>
            <w:pPr>
              <w:jc w:val="right"/>
              <w:ind w:right="181"/>
              <w:spacing w:after="0" w:line="171" w:lineRule="exact"/>
              <w:rPr>
                <w:sz w:val="20"/>
                <w:szCs w:val="20"/>
                <w:color w:val="auto"/>
              </w:rPr>
            </w:pPr>
            <w:r>
              <w:rPr>
                <w:rFonts w:ascii="Arial" w:cs="Arial" w:eastAsia="Arial" w:hAnsi="Arial"/>
                <w:sz w:val="16"/>
                <w:szCs w:val="16"/>
                <w:b w:val="1"/>
                <w:bCs w:val="1"/>
                <w:color w:val="auto"/>
              </w:rPr>
              <w:t>OutstandingOutstanding</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1"/>
              </w:rPr>
              <w:t>Life</w:t>
            </w:r>
          </w:p>
        </w:tc>
        <w:tc>
          <w:tcPr>
            <w:tcW w:w="13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7"/>
              </w:rPr>
              <w:t>Exercisable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41"/>
              <w:spacing w:after="0" w:line="171" w:lineRule="exact"/>
              <w:rPr>
                <w:sz w:val="20"/>
                <w:szCs w:val="20"/>
                <w:color w:val="auto"/>
              </w:rPr>
            </w:pPr>
            <w:r>
              <w:rPr>
                <w:rFonts w:ascii="Arial" w:cs="Arial" w:eastAsia="Arial" w:hAnsi="Arial"/>
                <w:sz w:val="16"/>
                <w:szCs w:val="16"/>
                <w:b w:val="1"/>
                <w:bCs w:val="1"/>
                <w:color w:val="auto"/>
                <w:w w:val="85"/>
              </w:rPr>
              <w:t>Exercisable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35.00 - 50.00</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47.80</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20"/>
                <w:szCs w:val="20"/>
                <w:color w:val="auto"/>
              </w:rPr>
            </w:pPr>
            <w:r>
              <w:rPr>
                <w:rFonts w:ascii="Arial" w:cs="Arial" w:eastAsia="Arial" w:hAnsi="Arial"/>
                <w:sz w:val="16"/>
                <w:szCs w:val="16"/>
                <w:color w:val="auto"/>
              </w:rPr>
              <w:t>50.00 - 65.00</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40,317</w:t>
            </w:r>
          </w:p>
        </w:tc>
        <w:tc>
          <w:tcPr>
            <w:tcW w:w="6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37,217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60.52</w:t>
            </w:r>
          </w:p>
        </w:tc>
        <w:tc>
          <w:tcPr>
            <w:tcW w:w="0" w:type="dxa"/>
            <w:vAlign w:val="bottom"/>
          </w:tcPr>
          <w:p>
            <w:pPr>
              <w:spacing w:after="0"/>
              <w:rPr>
                <w:sz w:val="1"/>
                <w:szCs w:val="1"/>
                <w:color w:val="auto"/>
              </w:rPr>
            </w:pPr>
          </w:p>
        </w:tc>
      </w:tr>
      <w:tr>
        <w:trPr>
          <w:trHeight w:val="213"/>
        </w:trPr>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65.00 - 80.00</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248,483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Over 80.00</w:t>
            </w:r>
          </w:p>
        </w:tc>
        <w:tc>
          <w:tcPr>
            <w:tcW w:w="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208,113</w:t>
            </w:r>
          </w:p>
        </w:tc>
        <w:tc>
          <w:tcPr>
            <w:tcW w:w="600" w:type="dxa"/>
            <w:vAlign w:val="bottom"/>
            <w:tcBorders>
              <w:bottom w:val="single" w:sz="8" w:color="CCEEFF"/>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84.36</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92,510</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31"/>
        </w:trPr>
        <w:tc>
          <w:tcPr>
            <w:tcW w:w="10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531,915</w:t>
            </w: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308,591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right="160" w:firstLine="498"/>
        <w:spacing w:after="0" w:line="280" w:lineRule="auto"/>
        <w:rPr>
          <w:sz w:val="20"/>
          <w:szCs w:val="20"/>
          <w:color w:val="auto"/>
        </w:rPr>
      </w:pPr>
      <w:r>
        <w:rPr>
          <w:rFonts w:ascii="Arial" w:cs="Arial" w:eastAsia="Arial" w:hAnsi="Arial"/>
          <w:sz w:val="17"/>
          <w:szCs w:val="17"/>
          <w:color w:val="auto"/>
        </w:rPr>
        <w:t>The fair value of each option grant is estimated on the date of grant using the Black-Scholes option-pricing model with the following weighted-average assumptions:</w:t>
      </w:r>
    </w:p>
    <w:tbl>
      <w:tblPr>
        <w:tblLayout w:type="fixed"/>
        <w:tblInd w:w="0" w:type="dxa"/>
        <w:tblCellMar>
          <w:top w:w="0" w:type="dxa"/>
          <w:left w:w="0" w:type="dxa"/>
          <w:bottom w:w="0" w:type="dxa"/>
          <w:right w:w="0" w:type="dxa"/>
        </w:tblCellMar>
      </w:tblPr>
      <w:tr>
        <w:trPr>
          <w:trHeight w:val="159"/>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tcPr>
          <w:p>
            <w:pPr>
              <w:jc w:val="right"/>
              <w:spacing w:after="0" w:line="159" w:lineRule="exact"/>
              <w:rPr>
                <w:sz w:val="20"/>
                <w:szCs w:val="20"/>
                <w:color w:val="auto"/>
              </w:rPr>
            </w:pPr>
            <w:r>
              <w:rPr>
                <w:rFonts w:ascii="Arial" w:cs="Arial" w:eastAsia="Arial" w:hAnsi="Arial"/>
                <w:sz w:val="16"/>
                <w:szCs w:val="16"/>
                <w:b w:val="1"/>
                <w:bCs w:val="1"/>
                <w:color w:val="auto"/>
                <w:w w:val="96"/>
              </w:rPr>
              <w:t>For the year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92"/>
              </w:rPr>
              <w:t>December 31,</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Dividend yield</w:t>
            </w: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0.60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0.60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0.66</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00" w:type="dxa"/>
            <w:vAlign w:val="bottom"/>
          </w:tcPr>
          <w:p>
            <w:pPr>
              <w:ind w:left="500"/>
              <w:spacing w:after="0"/>
              <w:rPr>
                <w:sz w:val="20"/>
                <w:szCs w:val="20"/>
                <w:color w:val="auto"/>
              </w:rPr>
            </w:pPr>
            <w:r>
              <w:rPr>
                <w:rFonts w:ascii="Arial" w:cs="Arial" w:eastAsia="Arial" w:hAnsi="Arial"/>
                <w:sz w:val="16"/>
                <w:szCs w:val="16"/>
                <w:color w:val="auto"/>
              </w:rPr>
              <w:t>Risk-free interest rate</w:t>
            </w:r>
          </w:p>
        </w:tc>
        <w:tc>
          <w:tcPr>
            <w:tcW w:w="900" w:type="dxa"/>
            <w:vAlign w:val="bottom"/>
          </w:tcPr>
          <w:p>
            <w:pPr>
              <w:spacing w:after="0"/>
              <w:rPr>
                <w:sz w:val="17"/>
                <w:szCs w:val="17"/>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0.8</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jc w:val="right"/>
              <w:ind w:right="341"/>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 price volatility</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36.1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28.1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25.8</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00" w:type="dxa"/>
            <w:vAlign w:val="bottom"/>
          </w:tcPr>
          <w:p>
            <w:pPr>
              <w:ind w:left="500"/>
              <w:spacing w:after="0"/>
              <w:rPr>
                <w:sz w:val="20"/>
                <w:szCs w:val="20"/>
                <w:color w:val="auto"/>
              </w:rPr>
            </w:pPr>
            <w:r>
              <w:rPr>
                <w:rFonts w:ascii="Arial" w:cs="Arial" w:eastAsia="Arial" w:hAnsi="Arial"/>
                <w:sz w:val="16"/>
                <w:szCs w:val="16"/>
                <w:color w:val="auto"/>
              </w:rPr>
              <w:t>Expected life (years)</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8"/>
              </w:rPr>
              <w:t>5.0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4"/>
        </w:trPr>
        <w:tc>
          <w:tcPr>
            <w:tcW w:w="4000" w:type="dxa"/>
            <w:vAlign w:val="bottom"/>
            <w:shd w:val="clear" w:color="auto" w:fill="CCEEFF"/>
          </w:tcPr>
          <w:p>
            <w:pPr>
              <w:ind w:left="500"/>
              <w:spacing w:after="0" w:line="164" w:lineRule="exact"/>
              <w:rPr>
                <w:sz w:val="20"/>
                <w:szCs w:val="20"/>
                <w:color w:val="auto"/>
              </w:rPr>
            </w:pPr>
            <w:r>
              <w:rPr>
                <w:rFonts w:ascii="Arial" w:cs="Arial" w:eastAsia="Arial" w:hAnsi="Arial"/>
                <w:sz w:val="16"/>
                <w:szCs w:val="16"/>
                <w:color w:val="auto"/>
              </w:rPr>
              <w:t>Weighted average fair value of options granted</w:t>
            </w:r>
          </w:p>
        </w:tc>
        <w:tc>
          <w:tcPr>
            <w:tcW w:w="9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25.01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rPr>
              <w:t>21.05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19.54</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during the year</w:t>
            </w:r>
          </w:p>
        </w:tc>
        <w:tc>
          <w:tcPr>
            <w:tcW w:w="9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60" w:firstLine="472"/>
        <w:spacing w:after="0" w:line="273" w:lineRule="auto"/>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7 years U.S. Treasury bond rates for the expected life of the option.</w:t>
      </w:r>
    </w:p>
    <w:p>
      <w:pPr>
        <w:spacing w:after="0" w:line="60" w:lineRule="exact"/>
        <w:rPr>
          <w:sz w:val="20"/>
          <w:szCs w:val="20"/>
          <w:color w:val="auto"/>
        </w:rPr>
      </w:pPr>
    </w:p>
    <w:p>
      <w:pPr>
        <w:ind w:right="60" w:firstLine="472"/>
        <w:spacing w:after="0" w:line="277" w:lineRule="auto"/>
        <w:rPr>
          <w:sz w:val="20"/>
          <w:szCs w:val="20"/>
          <w:color w:val="auto"/>
        </w:rPr>
      </w:pPr>
      <w:r>
        <w:rPr>
          <w:rFonts w:ascii="Arial" w:cs="Arial" w:eastAsia="Arial" w:hAnsi="Arial"/>
          <w:sz w:val="17"/>
          <w:szCs w:val="17"/>
          <w:b w:val="1"/>
          <w:bCs w:val="1"/>
          <w:color w:val="auto"/>
        </w:rPr>
        <w:t xml:space="preserve">Restricted Stock and Incentive Stock </w:t>
      </w:r>
      <w:r>
        <w:rPr>
          <w:rFonts w:ascii="Arial" w:cs="Arial" w:eastAsia="Arial" w:hAnsi="Arial"/>
          <w:sz w:val="17"/>
          <w:szCs w:val="17"/>
          <w:color w:val="auto"/>
        </w:rPr>
        <w:t>Beginning in 2006 the Company adopted a restricted stock program. As provided for under the 2011 and 2000</w:t>
      </w:r>
      <w:r>
        <w:rPr>
          <w:rFonts w:ascii="Arial" w:cs="Arial" w:eastAsia="Arial" w:hAnsi="Arial"/>
          <w:sz w:val="17"/>
          <w:szCs w:val="17"/>
          <w:b w:val="1"/>
          <w:bCs w:val="1"/>
          <w:color w:val="auto"/>
        </w:rPr>
        <w:t xml:space="preserve"> </w:t>
      </w:r>
      <w:r>
        <w:rPr>
          <w:rFonts w:ascii="Arial" w:cs="Arial" w:eastAsia="Arial" w:hAnsi="Arial"/>
          <w:sz w:val="17"/>
          <w:szCs w:val="17"/>
          <w:color w:val="auto"/>
        </w:rPr>
        <w:t>Plans, eligible employees are granted restricted stock that generally vests over three years from the date of grant. Under the Directors Plan, restricted stock units vest one year from the date of grant.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1" w:name="page82"/>
    <w:bookmarkEnd w:id="81"/>
    <w:p>
      <w:pPr>
        <w:ind w:firstLine="472"/>
        <w:spacing w:after="0" w:line="280" w:lineRule="auto"/>
        <w:rPr>
          <w:sz w:val="20"/>
          <w:szCs w:val="20"/>
          <w:color w:val="auto"/>
        </w:rPr>
      </w:pPr>
      <w:r>
        <w:rPr>
          <w:rFonts w:ascii="Arial" w:cs="Arial" w:eastAsia="Arial" w:hAnsi="Arial"/>
          <w:sz w:val="16"/>
          <w:szCs w:val="16"/>
          <w:color w:val="auto"/>
        </w:rPr>
        <w:t>In addition, the Company has issued incentive stock units to eligible employees that vest upon attainment of certain cumulative three-year performance goals.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2021, the Company estimates that it will achieve 33%, 121% and 117% for the incentive stock awards expected to vest based on performance for the three year periods ending December 31, 2021, 2022, and 2023,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64"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Compensation expense for the non-vested restricted stock and incentive stock units is based on the closing price of the Company’s common stock on the date of grant and recognized over the applicable vesting period.</w:t>
      </w:r>
    </w:p>
    <w:p>
      <w:pPr>
        <w:spacing w:after="0" w:line="53" w:lineRule="exact"/>
        <w:rPr>
          <w:sz w:val="20"/>
          <w:szCs w:val="20"/>
          <w:color w:val="auto"/>
        </w:rPr>
      </w:pPr>
    </w:p>
    <w:p>
      <w:pPr>
        <w:ind w:right="180" w:firstLine="472"/>
        <w:spacing w:after="0" w:line="297"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tbl>
      <w:tblPr>
        <w:tblLayout w:type="fixed"/>
        <w:tblInd w:w="0" w:type="dxa"/>
        <w:tblCellMar>
          <w:top w:w="0" w:type="dxa"/>
          <w:left w:w="0" w:type="dxa"/>
          <w:bottom w:w="0" w:type="dxa"/>
          <w:right w:w="0" w:type="dxa"/>
        </w:tblCellMar>
      </w:tblPr>
      <w:tr>
        <w:trPr>
          <w:trHeight w:val="160"/>
        </w:trPr>
        <w:tc>
          <w:tcPr>
            <w:tcW w:w="6260" w:type="dxa"/>
            <w:vAlign w:val="bottom"/>
          </w:tcPr>
          <w:p>
            <w:pPr>
              <w:spacing w:after="0"/>
              <w:rPr>
                <w:sz w:val="13"/>
                <w:szCs w:val="13"/>
                <w:color w:val="auto"/>
              </w:rPr>
            </w:pPr>
          </w:p>
        </w:tc>
        <w:tc>
          <w:tcPr>
            <w:tcW w:w="15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Restricted</w:t>
            </w:r>
          </w:p>
        </w:tc>
        <w:tc>
          <w:tcPr>
            <w:tcW w:w="14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Incentive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jc w:val="right"/>
              <w:ind w:right="301"/>
              <w:spacing w:after="0" w:line="160"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57"/>
        </w:trPr>
        <w:tc>
          <w:tcPr>
            <w:tcW w:w="626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Average Grant</w:t>
            </w:r>
          </w:p>
        </w:tc>
        <w:tc>
          <w:tcPr>
            <w:tcW w:w="0" w:type="dxa"/>
            <w:vAlign w:val="bottom"/>
          </w:tcPr>
          <w:p>
            <w:pPr>
              <w:spacing w:after="0"/>
              <w:rPr>
                <w:sz w:val="1"/>
                <w:szCs w:val="1"/>
                <w:color w:val="auto"/>
              </w:rPr>
            </w:pPr>
          </w:p>
        </w:tc>
      </w:tr>
      <w:tr>
        <w:trPr>
          <w:trHeight w:val="157"/>
        </w:trPr>
        <w:tc>
          <w:tcPr>
            <w:tcW w:w="6260" w:type="dxa"/>
            <w:vAlign w:val="bottom"/>
          </w:tcPr>
          <w:p>
            <w:pPr>
              <w:spacing w:after="0"/>
              <w:rPr>
                <w:sz w:val="13"/>
                <w:szCs w:val="13"/>
                <w:color w:val="auto"/>
              </w:rPr>
            </w:pPr>
          </w:p>
        </w:tc>
        <w:tc>
          <w:tcPr>
            <w:tcW w:w="1520" w:type="dxa"/>
            <w:vAlign w:val="bottom"/>
            <w:gridSpan w:val="2"/>
          </w:tcPr>
          <w:p>
            <w:pPr>
              <w:ind w:left="520"/>
              <w:spacing w:after="0" w:line="158" w:lineRule="exact"/>
              <w:rPr>
                <w:sz w:val="20"/>
                <w:szCs w:val="20"/>
                <w:color w:val="auto"/>
              </w:rPr>
            </w:pPr>
            <w:r>
              <w:rPr>
                <w:rFonts w:ascii="Arial" w:cs="Arial" w:eastAsia="Arial" w:hAnsi="Arial"/>
                <w:sz w:val="16"/>
                <w:szCs w:val="16"/>
                <w:b w:val="1"/>
                <w:bCs w:val="1"/>
                <w:color w:val="auto"/>
              </w:rPr>
              <w:t>Stock</w:t>
            </w:r>
          </w:p>
        </w:tc>
        <w:tc>
          <w:tcPr>
            <w:tcW w:w="1440" w:type="dxa"/>
            <w:vAlign w:val="bottom"/>
          </w:tcPr>
          <w:p>
            <w:pPr>
              <w:jc w:val="right"/>
              <w:ind w:right="461"/>
              <w:spacing w:after="0" w:line="158" w:lineRule="exact"/>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jc w:val="center"/>
              <w:ind w:right="521"/>
              <w:spacing w:after="0" w:line="158" w:lineRule="exact"/>
              <w:rPr>
                <w:sz w:val="20"/>
                <w:szCs w:val="20"/>
                <w:color w:val="auto"/>
              </w:rPr>
            </w:pPr>
            <w:r>
              <w:rPr>
                <w:rFonts w:ascii="Arial" w:cs="Arial" w:eastAsia="Arial" w:hAnsi="Arial"/>
                <w:sz w:val="16"/>
                <w:szCs w:val="16"/>
                <w:b w:val="1"/>
                <w:bCs w:val="1"/>
                <w:color w:val="auto"/>
                <w:w w:val="93"/>
              </w:rPr>
              <w:t>Date Fair</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and Units</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01"/>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5"/>
        </w:trPr>
        <w:tc>
          <w:tcPr>
            <w:tcW w:w="6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at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445,089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415,242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0" w:type="dxa"/>
            <w:vAlign w:val="bottom"/>
          </w:tcPr>
          <w:p>
            <w:pPr>
              <w:spacing w:after="0"/>
              <w:rPr>
                <w:sz w:val="1"/>
                <w:szCs w:val="1"/>
                <w:color w:val="auto"/>
              </w:rPr>
            </w:pPr>
          </w:p>
        </w:tc>
      </w:tr>
      <w:tr>
        <w:trPr>
          <w:trHeight w:val="206"/>
        </w:trPr>
        <w:tc>
          <w:tcPr>
            <w:tcW w:w="6260" w:type="dxa"/>
            <w:vAlign w:val="bottom"/>
          </w:tcPr>
          <w:p>
            <w:pPr>
              <w:ind w:left="7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608,813</w:t>
            </w:r>
          </w:p>
        </w:tc>
        <w:tc>
          <w:tcPr>
            <w:tcW w:w="10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259,950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70.61</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(235,406)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06"/>
        </w:trPr>
        <w:tc>
          <w:tcPr>
            <w:tcW w:w="6260" w:type="dxa"/>
            <w:vAlign w:val="bottom"/>
          </w:tcPr>
          <w:p>
            <w:pPr>
              <w:ind w:left="700"/>
              <w:spacing w:after="0"/>
              <w:rPr>
                <w:sz w:val="20"/>
                <w:szCs w:val="20"/>
                <w:color w:val="auto"/>
              </w:rPr>
            </w:pPr>
            <w:r>
              <w:rPr>
                <w:rFonts w:ascii="Arial" w:cs="Arial" w:eastAsia="Arial" w:hAnsi="Arial"/>
                <w:sz w:val="16"/>
                <w:szCs w:val="16"/>
                <w:color w:val="auto"/>
              </w:rPr>
              <w:t>Adjustment for incentive stock awards expected to vest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80,403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78.04</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74.04</w:t>
            </w:r>
          </w:p>
        </w:tc>
        <w:tc>
          <w:tcPr>
            <w:tcW w:w="0" w:type="dxa"/>
            <w:vAlign w:val="bottom"/>
          </w:tcPr>
          <w:p>
            <w:pPr>
              <w:spacing w:after="0"/>
              <w:rPr>
                <w:sz w:val="1"/>
                <w:szCs w:val="1"/>
                <w:color w:val="auto"/>
              </w:rPr>
            </w:pPr>
          </w:p>
        </w:tc>
      </w:tr>
      <w:tr>
        <w:trPr>
          <w:trHeight w:val="199"/>
        </w:trPr>
        <w:tc>
          <w:tcPr>
            <w:tcW w:w="6260" w:type="dxa"/>
            <w:vAlign w:val="bottom"/>
          </w:tcPr>
          <w:p>
            <w:pPr>
              <w:ind w:left="500"/>
              <w:spacing w:after="0"/>
              <w:rPr>
                <w:sz w:val="20"/>
                <w:szCs w:val="20"/>
                <w:color w:val="auto"/>
              </w:rPr>
            </w:pPr>
            <w:r>
              <w:rPr>
                <w:rFonts w:ascii="Arial" w:cs="Arial" w:eastAsia="Arial" w:hAnsi="Arial"/>
                <w:sz w:val="16"/>
                <w:szCs w:val="16"/>
                <w:color w:val="auto"/>
              </w:rPr>
              <w:t>Outstanding at December 31, 2019</w:t>
            </w:r>
          </w:p>
        </w:tc>
        <w:tc>
          <w:tcPr>
            <w:tcW w:w="1420" w:type="dxa"/>
            <w:vAlign w:val="bottom"/>
          </w:tcPr>
          <w:p>
            <w:pPr>
              <w:jc w:val="right"/>
              <w:spacing w:after="0"/>
              <w:rPr>
                <w:sz w:val="20"/>
                <w:szCs w:val="20"/>
                <w:color w:val="auto"/>
              </w:rPr>
            </w:pPr>
            <w:r>
              <w:rPr>
                <w:rFonts w:ascii="Arial" w:cs="Arial" w:eastAsia="Arial" w:hAnsi="Arial"/>
                <w:sz w:val="16"/>
                <w:szCs w:val="16"/>
                <w:color w:val="auto"/>
              </w:rPr>
              <w:t>791,031</w:t>
            </w:r>
          </w:p>
        </w:tc>
        <w:tc>
          <w:tcPr>
            <w:tcW w:w="10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572,002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283,587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250,197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06"/>
        </w:trPr>
        <w:tc>
          <w:tcPr>
            <w:tcW w:w="6260" w:type="dxa"/>
            <w:vAlign w:val="bottom"/>
          </w:tcPr>
          <w:p>
            <w:pPr>
              <w:ind w:left="700"/>
              <w:spacing w:after="0"/>
              <w:rPr>
                <w:sz w:val="20"/>
                <w:szCs w:val="20"/>
                <w:color w:val="auto"/>
              </w:rPr>
            </w:pPr>
            <w:r>
              <w:rPr>
                <w:rFonts w:ascii="Arial" w:cs="Arial" w:eastAsia="Arial" w:hAnsi="Arial"/>
                <w:sz w:val="16"/>
                <w:szCs w:val="16"/>
                <w:color w:val="auto"/>
              </w:rPr>
              <w:t>Vested</w:t>
            </w:r>
          </w:p>
        </w:tc>
        <w:tc>
          <w:tcPr>
            <w:tcW w:w="1420" w:type="dxa"/>
            <w:vAlign w:val="bottom"/>
          </w:tcPr>
          <w:p>
            <w:pPr>
              <w:jc w:val="right"/>
              <w:spacing w:after="0"/>
              <w:rPr>
                <w:sz w:val="20"/>
                <w:szCs w:val="20"/>
                <w:color w:val="auto"/>
              </w:rPr>
            </w:pPr>
            <w:r>
              <w:rPr>
                <w:rFonts w:ascii="Arial" w:cs="Arial" w:eastAsia="Arial" w:hAnsi="Arial"/>
                <w:sz w:val="16"/>
                <w:szCs w:val="16"/>
                <w:color w:val="auto"/>
              </w:rPr>
              <w:t>(345,859)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(147,069)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77.45</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Adjustment for incentive stock awards expected to vest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206"/>
        </w:trPr>
        <w:tc>
          <w:tcPr>
            <w:tcW w:w="626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(72,753)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(73,481)</w:t>
            </w: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72.83</w:t>
            </w: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656,006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w:t>
            </w:r>
          </w:p>
        </w:tc>
        <w:tc>
          <w:tcPr>
            <w:tcW w:w="0" w:type="dxa"/>
            <w:vAlign w:val="bottom"/>
          </w:tcPr>
          <w:p>
            <w:pPr>
              <w:spacing w:after="0"/>
              <w:rPr>
                <w:sz w:val="1"/>
                <w:szCs w:val="1"/>
                <w:color w:val="auto"/>
              </w:rPr>
            </w:pPr>
          </w:p>
        </w:tc>
      </w:tr>
      <w:tr>
        <w:trPr>
          <w:trHeight w:val="206"/>
        </w:trPr>
        <w:tc>
          <w:tcPr>
            <w:tcW w:w="6260" w:type="dxa"/>
            <w:vAlign w:val="bottom"/>
          </w:tcPr>
          <w:p>
            <w:pPr>
              <w:ind w:left="7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235,902</w:t>
            </w:r>
          </w:p>
        </w:tc>
        <w:tc>
          <w:tcPr>
            <w:tcW w:w="10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241,467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81.64</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(350,955)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c>
          <w:tcPr>
            <w:tcW w:w="0" w:type="dxa"/>
            <w:vAlign w:val="bottom"/>
          </w:tcPr>
          <w:p>
            <w:pPr>
              <w:spacing w:after="0"/>
              <w:rPr>
                <w:sz w:val="1"/>
                <w:szCs w:val="1"/>
                <w:color w:val="auto"/>
              </w:rPr>
            </w:pPr>
          </w:p>
        </w:tc>
      </w:tr>
      <w:tr>
        <w:trPr>
          <w:trHeight w:val="206"/>
        </w:trPr>
        <w:tc>
          <w:tcPr>
            <w:tcW w:w="6260" w:type="dxa"/>
            <w:vAlign w:val="bottom"/>
          </w:tcPr>
          <w:p>
            <w:pPr>
              <w:ind w:left="700"/>
              <w:spacing w:after="0"/>
              <w:rPr>
                <w:sz w:val="20"/>
                <w:szCs w:val="20"/>
                <w:color w:val="auto"/>
              </w:rPr>
            </w:pPr>
            <w:r>
              <w:rPr>
                <w:rFonts w:ascii="Arial" w:cs="Arial" w:eastAsia="Arial" w:hAnsi="Arial"/>
                <w:sz w:val="16"/>
                <w:szCs w:val="16"/>
                <w:color w:val="auto"/>
              </w:rPr>
              <w:t>Adjustment for incentive stock awards expected to vest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180,767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76.26</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76.24</w:t>
            </w:r>
          </w:p>
        </w:tc>
        <w:tc>
          <w:tcPr>
            <w:tcW w:w="0" w:type="dxa"/>
            <w:vAlign w:val="bottom"/>
          </w:tcPr>
          <w:p>
            <w:pPr>
              <w:spacing w:after="0"/>
              <w:rPr>
                <w:sz w:val="1"/>
                <w:szCs w:val="1"/>
                <w:color w:val="auto"/>
              </w:rPr>
            </w:pPr>
          </w:p>
        </w:tc>
      </w:tr>
      <w:tr>
        <w:trPr>
          <w:trHeight w:val="206"/>
        </w:trPr>
        <w:tc>
          <w:tcPr>
            <w:tcW w:w="6260" w:type="dxa"/>
            <w:vAlign w:val="bottom"/>
          </w:tcPr>
          <w:p>
            <w:pPr>
              <w:ind w:left="500"/>
              <w:spacing w:after="0"/>
              <w:rPr>
                <w:sz w:val="20"/>
                <w:szCs w:val="20"/>
                <w:color w:val="auto"/>
              </w:rPr>
            </w:pPr>
            <w:r>
              <w:rPr>
                <w:rFonts w:ascii="Arial" w:cs="Arial" w:eastAsia="Arial" w:hAnsi="Arial"/>
                <w:sz w:val="16"/>
                <w:szCs w:val="16"/>
                <w:color w:val="auto"/>
              </w:rPr>
              <w:t>Outstanding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507,698</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607,101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125" w:lineRule="exact"/>
        <w:rPr>
          <w:sz w:val="20"/>
          <w:szCs w:val="20"/>
          <w:color w:val="auto"/>
        </w:rPr>
      </w:pPr>
    </w:p>
    <w:p>
      <w:pPr>
        <w:ind w:right="480" w:firstLine="472"/>
        <w:spacing w:after="0" w:line="289" w:lineRule="auto"/>
        <w:rPr>
          <w:sz w:val="20"/>
          <w:szCs w:val="20"/>
          <w:color w:val="auto"/>
        </w:rPr>
      </w:pPr>
      <w:r>
        <w:rPr>
          <w:rFonts w:ascii="Arial" w:cs="Arial" w:eastAsia="Arial" w:hAnsi="Arial"/>
          <w:sz w:val="17"/>
          <w:szCs w:val="17"/>
          <w:color w:val="auto"/>
        </w:rPr>
        <w:t>Comprehensive income comprises both net income and the change in equity from transactions and other events and circumstances from non-owner sources.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changes in Accumulated other comprehensive loss by component, net of tax, for the years ended December 31, 2021, 2020, and 2019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Foreign</w:t>
            </w:r>
          </w:p>
        </w:tc>
        <w:tc>
          <w:tcPr>
            <w:tcW w:w="62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Derivative</w:t>
            </w:r>
          </w:p>
        </w:tc>
        <w:tc>
          <w:tcPr>
            <w:tcW w:w="5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and</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80" w:type="dxa"/>
            <w:vAlign w:val="bottom"/>
            <w:gridSpan w:val="3"/>
            <w:vMerge w:val="restart"/>
          </w:tcPr>
          <w:p>
            <w:pPr>
              <w:jc w:val="right"/>
              <w:ind w:right="120"/>
              <w:spacing w:after="0" w:line="158" w:lineRule="exact"/>
              <w:rPr>
                <w:sz w:val="20"/>
                <w:szCs w:val="20"/>
                <w:color w:val="auto"/>
              </w:rPr>
            </w:pPr>
            <w:r>
              <w:rPr>
                <w:rFonts w:ascii="Arial" w:cs="Arial" w:eastAsia="Arial" w:hAnsi="Arial"/>
                <w:sz w:val="16"/>
                <w:szCs w:val="16"/>
                <w:b w:val="1"/>
                <w:bCs w:val="1"/>
                <w:color w:val="auto"/>
                <w:w w:val="88"/>
              </w:rPr>
              <w:t>post retirement benefit</w:t>
            </w:r>
          </w:p>
        </w:tc>
        <w:tc>
          <w:tcPr>
            <w:tcW w:w="720" w:type="dxa"/>
            <w:vAlign w:val="bottom"/>
          </w:tcPr>
          <w:p>
            <w:pPr>
              <w:spacing w:after="0"/>
              <w:rPr>
                <w:sz w:val="6"/>
                <w:szCs w:val="6"/>
                <w:color w:val="auto"/>
              </w:rPr>
            </w:pPr>
          </w:p>
        </w:tc>
        <w:tc>
          <w:tcPr>
            <w:tcW w:w="900" w:type="dxa"/>
            <w:vAlign w:val="bottom"/>
            <w:vMerge w:val="restart"/>
          </w:tcPr>
          <w:p>
            <w:pPr>
              <w:jc w:val="right"/>
              <w:ind w:right="321"/>
              <w:spacing w:after="0" w:line="15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7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currency translation</w:t>
            </w:r>
          </w:p>
        </w:tc>
        <w:tc>
          <w:tcPr>
            <w:tcW w:w="1680" w:type="dxa"/>
            <w:vAlign w:val="bottom"/>
            <w:gridSpan w:val="3"/>
            <w:vMerge w:val="restart"/>
          </w:tcPr>
          <w:p>
            <w:pPr>
              <w:ind w:left="480"/>
              <w:spacing w:after="0"/>
              <w:rPr>
                <w:sz w:val="20"/>
                <w:szCs w:val="20"/>
                <w:color w:val="auto"/>
              </w:rPr>
            </w:pPr>
            <w:r>
              <w:rPr>
                <w:rFonts w:ascii="Arial" w:cs="Arial" w:eastAsia="Arial" w:hAnsi="Arial"/>
                <w:sz w:val="16"/>
                <w:szCs w:val="16"/>
                <w:b w:val="1"/>
                <w:bCs w:val="1"/>
                <w:color w:val="auto"/>
              </w:rPr>
              <w:t>contracts</w:t>
            </w:r>
          </w:p>
        </w:tc>
        <w:tc>
          <w:tcPr>
            <w:tcW w:w="16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500" w:type="dxa"/>
            <w:vAlign w:val="bottom"/>
          </w:tcPr>
          <w:p>
            <w:pPr>
              <w:spacing w:after="0"/>
              <w:rPr>
                <w:sz w:val="10"/>
                <w:szCs w:val="10"/>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720" w:type="dxa"/>
            <w:vAlign w:val="bottom"/>
            <w:gridSpan w:val="3"/>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vMerge w:val="restart"/>
          </w:tcPr>
          <w:p>
            <w:pPr>
              <w:ind w:left="20"/>
              <w:spacing w:after="0" w:line="171" w:lineRule="exact"/>
              <w:rPr>
                <w:sz w:val="20"/>
                <w:szCs w:val="20"/>
                <w:color w:val="auto"/>
              </w:rPr>
            </w:pPr>
            <w:r>
              <w:rPr>
                <w:rFonts w:ascii="Arial" w:cs="Arial" w:eastAsia="Arial" w:hAnsi="Arial"/>
                <w:sz w:val="16"/>
                <w:szCs w:val="16"/>
                <w:b w:val="1"/>
                <w:bCs w:val="1"/>
                <w:color w:val="auto"/>
              </w:rPr>
              <w:t>plans</w:t>
            </w: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500" w:type="dxa"/>
            <w:vAlign w:val="bottom"/>
          </w:tcPr>
          <w:p>
            <w:pPr>
              <w:spacing w:after="0"/>
              <w:rPr>
                <w:sz w:val="3"/>
                <w:szCs w:val="3"/>
                <w:color w:val="auto"/>
              </w:rPr>
            </w:pPr>
          </w:p>
        </w:tc>
        <w:tc>
          <w:tcPr>
            <w:tcW w:w="40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402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0"/>
              <w:spacing w:after="0" w:line="164" w:lineRule="exact"/>
              <w:rPr>
                <w:sz w:val="20"/>
                <w:szCs w:val="20"/>
                <w:color w:val="auto"/>
              </w:rPr>
            </w:pPr>
            <w:r>
              <w:rPr>
                <w:rFonts w:ascii="Arial" w:cs="Arial" w:eastAsia="Arial" w:hAnsi="Arial"/>
                <w:sz w:val="16"/>
                <w:szCs w:val="16"/>
                <w:color w:val="auto"/>
              </w:rPr>
              <w:t>Amounts reclassified from Accumulated other</w:t>
            </w:r>
          </w:p>
        </w:tc>
        <w:tc>
          <w:tcPr>
            <w:tcW w:w="6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4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comprehensive loss</w:t>
            </w:r>
          </w:p>
        </w:tc>
        <w:tc>
          <w:tcPr>
            <w:tcW w:w="6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comprehensive loss, net</w:t>
            </w:r>
          </w:p>
        </w:tc>
        <w:tc>
          <w:tcPr>
            <w:tcW w:w="6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4020" w:type="dxa"/>
            <w:vAlign w:val="bottom"/>
            <w:gridSpan w:val="2"/>
          </w:tcPr>
          <w:p>
            <w:pPr>
              <w:ind w:left="200"/>
              <w:spacing w:after="0" w:line="161" w:lineRule="exact"/>
              <w:rPr>
                <w:sz w:val="20"/>
                <w:szCs w:val="20"/>
                <w:color w:val="auto"/>
              </w:rPr>
            </w:pPr>
            <w:r>
              <w:rPr>
                <w:rFonts w:ascii="Arial" w:cs="Arial" w:eastAsia="Arial" w:hAnsi="Arial"/>
                <w:sz w:val="16"/>
                <w:szCs w:val="16"/>
                <w:color w:val="auto"/>
              </w:rPr>
              <w:t>Other comprehensive income (loss) before</w:t>
            </w:r>
          </w:p>
        </w:tc>
        <w:tc>
          <w:tcPr>
            <w:tcW w:w="680" w:type="dxa"/>
            <w:vAlign w:val="bottom"/>
          </w:tcPr>
          <w:p>
            <w:pPr>
              <w:spacing w:after="0"/>
              <w:rPr>
                <w:sz w:val="13"/>
                <w:szCs w:val="13"/>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4520" w:type="dxa"/>
            <w:vAlign w:val="bottom"/>
            <w:gridSpan w:val="3"/>
          </w:tcPr>
          <w:p>
            <w:pPr>
              <w:ind w:left="240"/>
              <w:spacing w:after="0"/>
              <w:rPr>
                <w:sz w:val="20"/>
                <w:szCs w:val="20"/>
                <w:color w:val="auto"/>
              </w:rPr>
            </w:pPr>
            <w:r>
              <w:rPr>
                <w:rFonts w:ascii="Arial" w:cs="Arial" w:eastAsia="Arial" w:hAnsi="Arial"/>
                <w:sz w:val="16"/>
                <w:szCs w:val="16"/>
                <w:color w:val="auto"/>
              </w:rPr>
              <w:t>reclassifications</w:t>
            </w:r>
          </w:p>
        </w:tc>
        <w:tc>
          <w:tcPr>
            <w:tcW w:w="6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0"/>
              <w:spacing w:after="0" w:line="164" w:lineRule="exact"/>
              <w:rPr>
                <w:sz w:val="20"/>
                <w:szCs w:val="20"/>
                <w:color w:val="auto"/>
              </w:rPr>
            </w:pPr>
            <w:r>
              <w:rPr>
                <w:rFonts w:ascii="Arial" w:cs="Arial" w:eastAsia="Arial" w:hAnsi="Arial"/>
                <w:sz w:val="16"/>
                <w:szCs w:val="16"/>
                <w:color w:val="auto"/>
              </w:rPr>
              <w:t>Amounts reclassified from Accumulated other</w:t>
            </w:r>
          </w:p>
        </w:tc>
        <w:tc>
          <w:tcPr>
            <w:tcW w:w="6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4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comprehensive loss</w:t>
            </w:r>
          </w:p>
        </w:tc>
        <w:tc>
          <w:tcPr>
            <w:tcW w:w="6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comprehensive income (loss), net</w:t>
            </w:r>
          </w:p>
        </w:tc>
        <w:tc>
          <w:tcPr>
            <w:tcW w:w="6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4020" w:type="dxa"/>
            <w:vAlign w:val="bottom"/>
            <w:gridSpan w:val="2"/>
          </w:tcPr>
          <w:p>
            <w:pPr>
              <w:ind w:left="200"/>
              <w:spacing w:after="0" w:line="161" w:lineRule="exact"/>
              <w:rPr>
                <w:sz w:val="20"/>
                <w:szCs w:val="20"/>
                <w:color w:val="auto"/>
              </w:rPr>
            </w:pPr>
            <w:r>
              <w:rPr>
                <w:rFonts w:ascii="Arial" w:cs="Arial" w:eastAsia="Arial" w:hAnsi="Arial"/>
                <w:sz w:val="16"/>
                <w:szCs w:val="16"/>
                <w:color w:val="auto"/>
              </w:rPr>
              <w:t>Other comprehensive (loss) income before</w:t>
            </w:r>
          </w:p>
        </w:tc>
        <w:tc>
          <w:tcPr>
            <w:tcW w:w="6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4520" w:type="dxa"/>
            <w:vAlign w:val="bottom"/>
            <w:gridSpan w:val="3"/>
          </w:tcPr>
          <w:p>
            <w:pPr>
              <w:ind w:left="240"/>
              <w:spacing w:after="0"/>
              <w:rPr>
                <w:sz w:val="20"/>
                <w:szCs w:val="20"/>
                <w:color w:val="auto"/>
              </w:rPr>
            </w:pPr>
            <w:r>
              <w:rPr>
                <w:rFonts w:ascii="Arial" w:cs="Arial" w:eastAsia="Arial" w:hAnsi="Arial"/>
                <w:sz w:val="16"/>
                <w:szCs w:val="16"/>
                <w:color w:val="auto"/>
              </w:rPr>
              <w:t>reclassifications</w:t>
            </w:r>
          </w:p>
        </w:tc>
        <w:tc>
          <w:tcPr>
            <w:tcW w:w="6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0"/>
              <w:spacing w:after="0" w:line="164" w:lineRule="exact"/>
              <w:rPr>
                <w:sz w:val="20"/>
                <w:szCs w:val="20"/>
                <w:color w:val="auto"/>
              </w:rPr>
            </w:pPr>
            <w:r>
              <w:rPr>
                <w:rFonts w:ascii="Arial" w:cs="Arial" w:eastAsia="Arial" w:hAnsi="Arial"/>
                <w:sz w:val="16"/>
                <w:szCs w:val="16"/>
                <w:color w:val="auto"/>
              </w:rPr>
              <w:t>Amounts reclassified from Accumulated other</w:t>
            </w:r>
          </w:p>
        </w:tc>
        <w:tc>
          <w:tcPr>
            <w:tcW w:w="6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45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comprehensive loss</w:t>
            </w:r>
          </w:p>
        </w:tc>
        <w:tc>
          <w:tcPr>
            <w:tcW w:w="6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comprehensive (loss) income, net</w:t>
            </w:r>
          </w:p>
        </w:tc>
        <w:tc>
          <w:tcPr>
            <w:tcW w:w="6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60" w:firstLine="472"/>
        <w:spacing w:after="0" w:line="289" w:lineRule="auto"/>
        <w:rPr>
          <w:sz w:val="20"/>
          <w:szCs w:val="20"/>
          <w:color w:val="auto"/>
        </w:rPr>
      </w:pPr>
      <w:r>
        <w:rPr>
          <w:rFonts w:ascii="Arial" w:cs="Arial" w:eastAsia="Arial" w:hAnsi="Arial"/>
          <w:sz w:val="17"/>
          <w:szCs w:val="17"/>
          <w:color w:val="auto"/>
        </w:rPr>
        <w:t>Amounts reclassified from Accumulated other comprehensive loss are recognized in "Other income, net" with the tax impact recognized in "Income tax expense" on the Consolidated Statements of Income.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125" w:lineRule="exact"/>
        <w:rPr>
          <w:sz w:val="20"/>
          <w:szCs w:val="20"/>
          <w:color w:val="auto"/>
        </w:rPr>
      </w:pPr>
    </w:p>
    <w:p>
      <w:pPr>
        <w:ind w:right="60" w:firstLine="472"/>
        <w:spacing w:after="0" w:line="247" w:lineRule="auto"/>
        <w:rPr>
          <w:sz w:val="20"/>
          <w:szCs w:val="20"/>
          <w:color w:val="auto"/>
        </w:rPr>
      </w:pPr>
      <w:r>
        <w:rPr>
          <w:rFonts w:ascii="Arial" w:cs="Arial" w:eastAsia="Arial" w:hAnsi="Arial"/>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Operating lease expense for the years ended December 31, 2021, 2020, and 2019 were $59 million, $57 million, and $54 million, respectively. New operating leases of $80 million and $68 million were added during the years ended December 31, 2021 and 2020, respectively. Wabtec does not have material financing leases, short-term or variable leases or sublease income.</w:t>
      </w:r>
    </w:p>
    <w:p>
      <w:pPr>
        <w:spacing w:after="0" w:line="77" w:lineRule="exact"/>
        <w:rPr>
          <w:sz w:val="20"/>
          <w:szCs w:val="20"/>
          <w:color w:val="auto"/>
        </w:rPr>
      </w:pPr>
    </w:p>
    <w:p>
      <w:pPr>
        <w:ind w:right="220" w:firstLine="472"/>
        <w:spacing w:after="0" w:line="273"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the rate to discount lease payments using its incremental borrowing rate. The Company has established discount rates by geographic region ranging from 1% to 9%.</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Scheduled payments of Operating lease liabilities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6"/>
                <w:szCs w:val="16"/>
                <w:color w:val="auto"/>
              </w:rPr>
            </w:pPr>
          </w:p>
        </w:tc>
        <w:tc>
          <w:tcPr>
            <w:tcW w:w="1460" w:type="dxa"/>
            <w:vAlign w:val="bottom"/>
          </w:tcPr>
          <w:p>
            <w:pPr>
              <w:jc w:val="right"/>
              <w:ind w:right="141"/>
              <w:spacing w:after="0"/>
              <w:rPr>
                <w:sz w:val="20"/>
                <w:szCs w:val="20"/>
                <w:color w:val="auto"/>
              </w:rPr>
            </w:pPr>
            <w:r>
              <w:rPr>
                <w:rFonts w:ascii="Arial" w:cs="Arial" w:eastAsia="Arial" w:hAnsi="Arial"/>
                <w:sz w:val="16"/>
                <w:szCs w:val="16"/>
                <w:b w:val="1"/>
                <w:bCs w:val="1"/>
                <w:color w:val="auto"/>
                <w:w w:val="90"/>
              </w:rPr>
              <w:t>Operating Leases</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2"/>
        </w:trPr>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2022</w:t>
            </w:r>
          </w:p>
        </w:tc>
        <w:tc>
          <w:tcPr>
            <w:tcW w:w="8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6"/>
        </w:trPr>
        <w:tc>
          <w:tcPr>
            <w:tcW w:w="1120" w:type="dxa"/>
            <w:vAlign w:val="bottom"/>
            <w:gridSpan w:val="2"/>
          </w:tcPr>
          <w:p>
            <w:pPr>
              <w:ind w:left="500"/>
              <w:spacing w:after="0"/>
              <w:rPr>
                <w:sz w:val="20"/>
                <w:szCs w:val="20"/>
                <w:color w:val="auto"/>
              </w:rPr>
            </w:pPr>
            <w:r>
              <w:rPr>
                <w:rFonts w:ascii="Arial" w:cs="Arial" w:eastAsia="Arial" w:hAnsi="Arial"/>
                <w:sz w:val="16"/>
                <w:szCs w:val="16"/>
                <w:color w:val="auto"/>
              </w:rPr>
              <w:t>2023</w:t>
            </w:r>
          </w:p>
        </w:tc>
        <w:tc>
          <w:tcPr>
            <w:tcW w:w="8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2024</w:t>
            </w:r>
          </w:p>
        </w:tc>
        <w:tc>
          <w:tcPr>
            <w:tcW w:w="8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1120" w:type="dxa"/>
            <w:vAlign w:val="bottom"/>
            <w:gridSpan w:val="2"/>
          </w:tcPr>
          <w:p>
            <w:pPr>
              <w:ind w:left="500"/>
              <w:spacing w:after="0"/>
              <w:rPr>
                <w:sz w:val="20"/>
                <w:szCs w:val="20"/>
                <w:color w:val="auto"/>
              </w:rPr>
            </w:pPr>
            <w:r>
              <w:rPr>
                <w:rFonts w:ascii="Arial" w:cs="Arial" w:eastAsia="Arial" w:hAnsi="Arial"/>
                <w:sz w:val="16"/>
                <w:szCs w:val="16"/>
                <w:color w:val="auto"/>
              </w:rPr>
              <w:t>2025</w:t>
            </w:r>
          </w:p>
        </w:tc>
        <w:tc>
          <w:tcPr>
            <w:tcW w:w="8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11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2026</w:t>
            </w:r>
          </w:p>
        </w:tc>
        <w:tc>
          <w:tcPr>
            <w:tcW w:w="8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6"/>
        </w:trPr>
        <w:tc>
          <w:tcPr>
            <w:tcW w:w="50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500" w:type="dxa"/>
            <w:vAlign w:val="bottom"/>
            <w:shd w:val="clear" w:color="auto" w:fill="CCEEFF"/>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r>
      <w:tr>
        <w:trPr>
          <w:trHeight w:val="206"/>
        </w:trPr>
        <w:tc>
          <w:tcPr>
            <w:tcW w:w="500" w:type="dxa"/>
            <w:vAlign w:val="bottom"/>
            <w:tcBorders>
              <w:bottom w:val="single" w:sz="8" w:color="CCEEFF"/>
            </w:tcBorders>
          </w:tcPr>
          <w:p>
            <w:pPr>
              <w:spacing w:after="0"/>
              <w:rPr>
                <w:sz w:val="17"/>
                <w:szCs w:val="17"/>
                <w:color w:val="auto"/>
              </w:rPr>
            </w:pPr>
          </w:p>
        </w:tc>
        <w:tc>
          <w:tcPr>
            <w:tcW w:w="8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Present value discount</w:t>
            </w: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lease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3" w:name="page84"/>
    <w:bookmarkEnd w:id="83"/>
    <w:p>
      <w:pPr>
        <w:ind w:left="48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December 31, 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6"/>
                <w:szCs w:val="16"/>
                <w:b w:val="1"/>
                <w:bCs w:val="1"/>
                <w:color w:val="auto"/>
              </w:rPr>
              <w:t>December 31, 2020</w:t>
            </w:r>
          </w:p>
        </w:tc>
        <w:tc>
          <w:tcPr>
            <w:tcW w:w="460" w:type="dxa"/>
            <w:vAlign w:val="bottom"/>
            <w:tcBorders>
              <w:bottom w:val="single" w:sz="8" w:color="auto"/>
            </w:tcBorders>
          </w:tcPr>
          <w:p>
            <w:pPr>
              <w:spacing w:after="0"/>
              <w:rPr>
                <w:sz w:val="18"/>
                <w:szCs w:val="18"/>
                <w:color w:val="auto"/>
              </w:rPr>
            </w:pPr>
          </w:p>
        </w:tc>
      </w:tr>
      <w:tr>
        <w:trPr>
          <w:trHeight w:val="193"/>
        </w:trPr>
        <w:tc>
          <w:tcPr>
            <w:tcW w:w="500" w:type="dxa"/>
            <w:vAlign w:val="bottom"/>
            <w:shd w:val="clear" w:color="auto" w:fill="CCEEFF"/>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22"/>
        </w:trPr>
        <w:tc>
          <w:tcPr>
            <w:tcW w:w="500" w:type="dxa"/>
            <w:vAlign w:val="bottom"/>
          </w:tcPr>
          <w:p>
            <w:pPr>
              <w:spacing w:after="0"/>
              <w:rPr>
                <w:sz w:val="19"/>
                <w:szCs w:val="19"/>
                <w:color w:val="auto"/>
              </w:rPr>
            </w:pP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Operating leases</w:t>
            </w:r>
          </w:p>
        </w:tc>
        <w:tc>
          <w:tcPr>
            <w:tcW w:w="2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0"/>
        </w:trPr>
        <w:tc>
          <w:tcPr>
            <w:tcW w:w="5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discount rate</w:t>
            </w:r>
          </w:p>
        </w:tc>
        <w:tc>
          <w:tcPr>
            <w:tcW w:w="2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Operating leases</w:t>
            </w:r>
          </w:p>
        </w:tc>
        <w:tc>
          <w:tcPr>
            <w:tcW w:w="2900" w:type="dxa"/>
            <w:vAlign w:val="bottom"/>
          </w:tcPr>
          <w:p>
            <w:pPr>
              <w:jc w:val="right"/>
              <w:ind w:right="141"/>
              <w:spacing w:after="0"/>
              <w:rPr>
                <w:sz w:val="20"/>
                <w:szCs w:val="20"/>
                <w:color w:val="auto"/>
              </w:rPr>
            </w:pPr>
            <w:r>
              <w:rPr>
                <w:rFonts w:ascii="Arial" w:cs="Arial" w:eastAsia="Arial" w:hAnsi="Arial"/>
                <w:sz w:val="16"/>
                <w:szCs w:val="16"/>
                <w:color w:val="auto"/>
              </w:rPr>
              <w:t>2.3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7"/>
                <w:szCs w:val="17"/>
                <w:color w:val="auto"/>
              </w:rPr>
              <w:t>2.7</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37"/>
        </w:trPr>
        <w:tc>
          <w:tcPr>
            <w:tcW w:w="4440" w:type="dxa"/>
            <w:vAlign w:val="bottom"/>
            <w:gridSpan w:val="3"/>
          </w:tcPr>
          <w:p>
            <w:pPr>
              <w:spacing w:after="0"/>
              <w:rPr>
                <w:sz w:val="20"/>
                <w:szCs w:val="20"/>
                <w:color w:val="auto"/>
              </w:rPr>
            </w:pPr>
            <w:r>
              <w:rPr>
                <w:rFonts w:ascii="Arial" w:cs="Arial" w:eastAsia="Arial" w:hAnsi="Arial"/>
                <w:sz w:val="17"/>
                <w:szCs w:val="17"/>
                <w:b w:val="1"/>
                <w:bCs w:val="1"/>
                <w:color w:val="auto"/>
              </w:rPr>
              <w:t>16. WARRANTIES</w:t>
            </w: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14"/>
        </w:trPr>
        <w:tc>
          <w:tcPr>
            <w:tcW w:w="7340" w:type="dxa"/>
            <w:vAlign w:val="bottom"/>
            <w:gridSpan w:val="4"/>
          </w:tcPr>
          <w:p>
            <w:pPr>
              <w:jc w:val="right"/>
              <w:spacing w:after="0"/>
              <w:rPr>
                <w:sz w:val="20"/>
                <w:szCs w:val="20"/>
                <w:color w:val="auto"/>
              </w:rPr>
            </w:pPr>
            <w:r>
              <w:rPr>
                <w:rFonts w:ascii="Arial" w:cs="Arial" w:eastAsia="Arial" w:hAnsi="Arial"/>
                <w:sz w:val="17"/>
                <w:szCs w:val="17"/>
                <w:color w:val="auto"/>
                <w:w w:val="99"/>
              </w:rPr>
              <w:t>The following table reconciles the changes in the Company’s product warranty reserve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7"/>
        </w:trPr>
        <w:tc>
          <w:tcPr>
            <w:tcW w:w="50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7"/>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7"/>
                <w:szCs w:val="17"/>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29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06"/>
        </w:trPr>
        <w:tc>
          <w:tcPr>
            <w:tcW w:w="500" w:type="dxa"/>
            <w:vAlign w:val="bottom"/>
          </w:tcPr>
          <w:p>
            <w:pPr>
              <w:spacing w:after="0"/>
              <w:rPr>
                <w:sz w:val="17"/>
                <w:szCs w:val="17"/>
                <w:color w:val="auto"/>
              </w:rPr>
            </w:pP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Acquisitions</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Warranty expense</w:t>
            </w:r>
          </w:p>
        </w:tc>
        <w:tc>
          <w:tcPr>
            <w:tcW w:w="2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6"/>
        </w:trPr>
        <w:tc>
          <w:tcPr>
            <w:tcW w:w="500" w:type="dxa"/>
            <w:vAlign w:val="bottom"/>
          </w:tcPr>
          <w:p>
            <w:pPr>
              <w:spacing w:after="0"/>
              <w:rPr>
                <w:sz w:val="17"/>
                <w:szCs w:val="17"/>
                <w:color w:val="auto"/>
              </w:rPr>
            </w:pP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Warranty claim payments</w:t>
            </w: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5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currency impact</w:t>
            </w:r>
          </w:p>
        </w:tc>
        <w:tc>
          <w:tcPr>
            <w:tcW w:w="29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50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Balance at end of year</w:t>
            </w:r>
          </w:p>
        </w:tc>
        <w:tc>
          <w:tcPr>
            <w:tcW w:w="290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 AND DERIVATIVE INSTRUMENTS</w:t>
      </w:r>
    </w:p>
    <w:p>
      <w:pPr>
        <w:spacing w:after="0" w:line="125"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7" w:lineRule="exact"/>
        <w:rPr>
          <w:sz w:val="20"/>
          <w:szCs w:val="20"/>
          <w:color w:val="auto"/>
        </w:rPr>
      </w:pPr>
    </w:p>
    <w:p>
      <w:pPr>
        <w:ind w:right="120" w:firstLine="472"/>
        <w:spacing w:after="0" w:line="265"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26"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December 31, 2021 and December 31, 2020. 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(see Note 10). The Senior Notes are considered Level 2 based on the fair value valuation hierarchy. Contingent consideration related to the GE Transportation acquisition is considered Level 3 based on the fair value valuation hierarchy. At December 31, 2021 and 2020, $110 million and $130 million, respectively, were classified as "Other accrued liabilities" on the Company's Consolidated Balance Sheets and $141 million and $218 million, respectively, were included within long-term liabilities shown as "Contingent consideration" on the Company's Consolidated Balance Sheets. The fair value approximates the carrying value at December 31, 2021 and 2020.</w:t>
      </w:r>
    </w:p>
    <w:p>
      <w:pPr>
        <w:spacing w:after="0" w:line="66" w:lineRule="exact"/>
        <w:rPr>
          <w:sz w:val="20"/>
          <w:szCs w:val="20"/>
          <w:color w:val="auto"/>
        </w:rPr>
      </w:pPr>
    </w:p>
    <w:p>
      <w:pPr>
        <w:ind w:right="20" w:firstLine="472"/>
        <w:spacing w:after="0" w:line="285" w:lineRule="auto"/>
        <w:rPr>
          <w:sz w:val="20"/>
          <w:szCs w:val="20"/>
          <w:color w:val="auto"/>
        </w:rPr>
      </w:pPr>
      <w:r>
        <w:rPr>
          <w:rFonts w:ascii="Arial" w:cs="Arial" w:eastAsia="Arial" w:hAnsi="Arial"/>
          <w:sz w:val="16"/>
          <w:szCs w:val="16"/>
          <w:b w:val="1"/>
          <w:bCs w:val="1"/>
          <w:i w:val="1"/>
          <w:iCs w:val="1"/>
          <w:color w:val="auto"/>
        </w:rPr>
        <w:t xml:space="preserve">Hedging Activities </w:t>
      </w:r>
      <w:r>
        <w:rPr>
          <w:rFonts w:ascii="Arial" w:cs="Arial" w:eastAsia="Arial" w:hAnsi="Arial"/>
          <w:sz w:val="16"/>
          <w:szCs w:val="16"/>
          <w:color w:val="auto"/>
        </w:rPr>
        <w:t>In the normal course of business, the Company is exposed to market risks related to interest rates, commodity prices and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 counter markets. As such, these derivative instruments are classified within level 2. In accordance with our policy, derivatives are only used for hedging purposes. We do not use derivatives for trading or speculative purposes.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19" w:lineRule="exact"/>
        <w:rPr>
          <w:sz w:val="20"/>
          <w:szCs w:val="20"/>
          <w:color w:val="auto"/>
        </w:rPr>
      </w:pPr>
    </w:p>
    <w:p>
      <w:pPr>
        <w:ind w:right="60" w:firstLine="472"/>
        <w:spacing w:after="0" w:line="285" w:lineRule="auto"/>
        <w:rPr>
          <w:sz w:val="20"/>
          <w:szCs w:val="20"/>
          <w:color w:val="auto"/>
        </w:rPr>
      </w:pPr>
      <w:r>
        <w:rPr>
          <w:rFonts w:ascii="Arial" w:cs="Arial" w:eastAsia="Arial" w:hAnsi="Arial"/>
          <w:sz w:val="16"/>
          <w:szCs w:val="16"/>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years ended December 31, 2021, 2020 and 2019, the amounts reclassified into income were not material.</w:t>
      </w:r>
    </w:p>
    <w:p>
      <w:pPr>
        <w:spacing w:after="0" w:line="60" w:lineRule="exact"/>
        <w:rPr>
          <w:sz w:val="20"/>
          <w:szCs w:val="20"/>
          <w:color w:val="auto"/>
        </w:rPr>
      </w:pPr>
    </w:p>
    <w:p>
      <w:pPr>
        <w:ind w:right="120" w:firstLine="472"/>
        <w:spacing w:after="0" w:line="281" w:lineRule="auto"/>
        <w:rPr>
          <w:sz w:val="20"/>
          <w:szCs w:val="20"/>
          <w:color w:val="auto"/>
        </w:rPr>
      </w:pPr>
      <w:r>
        <w:rPr>
          <w:rFonts w:ascii="Arial" w:cs="Arial" w:eastAsia="Arial" w:hAnsi="Arial"/>
          <w:sz w:val="16"/>
          <w:szCs w:val="16"/>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enters into certain derivative contracts in accordance with its risk management strategy that do not meet the criteria for hedge accounting,</w:t>
      </w:r>
    </w:p>
    <w:p>
      <w:pPr>
        <w:spacing w:after="0" w:line="7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but which have the impact of largely mitigating foreign currency exposure. These foreign exchange contracts are accounted for on a full mark to market basis through earnings, with gains and losses recorded as a component of Other income, net. The net (loss) gain related to these contracts were $(5), $(1) and $2 million for the years ended December 31, 2021, 2020 and 2019, respectively. These contracts typically mature within one year.</w:t>
      </w:r>
    </w:p>
    <w:p>
      <w:pPr>
        <w:spacing w:after="0" w:line="50" w:lineRule="exact"/>
        <w:rPr>
          <w:sz w:val="20"/>
          <w:szCs w:val="20"/>
          <w:color w:val="auto"/>
        </w:rPr>
      </w:pPr>
    </w:p>
    <w:p>
      <w:pPr>
        <w:jc w:val="both"/>
        <w:ind w:right="220" w:firstLine="472"/>
        <w:spacing w:after="0" w:line="272"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December 31, 2021, which are included in other current assets and liabilities on the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w w:val="91"/>
              </w:rPr>
              <w:t>Fair Value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6"/>
                <w:szCs w:val="16"/>
                <w:b w:val="1"/>
                <w:bCs w:val="1"/>
                <w:color w:val="auto"/>
              </w:rPr>
              <w:t>Gross Notional Amount</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60" w:type="dxa"/>
            <w:vAlign w:val="bottom"/>
            <w:gridSpan w:val="2"/>
          </w:tcPr>
          <w:p>
            <w:pPr>
              <w:jc w:val="center"/>
              <w:ind w:left="301"/>
              <w:spacing w:after="0" w:line="170" w:lineRule="exact"/>
              <w:rPr>
                <w:sz w:val="20"/>
                <w:szCs w:val="20"/>
                <w:color w:val="auto"/>
              </w:rPr>
            </w:pPr>
            <w:r>
              <w:rPr>
                <w:rFonts w:ascii="Arial" w:cs="Arial" w:eastAsia="Arial" w:hAnsi="Arial"/>
                <w:sz w:val="16"/>
                <w:szCs w:val="16"/>
                <w:b w:val="1"/>
                <w:bCs w:val="1"/>
                <w:color w:val="auto"/>
                <w:w w:val="87"/>
              </w:rPr>
              <w:t>Level</w:t>
            </w:r>
          </w:p>
        </w:tc>
        <w:tc>
          <w:tcPr>
            <w:tcW w:w="700" w:type="dxa"/>
            <w:vAlign w:val="bottom"/>
          </w:tcPr>
          <w:p>
            <w:pPr>
              <w:spacing w:after="0"/>
              <w:rPr>
                <w:sz w:val="14"/>
                <w:szCs w:val="14"/>
                <w:color w:val="auto"/>
              </w:rPr>
            </w:pPr>
          </w:p>
        </w:tc>
        <w:tc>
          <w:tcPr>
            <w:tcW w:w="1820" w:type="dxa"/>
            <w:vAlign w:val="bottom"/>
            <w:gridSpan w:val="3"/>
          </w:tcPr>
          <w:p>
            <w:pPr>
              <w:ind w:left="140"/>
              <w:spacing w:after="0" w:line="170" w:lineRule="exact"/>
              <w:rPr>
                <w:sz w:val="20"/>
                <w:szCs w:val="20"/>
                <w:color w:val="auto"/>
              </w:rPr>
            </w:pPr>
            <w:r>
              <w:rPr>
                <w:rFonts w:ascii="Arial" w:cs="Arial" w:eastAsia="Arial" w:hAnsi="Arial"/>
                <w:sz w:val="16"/>
                <w:szCs w:val="16"/>
                <w:b w:val="1"/>
                <w:bCs w:val="1"/>
                <w:color w:val="auto"/>
              </w:rPr>
              <w:t>Designated</w:t>
            </w:r>
          </w:p>
        </w:tc>
        <w:tc>
          <w:tcPr>
            <w:tcW w:w="120" w:type="dxa"/>
            <w:vAlign w:val="bottom"/>
          </w:tcPr>
          <w:p>
            <w:pPr>
              <w:spacing w:after="0"/>
              <w:rPr>
                <w:sz w:val="14"/>
                <w:szCs w:val="14"/>
                <w:color w:val="auto"/>
              </w:rPr>
            </w:pPr>
          </w:p>
        </w:tc>
        <w:tc>
          <w:tcPr>
            <w:tcW w:w="1180" w:type="dxa"/>
            <w:vAlign w:val="bottom"/>
          </w:tcPr>
          <w:p>
            <w:pPr>
              <w:spacing w:after="0" w:line="170" w:lineRule="exact"/>
              <w:rPr>
                <w:sz w:val="20"/>
                <w:szCs w:val="20"/>
                <w:color w:val="auto"/>
              </w:rPr>
            </w:pPr>
            <w:r>
              <w:rPr>
                <w:rFonts w:ascii="Arial" w:cs="Arial" w:eastAsia="Arial" w:hAnsi="Arial"/>
                <w:sz w:val="16"/>
                <w:szCs w:val="16"/>
                <w:b w:val="1"/>
                <w:bCs w:val="1"/>
                <w:color w:val="auto"/>
                <w:w w:val="94"/>
              </w:rPr>
              <w:t>Non-Designated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ind w:left="100"/>
              <w:spacing w:after="0" w:line="170" w:lineRule="exact"/>
              <w:rPr>
                <w:sz w:val="20"/>
                <w:szCs w:val="20"/>
                <w:color w:val="auto"/>
              </w:rPr>
            </w:pPr>
            <w:r>
              <w:rPr>
                <w:rFonts w:ascii="Arial" w:cs="Arial" w:eastAsia="Arial" w:hAnsi="Arial"/>
                <w:sz w:val="16"/>
                <w:szCs w:val="16"/>
                <w:b w:val="1"/>
                <w:bCs w:val="1"/>
                <w:color w:val="auto"/>
              </w:rPr>
              <w:t>Designated</w:t>
            </w:r>
          </w:p>
        </w:tc>
        <w:tc>
          <w:tcPr>
            <w:tcW w:w="580" w:type="dxa"/>
            <w:vAlign w:val="bottom"/>
          </w:tcPr>
          <w:p>
            <w:pPr>
              <w:spacing w:after="0"/>
              <w:rPr>
                <w:sz w:val="14"/>
                <w:szCs w:val="14"/>
                <w:color w:val="auto"/>
              </w:rPr>
            </w:pPr>
          </w:p>
        </w:tc>
        <w:tc>
          <w:tcPr>
            <w:tcW w:w="1200" w:type="dxa"/>
            <w:vAlign w:val="bottom"/>
          </w:tcPr>
          <w:p>
            <w:pPr>
              <w:jc w:val="right"/>
              <w:ind w:right="41"/>
              <w:spacing w:after="0" w:line="170" w:lineRule="exact"/>
              <w:rPr>
                <w:sz w:val="20"/>
                <w:szCs w:val="20"/>
                <w:color w:val="auto"/>
              </w:rPr>
            </w:pPr>
            <w:r>
              <w:rPr>
                <w:rFonts w:ascii="Arial" w:cs="Arial" w:eastAsia="Arial" w:hAnsi="Arial"/>
                <w:sz w:val="16"/>
                <w:szCs w:val="16"/>
                <w:b w:val="1"/>
                <w:bCs w:val="1"/>
                <w:color w:val="auto"/>
                <w:w w:val="86"/>
              </w:rPr>
              <w:t>Non-Designated</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6"/>
                <w:szCs w:val="16"/>
                <w:color w:val="auto"/>
              </w:rPr>
              <w:t>Foreign Exchange</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color w:val="auto"/>
                <w:w w:val="97"/>
              </w:rPr>
              <w:t>Other current assets</w:t>
            </w:r>
          </w:p>
        </w:tc>
        <w:tc>
          <w:tcPr>
            <w:tcW w:w="1360" w:type="dxa"/>
            <w:vAlign w:val="bottom"/>
          </w:tcPr>
          <w:p>
            <w:pPr>
              <w:jc w:val="center"/>
              <w:ind w:left="401"/>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5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6"/>
                <w:szCs w:val="16"/>
                <w:color w:val="auto"/>
              </w:rPr>
              <w:t>Other current</w:t>
            </w:r>
          </w:p>
        </w:tc>
        <w:tc>
          <w:tcPr>
            <w:tcW w:w="1360" w:type="dxa"/>
            <w:vAlign w:val="bottom"/>
            <w:vMerge w:val="restart"/>
            <w:shd w:val="clear" w:color="auto" w:fill="CCEEFF"/>
          </w:tcPr>
          <w:p>
            <w:pPr>
              <w:jc w:val="center"/>
              <w:ind w:left="401"/>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9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613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6"/>
        </w:trPr>
        <w:tc>
          <w:tcPr>
            <w:tcW w:w="2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liabilities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w w:val="94"/>
              </w:rPr>
              <w:t>Cross-currency Swaps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Other current assets</w:t>
            </w:r>
          </w:p>
        </w:tc>
        <w:tc>
          <w:tcPr>
            <w:tcW w:w="1360" w:type="dxa"/>
            <w:vAlign w:val="bottom"/>
            <w:shd w:val="clear" w:color="auto" w:fill="CCEEFF"/>
          </w:tcPr>
          <w:p>
            <w:pPr>
              <w:jc w:val="center"/>
              <w:ind w:left="401"/>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1,254</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20" w:firstLine="472"/>
        <w:spacing w:after="0" w:line="272"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December 31, 2020, which are included in other current assets and liabilities on the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6"/>
                <w:szCs w:val="16"/>
                <w:b w:val="1"/>
                <w:bCs w:val="1"/>
                <w:color w:val="auto"/>
              </w:rPr>
              <w:t>Gross Notional Amount</w:t>
            </w:r>
          </w:p>
        </w:tc>
      </w:tr>
      <w:tr>
        <w:trPr>
          <w:trHeight w:val="170"/>
        </w:trPr>
        <w:tc>
          <w:tcPr>
            <w:tcW w:w="5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gridSpan w:val="2"/>
          </w:tcPr>
          <w:p>
            <w:pPr>
              <w:jc w:val="center"/>
              <w:ind w:left="306"/>
              <w:spacing w:after="0" w:line="170" w:lineRule="exact"/>
              <w:rPr>
                <w:sz w:val="20"/>
                <w:szCs w:val="20"/>
                <w:color w:val="auto"/>
              </w:rPr>
            </w:pPr>
            <w:r>
              <w:rPr>
                <w:rFonts w:ascii="Arial" w:cs="Arial" w:eastAsia="Arial" w:hAnsi="Arial"/>
                <w:sz w:val="16"/>
                <w:szCs w:val="16"/>
                <w:b w:val="1"/>
                <w:bCs w:val="1"/>
                <w:color w:val="auto"/>
                <w:w w:val="92"/>
              </w:rPr>
              <w:t>Level</w:t>
            </w:r>
          </w:p>
        </w:tc>
        <w:tc>
          <w:tcPr>
            <w:tcW w:w="680" w:type="dxa"/>
            <w:vAlign w:val="bottom"/>
          </w:tcPr>
          <w:p>
            <w:pPr>
              <w:spacing w:after="0"/>
              <w:rPr>
                <w:sz w:val="14"/>
                <w:szCs w:val="14"/>
                <w:color w:val="auto"/>
              </w:rPr>
            </w:pPr>
          </w:p>
        </w:tc>
        <w:tc>
          <w:tcPr>
            <w:tcW w:w="1240" w:type="dxa"/>
            <w:vAlign w:val="bottom"/>
            <w:gridSpan w:val="2"/>
          </w:tcPr>
          <w:p>
            <w:pPr>
              <w:ind w:left="100"/>
              <w:spacing w:after="0" w:line="170" w:lineRule="exact"/>
              <w:rPr>
                <w:sz w:val="20"/>
                <w:szCs w:val="20"/>
                <w:color w:val="auto"/>
              </w:rPr>
            </w:pPr>
            <w:r>
              <w:rPr>
                <w:rFonts w:ascii="Arial" w:cs="Arial" w:eastAsia="Arial" w:hAnsi="Arial"/>
                <w:sz w:val="16"/>
                <w:szCs w:val="16"/>
                <w:b w:val="1"/>
                <w:bCs w:val="1"/>
                <w:color w:val="auto"/>
              </w:rPr>
              <w:t>Designated</w:t>
            </w:r>
          </w:p>
        </w:tc>
        <w:tc>
          <w:tcPr>
            <w:tcW w:w="580" w:type="dxa"/>
            <w:vAlign w:val="bottom"/>
          </w:tcPr>
          <w:p>
            <w:pPr>
              <w:spacing w:after="0"/>
              <w:rPr>
                <w:sz w:val="14"/>
                <w:szCs w:val="14"/>
                <w:color w:val="auto"/>
              </w:rPr>
            </w:pPr>
          </w:p>
        </w:tc>
        <w:tc>
          <w:tcPr>
            <w:tcW w:w="1180" w:type="dxa"/>
            <w:vAlign w:val="bottom"/>
          </w:tcPr>
          <w:p>
            <w:pPr>
              <w:jc w:val="right"/>
              <w:ind w:right="21"/>
              <w:spacing w:after="0" w:line="170" w:lineRule="exact"/>
              <w:rPr>
                <w:sz w:val="20"/>
                <w:szCs w:val="20"/>
                <w:color w:val="auto"/>
              </w:rPr>
            </w:pPr>
            <w:r>
              <w:rPr>
                <w:rFonts w:ascii="Arial" w:cs="Arial" w:eastAsia="Arial" w:hAnsi="Arial"/>
                <w:sz w:val="16"/>
                <w:szCs w:val="16"/>
                <w:b w:val="1"/>
                <w:bCs w:val="1"/>
                <w:color w:val="auto"/>
                <w:w w:val="86"/>
              </w:rPr>
              <w:t>Non-Designated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ind w:left="100"/>
              <w:spacing w:after="0" w:line="170" w:lineRule="exact"/>
              <w:rPr>
                <w:sz w:val="20"/>
                <w:szCs w:val="20"/>
                <w:color w:val="auto"/>
              </w:rPr>
            </w:pPr>
            <w:r>
              <w:rPr>
                <w:rFonts w:ascii="Arial" w:cs="Arial" w:eastAsia="Arial" w:hAnsi="Arial"/>
                <w:sz w:val="16"/>
                <w:szCs w:val="16"/>
                <w:b w:val="1"/>
                <w:bCs w:val="1"/>
                <w:color w:val="auto"/>
              </w:rPr>
              <w:t>Designated</w:t>
            </w:r>
          </w:p>
        </w:tc>
        <w:tc>
          <w:tcPr>
            <w:tcW w:w="580" w:type="dxa"/>
            <w:vAlign w:val="bottom"/>
          </w:tcPr>
          <w:p>
            <w:pPr>
              <w:spacing w:after="0"/>
              <w:rPr>
                <w:sz w:val="14"/>
                <w:szCs w:val="14"/>
                <w:color w:val="auto"/>
              </w:rPr>
            </w:pPr>
          </w:p>
        </w:tc>
        <w:tc>
          <w:tcPr>
            <w:tcW w:w="1220" w:type="dxa"/>
            <w:vAlign w:val="bottom"/>
          </w:tcPr>
          <w:p>
            <w:pPr>
              <w:jc w:val="right"/>
              <w:ind w:right="61"/>
              <w:spacing w:after="0" w:line="170" w:lineRule="exact"/>
              <w:rPr>
                <w:sz w:val="20"/>
                <w:szCs w:val="20"/>
                <w:color w:val="auto"/>
              </w:rPr>
            </w:pPr>
            <w:r>
              <w:rPr>
                <w:rFonts w:ascii="Arial" w:cs="Arial" w:eastAsia="Arial" w:hAnsi="Arial"/>
                <w:sz w:val="16"/>
                <w:szCs w:val="16"/>
                <w:b w:val="1"/>
                <w:bCs w:val="1"/>
                <w:color w:val="auto"/>
                <w:w w:val="86"/>
              </w:rPr>
              <w:t>Non-Designated</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0"/>
        </w:trPr>
        <w:tc>
          <w:tcPr>
            <w:tcW w:w="5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spacing w:after="0" w:line="140" w:lineRule="exact"/>
              <w:rPr>
                <w:sz w:val="20"/>
                <w:szCs w:val="20"/>
                <w:color w:val="auto"/>
              </w:rPr>
            </w:pPr>
            <w:r>
              <w:rPr>
                <w:rFonts w:ascii="Arial" w:cs="Arial" w:eastAsia="Arial" w:hAnsi="Arial"/>
                <w:sz w:val="16"/>
                <w:szCs w:val="16"/>
                <w:color w:val="auto"/>
              </w:rPr>
              <w:t>Foreign Exchange</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06"/>
        </w:trPr>
        <w:tc>
          <w:tcPr>
            <w:tcW w:w="2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color w:val="auto"/>
              </w:rPr>
              <w:t>Other current assets</w:t>
            </w:r>
          </w:p>
        </w:tc>
        <w:tc>
          <w:tcPr>
            <w:tcW w:w="1360" w:type="dxa"/>
            <w:vAlign w:val="bottom"/>
          </w:tcPr>
          <w:p>
            <w:pPr>
              <w:jc w:val="center"/>
              <w:ind w:left="386"/>
              <w:spacing w:after="0"/>
              <w:rPr>
                <w:sz w:val="20"/>
                <w:szCs w:val="20"/>
                <w:color w:val="auto"/>
              </w:rPr>
            </w:pPr>
            <w:r>
              <w:rPr>
                <w:rFonts w:ascii="Arial" w:cs="Arial" w:eastAsia="Arial" w:hAnsi="Arial"/>
                <w:sz w:val="15"/>
                <w:szCs w:val="15"/>
                <w:color w:val="auto"/>
                <w:w w:val="71"/>
              </w:rPr>
              <w:t>2</w:t>
            </w:r>
          </w:p>
        </w:tc>
        <w:tc>
          <w:tcPr>
            <w:tcW w:w="8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4"/>
              </w:rPr>
              <w:t>Other current liabilities</w:t>
            </w:r>
          </w:p>
        </w:tc>
        <w:tc>
          <w:tcPr>
            <w:tcW w:w="136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71"/>
              </w:rPr>
              <w:t>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06"/>
        </w:trPr>
        <w:tc>
          <w:tcPr>
            <w:tcW w:w="5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w w:val="99"/>
              </w:rPr>
              <w:t>Cross-currency Swaps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4"/>
              </w:rPr>
              <w:t>Other current liabilities</w:t>
            </w:r>
          </w:p>
        </w:tc>
        <w:tc>
          <w:tcPr>
            <w:tcW w:w="136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71"/>
              </w:rPr>
              <w:t>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9" w:lineRule="exact"/>
        <w:rPr>
          <w:sz w:val="20"/>
          <w:szCs w:val="20"/>
          <w:color w:val="auto"/>
        </w:rPr>
      </w:pPr>
    </w:p>
    <w:p>
      <w:pPr>
        <w:ind w:firstLine="472"/>
        <w:spacing w:after="0" w:line="318" w:lineRule="auto"/>
        <w:rPr>
          <w:sz w:val="20"/>
          <w:szCs w:val="20"/>
          <w:color w:val="auto"/>
        </w:rPr>
      </w:pPr>
      <w:r>
        <w:rPr>
          <w:rFonts w:ascii="Arial" w:cs="Arial" w:eastAsia="Arial" w:hAnsi="Arial"/>
          <w:sz w:val="15"/>
          <w:szCs w:val="15"/>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 activities that would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put principal capital at risk. For the years ended December 31, 2021, 2020 and 2019, the amounts reclassified into income were not material.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i w:val="1"/>
          <w:iCs w:val="1"/>
          <w:color w:val="auto"/>
        </w:rPr>
        <w:t>Commodity Price Risk</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may use commodity forward swaps to manage its exposure to commodity price changes and to reduce its overall cost of manufacturing.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2020 and 2019, the amounts reclassified into income were not material.</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COMMITMENTS AND CONTINGENCIES</w:t>
      </w:r>
    </w:p>
    <w:p>
      <w:pPr>
        <w:spacing w:after="0" w:line="125" w:lineRule="exact"/>
        <w:rPr>
          <w:sz w:val="20"/>
          <w:szCs w:val="20"/>
          <w:color w:val="auto"/>
        </w:rPr>
      </w:pPr>
    </w:p>
    <w:p>
      <w:pPr>
        <w:ind w:right="60" w:firstLine="472"/>
        <w:spacing w:after="0" w:line="289"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57" w:lineRule="exact"/>
        <w:rPr>
          <w:sz w:val="20"/>
          <w:szCs w:val="20"/>
          <w:color w:val="auto"/>
        </w:rPr>
      </w:pPr>
    </w:p>
    <w:p>
      <w:pPr>
        <w:ind w:right="60" w:firstLine="472"/>
        <w:spacing w:after="0" w:line="262"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8" w:lineRule="exact"/>
        <w:rPr>
          <w:sz w:val="20"/>
          <w:szCs w:val="20"/>
          <w:color w:val="auto"/>
        </w:rPr>
      </w:pPr>
    </w:p>
    <w:p>
      <w:pPr>
        <w:ind w:firstLine="472"/>
        <w:spacing w:after="0" w:line="27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w:t>
      </w:r>
    </w:p>
    <w:p>
      <w:pPr>
        <w:spacing w:after="0" w:line="75" w:lineRule="exact"/>
        <w:rPr>
          <w:sz w:val="20"/>
          <w:szCs w:val="20"/>
          <w:color w:val="auto"/>
        </w:rPr>
      </w:pPr>
    </w:p>
    <w:p>
      <w:pPr>
        <w:ind w:right="60" w:firstLine="472"/>
        <w:spacing w:after="0" w:line="273" w:lineRule="auto"/>
        <w:rPr>
          <w:sz w:val="20"/>
          <w:szCs w:val="20"/>
          <w:color w:val="auto"/>
        </w:rPr>
      </w:pPr>
      <w:r>
        <w:rPr>
          <w:rFonts w:ascii="Arial" w:cs="Arial" w:eastAsia="Arial" w:hAnsi="Arial"/>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SEGMENT INFORMATION</w:t>
      </w:r>
    </w:p>
    <w:p>
      <w:pPr>
        <w:spacing w:after="0" w:line="125"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The Company believes these changes better present Management's view of the business. The Company’s business segments are:</w:t>
      </w:r>
    </w:p>
    <w:p>
      <w:pPr>
        <w:spacing w:after="0" w:line="72" w:lineRule="exact"/>
        <w:rPr>
          <w:sz w:val="20"/>
          <w:szCs w:val="20"/>
          <w:color w:val="auto"/>
        </w:rPr>
      </w:pPr>
    </w:p>
    <w:p>
      <w:pPr>
        <w:ind w:right="160" w:firstLine="472"/>
        <w:spacing w:after="0" w:line="270" w:lineRule="auto"/>
        <w:rPr>
          <w:sz w:val="20"/>
          <w:szCs w:val="20"/>
          <w:color w:val="auto"/>
        </w:rPr>
      </w:pPr>
      <w:r>
        <w:rPr>
          <w:rFonts w:ascii="Arial" w:cs="Arial" w:eastAsia="Arial" w:hAnsi="Arial"/>
          <w:sz w:val="17"/>
          <w:szCs w:val="17"/>
          <w:b w:val="1"/>
          <w:bCs w:val="1"/>
          <w:color w:val="auto"/>
        </w:rPr>
        <w:t xml:space="preserve">Freight Segment </w:t>
      </w:r>
      <w:r>
        <w:rPr>
          <w:rFonts w:ascii="Arial" w:cs="Arial" w:eastAsia="Arial" w:hAnsi="Arial"/>
          <w:sz w:val="17"/>
          <w:szCs w:val="17"/>
          <w:color w:val="auto"/>
        </w:rPr>
        <w:t>primarily builds new locomotives, manufactures and services components for new and existing freight cars and locomotives, rebuilds</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 We refer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6" w:name="page87"/>
    <w:bookmarkEnd w:id="86"/>
    <w:p>
      <w:pPr>
        <w:ind w:right="200"/>
        <w:spacing w:after="0" w:line="289" w:lineRule="auto"/>
        <w:rPr>
          <w:sz w:val="20"/>
          <w:szCs w:val="20"/>
          <w:color w:val="auto"/>
        </w:rPr>
      </w:pPr>
      <w:r>
        <w:rPr>
          <w:rFonts w:ascii="Arial" w:cs="Arial" w:eastAsia="Arial" w:hAnsi="Arial"/>
          <w:sz w:val="17"/>
          <w:szCs w:val="17"/>
          <w:color w:val="auto"/>
        </w:rPr>
        <w:t>to sales of both goods, such as spare parts and equipment upgrades, and related services, such as monitoring, maintenance and repairs, as sales in our Services product line.</w:t>
      </w:r>
    </w:p>
    <w:p>
      <w:pPr>
        <w:spacing w:after="0" w:line="47" w:lineRule="exact"/>
        <w:rPr>
          <w:sz w:val="20"/>
          <w:szCs w:val="20"/>
          <w:color w:val="auto"/>
        </w:rPr>
      </w:pPr>
    </w:p>
    <w:p>
      <w:pPr>
        <w:ind w:firstLine="472"/>
        <w:spacing w:after="0" w:line="270" w:lineRule="auto"/>
        <w:rPr>
          <w:sz w:val="20"/>
          <w:szCs w:val="20"/>
          <w:color w:val="auto"/>
        </w:rPr>
      </w:pPr>
      <w:r>
        <w:rPr>
          <w:rFonts w:ascii="Arial" w:cs="Arial" w:eastAsia="Arial" w:hAnsi="Arial"/>
          <w:sz w:val="17"/>
          <w:szCs w:val="17"/>
          <w:b w:val="1"/>
          <w:bCs w:val="1"/>
          <w:color w:val="auto"/>
        </w:rPr>
        <w:t xml:space="preserve">Transit Segment </w:t>
      </w:r>
      <w:r>
        <w:rPr>
          <w:rFonts w:ascii="Arial" w:cs="Arial" w:eastAsia="Arial" w:hAnsi="Arial"/>
          <w:sz w:val="17"/>
          <w:szCs w:val="17"/>
          <w:color w:val="auto"/>
        </w:rPr>
        <w:t>primarily manufactures and services components for new and existing passenger transit vehicles, typically regional trains, high speed</w:t>
      </w:r>
      <w:r>
        <w:rPr>
          <w:rFonts w:ascii="Arial" w:cs="Arial" w:eastAsia="Arial" w:hAnsi="Arial"/>
          <w:sz w:val="17"/>
          <w:szCs w:val="17"/>
          <w:b w:val="1"/>
          <w:bCs w:val="1"/>
          <w:color w:val="auto"/>
        </w:rPr>
        <w:t xml:space="preserve"> </w:t>
      </w:r>
      <w:r>
        <w:rPr>
          <w:rFonts w:ascii="Arial" w:cs="Arial" w:eastAsia="Arial" w:hAnsi="Arial"/>
          <w:sz w:val="17"/>
          <w:szCs w:val="17"/>
          <w:color w:val="auto"/>
        </w:rPr>
        <w:t>trains, subway cars, light-rail vehicles and buses. It also refurbishes subway cars and provides heating, ventilation, and air conditioning equipment, and doors for buses and subways. Customers include public transit authorities and municipalities, leasing companies, and manufacturers of subway cars and buses around the world.</w:t>
      </w:r>
    </w:p>
    <w:p>
      <w:pPr>
        <w:spacing w:after="0" w:line="69" w:lineRule="exact"/>
        <w:rPr>
          <w:sz w:val="20"/>
          <w:szCs w:val="20"/>
          <w:color w:val="auto"/>
        </w:rPr>
      </w:pPr>
    </w:p>
    <w:p>
      <w:pPr>
        <w:ind w:right="80" w:firstLine="472"/>
        <w:spacing w:after="0" w:line="272"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20" w:type="dxa"/>
            <w:vAlign w:val="bottom"/>
            <w:gridSpan w:val="3"/>
          </w:tcPr>
          <w:p>
            <w:pPr>
              <w:spacing w:after="0"/>
              <w:rPr>
                <w:sz w:val="20"/>
                <w:szCs w:val="20"/>
                <w:color w:val="auto"/>
              </w:rPr>
            </w:pPr>
            <w:r>
              <w:rPr>
                <w:rFonts w:ascii="Arial" w:cs="Arial" w:eastAsia="Arial" w:hAnsi="Arial"/>
                <w:sz w:val="16"/>
                <w:szCs w:val="16"/>
                <w:b w:val="1"/>
                <w:bCs w:val="1"/>
                <w:color w:val="auto"/>
                <w:w w:val="94"/>
              </w:rPr>
              <w:t>Segment financial information for 2021 is as follows:</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9"/>
          </w:tcPr>
          <w:p>
            <w:pPr>
              <w:ind w:left="20"/>
              <w:spacing w:after="0" w:line="164" w:lineRule="exact"/>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6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w w:val="96"/>
              </w:rPr>
              <w:t>Freight Segment</w:t>
            </w:r>
          </w:p>
        </w:tc>
        <w:tc>
          <w:tcPr>
            <w:tcW w:w="1740" w:type="dxa"/>
            <w:vAlign w:val="bottom"/>
            <w:gridSpan w:val="6"/>
            <w:vMerge w:val="restart"/>
          </w:tcPr>
          <w:p>
            <w:pPr>
              <w:ind w:left="500"/>
              <w:spacing w:after="0"/>
              <w:rPr>
                <w:sz w:val="20"/>
                <w:szCs w:val="20"/>
                <w:color w:val="auto"/>
              </w:rPr>
            </w:pPr>
            <w:r>
              <w:rPr>
                <w:rFonts w:ascii="Arial" w:cs="Arial" w:eastAsia="Arial" w:hAnsi="Arial"/>
                <w:sz w:val="16"/>
                <w:szCs w:val="16"/>
                <w:b w:val="1"/>
                <w:bCs w:val="1"/>
                <w:color w:val="auto"/>
                <w:w w:val="97"/>
              </w:rPr>
              <w:t>Transit Segment</w:t>
            </w:r>
          </w:p>
        </w:tc>
        <w:tc>
          <w:tcPr>
            <w:tcW w:w="2100" w:type="dxa"/>
            <w:vAlign w:val="bottom"/>
            <w:gridSpan w:val="10"/>
          </w:tcPr>
          <w:p>
            <w:pPr>
              <w:jc w:val="center"/>
              <w:ind w:right="460"/>
              <w:spacing w:after="0" w:line="158" w:lineRule="exact"/>
              <w:rPr>
                <w:sz w:val="20"/>
                <w:szCs w:val="20"/>
                <w:color w:val="auto"/>
              </w:rPr>
            </w:pPr>
            <w:r>
              <w:rPr>
                <w:rFonts w:ascii="Arial" w:cs="Arial" w:eastAsia="Arial" w:hAnsi="Arial"/>
                <w:sz w:val="16"/>
                <w:szCs w:val="16"/>
                <w:b w:val="1"/>
                <w:bCs w:val="1"/>
                <w:color w:val="auto"/>
                <w:w w:val="88"/>
              </w:rPr>
              <w:t>Activities and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w:t>
            </w:r>
          </w:p>
        </w:tc>
        <w:tc>
          <w:tcPr>
            <w:tcW w:w="1760" w:type="dxa"/>
            <w:vAlign w:val="bottom"/>
            <w:gridSpan w:val="4"/>
            <w:vMerge w:val="continue"/>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2100" w:type="dxa"/>
            <w:vAlign w:val="bottom"/>
            <w:gridSpan w:val="10"/>
          </w:tcPr>
          <w:p>
            <w:pPr>
              <w:jc w:val="center"/>
              <w:ind w:right="460"/>
              <w:spacing w:after="0" w:line="171" w:lineRule="exact"/>
              <w:rPr>
                <w:sz w:val="20"/>
                <w:szCs w:val="20"/>
                <w:color w:val="auto"/>
              </w:rPr>
            </w:pPr>
            <w:r>
              <w:rPr>
                <w:rFonts w:ascii="Arial" w:cs="Arial" w:eastAsia="Arial" w:hAnsi="Arial"/>
                <w:sz w:val="16"/>
                <w:szCs w:val="16"/>
                <w:b w:val="1"/>
                <w:bCs w:val="1"/>
                <w:color w:val="auto"/>
                <w:w w:val="92"/>
              </w:rPr>
              <w:t>Elimination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2,583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7,822</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8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Intersegment sales/(elimination)</w:t>
            </w: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sales</w:t>
            </w: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9"/>
              </w:rPr>
              <w:t>2,616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Income (loss) from operations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20" w:type="dxa"/>
            <w:vAlign w:val="bottom"/>
            <w:gridSpan w:val="3"/>
            <w:vMerge w:val="continue"/>
          </w:tcPr>
          <w:p>
            <w:pPr>
              <w:spacing w:after="0"/>
              <w:rPr>
                <w:sz w:val="15"/>
                <w:szCs w:val="15"/>
                <w:color w:val="auto"/>
              </w:rPr>
            </w:pPr>
          </w:p>
        </w:tc>
        <w:tc>
          <w:tcPr>
            <w:tcW w:w="860" w:type="dxa"/>
            <w:vAlign w:val="bottom"/>
          </w:tcPr>
          <w:p>
            <w:pPr>
              <w:ind w:left="500"/>
              <w:spacing w:after="0" w:line="17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9" w:lineRule="exact"/>
              <w:rPr>
                <w:sz w:val="20"/>
                <w:szCs w:val="20"/>
                <w:color w:val="auto"/>
              </w:rPr>
            </w:pPr>
            <w:r>
              <w:rPr>
                <w:rFonts w:ascii="Arial" w:cs="Arial" w:eastAsia="Arial" w:hAnsi="Arial"/>
                <w:sz w:val="16"/>
                <w:szCs w:val="16"/>
                <w:color w:val="auto"/>
              </w:rPr>
              <w:t>717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41"/>
              <w:spacing w:after="0" w:line="17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238</w:t>
            </w:r>
          </w:p>
        </w:tc>
        <w:tc>
          <w:tcPr>
            <w:tcW w:w="120" w:type="dxa"/>
            <w:vAlign w:val="bottom"/>
          </w:tcPr>
          <w:p>
            <w:pPr>
              <w:spacing w:after="0"/>
              <w:rPr>
                <w:sz w:val="15"/>
                <w:szCs w:val="15"/>
                <w:color w:val="auto"/>
              </w:rPr>
            </w:pPr>
          </w:p>
        </w:tc>
        <w:tc>
          <w:tcPr>
            <w:tcW w:w="680" w:type="dxa"/>
            <w:vAlign w:val="bottom"/>
          </w:tcPr>
          <w:p>
            <w:pPr>
              <w:jc w:val="right"/>
              <w:ind w:right="41"/>
              <w:spacing w:after="0" w:line="17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6"/>
                <w:szCs w:val="16"/>
                <w:color w:val="auto"/>
              </w:rPr>
              <w:t>(79)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jc w:val="right"/>
              <w:ind w:right="21"/>
              <w:spacing w:after="0" w:line="179"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line="179" w:lineRule="exact"/>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8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2"/>
          </w:tcPr>
          <w:p>
            <w:pPr>
              <w:ind w:left="260"/>
              <w:spacing w:after="0"/>
              <w:rPr>
                <w:sz w:val="20"/>
                <w:szCs w:val="20"/>
                <w:color w:val="auto"/>
              </w:rPr>
            </w:pPr>
            <w:r>
              <w:rPr>
                <w:rFonts w:ascii="Arial" w:cs="Arial" w:eastAsia="Arial" w:hAnsi="Arial"/>
                <w:sz w:val="16"/>
                <w:szCs w:val="16"/>
                <w:color w:val="auto"/>
              </w:rPr>
              <w:t>Income (loss) before income taxes</w:t>
            </w:r>
          </w:p>
        </w:tc>
        <w:tc>
          <w:tcPr>
            <w:tcW w:w="8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20" w:type="dxa"/>
            <w:vAlign w:val="bottom"/>
            <w:gridSpan w:val="3"/>
          </w:tcPr>
          <w:p>
            <w:pPr>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ind w:left="5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5,768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18,454</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6"/>
                <w:szCs w:val="16"/>
                <w:b w:val="1"/>
                <w:bCs w:val="1"/>
                <w:color w:val="auto"/>
              </w:rPr>
              <w:t>Segment financial information for 2020 is as follows: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240"/>
              <w:spacing w:after="0" w:line="164" w:lineRule="exact"/>
              <w:rPr>
                <w:sz w:val="20"/>
                <w:szCs w:val="20"/>
                <w:color w:val="auto"/>
              </w:rPr>
            </w:pPr>
            <w:r>
              <w:rPr>
                <w:rFonts w:ascii="Arial" w:cs="Arial" w:eastAsia="Arial" w:hAnsi="Arial"/>
                <w:sz w:val="16"/>
                <w:szCs w:val="16"/>
                <w:b w:val="1"/>
                <w:bCs w:val="1"/>
                <w:color w:val="auto"/>
                <w:w w:val="91"/>
              </w:rPr>
              <w:t>Corporate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8"/>
              </w:rPr>
              <w:t>Freight Segment</w:t>
            </w:r>
          </w:p>
        </w:tc>
        <w:tc>
          <w:tcPr>
            <w:tcW w:w="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7"/>
              </w:rPr>
              <w:t>Transit 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20"/>
              <w:spacing w:after="0" w:line="158" w:lineRule="exact"/>
              <w:rPr>
                <w:sz w:val="20"/>
                <w:szCs w:val="20"/>
                <w:color w:val="auto"/>
              </w:rPr>
            </w:pPr>
            <w:r>
              <w:rPr>
                <w:rFonts w:ascii="Arial" w:cs="Arial" w:eastAsia="Arial" w:hAnsi="Arial"/>
                <w:sz w:val="16"/>
                <w:szCs w:val="16"/>
                <w:b w:val="1"/>
                <w:bCs w:val="1"/>
                <w:color w:val="auto"/>
                <w:w w:val="88"/>
              </w:rPr>
              <w:t>Activities and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220"/>
              <w:spacing w:after="0" w:line="171" w:lineRule="exact"/>
              <w:rPr>
                <w:sz w:val="20"/>
                <w:szCs w:val="20"/>
                <w:color w:val="auto"/>
              </w:rPr>
            </w:pPr>
            <w:r>
              <w:rPr>
                <w:rFonts w:ascii="Arial" w:cs="Arial" w:eastAsia="Arial" w:hAnsi="Arial"/>
                <w:sz w:val="16"/>
                <w:szCs w:val="16"/>
                <w:b w:val="1"/>
                <w:bCs w:val="1"/>
                <w:color w:val="auto"/>
                <w:w w:val="92"/>
              </w:rPr>
              <w:t>Elimination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8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240" w:type="dxa"/>
            <w:vAlign w:val="bottom"/>
            <w:gridSpan w:val="4"/>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Intersegment sales/(elimination)</w:t>
            </w:r>
          </w:p>
        </w:tc>
        <w:tc>
          <w:tcPr>
            <w:tcW w:w="8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6"/>
                <w:szCs w:val="16"/>
                <w:color w:val="auto"/>
              </w:rPr>
              <w:t>Total sales</w:t>
            </w:r>
          </w:p>
        </w:tc>
        <w:tc>
          <w:tcPr>
            <w:tcW w:w="8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4"/>
            <w:vMerge w:val="restart"/>
          </w:tcPr>
          <w:p>
            <w:pPr>
              <w:spacing w:after="0"/>
              <w:rPr>
                <w:sz w:val="20"/>
                <w:szCs w:val="20"/>
                <w:color w:val="auto"/>
              </w:rPr>
            </w:pPr>
            <w:r>
              <w:rPr>
                <w:rFonts w:ascii="Arial" w:cs="Arial" w:eastAsia="Arial" w:hAnsi="Arial"/>
                <w:sz w:val="16"/>
                <w:szCs w:val="16"/>
                <w:color w:val="auto"/>
              </w:rPr>
              <w:t>Income (loss) from operations</w:t>
            </w: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300" w:type="dxa"/>
            <w:vAlign w:val="bottom"/>
            <w:gridSpan w:val="4"/>
            <w:vMerge w:val="continue"/>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gridSpan w:val="3"/>
          </w:tcPr>
          <w:p>
            <w:pPr>
              <w:jc w:val="right"/>
              <w:spacing w:after="0" w:line="179"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9" w:lineRule="exact"/>
              <w:rPr>
                <w:sz w:val="20"/>
                <w:szCs w:val="20"/>
                <w:color w:val="auto"/>
              </w:rPr>
            </w:pPr>
            <w:r>
              <w:rPr>
                <w:rFonts w:ascii="Arial" w:cs="Arial" w:eastAsia="Arial" w:hAnsi="Arial"/>
                <w:sz w:val="16"/>
                <w:szCs w:val="16"/>
                <w:color w:val="auto"/>
              </w:rPr>
              <w:t>584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Arial" w:cs="Arial" w:eastAsia="Arial" w:hAnsi="Arial"/>
                <w:sz w:val="16"/>
                <w:szCs w:val="16"/>
                <w:color w:val="auto"/>
              </w:rPr>
              <w:t>230</w:t>
            </w:r>
          </w:p>
        </w:tc>
        <w:tc>
          <w:tcPr>
            <w:tcW w:w="240" w:type="dxa"/>
            <w:vAlign w:val="bottom"/>
            <w:gridSpan w:val="4"/>
          </w:tcPr>
          <w:p>
            <w:pPr>
              <w:jc w:val="center"/>
              <w:ind w:left="1"/>
              <w:spacing w:after="0" w:line="179" w:lineRule="exact"/>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spacing w:after="0" w:line="179" w:lineRule="exact"/>
              <w:rPr>
                <w:sz w:val="20"/>
                <w:szCs w:val="20"/>
                <w:color w:val="auto"/>
              </w:rPr>
            </w:pPr>
            <w:r>
              <w:rPr>
                <w:rFonts w:ascii="Arial" w:cs="Arial" w:eastAsia="Arial" w:hAnsi="Arial"/>
                <w:sz w:val="16"/>
                <w:szCs w:val="16"/>
                <w:color w:val="auto"/>
              </w:rPr>
              <w:t>(69)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jc w:val="right"/>
              <w:ind w:right="141"/>
              <w:spacing w:after="0" w:line="179"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line="179" w:lineRule="exact"/>
              <w:rPr>
                <w:sz w:val="20"/>
                <w:szCs w:val="20"/>
                <w:color w:val="auto"/>
              </w:rPr>
            </w:pPr>
            <w:r>
              <w:rPr>
                <w:rFonts w:ascii="Arial" w:cs="Arial" w:eastAsia="Arial" w:hAnsi="Arial"/>
                <w:sz w:val="16"/>
                <w:szCs w:val="16"/>
                <w:color w:val="auto"/>
              </w:rPr>
              <w:t>745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4"/>
          </w:tcPr>
          <w:p>
            <w:pPr>
              <w:ind w:left="440"/>
              <w:spacing w:after="0"/>
              <w:rPr>
                <w:sz w:val="20"/>
                <w:szCs w:val="20"/>
                <w:color w:val="auto"/>
              </w:rPr>
            </w:pPr>
            <w:r>
              <w:rPr>
                <w:rFonts w:ascii="Arial" w:cs="Arial" w:eastAsia="Arial" w:hAnsi="Arial"/>
                <w:sz w:val="16"/>
                <w:szCs w:val="16"/>
                <w:color w:val="auto"/>
              </w:rPr>
              <w:t>Income (loss) from operations before income taxes</w:t>
            </w:r>
          </w:p>
        </w:tc>
        <w:tc>
          <w:tcPr>
            <w:tcW w:w="8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w:t>
            </w:r>
          </w:p>
        </w:tc>
        <w:tc>
          <w:tcPr>
            <w:tcW w:w="240" w:type="dxa"/>
            <w:vAlign w:val="bottom"/>
            <w:gridSpan w:val="4"/>
          </w:tcPr>
          <w:p>
            <w:pPr>
              <w:jc w:val="center"/>
              <w:ind w:left="1"/>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gridSpan w:val="4"/>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4"/>
          </w:tcPr>
          <w:p>
            <w:pPr>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gridSpan w:val="4"/>
          </w:tcPr>
          <w:p>
            <w:pPr>
              <w:jc w:val="center"/>
              <w:ind w:left="1"/>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8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w:t>
            </w:r>
          </w:p>
        </w:tc>
        <w:tc>
          <w:tcPr>
            <w:tcW w:w="240" w:type="dxa"/>
            <w:vAlign w:val="bottom"/>
            <w:gridSpan w:val="4"/>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6"/>
                <w:szCs w:val="16"/>
                <w:b w:val="1"/>
                <w:bCs w:val="1"/>
                <w:color w:val="auto"/>
              </w:rPr>
              <w:t>Segment financial information for 2019 is as follows: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120"/>
              <w:spacing w:after="0" w:line="164" w:lineRule="exact"/>
              <w:rPr>
                <w:sz w:val="20"/>
                <w:szCs w:val="20"/>
                <w:color w:val="auto"/>
              </w:rPr>
            </w:pPr>
            <w:r>
              <w:rPr>
                <w:rFonts w:ascii="Arial" w:cs="Arial" w:eastAsia="Arial" w:hAnsi="Arial"/>
                <w:sz w:val="16"/>
                <w:szCs w:val="16"/>
                <w:b w:val="1"/>
                <w:bCs w:val="1"/>
                <w:color w:val="auto"/>
                <w:w w:val="91"/>
              </w:rPr>
              <w:t>Corporate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6"/>
              </w:rPr>
              <w:t>Freight Segment</w:t>
            </w:r>
          </w:p>
        </w:tc>
        <w:tc>
          <w:tcPr>
            <w:tcW w:w="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0"/>
              </w:rPr>
              <w:t>Transit 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140"/>
              <w:spacing w:after="0" w:line="158" w:lineRule="exact"/>
              <w:rPr>
                <w:sz w:val="20"/>
                <w:szCs w:val="20"/>
                <w:color w:val="auto"/>
              </w:rPr>
            </w:pPr>
            <w:r>
              <w:rPr>
                <w:rFonts w:ascii="Arial" w:cs="Arial" w:eastAsia="Arial" w:hAnsi="Arial"/>
                <w:sz w:val="16"/>
                <w:szCs w:val="16"/>
                <w:b w:val="1"/>
                <w:bCs w:val="1"/>
                <w:color w:val="auto"/>
                <w:w w:val="88"/>
              </w:rPr>
              <w:t>Activities and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140"/>
              <w:spacing w:after="0" w:line="171" w:lineRule="exact"/>
              <w:rPr>
                <w:sz w:val="20"/>
                <w:szCs w:val="20"/>
                <w:color w:val="auto"/>
              </w:rPr>
            </w:pPr>
            <w:r>
              <w:rPr>
                <w:rFonts w:ascii="Arial" w:cs="Arial" w:eastAsia="Arial" w:hAnsi="Arial"/>
                <w:sz w:val="16"/>
                <w:szCs w:val="16"/>
                <w:b w:val="1"/>
                <w:bCs w:val="1"/>
                <w:color w:val="auto"/>
                <w:w w:val="92"/>
              </w:rPr>
              <w:t>Elimination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Sales to external customers</w:t>
            </w:r>
          </w:p>
        </w:tc>
        <w:tc>
          <w:tcPr>
            <w:tcW w:w="8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Intersegment sales/(elimination)</w:t>
            </w:r>
          </w:p>
        </w:tc>
        <w:tc>
          <w:tcPr>
            <w:tcW w:w="8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6"/>
                <w:szCs w:val="16"/>
                <w:color w:val="auto"/>
              </w:rPr>
              <w:t>Total sales</w:t>
            </w:r>
          </w:p>
        </w:tc>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4"/>
            <w:vMerge w:val="restart"/>
          </w:tcPr>
          <w:p>
            <w:pPr>
              <w:spacing w:after="0"/>
              <w:rPr>
                <w:sz w:val="20"/>
                <w:szCs w:val="20"/>
                <w:color w:val="auto"/>
              </w:rPr>
            </w:pPr>
            <w:r>
              <w:rPr>
                <w:rFonts w:ascii="Arial" w:cs="Arial" w:eastAsia="Arial" w:hAnsi="Arial"/>
                <w:sz w:val="16"/>
                <w:szCs w:val="16"/>
                <w:color w:val="auto"/>
              </w:rPr>
              <w:t>Income (loss) from operations</w:t>
            </w: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300" w:type="dxa"/>
            <w:vAlign w:val="bottom"/>
            <w:gridSpan w:val="4"/>
            <w:vMerge w:val="continue"/>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gridSpan w:val="3"/>
          </w:tcPr>
          <w:p>
            <w:pPr>
              <w:jc w:val="right"/>
              <w:spacing w:after="0" w:line="179"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9" w:lineRule="exact"/>
              <w:rPr>
                <w:sz w:val="20"/>
                <w:szCs w:val="20"/>
                <w:color w:val="auto"/>
              </w:rPr>
            </w:pPr>
            <w:r>
              <w:rPr>
                <w:rFonts w:ascii="Arial" w:cs="Arial" w:eastAsia="Arial" w:hAnsi="Arial"/>
                <w:sz w:val="16"/>
                <w:szCs w:val="16"/>
                <w:color w:val="auto"/>
              </w:rPr>
              <w:t>643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ind w:left="60"/>
              <w:spacing w:after="0" w:line="17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Arial" w:cs="Arial" w:eastAsia="Arial" w:hAnsi="Arial"/>
                <w:sz w:val="16"/>
                <w:szCs w:val="16"/>
                <w:color w:val="auto"/>
              </w:rPr>
              <w:t>214</w:t>
            </w:r>
          </w:p>
        </w:tc>
        <w:tc>
          <w:tcPr>
            <w:tcW w:w="240" w:type="dxa"/>
            <w:vAlign w:val="bottom"/>
            <w:gridSpan w:val="4"/>
          </w:tcPr>
          <w:p>
            <w:pPr>
              <w:jc w:val="right"/>
              <w:spacing w:after="0" w:line="179" w:lineRule="exact"/>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20"/>
              <w:spacing w:after="0" w:line="179" w:lineRule="exact"/>
              <w:rPr>
                <w:sz w:val="20"/>
                <w:szCs w:val="20"/>
                <w:color w:val="auto"/>
              </w:rPr>
            </w:pPr>
            <w:r>
              <w:rPr>
                <w:rFonts w:ascii="Arial" w:cs="Arial" w:eastAsia="Arial" w:hAnsi="Arial"/>
                <w:sz w:val="16"/>
                <w:szCs w:val="16"/>
                <w:color w:val="auto"/>
              </w:rPr>
              <w:t>(194)</w:t>
            </w:r>
          </w:p>
        </w:tc>
        <w:tc>
          <w:tcPr>
            <w:tcW w:w="40" w:type="dxa"/>
            <w:vAlign w:val="bottom"/>
          </w:tcPr>
          <w:p>
            <w:pPr>
              <w:spacing w:after="0"/>
              <w:rPr>
                <w:sz w:val="15"/>
                <w:szCs w:val="15"/>
                <w:color w:val="auto"/>
              </w:rPr>
            </w:pPr>
          </w:p>
        </w:tc>
        <w:tc>
          <w:tcPr>
            <w:tcW w:w="320" w:type="dxa"/>
            <w:vAlign w:val="bottom"/>
            <w:gridSpan w:val="2"/>
          </w:tcPr>
          <w:p>
            <w:pPr>
              <w:jc w:val="right"/>
              <w:ind w:right="81"/>
              <w:spacing w:after="0" w:line="179"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line="179" w:lineRule="exact"/>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expense and other, net</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4"/>
          </w:tcPr>
          <w:p>
            <w:pPr>
              <w:ind w:left="440"/>
              <w:spacing w:after="0"/>
              <w:rPr>
                <w:sz w:val="20"/>
                <w:szCs w:val="20"/>
                <w:color w:val="auto"/>
              </w:rPr>
            </w:pPr>
            <w:r>
              <w:rPr>
                <w:rFonts w:ascii="Arial" w:cs="Arial" w:eastAsia="Arial" w:hAnsi="Arial"/>
                <w:sz w:val="16"/>
                <w:szCs w:val="16"/>
                <w:color w:val="auto"/>
              </w:rPr>
              <w:t>Income (loss) before income taxes</w:t>
            </w:r>
          </w:p>
        </w:tc>
        <w:tc>
          <w:tcPr>
            <w:tcW w:w="8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w:t>
            </w:r>
          </w:p>
        </w:tc>
        <w:tc>
          <w:tcPr>
            <w:tcW w:w="2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4"/>
          </w:tcPr>
          <w:p>
            <w:pPr>
              <w:jc w:val="right"/>
              <w:ind w:right="20"/>
              <w:spacing w:after="0"/>
              <w:rPr>
                <w:sz w:val="20"/>
                <w:szCs w:val="20"/>
                <w:color w:val="auto"/>
              </w:rPr>
            </w:pPr>
            <w:r>
              <w:rPr>
                <w:rFonts w:ascii="Arial" w:cs="Arial" w:eastAsia="Arial" w:hAnsi="Arial"/>
                <w:sz w:val="16"/>
                <w:szCs w:val="16"/>
                <w:color w:val="auto"/>
              </w:rPr>
              <w:t>(410)</w:t>
            </w:r>
          </w:p>
        </w:tc>
        <w:tc>
          <w:tcPr>
            <w:tcW w:w="4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4"/>
          </w:tcPr>
          <w:p>
            <w:pPr>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2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7" w:name="page88"/>
    <w:bookmarkEnd w:id="87"/>
    <w:p>
      <w:pPr>
        <w:ind w:right="220" w:firstLine="472"/>
        <w:spacing w:after="0" w:line="317" w:lineRule="auto"/>
        <w:rPr>
          <w:sz w:val="20"/>
          <w:szCs w:val="20"/>
          <w:color w:val="auto"/>
        </w:rPr>
      </w:pPr>
      <w:r>
        <w:rPr>
          <w:rFonts w:ascii="Arial" w:cs="Arial" w:eastAsia="Arial" w:hAnsi="Arial"/>
          <w:sz w:val="15"/>
          <w:szCs w:val="15"/>
          <w:color w:val="auto"/>
        </w:rPr>
        <w:t>The following geographic area data as of and for the years ended December 31, 2021, 2020 and 2019, respectively, includes net sales based on product shipment destination and long-lived assets, which consist of plant, property and equipment, net of depreciation, resident in their respective countries: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Net Sales</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Long-Lived Assets</w:t>
            </w:r>
          </w:p>
        </w:tc>
        <w:tc>
          <w:tcPr>
            <w:tcW w:w="84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40" w:type="dxa"/>
            <w:vAlign w:val="bottom"/>
          </w:tcPr>
          <w:p>
            <w:pPr>
              <w:spacing w:after="0"/>
              <w:rPr>
                <w:sz w:val="14"/>
                <w:szCs w:val="14"/>
                <w:color w:val="auto"/>
              </w:rPr>
            </w:pPr>
          </w:p>
        </w:tc>
        <w:tc>
          <w:tcPr>
            <w:tcW w:w="96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381"/>
              <w:spacing w:after="0" w:line="167" w:lineRule="exact"/>
              <w:rPr>
                <w:sz w:val="20"/>
                <w:szCs w:val="20"/>
                <w:color w:val="auto"/>
              </w:rPr>
            </w:pPr>
            <w:r>
              <w:rPr>
                <w:rFonts w:ascii="Arial" w:cs="Arial" w:eastAsia="Arial" w:hAnsi="Arial"/>
                <w:sz w:val="16"/>
                <w:szCs w:val="16"/>
                <w:b w:val="1"/>
                <w:bCs w:val="1"/>
                <w:color w:val="auto"/>
              </w:rPr>
              <w:t>2020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06"/>
        </w:trPr>
        <w:tc>
          <w:tcPr>
            <w:tcW w:w="5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color w:val="auto"/>
              </w:rPr>
              <w:t>Canada</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Mexico</w:t>
            </w: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9"/>
        </w:trPr>
        <w:tc>
          <w:tcPr>
            <w:tcW w:w="5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North America</w:t>
            </w: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3,720</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r>
      <w:tr>
        <w:trPr>
          <w:trHeight w:val="127"/>
        </w:trPr>
        <w:tc>
          <w:tcPr>
            <w:tcW w:w="5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06"/>
        </w:trPr>
        <w:tc>
          <w:tcPr>
            <w:tcW w:w="5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South America</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47"/>
        </w:trPr>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6"/>
        </w:trPr>
        <w:tc>
          <w:tcPr>
            <w:tcW w:w="5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color w:val="auto"/>
              </w:rPr>
              <w:t>United Kingdom</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Germany</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6"/>
        </w:trPr>
        <w:tc>
          <w:tcPr>
            <w:tcW w:w="5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color w:val="auto"/>
              </w:rPr>
              <w:t>France</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Italy</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5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color w:val="auto"/>
              </w:rPr>
              <w:t>Switzerland</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Europe</w:t>
            </w: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199"/>
        </w:trPr>
        <w:tc>
          <w:tcPr>
            <w:tcW w:w="5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Europe</w:t>
            </w: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1,577</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r>
      <w:tr>
        <w:trPr>
          <w:trHeight w:val="127"/>
        </w:trPr>
        <w:tc>
          <w:tcPr>
            <w:tcW w:w="5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06"/>
        </w:trPr>
        <w:tc>
          <w:tcPr>
            <w:tcW w:w="5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India</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Australia / New Zealand</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5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China</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47"/>
        </w:trPr>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6"/>
        </w:trPr>
        <w:tc>
          <w:tcPr>
            <w:tcW w:w="5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Other Asia / Middle East</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47"/>
        </w:trPr>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6"/>
        </w:trPr>
        <w:tc>
          <w:tcPr>
            <w:tcW w:w="5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Egypt</w:t>
            </w:r>
          </w:p>
        </w:tc>
        <w:tc>
          <w:tcPr>
            <w:tcW w:w="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Africa</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44"/>
        </w:trPr>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0"/>
        </w:trPr>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Russia / CIS</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44"/>
        </w:trPr>
        <w:tc>
          <w:tcPr>
            <w:tcW w:w="5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228"/>
        </w:trPr>
        <w:tc>
          <w:tcPr>
            <w:tcW w:w="5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7,556</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sales to external customers by product line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spacing w:after="0"/>
              <w:rPr>
                <w:sz w:val="16"/>
                <w:szCs w:val="16"/>
                <w:color w:val="auto"/>
              </w:rPr>
            </w:pPr>
          </w:p>
        </w:tc>
        <w:tc>
          <w:tcPr>
            <w:tcW w:w="1080" w:type="dxa"/>
            <w:vAlign w:val="bottom"/>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jc w:val="right"/>
              <w:ind w:right="461"/>
              <w:spacing w:after="0"/>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49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Freight Segment:</w:t>
            </w: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6"/>
        </w:trPr>
        <w:tc>
          <w:tcPr>
            <w:tcW w:w="500" w:type="dxa"/>
            <w:vAlign w:val="bottom"/>
          </w:tcPr>
          <w:p>
            <w:pPr>
              <w:spacing w:after="0"/>
              <w:rPr>
                <w:sz w:val="17"/>
                <w:szCs w:val="17"/>
                <w:color w:val="auto"/>
              </w:rPr>
            </w:pPr>
          </w:p>
        </w:tc>
        <w:tc>
          <w:tcPr>
            <w:tcW w:w="4920" w:type="dxa"/>
            <w:vAlign w:val="bottom"/>
            <w:gridSpan w:val="2"/>
          </w:tcPr>
          <w:p>
            <w:pPr>
              <w:ind w:left="100"/>
              <w:spacing w:after="0"/>
              <w:rPr>
                <w:sz w:val="20"/>
                <w:szCs w:val="20"/>
                <w:color w:val="auto"/>
              </w:rPr>
            </w:pPr>
            <w:r>
              <w:rPr>
                <w:rFonts w:ascii="Arial" w:cs="Arial" w:eastAsia="Arial" w:hAnsi="Arial"/>
                <w:sz w:val="16"/>
                <w:szCs w:val="16"/>
                <w:color w:val="auto"/>
              </w:rPr>
              <w:t>Services</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Equipment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r>
      <w:tr>
        <w:trPr>
          <w:trHeight w:val="206"/>
        </w:trPr>
        <w:tc>
          <w:tcPr>
            <w:tcW w:w="500" w:type="dxa"/>
            <w:vAlign w:val="bottom"/>
          </w:tcPr>
          <w:p>
            <w:pPr>
              <w:spacing w:after="0"/>
              <w:rPr>
                <w:sz w:val="17"/>
                <w:szCs w:val="17"/>
                <w:color w:val="auto"/>
              </w:rPr>
            </w:pPr>
          </w:p>
        </w:tc>
        <w:tc>
          <w:tcPr>
            <w:tcW w:w="4920" w:type="dxa"/>
            <w:vAlign w:val="bottom"/>
            <w:gridSpan w:val="2"/>
          </w:tcPr>
          <w:p>
            <w:pPr>
              <w:ind w:left="100"/>
              <w:spacing w:after="0"/>
              <w:rPr>
                <w:sz w:val="20"/>
                <w:szCs w:val="20"/>
                <w:color w:val="auto"/>
              </w:rPr>
            </w:pPr>
            <w:r>
              <w:rPr>
                <w:rFonts w:ascii="Arial" w:cs="Arial" w:eastAsia="Arial" w:hAnsi="Arial"/>
                <w:sz w:val="16"/>
                <w:szCs w:val="16"/>
                <w:color w:val="auto"/>
              </w:rPr>
              <w:t>Components</w:t>
            </w: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1,073</w:t>
            </w:r>
          </w:p>
        </w:tc>
      </w:tr>
      <w:tr>
        <w:trPr>
          <w:trHeight w:val="210"/>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Digital Electronics</w:t>
            </w: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6"/>
        </w:trPr>
        <w:tc>
          <w:tcPr>
            <w:tcW w:w="500" w:type="dxa"/>
            <w:vAlign w:val="bottom"/>
          </w:tcPr>
          <w:p>
            <w:pPr>
              <w:spacing w:after="0"/>
              <w:rPr>
                <w:sz w:val="17"/>
                <w:szCs w:val="17"/>
                <w:color w:val="auto"/>
              </w:rPr>
            </w:pPr>
          </w:p>
        </w:tc>
        <w:tc>
          <w:tcPr>
            <w:tcW w:w="4920" w:type="dxa"/>
            <w:vAlign w:val="bottom"/>
            <w:gridSpan w:val="2"/>
          </w:tcPr>
          <w:p>
            <w:pPr>
              <w:ind w:left="200"/>
              <w:spacing w:after="0"/>
              <w:rPr>
                <w:sz w:val="20"/>
                <w:szCs w:val="20"/>
                <w:color w:val="auto"/>
              </w:rPr>
            </w:pPr>
            <w:r>
              <w:rPr>
                <w:rFonts w:ascii="Arial" w:cs="Arial" w:eastAsia="Arial" w:hAnsi="Arial"/>
                <w:sz w:val="16"/>
                <w:szCs w:val="16"/>
                <w:color w:val="auto"/>
              </w:rPr>
              <w:t>Total Freight Segment sales</w:t>
            </w: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6"/>
        </w:trPr>
        <w:tc>
          <w:tcPr>
            <w:tcW w:w="50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Transit Segment: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5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Original Equipment Manufacturer</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r>
      <w:tr>
        <w:trPr>
          <w:trHeight w:val="206"/>
        </w:trPr>
        <w:tc>
          <w:tcPr>
            <w:tcW w:w="50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Aftermarket</w:t>
            </w: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Transit Segment sales</w:t>
            </w: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20. OTHER INCOME, NET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Other income, net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0"/>
              </w:rPr>
              <w:t>For the year ended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67"/>
        </w:trPr>
        <w:tc>
          <w:tcPr>
            <w:tcW w:w="50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spacing w:after="0"/>
              <w:rPr>
                <w:sz w:val="14"/>
                <w:szCs w:val="14"/>
                <w:color w:val="auto"/>
              </w:rPr>
            </w:pPr>
          </w:p>
        </w:tc>
        <w:tc>
          <w:tcPr>
            <w:tcW w:w="1040" w:type="dxa"/>
            <w:vAlign w:val="bottom"/>
          </w:tcPr>
          <w:p>
            <w:pPr>
              <w:jc w:val="right"/>
              <w:ind w:right="441"/>
              <w:spacing w:after="0" w:line="16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ind w:left="220"/>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61"/>
              <w:spacing w:after="0" w:line="167" w:lineRule="exact"/>
              <w:rPr>
                <w:sz w:val="20"/>
                <w:szCs w:val="20"/>
                <w:color w:val="auto"/>
              </w:rPr>
            </w:pPr>
            <w:r>
              <w:rPr>
                <w:rFonts w:ascii="Arial" w:cs="Arial" w:eastAsia="Arial" w:hAnsi="Arial"/>
                <w:sz w:val="16"/>
                <w:szCs w:val="16"/>
                <w:b w:val="1"/>
                <w:bCs w:val="1"/>
                <w:color w:val="auto"/>
              </w:rPr>
              <w:t>2019</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gain (loss)</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50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Equity income</w:t>
            </w:r>
          </w:p>
        </w:tc>
        <w:tc>
          <w:tcPr>
            <w:tcW w:w="7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return on pension assets/amortization</w:t>
            </w: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50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miscellaneous income (expense)</w:t>
            </w:r>
          </w:p>
        </w:tc>
        <w:tc>
          <w:tcPr>
            <w:tcW w:w="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500" w:type="dxa"/>
            <w:vAlign w:val="bottom"/>
            <w:tcBorders>
              <w:bottom w:val="single" w:sz="8" w:color="CCEEFF"/>
            </w:tcBorders>
            <w:shd w:val="clear" w:color="auto" w:fill="CCEEFF"/>
          </w:tcPr>
          <w:p>
            <w:pPr>
              <w:spacing w:after="0"/>
              <w:rPr>
                <w:sz w:val="19"/>
                <w:szCs w:val="19"/>
                <w:color w:val="auto"/>
              </w:rPr>
            </w:pPr>
          </w:p>
        </w:tc>
        <w:tc>
          <w:tcPr>
            <w:tcW w:w="5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Other income, net</w:t>
            </w: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SCHEDULE II</w:t>
            </w:r>
          </w:p>
        </w:tc>
        <w:tc>
          <w:tcPr>
            <w:tcW w:w="0" w:type="dxa"/>
            <w:vAlign w:val="bottom"/>
          </w:tcPr>
          <w:p>
            <w:pPr>
              <w:spacing w:after="0"/>
              <w:rPr>
                <w:sz w:val="1"/>
                <w:szCs w:val="1"/>
                <w:color w:val="auto"/>
              </w:rPr>
            </w:pPr>
          </w:p>
        </w:tc>
      </w:tr>
      <w:tr>
        <w:trPr>
          <w:trHeight w:val="419"/>
        </w:trPr>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10"/>
          </w:tcPr>
          <w:p>
            <w:pPr>
              <w:jc w:val="center"/>
              <w:ind w:left="239"/>
              <w:spacing w:after="0"/>
              <w:rPr>
                <w:sz w:val="20"/>
                <w:szCs w:val="20"/>
                <w:color w:val="auto"/>
              </w:rPr>
            </w:pPr>
            <w:r>
              <w:rPr>
                <w:rFonts w:ascii="Arial" w:cs="Arial" w:eastAsia="Arial" w:hAnsi="Arial"/>
                <w:sz w:val="17"/>
                <w:szCs w:val="17"/>
                <w:b w:val="1"/>
                <w:bCs w:val="1"/>
                <w:color w:val="auto"/>
              </w:rPr>
              <w:t>WESTINGHOUSE AIR BRAKE TECHNOLOGIES CORPORATION</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10"/>
          </w:tcPr>
          <w:p>
            <w:pPr>
              <w:jc w:val="center"/>
              <w:ind w:left="239"/>
              <w:spacing w:after="0"/>
              <w:rPr>
                <w:sz w:val="20"/>
                <w:szCs w:val="20"/>
                <w:color w:val="auto"/>
              </w:rPr>
            </w:pPr>
            <w:r>
              <w:rPr>
                <w:rFonts w:ascii="Arial" w:cs="Arial" w:eastAsia="Arial" w:hAnsi="Arial"/>
                <w:sz w:val="17"/>
                <w:szCs w:val="17"/>
                <w:b w:val="1"/>
                <w:bCs w:val="1"/>
                <w:color w:val="auto"/>
              </w:rPr>
              <w:t>VALUATION AND QUALIFYING ACCOUNTS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60" w:type="dxa"/>
            <w:vAlign w:val="bottom"/>
            <w:gridSpan w:val="10"/>
          </w:tcPr>
          <w:p>
            <w:pPr>
              <w:jc w:val="center"/>
              <w:ind w:left="199"/>
              <w:spacing w:after="0"/>
              <w:rPr>
                <w:sz w:val="20"/>
                <w:szCs w:val="20"/>
                <w:color w:val="auto"/>
              </w:rPr>
            </w:pPr>
            <w:r>
              <w:rPr>
                <w:rFonts w:ascii="Arial" w:cs="Arial" w:eastAsia="Arial" w:hAnsi="Arial"/>
                <w:sz w:val="17"/>
                <w:szCs w:val="17"/>
                <w:b w:val="1"/>
                <w:bCs w:val="1"/>
                <w:color w:val="auto"/>
                <w:w w:val="91"/>
              </w:rPr>
              <w:t>For each of the three years ended December 31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7"/>
              </w:rPr>
              <w:t>Balance at</w:t>
            </w:r>
          </w:p>
        </w:tc>
        <w:tc>
          <w:tcPr>
            <w:tcW w:w="18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Charged/</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w:t>
            </w:r>
          </w:p>
        </w:tc>
        <w:tc>
          <w:tcPr>
            <w:tcW w:w="200" w:type="dxa"/>
            <w:vAlign w:val="bottom"/>
          </w:tcPr>
          <w:p>
            <w:pPr>
              <w:spacing w:after="0"/>
              <w:rPr>
                <w:sz w:val="15"/>
                <w:szCs w:val="15"/>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7"/>
              </w:rPr>
              <w:t>Deductions</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4"/>
              </w:rPr>
              <w:t>Balance</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(credited) to</w:t>
            </w: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6"/>
              </w:rPr>
              <w:t>beginning</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(credited) to</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9"/>
              </w:rPr>
              <w:t>from</w:t>
            </w:r>
          </w:p>
        </w:tc>
        <w:tc>
          <w:tcPr>
            <w:tcW w:w="180" w:type="dxa"/>
            <w:vAlign w:val="bottom"/>
          </w:tcPr>
          <w:p>
            <w:pPr>
              <w:spacing w:after="0"/>
              <w:rPr>
                <w:sz w:val="13"/>
                <w:szCs w:val="13"/>
                <w:color w:val="auto"/>
              </w:rPr>
            </w:pPr>
          </w:p>
        </w:tc>
        <w:tc>
          <w:tcPr>
            <w:tcW w:w="120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6"/>
              </w:rPr>
              <w:t>at end of</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71" w:lineRule="exact"/>
              <w:rPr>
                <w:sz w:val="20"/>
                <w:szCs w:val="20"/>
                <w:color w:val="auto"/>
              </w:rPr>
            </w:pPr>
            <w:r>
              <w:rPr>
                <w:rFonts w:ascii="Arial" w:cs="Arial" w:eastAsia="Arial" w:hAnsi="Arial"/>
                <w:sz w:val="16"/>
                <w:szCs w:val="16"/>
                <w:b w:val="1"/>
                <w:bCs w:val="1"/>
                <w:color w:val="auto"/>
                <w:w w:val="90"/>
              </w:rPr>
              <w:t>of period</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71" w:lineRule="exact"/>
              <w:rPr>
                <w:sz w:val="20"/>
                <w:szCs w:val="20"/>
                <w:color w:val="auto"/>
              </w:rPr>
            </w:pPr>
            <w:r>
              <w:rPr>
                <w:rFonts w:ascii="Arial" w:cs="Arial" w:eastAsia="Arial" w:hAnsi="Arial"/>
                <w:sz w:val="16"/>
                <w:szCs w:val="16"/>
                <w:b w:val="1"/>
                <w:bCs w:val="1"/>
                <w:color w:val="auto"/>
                <w:w w:val="81"/>
              </w:rPr>
              <w:t>expense</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line="171" w:lineRule="exact"/>
              <w:rPr>
                <w:sz w:val="20"/>
                <w:szCs w:val="20"/>
                <w:color w:val="auto"/>
              </w:rPr>
            </w:pPr>
            <w:r>
              <w:rPr>
                <w:rFonts w:ascii="Arial" w:cs="Arial" w:eastAsia="Arial" w:hAnsi="Arial"/>
                <w:sz w:val="16"/>
                <w:szCs w:val="16"/>
                <w:b w:val="1"/>
                <w:bCs w:val="1"/>
                <w:color w:val="auto"/>
                <w:w w:val="84"/>
              </w:rPr>
              <w:t>accounts (1)</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71" w:lineRule="exact"/>
              <w:rPr>
                <w:sz w:val="20"/>
                <w:szCs w:val="20"/>
                <w:color w:val="auto"/>
              </w:rPr>
            </w:pPr>
            <w:r>
              <w:rPr>
                <w:rFonts w:ascii="Arial" w:cs="Arial" w:eastAsia="Arial" w:hAnsi="Arial"/>
                <w:sz w:val="16"/>
                <w:szCs w:val="16"/>
                <w:b w:val="1"/>
                <w:bCs w:val="1"/>
                <w:color w:val="auto"/>
                <w:w w:val="84"/>
              </w:rPr>
              <w:t>reserves (2)</w:t>
            </w:r>
          </w:p>
        </w:tc>
        <w:tc>
          <w:tcPr>
            <w:tcW w:w="180" w:type="dxa"/>
            <w:vAlign w:val="bottom"/>
          </w:tcPr>
          <w:p>
            <w:pPr>
              <w:spacing w:after="0"/>
              <w:rPr>
                <w:sz w:val="14"/>
                <w:szCs w:val="14"/>
                <w:color w:val="auto"/>
              </w:rPr>
            </w:pPr>
          </w:p>
        </w:tc>
        <w:tc>
          <w:tcPr>
            <w:tcW w:w="1200" w:type="dxa"/>
            <w:vAlign w:val="bottom"/>
            <w:gridSpan w:val="2"/>
          </w:tcPr>
          <w:p>
            <w:pPr>
              <w:jc w:val="center"/>
              <w:ind w:right="200"/>
              <w:spacing w:after="0" w:line="171" w:lineRule="exact"/>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18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ind w:left="9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allowance-taxes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20"/>
                <w:szCs w:val="20"/>
                <w:color w:val="auto"/>
              </w:rPr>
            </w:pPr>
            <w:r>
              <w:rPr>
                <w:rFonts w:ascii="Arial" w:cs="Arial" w:eastAsia="Arial" w:hAnsi="Arial"/>
                <w:sz w:val="16"/>
                <w:szCs w:val="16"/>
                <w:b w:val="1"/>
                <w:bCs w:val="1"/>
                <w:color w:val="auto"/>
              </w:rPr>
              <w:t>2020</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for doubtful accounts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Valuation allowance-taxes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2019</w:t>
            </w: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Allowance for doubtful accounts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allowance-taxes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60" w:right="580" w:hanging="320"/>
        <w:spacing w:after="0" w:line="264" w:lineRule="auto"/>
        <w:tabs>
          <w:tab w:leader="none" w:pos="5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Reserves of acquired/(sold) companies; valuation allowances for state and foreign deferred tax assets; impact of fluctuations in foreign currency exchange rates.</w:t>
      </w:r>
    </w:p>
    <w:p>
      <w:pPr>
        <w:spacing w:after="0" w:line="1" w:lineRule="exact"/>
        <w:rPr>
          <w:rFonts w:ascii="Arial" w:cs="Arial" w:eastAsia="Arial" w:hAnsi="Arial"/>
          <w:sz w:val="17"/>
          <w:szCs w:val="17"/>
          <w:color w:val="auto"/>
        </w:rPr>
      </w:pPr>
    </w:p>
    <w:p>
      <w:pPr>
        <w:ind w:left="540" w:hanging="300"/>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disbursements and/or charges.</w:t>
      </w:r>
    </w:p>
    <w:p>
      <w:pPr>
        <w:spacing w:after="0" w:line="14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868" w:right="339" w:bottom="1440" w:gutter="0" w:footer="0" w:header="0"/>
        </w:sectPr>
      </w:pPr>
    </w:p>
    <w:bookmarkStart w:id="90" w:name="page91"/>
    <w:bookmarkEnd w:id="90"/>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WESTINGHOUSE AIR BRAKE</w:t>
      </w:r>
    </w:p>
    <w:p>
      <w:pPr>
        <w:ind w:left="5660"/>
        <w:spacing w:after="0"/>
        <w:rPr>
          <w:sz w:val="20"/>
          <w:szCs w:val="20"/>
          <w:color w:val="auto"/>
        </w:rPr>
      </w:pPr>
      <w:r>
        <w:rPr>
          <w:rFonts w:ascii="Arial" w:cs="Arial" w:eastAsia="Arial" w:hAnsi="Arial"/>
          <w:sz w:val="17"/>
          <w:szCs w:val="17"/>
          <w:color w:val="auto"/>
        </w:rPr>
        <w:t>TECHNOLOGIES CORPORATION</w:t>
      </w:r>
    </w:p>
    <w:p>
      <w:pPr>
        <w:spacing w:after="0" w:line="236" w:lineRule="exact"/>
        <w:rPr>
          <w:sz w:val="20"/>
          <w:szCs w:val="20"/>
          <w:color w:val="auto"/>
        </w:rPr>
      </w:pPr>
    </w:p>
    <w:p>
      <w:pPr>
        <w:ind w:left="20"/>
        <w:spacing w:after="0"/>
        <w:tabs>
          <w:tab w:leader="none" w:pos="720" w:val="left"/>
          <w:tab w:leader="none" w:pos="5960" w:val="left"/>
          <w:tab w:leader="none" w:pos="7760" w:val="left"/>
          <w:tab w:leader="none" w:pos="81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17,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58420</wp:posOffset>
            </wp:positionV>
            <wp:extent cx="31438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76"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Rafael Santana,</w:t>
      </w:r>
    </w:p>
    <w:p>
      <w:pPr>
        <w:spacing w:after="0" w:line="22"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868" w:right="479" w:bottom="1440" w:gutter="0" w:footer="0" w:header="0"/>
        </w:sectPr>
      </w:pPr>
    </w:p>
    <w:bookmarkStart w:id="91" w:name="page92"/>
    <w:bookmarkEnd w:id="91"/>
    <w:p>
      <w:pPr>
        <w:ind w:firstLine="472"/>
        <w:spacing w:after="0" w:line="27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and on the dates indicated.</w:t>
      </w:r>
    </w:p>
    <w:p>
      <w:pPr>
        <w:ind w:left="3300"/>
        <w:spacing w:after="0"/>
        <w:tabs>
          <w:tab w:leader="none" w:pos="8800" w:val="left"/>
        </w:tabs>
        <w:rPr>
          <w:sz w:val="20"/>
          <w:szCs w:val="20"/>
          <w:color w:val="auto"/>
        </w:rPr>
      </w:pPr>
      <w:r>
        <w:rPr>
          <w:rFonts w:ascii="Arial" w:cs="Arial" w:eastAsia="Arial" w:hAnsi="Arial"/>
          <w:sz w:val="14"/>
          <w:szCs w:val="14"/>
          <w:b w:val="1"/>
          <w:bCs w:val="1"/>
          <w:color w:val="auto"/>
        </w:rPr>
        <w:t>Signature and 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61595</wp:posOffset>
            </wp:positionV>
            <wp:extent cx="64623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6462395" cy="8255"/>
                    </a:xfrm>
                    <a:prstGeom prst="rect">
                      <a:avLst/>
                    </a:prstGeom>
                    <a:noFill/>
                  </pic:spPr>
                </pic:pic>
              </a:graphicData>
            </a:graphic>
          </wp:anchor>
        </w:drawing>
      </w:r>
    </w:p>
    <w:p>
      <w:pPr>
        <w:sectPr>
          <w:pgSz w:w="11900" w:h="16838" w:orient="portrait"/>
          <w:cols w:equalWidth="0" w:num="1">
            <w:col w:w="10600"/>
          </w:cols>
          <w:pgMar w:left="320" w:top="1083" w:right="979" w:bottom="1440" w:gutter="0" w:footer="0" w:header="0"/>
        </w:sectPr>
      </w:pP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2100" w:type="dxa"/>
            <w:vAlign w:val="bottom"/>
            <w:gridSpan w:val="2"/>
          </w:tcPr>
          <w:p>
            <w:pPr>
              <w:ind w:left="192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3080" w:type="dxa"/>
            <w:vAlign w:val="bottom"/>
            <w:gridSpan w:val="2"/>
          </w:tcPr>
          <w:p>
            <w:pPr>
              <w:jc w:val="center"/>
              <w:ind w:right="1205"/>
              <w:spacing w:after="0"/>
              <w:rPr>
                <w:sz w:val="20"/>
                <w:szCs w:val="20"/>
                <w:color w:val="auto"/>
              </w:rPr>
            </w:pPr>
            <w:r>
              <w:rPr>
                <w:rFonts w:ascii="Arial" w:cs="Arial" w:eastAsia="Arial" w:hAnsi="Arial"/>
                <w:sz w:val="17"/>
                <w:szCs w:val="17"/>
                <w:color w:val="auto"/>
                <w:w w:val="98"/>
              </w:rPr>
              <w:t>A</w:t>
            </w:r>
            <w:r>
              <w:rPr>
                <w:rFonts w:ascii="Arial" w:cs="Arial" w:eastAsia="Arial" w:hAnsi="Arial"/>
                <w:sz w:val="13"/>
                <w:szCs w:val="13"/>
                <w:color w:val="auto"/>
                <w:w w:val="98"/>
              </w:rPr>
              <w:t>LBERT</w:t>
            </w:r>
            <w:r>
              <w:rPr>
                <w:rFonts w:ascii="Arial" w:cs="Arial" w:eastAsia="Arial" w:hAnsi="Arial"/>
                <w:sz w:val="17"/>
                <w:szCs w:val="17"/>
                <w:color w:val="auto"/>
                <w:w w:val="98"/>
              </w:rPr>
              <w:t xml:space="preserve"> J. N</w:t>
            </w:r>
            <w:r>
              <w:rPr>
                <w:rFonts w:ascii="Arial" w:cs="Arial" w:eastAsia="Arial" w:hAnsi="Arial"/>
                <w:sz w:val="13"/>
                <w:szCs w:val="13"/>
                <w:color w:val="auto"/>
                <w:w w:val="98"/>
              </w:rPr>
              <w:t>EUPAVER</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gridSpan w:val="2"/>
          </w:tcPr>
          <w:p>
            <w:pPr>
              <w:jc w:val="center"/>
              <w:ind w:right="1545"/>
              <w:spacing w:after="0" w:line="124" w:lineRule="exact"/>
              <w:rPr>
                <w:sz w:val="20"/>
                <w:szCs w:val="20"/>
                <w:color w:val="auto"/>
              </w:rPr>
            </w:pPr>
            <w:r>
              <w:rPr>
                <w:rFonts w:ascii="Arial" w:cs="Arial" w:eastAsia="Arial" w:hAnsi="Arial"/>
                <w:sz w:val="14"/>
                <w:szCs w:val="14"/>
                <w:b w:val="1"/>
                <w:bCs w:val="1"/>
                <w:color w:val="auto"/>
                <w:w w:val="92"/>
              </w:rPr>
              <w:t>Albert J. Neupaver,</w:t>
            </w:r>
          </w:p>
        </w:tc>
      </w:tr>
      <w:tr>
        <w:trPr>
          <w:trHeight w:val="182"/>
        </w:trPr>
        <w:tc>
          <w:tcPr>
            <w:tcW w:w="540" w:type="dxa"/>
            <w:vAlign w:val="bottom"/>
          </w:tcPr>
          <w:p>
            <w:pPr>
              <w:spacing w:after="0"/>
              <w:rPr>
                <w:sz w:val="15"/>
                <w:szCs w:val="15"/>
                <w:color w:val="auto"/>
              </w:rPr>
            </w:pPr>
          </w:p>
        </w:tc>
        <w:tc>
          <w:tcPr>
            <w:tcW w:w="5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Chairman of the Board</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80" w:type="dxa"/>
            <w:vAlign w:val="bottom"/>
          </w:tcPr>
          <w:p>
            <w:pPr>
              <w:jc w:val="center"/>
              <w:ind w:right="1405"/>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AFAEL</w:t>
            </w:r>
            <w:r>
              <w:rPr>
                <w:rFonts w:ascii="Arial" w:cs="Arial" w:eastAsia="Arial" w:hAnsi="Arial"/>
                <w:sz w:val="17"/>
                <w:szCs w:val="17"/>
                <w:color w:val="auto"/>
              </w:rPr>
              <w:t xml:space="preserve"> S</w:t>
            </w:r>
            <w:r>
              <w:rPr>
                <w:rFonts w:ascii="Arial" w:cs="Arial" w:eastAsia="Arial" w:hAnsi="Arial"/>
                <w:sz w:val="13"/>
                <w:szCs w:val="13"/>
                <w:color w:val="auto"/>
              </w:rPr>
              <w:t>ANTANA</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0"/>
              </w:rPr>
              <w:t>Rafael Santana,</w:t>
            </w:r>
          </w:p>
        </w:tc>
      </w:tr>
      <w:tr>
        <w:trPr>
          <w:trHeight w:val="182"/>
        </w:trPr>
        <w:tc>
          <w:tcPr>
            <w:tcW w:w="540" w:type="dxa"/>
            <w:vAlign w:val="bottom"/>
          </w:tcPr>
          <w:p>
            <w:pPr>
              <w:spacing w:after="0"/>
              <w:rPr>
                <w:sz w:val="15"/>
                <w:szCs w:val="15"/>
                <w:color w:val="auto"/>
              </w:rPr>
            </w:pPr>
          </w:p>
        </w:tc>
        <w:tc>
          <w:tcPr>
            <w:tcW w:w="5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President and Chief Executive Officer and Director (Principal Executive Officer)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2"/>
          </w:tcPr>
          <w:p>
            <w:pPr>
              <w:jc w:val="center"/>
              <w:ind w:right="1545"/>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w:t>
            </w:r>
            <w:r>
              <w:rPr>
                <w:rFonts w:ascii="Arial" w:cs="Arial" w:eastAsia="Arial" w:hAnsi="Arial"/>
                <w:sz w:val="13"/>
                <w:szCs w:val="13"/>
                <w:color w:val="auto"/>
              </w:rPr>
              <w:t>OHN</w:t>
            </w:r>
            <w:r>
              <w:rPr>
                <w:rFonts w:ascii="Arial" w:cs="Arial" w:eastAsia="Arial" w:hAnsi="Arial"/>
                <w:sz w:val="17"/>
                <w:szCs w:val="17"/>
                <w:color w:val="auto"/>
              </w:rPr>
              <w:t xml:space="preserve"> A. O</w:t>
            </w:r>
            <w:r>
              <w:rPr>
                <w:rFonts w:ascii="Arial" w:cs="Arial" w:eastAsia="Arial" w:hAnsi="Arial"/>
                <w:sz w:val="13"/>
                <w:szCs w:val="13"/>
                <w:color w:val="auto"/>
              </w:rPr>
              <w:t>LIN</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65"/>
              <w:spacing w:after="0" w:line="124" w:lineRule="exact"/>
              <w:rPr>
                <w:sz w:val="20"/>
                <w:szCs w:val="20"/>
                <w:color w:val="auto"/>
              </w:rPr>
            </w:pPr>
            <w:r>
              <w:rPr>
                <w:rFonts w:ascii="Arial" w:cs="Arial" w:eastAsia="Arial" w:hAnsi="Arial"/>
                <w:sz w:val="14"/>
                <w:szCs w:val="14"/>
                <w:b w:val="1"/>
                <w:bCs w:val="1"/>
                <w:color w:val="auto"/>
                <w:w w:val="92"/>
              </w:rPr>
              <w:t>John A. Olin,</w:t>
            </w:r>
          </w:p>
        </w:tc>
      </w:tr>
      <w:tr>
        <w:trPr>
          <w:trHeight w:val="182"/>
        </w:trPr>
        <w:tc>
          <w:tcPr>
            <w:tcW w:w="540" w:type="dxa"/>
            <w:vAlign w:val="bottom"/>
          </w:tcPr>
          <w:p>
            <w:pPr>
              <w:spacing w:after="0"/>
              <w:rPr>
                <w:sz w:val="15"/>
                <w:szCs w:val="15"/>
                <w:color w:val="auto"/>
              </w:rPr>
            </w:pPr>
          </w:p>
        </w:tc>
        <w:tc>
          <w:tcPr>
            <w:tcW w:w="5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Executive Vice President and Chief Financial Officer (Principal Financial Officer)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ind w:left="178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140" w:type="dxa"/>
            <w:vAlign w:val="bottom"/>
          </w:tcPr>
          <w:p>
            <w:pPr>
              <w:spacing w:after="0"/>
              <w:rPr>
                <w:sz w:val="24"/>
                <w:szCs w:val="24"/>
                <w:color w:val="auto"/>
              </w:rPr>
            </w:pPr>
          </w:p>
        </w:tc>
        <w:tc>
          <w:tcPr>
            <w:tcW w:w="3080" w:type="dxa"/>
            <w:vAlign w:val="bottom"/>
            <w:gridSpan w:val="2"/>
          </w:tcPr>
          <w:p>
            <w:pPr>
              <w:jc w:val="center"/>
              <w:ind w:right="1485"/>
              <w:spacing w:after="0"/>
              <w:rPr>
                <w:sz w:val="20"/>
                <w:szCs w:val="20"/>
                <w:color w:val="auto"/>
              </w:rPr>
            </w:pP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A. M</w:t>
            </w:r>
            <w:r>
              <w:rPr>
                <w:rFonts w:ascii="Arial" w:cs="Arial" w:eastAsia="Arial" w:hAnsi="Arial"/>
                <w:sz w:val="13"/>
                <w:szCs w:val="13"/>
                <w:color w:val="auto"/>
              </w:rPr>
              <w:t>ASTALERZ</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gridSpan w:val="2"/>
          </w:tcPr>
          <w:p>
            <w:pPr>
              <w:jc w:val="center"/>
              <w:ind w:right="1545"/>
              <w:spacing w:after="0" w:line="124" w:lineRule="exact"/>
              <w:rPr>
                <w:sz w:val="20"/>
                <w:szCs w:val="20"/>
                <w:color w:val="auto"/>
              </w:rPr>
            </w:pPr>
            <w:r>
              <w:rPr>
                <w:rFonts w:ascii="Arial" w:cs="Arial" w:eastAsia="Arial" w:hAnsi="Arial"/>
                <w:sz w:val="14"/>
                <w:szCs w:val="14"/>
                <w:b w:val="1"/>
                <w:bCs w:val="1"/>
                <w:color w:val="auto"/>
                <w:w w:val="92"/>
              </w:rPr>
              <w:t>John A. Mastalerz,</w:t>
            </w:r>
          </w:p>
        </w:tc>
      </w:tr>
      <w:tr>
        <w:trPr>
          <w:trHeight w:val="182"/>
        </w:trPr>
        <w:tc>
          <w:tcPr>
            <w:tcW w:w="540" w:type="dxa"/>
            <w:vAlign w:val="bottom"/>
          </w:tcPr>
          <w:p>
            <w:pPr>
              <w:spacing w:after="0"/>
              <w:rPr>
                <w:sz w:val="15"/>
                <w:szCs w:val="15"/>
                <w:color w:val="auto"/>
              </w:rPr>
            </w:pPr>
          </w:p>
        </w:tc>
        <w:tc>
          <w:tcPr>
            <w:tcW w:w="5180" w:type="dxa"/>
            <w:vAlign w:val="bottom"/>
            <w:gridSpan w:val="4"/>
          </w:tcPr>
          <w:p>
            <w:pPr>
              <w:jc w:val="center"/>
              <w:ind w:left="400"/>
              <w:spacing w:after="0"/>
              <w:rPr>
                <w:sz w:val="20"/>
                <w:szCs w:val="20"/>
                <w:color w:val="auto"/>
              </w:rPr>
            </w:pPr>
            <w:r>
              <w:rPr>
                <w:rFonts w:ascii="Arial" w:cs="Arial" w:eastAsia="Arial" w:hAnsi="Arial"/>
                <w:sz w:val="14"/>
                <w:szCs w:val="14"/>
                <w:b w:val="1"/>
                <w:bCs w:val="1"/>
                <w:color w:val="auto"/>
                <w:w w:val="90"/>
              </w:rPr>
              <w:t>Senior Vice President and Principal Accounting Officer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ind w:left="17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220" w:type="dxa"/>
            <w:vAlign w:val="bottom"/>
            <w:gridSpan w:val="3"/>
          </w:tcPr>
          <w:p>
            <w:pPr>
              <w:jc w:val="center"/>
              <w:ind w:right="1345"/>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ILLIAM</w:t>
            </w:r>
            <w:r>
              <w:rPr>
                <w:rFonts w:ascii="Arial" w:cs="Arial" w:eastAsia="Arial" w:hAnsi="Arial"/>
                <w:sz w:val="17"/>
                <w:szCs w:val="17"/>
                <w:color w:val="auto"/>
              </w:rPr>
              <w:t xml:space="preserve"> E. K</w:t>
            </w:r>
            <w:r>
              <w:rPr>
                <w:rFonts w:ascii="Arial" w:cs="Arial" w:eastAsia="Arial" w:hAnsi="Arial"/>
                <w:sz w:val="13"/>
                <w:szCs w:val="13"/>
                <w:color w:val="auto"/>
              </w:rPr>
              <w:t>ASSLING</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gridSpan w:val="2"/>
          </w:tcPr>
          <w:p>
            <w:pPr>
              <w:jc w:val="center"/>
              <w:ind w:right="1545"/>
              <w:spacing w:after="0" w:line="124" w:lineRule="exact"/>
              <w:rPr>
                <w:sz w:val="20"/>
                <w:szCs w:val="20"/>
                <w:color w:val="auto"/>
              </w:rPr>
            </w:pPr>
            <w:r>
              <w:rPr>
                <w:rFonts w:ascii="Arial" w:cs="Arial" w:eastAsia="Arial" w:hAnsi="Arial"/>
                <w:sz w:val="14"/>
                <w:szCs w:val="14"/>
                <w:b w:val="1"/>
                <w:bCs w:val="1"/>
                <w:color w:val="auto"/>
                <w:w w:val="92"/>
              </w:rPr>
              <w:t>William E. Kassling,</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1765"/>
              <w:spacing w:after="0"/>
              <w:rPr>
                <w:sz w:val="20"/>
                <w:szCs w:val="20"/>
                <w:color w:val="auto"/>
              </w:rPr>
            </w:pPr>
            <w:r>
              <w:rPr>
                <w:rFonts w:ascii="Arial" w:cs="Arial" w:eastAsia="Arial" w:hAnsi="Arial"/>
                <w:sz w:val="14"/>
                <w:szCs w:val="14"/>
                <w:b w:val="1"/>
                <w:bCs w:val="1"/>
                <w:color w:val="auto"/>
                <w:w w:val="93"/>
              </w:rPr>
              <w:t>Lead 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2880" w:type="dxa"/>
            <w:vAlign w:val="bottom"/>
          </w:tcPr>
          <w:p>
            <w:pPr>
              <w:jc w:val="center"/>
              <w:ind w:right="1665"/>
              <w:spacing w:after="0"/>
              <w:rPr>
                <w:sz w:val="20"/>
                <w:szCs w:val="20"/>
                <w:color w:val="auto"/>
              </w:rPr>
            </w:pPr>
            <w:r>
              <w:rPr>
                <w:rFonts w:ascii="Arial" w:cs="Arial" w:eastAsia="Arial" w:hAnsi="Arial"/>
                <w:sz w:val="17"/>
                <w:szCs w:val="17"/>
                <w:color w:val="auto"/>
              </w:rPr>
              <w:t>L</w:t>
            </w:r>
            <w:r>
              <w:rPr>
                <w:rFonts w:ascii="Arial" w:cs="Arial" w:eastAsia="Arial" w:hAnsi="Arial"/>
                <w:sz w:val="13"/>
                <w:szCs w:val="13"/>
                <w:color w:val="auto"/>
              </w:rPr>
              <w:t>EE</w:t>
            </w:r>
            <w:r>
              <w:rPr>
                <w:rFonts w:ascii="Arial" w:cs="Arial" w:eastAsia="Arial" w:hAnsi="Arial"/>
                <w:sz w:val="17"/>
                <w:szCs w:val="17"/>
                <w:color w:val="auto"/>
              </w:rPr>
              <w:t xml:space="preserve"> B</w:t>
            </w:r>
            <w:r>
              <w:rPr>
                <w:rFonts w:ascii="Arial" w:cs="Arial" w:eastAsia="Arial" w:hAnsi="Arial"/>
                <w:sz w:val="13"/>
                <w:szCs w:val="13"/>
                <w:color w:val="auto"/>
              </w:rPr>
              <w:t>ANKS</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89"/>
              </w:rPr>
              <w:t>Lee Banks,</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2225"/>
              <w:spacing w:after="0"/>
              <w:rPr>
                <w:sz w:val="20"/>
                <w:szCs w:val="20"/>
                <w:color w:val="auto"/>
              </w:rPr>
            </w:pPr>
            <w:r>
              <w:rPr>
                <w:rFonts w:ascii="Arial" w:cs="Arial" w:eastAsia="Arial" w:hAnsi="Arial"/>
                <w:sz w:val="14"/>
                <w:szCs w:val="14"/>
                <w:b w:val="1"/>
                <w:bCs w:val="1"/>
                <w:color w:val="auto"/>
                <w:w w:val="93"/>
              </w:rPr>
              <w:t>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2880" w:type="dxa"/>
            <w:vAlign w:val="bottom"/>
          </w:tcPr>
          <w:p>
            <w:pPr>
              <w:jc w:val="center"/>
              <w:ind w:right="1385"/>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YRON</w:t>
            </w:r>
            <w:r>
              <w:rPr>
                <w:rFonts w:ascii="Arial" w:cs="Arial" w:eastAsia="Arial" w:hAnsi="Arial"/>
                <w:sz w:val="17"/>
                <w:szCs w:val="17"/>
                <w:color w:val="auto"/>
              </w:rPr>
              <w:t xml:space="preserve"> F</w:t>
            </w:r>
            <w:r>
              <w:rPr>
                <w:rFonts w:ascii="Arial" w:cs="Arial" w:eastAsia="Arial" w:hAnsi="Arial"/>
                <w:sz w:val="13"/>
                <w:szCs w:val="13"/>
                <w:color w:val="auto"/>
              </w:rPr>
              <w:t>OSTER</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0"/>
              </w:rPr>
              <w:t>Byron Foster,</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2225"/>
              <w:spacing w:after="0"/>
              <w:rPr>
                <w:sz w:val="20"/>
                <w:szCs w:val="20"/>
                <w:color w:val="auto"/>
              </w:rPr>
            </w:pPr>
            <w:r>
              <w:rPr>
                <w:rFonts w:ascii="Arial" w:cs="Arial" w:eastAsia="Arial" w:hAnsi="Arial"/>
                <w:sz w:val="14"/>
                <w:szCs w:val="14"/>
                <w:b w:val="1"/>
                <w:bCs w:val="1"/>
                <w:color w:val="auto"/>
                <w:w w:val="93"/>
              </w:rPr>
              <w:t>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2100" w:type="dxa"/>
            <w:vAlign w:val="bottom"/>
            <w:gridSpan w:val="2"/>
          </w:tcPr>
          <w:p>
            <w:pPr>
              <w:ind w:left="18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80" w:type="dxa"/>
            <w:vAlign w:val="bottom"/>
            <w:gridSpan w:val="2"/>
          </w:tcPr>
          <w:p>
            <w:pPr>
              <w:jc w:val="center"/>
              <w:ind w:right="1545"/>
              <w:spacing w:after="0"/>
              <w:rPr>
                <w:sz w:val="20"/>
                <w:szCs w:val="20"/>
                <w:color w:val="auto"/>
              </w:rPr>
            </w:pPr>
            <w:r>
              <w:rPr>
                <w:rFonts w:ascii="Arial" w:cs="Arial" w:eastAsia="Arial" w:hAnsi="Arial"/>
                <w:sz w:val="17"/>
                <w:szCs w:val="17"/>
                <w:color w:val="auto"/>
                <w:w w:val="99"/>
              </w:rPr>
              <w:t>L</w:t>
            </w:r>
            <w:r>
              <w:rPr>
                <w:rFonts w:ascii="Arial" w:cs="Arial" w:eastAsia="Arial" w:hAnsi="Arial"/>
                <w:sz w:val="13"/>
                <w:szCs w:val="13"/>
                <w:color w:val="auto"/>
                <w:w w:val="99"/>
              </w:rPr>
              <w:t>EE</w:t>
            </w:r>
            <w:r>
              <w:rPr>
                <w:rFonts w:ascii="Arial" w:cs="Arial" w:eastAsia="Arial" w:hAnsi="Arial"/>
                <w:sz w:val="17"/>
                <w:szCs w:val="17"/>
                <w:color w:val="auto"/>
                <w:w w:val="99"/>
              </w:rPr>
              <w:t xml:space="preserve"> B. F</w:t>
            </w:r>
            <w:r>
              <w:rPr>
                <w:rFonts w:ascii="Arial" w:cs="Arial" w:eastAsia="Arial" w:hAnsi="Arial"/>
                <w:sz w:val="13"/>
                <w:szCs w:val="13"/>
                <w:color w:val="auto"/>
                <w:w w:val="99"/>
              </w:rPr>
              <w:t>OSTER</w:t>
            </w:r>
            <w:r>
              <w:rPr>
                <w:rFonts w:ascii="Arial" w:cs="Arial" w:eastAsia="Arial" w:hAnsi="Arial"/>
                <w:sz w:val="17"/>
                <w:szCs w:val="17"/>
                <w:color w:val="auto"/>
                <w:w w:val="99"/>
              </w:rPr>
              <w:t>, II</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0"/>
              </w:rPr>
              <w:t>Lee B. Foster, II,</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1745"/>
              <w:spacing w:after="0"/>
              <w:rPr>
                <w:sz w:val="20"/>
                <w:szCs w:val="20"/>
                <w:color w:val="auto"/>
              </w:rPr>
            </w:pPr>
            <w:r>
              <w:rPr>
                <w:rFonts w:ascii="Arial" w:cs="Arial" w:eastAsia="Arial" w:hAnsi="Arial"/>
                <w:sz w:val="14"/>
                <w:szCs w:val="14"/>
                <w:b w:val="1"/>
                <w:bCs w:val="1"/>
                <w:color w:val="auto"/>
                <w:w w:val="93"/>
              </w:rPr>
              <w:t>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80" w:type="dxa"/>
            <w:vAlign w:val="bottom"/>
          </w:tcPr>
          <w:p>
            <w:pPr>
              <w:jc w:val="center"/>
              <w:ind w:right="1405"/>
              <w:spacing w:after="0"/>
              <w:rPr>
                <w:sz w:val="20"/>
                <w:szCs w:val="20"/>
                <w:color w:val="auto"/>
              </w:rPr>
            </w:pPr>
            <w:r>
              <w:rPr>
                <w:rFonts w:ascii="Arial" w:cs="Arial" w:eastAsia="Arial" w:hAnsi="Arial"/>
                <w:sz w:val="17"/>
                <w:szCs w:val="17"/>
                <w:color w:val="auto"/>
              </w:rPr>
              <w:t>L</w:t>
            </w:r>
            <w:r>
              <w:rPr>
                <w:rFonts w:ascii="Arial" w:cs="Arial" w:eastAsia="Arial" w:hAnsi="Arial"/>
                <w:sz w:val="13"/>
                <w:szCs w:val="13"/>
                <w:color w:val="auto"/>
              </w:rPr>
              <w:t>INDA</w:t>
            </w:r>
            <w:r>
              <w:rPr>
                <w:rFonts w:ascii="Arial" w:cs="Arial" w:eastAsia="Arial" w:hAnsi="Arial"/>
                <w:sz w:val="17"/>
                <w:szCs w:val="17"/>
                <w:color w:val="auto"/>
              </w:rPr>
              <w:t xml:space="preserve"> A. H</w:t>
            </w:r>
            <w:r>
              <w:rPr>
                <w:rFonts w:ascii="Arial" w:cs="Arial" w:eastAsia="Arial" w:hAnsi="Arial"/>
                <w:sz w:val="13"/>
                <w:szCs w:val="13"/>
                <w:color w:val="auto"/>
              </w:rPr>
              <w:t>ARTY</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5"/>
              </w:rPr>
              <w:t>Linda A. Harty,</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2225"/>
              <w:spacing w:after="0"/>
              <w:rPr>
                <w:sz w:val="20"/>
                <w:szCs w:val="20"/>
                <w:color w:val="auto"/>
              </w:rPr>
            </w:pPr>
            <w:r>
              <w:rPr>
                <w:rFonts w:ascii="Arial" w:cs="Arial" w:eastAsia="Arial" w:hAnsi="Arial"/>
                <w:sz w:val="14"/>
                <w:szCs w:val="14"/>
                <w:b w:val="1"/>
                <w:bCs w:val="1"/>
                <w:color w:val="auto"/>
                <w:w w:val="93"/>
              </w:rPr>
              <w:t>Director</w:t>
            </w:r>
          </w:p>
        </w:tc>
      </w:tr>
      <w:tr>
        <w:trPr>
          <w:trHeight w:val="367"/>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80" w:type="dxa"/>
            <w:vAlign w:val="bottom"/>
          </w:tcPr>
          <w:p>
            <w:pPr>
              <w:jc w:val="center"/>
              <w:ind w:right="1685"/>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RIAN</w:t>
            </w:r>
            <w:r>
              <w:rPr>
                <w:rFonts w:ascii="Arial" w:cs="Arial" w:eastAsia="Arial" w:hAnsi="Arial"/>
                <w:sz w:val="17"/>
                <w:szCs w:val="17"/>
                <w:color w:val="auto"/>
              </w:rPr>
              <w:t xml:space="preserve"> P. H</w:t>
            </w:r>
            <w:r>
              <w:rPr>
                <w:rFonts w:ascii="Arial" w:cs="Arial" w:eastAsia="Arial" w:hAnsi="Arial"/>
                <w:sz w:val="13"/>
                <w:szCs w:val="13"/>
                <w:color w:val="auto"/>
              </w:rPr>
              <w:t>EHIR</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3"/>
              </w:rPr>
              <w:t>Brian P. Hehir,</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1745"/>
              <w:spacing w:after="0"/>
              <w:rPr>
                <w:sz w:val="20"/>
                <w:szCs w:val="20"/>
                <w:color w:val="auto"/>
              </w:rPr>
            </w:pPr>
            <w:r>
              <w:rPr>
                <w:rFonts w:ascii="Arial" w:cs="Arial" w:eastAsia="Arial" w:hAnsi="Arial"/>
                <w:sz w:val="14"/>
                <w:szCs w:val="14"/>
                <w:b w:val="1"/>
                <w:bCs w:val="1"/>
                <w:color w:val="auto"/>
                <w:w w:val="93"/>
              </w:rPr>
              <w:t>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ind w:left="16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220" w:type="dxa"/>
            <w:vAlign w:val="bottom"/>
            <w:gridSpan w:val="3"/>
          </w:tcPr>
          <w:p>
            <w:pPr>
              <w:jc w:val="center"/>
              <w:ind w:right="1325"/>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W. D. H</w:t>
            </w:r>
            <w:r>
              <w:rPr>
                <w:rFonts w:ascii="Arial" w:cs="Arial" w:eastAsia="Arial" w:hAnsi="Arial"/>
                <w:sz w:val="13"/>
                <w:szCs w:val="13"/>
                <w:color w:val="auto"/>
              </w:rPr>
              <w:t>OWELL</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gridSpan w:val="2"/>
          </w:tcPr>
          <w:p>
            <w:pPr>
              <w:jc w:val="center"/>
              <w:ind w:right="1545"/>
              <w:spacing w:after="0" w:line="124" w:lineRule="exact"/>
              <w:rPr>
                <w:sz w:val="20"/>
                <w:szCs w:val="20"/>
                <w:color w:val="auto"/>
              </w:rPr>
            </w:pPr>
            <w:r>
              <w:rPr>
                <w:rFonts w:ascii="Arial" w:cs="Arial" w:eastAsia="Arial" w:hAnsi="Arial"/>
                <w:sz w:val="14"/>
                <w:szCs w:val="14"/>
                <w:b w:val="1"/>
                <w:bCs w:val="1"/>
                <w:color w:val="auto"/>
                <w:w w:val="93"/>
              </w:rPr>
              <w:t>Michael W. D. Howell,</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1745"/>
              <w:spacing w:after="0"/>
              <w:rPr>
                <w:sz w:val="20"/>
                <w:szCs w:val="20"/>
                <w:color w:val="auto"/>
              </w:rPr>
            </w:pPr>
            <w:r>
              <w:rPr>
                <w:rFonts w:ascii="Arial" w:cs="Arial" w:eastAsia="Arial" w:hAnsi="Arial"/>
                <w:sz w:val="14"/>
                <w:szCs w:val="14"/>
                <w:b w:val="1"/>
                <w:bCs w:val="1"/>
                <w:color w:val="auto"/>
                <w:w w:val="93"/>
              </w:rPr>
              <w:t>Director</w:t>
            </w:r>
          </w:p>
        </w:tc>
      </w:tr>
      <w:tr>
        <w:trPr>
          <w:trHeight w:val="380"/>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96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880" w:type="dxa"/>
            <w:vAlign w:val="bottom"/>
          </w:tcPr>
          <w:p>
            <w:pPr>
              <w:jc w:val="center"/>
              <w:ind w:right="1685"/>
              <w:spacing w:after="0"/>
              <w:rPr>
                <w:sz w:val="20"/>
                <w:szCs w:val="20"/>
                <w:color w:val="auto"/>
              </w:rPr>
            </w:pPr>
            <w:r>
              <w:rPr>
                <w:rFonts w:ascii="Arial" w:cs="Arial" w:eastAsia="Arial" w:hAnsi="Arial"/>
                <w:sz w:val="17"/>
                <w:szCs w:val="17"/>
                <w:color w:val="auto"/>
              </w:rPr>
              <w:t>A</w:t>
            </w:r>
            <w:r>
              <w:rPr>
                <w:rFonts w:ascii="Arial" w:cs="Arial" w:eastAsia="Arial" w:hAnsi="Arial"/>
                <w:sz w:val="13"/>
                <w:szCs w:val="13"/>
                <w:color w:val="auto"/>
              </w:rPr>
              <w:t>NN</w:t>
            </w:r>
            <w:r>
              <w:rPr>
                <w:rFonts w:ascii="Arial" w:cs="Arial" w:eastAsia="Arial" w:hAnsi="Arial"/>
                <w:sz w:val="17"/>
                <w:szCs w:val="17"/>
                <w:color w:val="auto"/>
              </w:rPr>
              <w:t xml:space="preserve"> R. K</w:t>
            </w:r>
            <w:r>
              <w:rPr>
                <w:rFonts w:ascii="Arial" w:cs="Arial" w:eastAsia="Arial" w:hAnsi="Arial"/>
                <w:sz w:val="13"/>
                <w:szCs w:val="13"/>
                <w:color w:val="auto"/>
              </w:rPr>
              <w:t>LEE</w:t>
            </w:r>
          </w:p>
        </w:tc>
      </w:tr>
      <w:tr>
        <w:trPr>
          <w:trHeight w:val="66"/>
        </w:trPr>
        <w:tc>
          <w:tcPr>
            <w:tcW w:w="54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r>
      <w:tr>
        <w:trPr>
          <w:trHeight w:val="124"/>
        </w:trPr>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80" w:type="dxa"/>
            <w:vAlign w:val="bottom"/>
          </w:tcPr>
          <w:p>
            <w:pPr>
              <w:jc w:val="center"/>
              <w:ind w:right="1745"/>
              <w:spacing w:after="0" w:line="124" w:lineRule="exact"/>
              <w:rPr>
                <w:sz w:val="20"/>
                <w:szCs w:val="20"/>
                <w:color w:val="auto"/>
              </w:rPr>
            </w:pPr>
            <w:r>
              <w:rPr>
                <w:rFonts w:ascii="Arial" w:cs="Arial" w:eastAsia="Arial" w:hAnsi="Arial"/>
                <w:sz w:val="14"/>
                <w:szCs w:val="14"/>
                <w:b w:val="1"/>
                <w:bCs w:val="1"/>
                <w:color w:val="auto"/>
                <w:w w:val="94"/>
              </w:rPr>
              <w:t>Ann R. Klee,</w:t>
            </w:r>
          </w:p>
        </w:tc>
      </w:tr>
      <w:tr>
        <w:trPr>
          <w:trHeight w:val="182"/>
        </w:trPr>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Pr>
          <w:p>
            <w:pPr>
              <w:jc w:val="center"/>
              <w:ind w:right="2225"/>
              <w:spacing w:after="0"/>
              <w:rPr>
                <w:sz w:val="20"/>
                <w:szCs w:val="20"/>
                <w:color w:val="auto"/>
              </w:rPr>
            </w:pPr>
            <w:r>
              <w:rPr>
                <w:rFonts w:ascii="Arial" w:cs="Arial" w:eastAsia="Arial" w:hAnsi="Arial"/>
                <w:sz w:val="14"/>
                <w:szCs w:val="14"/>
                <w:b w:val="1"/>
                <w:bCs w:val="1"/>
                <w:color w:val="auto"/>
                <w:w w:val="93"/>
              </w:rPr>
              <w:t>Director</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February 17, 2022</w:t>
      </w:r>
    </w:p>
    <w:p>
      <w:pPr>
        <w:spacing w:after="0" w:line="575" w:lineRule="exact"/>
        <w:rPr>
          <w:sz w:val="20"/>
          <w:szCs w:val="20"/>
          <w:color w:val="auto"/>
        </w:rPr>
      </w:pPr>
    </w:p>
    <w:p>
      <w:pPr>
        <w:sectPr>
          <w:pgSz w:w="11900" w:h="16838" w:orient="portrait"/>
          <w:cols w:equalWidth="0" w:num="2">
            <w:col w:w="7600" w:space="720"/>
            <w:col w:w="2280"/>
          </w:cols>
          <w:pgMar w:left="320" w:top="1083"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600"/>
          </w:cols>
          <w:pgMar w:left="320" w:top="1083" w:right="97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b w:val="1"/>
                <w:bCs w:val="1"/>
                <w:color w:val="auto"/>
              </w:rPr>
              <w:t>Exhibit 21.0</w:t>
            </w:r>
          </w:p>
        </w:tc>
      </w:tr>
      <w:tr>
        <w:trPr>
          <w:trHeight w:val="943"/>
        </w:trPr>
        <w:tc>
          <w:tcPr>
            <w:tcW w:w="3860" w:type="dxa"/>
            <w:vAlign w:val="bottom"/>
          </w:tcPr>
          <w:p>
            <w:pPr>
              <w:spacing w:after="0"/>
              <w:rPr>
                <w:sz w:val="24"/>
                <w:szCs w:val="24"/>
                <w:color w:val="auto"/>
              </w:rPr>
            </w:pPr>
          </w:p>
        </w:tc>
        <w:tc>
          <w:tcPr>
            <w:tcW w:w="5080" w:type="dxa"/>
            <w:vAlign w:val="bottom"/>
          </w:tcPr>
          <w:p>
            <w:pPr>
              <w:ind w:left="440"/>
              <w:spacing w:after="0"/>
              <w:rPr>
                <w:sz w:val="20"/>
                <w:szCs w:val="20"/>
                <w:color w:val="auto"/>
              </w:rPr>
            </w:pPr>
            <w:r>
              <w:rPr>
                <w:rFonts w:ascii="Arial" w:cs="Arial" w:eastAsia="Arial" w:hAnsi="Arial"/>
                <w:sz w:val="17"/>
                <w:szCs w:val="17"/>
                <w:color w:val="auto"/>
              </w:rPr>
              <w:t>SUBSIDIARIES AND AFFILIATES</w:t>
            </w:r>
          </w:p>
        </w:tc>
        <w:tc>
          <w:tcPr>
            <w:tcW w:w="2280" w:type="dxa"/>
            <w:vAlign w:val="bottom"/>
          </w:tcPr>
          <w:p>
            <w:pPr>
              <w:spacing w:after="0"/>
              <w:rPr>
                <w:sz w:val="24"/>
                <w:szCs w:val="24"/>
                <w:color w:val="auto"/>
              </w:rPr>
            </w:pPr>
          </w:p>
        </w:tc>
      </w:tr>
      <w:tr>
        <w:trPr>
          <w:trHeight w:val="200"/>
        </w:trPr>
        <w:tc>
          <w:tcPr>
            <w:tcW w:w="386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5080" w:type="dxa"/>
            <w:vAlign w:val="bottom"/>
          </w:tcPr>
          <w:p>
            <w:pPr>
              <w:spacing w:after="0"/>
              <w:rPr>
                <w:sz w:val="17"/>
                <w:szCs w:val="17"/>
                <w:color w:val="auto"/>
              </w:rPr>
            </w:pPr>
          </w:p>
        </w:tc>
        <w:tc>
          <w:tcPr>
            <w:tcW w:w="2280" w:type="dxa"/>
            <w:vAlign w:val="bottom"/>
          </w:tcPr>
          <w:p>
            <w:pPr>
              <w:jc w:val="right"/>
              <w:ind w:right="230"/>
              <w:spacing w:after="0"/>
              <w:rPr>
                <w:sz w:val="20"/>
                <w:szCs w:val="20"/>
                <w:color w:val="auto"/>
              </w:rPr>
            </w:pPr>
            <w:r>
              <w:rPr>
                <w:rFonts w:ascii="Arial" w:cs="Arial" w:eastAsia="Arial" w:hAnsi="Arial"/>
                <w:sz w:val="14"/>
                <w:szCs w:val="14"/>
                <w:b w:val="1"/>
                <w:bCs w:val="1"/>
                <w:color w:val="auto"/>
              </w:rPr>
              <w:t>Ownership Interest</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 and M Signalling Services Private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India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Aero Transportation Products, Inc</w:t>
            </w:r>
          </w:p>
        </w:tc>
        <w:tc>
          <w:tcPr>
            <w:tcW w:w="5080" w:type="dxa"/>
            <w:vAlign w:val="bottom"/>
          </w:tcPr>
          <w:p>
            <w:pPr>
              <w:ind w:left="2760"/>
              <w:spacing w:after="0"/>
              <w:rPr>
                <w:sz w:val="20"/>
                <w:szCs w:val="20"/>
                <w:color w:val="auto"/>
              </w:rPr>
            </w:pPr>
            <w:r>
              <w:rPr>
                <w:rFonts w:ascii="Arial" w:cs="Arial" w:eastAsia="Arial" w:hAnsi="Arial"/>
                <w:sz w:val="14"/>
                <w:szCs w:val="14"/>
                <w:color w:val="auto"/>
              </w:rPr>
              <w:t>Independence, Missouri</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AM General Contractors SpA</w:t>
            </w:r>
          </w:p>
        </w:tc>
        <w:tc>
          <w:tcPr>
            <w:tcW w:w="5080" w:type="dxa"/>
            <w:vAlign w:val="bottom"/>
          </w:tcPr>
          <w:p>
            <w:pPr>
              <w:ind w:left="2760"/>
              <w:spacing w:after="0"/>
              <w:rPr>
                <w:sz w:val="20"/>
                <w:szCs w:val="20"/>
                <w:color w:val="auto"/>
              </w:rPr>
            </w:pPr>
            <w:r>
              <w:rPr>
                <w:rFonts w:ascii="Arial" w:cs="Arial" w:eastAsia="Arial" w:hAnsi="Arial"/>
                <w:sz w:val="14"/>
                <w:szCs w:val="14"/>
                <w:color w:val="auto"/>
              </w:rPr>
              <w:t>Genova, Italy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 M Rail Group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Burton-on-Trent,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 M Signalling Design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Burton-on-Trent,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Annax GmbH</w:t>
            </w:r>
          </w:p>
        </w:tc>
        <w:tc>
          <w:tcPr>
            <w:tcW w:w="5080" w:type="dxa"/>
            <w:vAlign w:val="bottom"/>
          </w:tcPr>
          <w:p>
            <w:pPr>
              <w:ind w:left="2760"/>
              <w:spacing w:after="0"/>
              <w:rPr>
                <w:sz w:val="20"/>
                <w:szCs w:val="20"/>
                <w:color w:val="auto"/>
              </w:rPr>
            </w:pPr>
            <w:r>
              <w:rPr>
                <w:rFonts w:ascii="Arial" w:cs="Arial" w:eastAsia="Arial" w:hAnsi="Arial"/>
                <w:sz w:val="14"/>
                <w:szCs w:val="14"/>
                <w:color w:val="auto"/>
              </w:rPr>
              <w:t>Brunnthal, Germany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Annax Scheiz AG</w:t>
            </w:r>
          </w:p>
        </w:tc>
        <w:tc>
          <w:tcPr>
            <w:tcW w:w="5080" w:type="dxa"/>
            <w:vAlign w:val="bottom"/>
          </w:tcPr>
          <w:p>
            <w:pPr>
              <w:ind w:left="2760"/>
              <w:spacing w:after="0"/>
              <w:rPr>
                <w:sz w:val="20"/>
                <w:szCs w:val="20"/>
                <w:color w:val="auto"/>
              </w:rPr>
            </w:pPr>
            <w:r>
              <w:rPr>
                <w:rFonts w:ascii="Arial" w:cs="Arial" w:eastAsia="Arial" w:hAnsi="Arial"/>
                <w:sz w:val="14"/>
                <w:szCs w:val="14"/>
                <w:color w:val="auto"/>
              </w:rPr>
              <w:t>Bern, Switzerland</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Annax (Suzhou) Rail Systems Co., Ltd</w:t>
            </w:r>
          </w:p>
        </w:tc>
        <w:tc>
          <w:tcPr>
            <w:tcW w:w="5080" w:type="dxa"/>
            <w:vAlign w:val="bottom"/>
          </w:tcPr>
          <w:p>
            <w:pPr>
              <w:ind w:left="2760"/>
              <w:spacing w:after="0"/>
              <w:rPr>
                <w:sz w:val="20"/>
                <w:szCs w:val="20"/>
                <w:color w:val="auto"/>
              </w:rPr>
            </w:pPr>
            <w:r>
              <w:rPr>
                <w:rFonts w:ascii="Arial" w:cs="Arial" w:eastAsia="Arial" w:hAnsi="Arial"/>
                <w:sz w:val="14"/>
                <w:szCs w:val="14"/>
                <w:color w:val="auto"/>
              </w:rPr>
              <w:t>Suzhou,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Ateliers Hubert Gerken S.A.</w:t>
            </w:r>
          </w:p>
        </w:tc>
        <w:tc>
          <w:tcPr>
            <w:tcW w:w="5080" w:type="dxa"/>
            <w:vAlign w:val="bottom"/>
          </w:tcPr>
          <w:p>
            <w:pPr>
              <w:ind w:left="2760"/>
              <w:spacing w:after="0"/>
              <w:rPr>
                <w:sz w:val="20"/>
                <w:szCs w:val="20"/>
                <w:color w:val="auto"/>
              </w:rPr>
            </w:pPr>
            <w:r>
              <w:rPr>
                <w:rFonts w:ascii="Arial" w:cs="Arial" w:eastAsia="Arial" w:hAnsi="Arial"/>
                <w:sz w:val="14"/>
                <w:szCs w:val="14"/>
                <w:color w:val="auto"/>
              </w:rPr>
              <w:t>Belgium</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Austbreck Pty, Ltd.</w:t>
            </w:r>
          </w:p>
        </w:tc>
        <w:tc>
          <w:tcPr>
            <w:tcW w:w="5080" w:type="dxa"/>
            <w:vAlign w:val="bottom"/>
          </w:tcPr>
          <w:p>
            <w:pPr>
              <w:ind w:left="2760"/>
              <w:spacing w:after="0"/>
              <w:rPr>
                <w:sz w:val="20"/>
                <w:szCs w:val="20"/>
                <w:color w:val="auto"/>
              </w:rPr>
            </w:pPr>
            <w:r>
              <w:rPr>
                <w:rFonts w:ascii="Arial" w:cs="Arial" w:eastAsia="Arial" w:hAnsi="Arial"/>
                <w:sz w:val="14"/>
                <w:szCs w:val="14"/>
                <w:color w:val="auto"/>
              </w:rPr>
              <w:t>Hallam, Victoria, Australia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Barber Steel Foundry Corp.</w:t>
            </w:r>
          </w:p>
        </w:tc>
        <w:tc>
          <w:tcPr>
            <w:tcW w:w="5080" w:type="dxa"/>
            <w:vAlign w:val="bottom"/>
          </w:tcPr>
          <w:p>
            <w:pPr>
              <w:ind w:left="2760"/>
              <w:spacing w:after="0"/>
              <w:rPr>
                <w:sz w:val="20"/>
                <w:szCs w:val="20"/>
                <w:color w:val="auto"/>
              </w:rPr>
            </w:pPr>
            <w:r>
              <w:rPr>
                <w:rFonts w:ascii="Arial" w:cs="Arial" w:eastAsia="Arial" w:hAnsi="Arial"/>
                <w:sz w:val="14"/>
                <w:szCs w:val="14"/>
                <w:color w:val="auto"/>
              </w:rPr>
              <w:t>Rothbury, Michigan</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Barber Tian Rui Railway Supply LLC</w:t>
            </w:r>
          </w:p>
        </w:tc>
        <w:tc>
          <w:tcPr>
            <w:tcW w:w="5080" w:type="dxa"/>
            <w:vAlign w:val="bottom"/>
          </w:tcPr>
          <w:p>
            <w:pPr>
              <w:ind w:left="2760"/>
              <w:spacing w:after="0"/>
              <w:rPr>
                <w:sz w:val="20"/>
                <w:szCs w:val="20"/>
                <w:color w:val="auto"/>
              </w:rPr>
            </w:pPr>
            <w:r>
              <w:rPr>
                <w:rFonts w:ascii="Arial" w:cs="Arial" w:eastAsia="Arial" w:hAnsi="Arial"/>
                <w:sz w:val="14"/>
                <w:szCs w:val="14"/>
                <w:color w:val="auto"/>
              </w:rPr>
              <w:t>Park Ridge, Illinois</w:t>
            </w:r>
          </w:p>
        </w:tc>
        <w:tc>
          <w:tcPr>
            <w:tcW w:w="22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Bearward Engineering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Northampton,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Becorit GmbH</w:t>
            </w:r>
          </w:p>
        </w:tc>
        <w:tc>
          <w:tcPr>
            <w:tcW w:w="5080" w:type="dxa"/>
            <w:vAlign w:val="bottom"/>
          </w:tcPr>
          <w:p>
            <w:pPr>
              <w:ind w:left="2760"/>
              <w:spacing w:after="0"/>
              <w:rPr>
                <w:sz w:val="20"/>
                <w:szCs w:val="20"/>
                <w:color w:val="auto"/>
              </w:rPr>
            </w:pPr>
            <w:r>
              <w:rPr>
                <w:rFonts w:ascii="Arial" w:cs="Arial" w:eastAsia="Arial" w:hAnsi="Arial"/>
                <w:sz w:val="14"/>
                <w:szCs w:val="14"/>
                <w:color w:val="auto"/>
              </w:rPr>
              <w:t>Recklinghausen,Germany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Beijing Wabtec Huaxia Technology Company Ltd.</w:t>
            </w:r>
          </w:p>
        </w:tc>
        <w:tc>
          <w:tcPr>
            <w:tcW w:w="5080" w:type="dxa"/>
            <w:vAlign w:val="bottom"/>
          </w:tcPr>
          <w:p>
            <w:pPr>
              <w:ind w:left="2760"/>
              <w:spacing w:after="0"/>
              <w:rPr>
                <w:sz w:val="20"/>
                <w:szCs w:val="20"/>
                <w:color w:val="auto"/>
              </w:rPr>
            </w:pPr>
            <w:r>
              <w:rPr>
                <w:rFonts w:ascii="Arial" w:cs="Arial" w:eastAsia="Arial" w:hAnsi="Arial"/>
                <w:sz w:val="14"/>
                <w:szCs w:val="14"/>
                <w:color w:val="auto"/>
              </w:rPr>
              <w:t>Beijing,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Brecknell Willis &amp; Co., Ltd.</w:t>
            </w:r>
          </w:p>
        </w:tc>
        <w:tc>
          <w:tcPr>
            <w:tcW w:w="5080" w:type="dxa"/>
            <w:vAlign w:val="bottom"/>
          </w:tcPr>
          <w:p>
            <w:pPr>
              <w:ind w:left="2760"/>
              <w:spacing w:after="0"/>
              <w:rPr>
                <w:sz w:val="20"/>
                <w:szCs w:val="20"/>
                <w:color w:val="auto"/>
              </w:rPr>
            </w:pPr>
            <w:r>
              <w:rPr>
                <w:rFonts w:ascii="Arial" w:cs="Arial" w:eastAsia="Arial" w:hAnsi="Arial"/>
                <w:sz w:val="14"/>
                <w:szCs w:val="14"/>
                <w:color w:val="auto"/>
              </w:rPr>
              <w:t>Char, Somerset,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Brecknell Willis (Tianjin) Electrification Systems, Co., Ltd.</w:t>
            </w:r>
          </w:p>
        </w:tc>
        <w:tc>
          <w:tcPr>
            <w:tcW w:w="5080" w:type="dxa"/>
            <w:vAlign w:val="bottom"/>
          </w:tcPr>
          <w:p>
            <w:pPr>
              <w:ind w:left="2760"/>
              <w:spacing w:after="0"/>
              <w:rPr>
                <w:sz w:val="20"/>
                <w:szCs w:val="20"/>
                <w:color w:val="auto"/>
              </w:rPr>
            </w:pPr>
            <w:r>
              <w:rPr>
                <w:rFonts w:ascii="Arial" w:cs="Arial" w:eastAsia="Arial" w:hAnsi="Arial"/>
                <w:sz w:val="14"/>
                <w:szCs w:val="14"/>
                <w:color w:val="auto"/>
              </w:rPr>
              <w:t>TianJin,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Cambridge Forming and Cutting Ltd</w:t>
            </w:r>
          </w:p>
        </w:tc>
        <w:tc>
          <w:tcPr>
            <w:tcW w:w="5080" w:type="dxa"/>
            <w:vAlign w:val="bottom"/>
          </w:tcPr>
          <w:p>
            <w:pPr>
              <w:ind w:left="2760"/>
              <w:spacing w:after="0"/>
              <w:rPr>
                <w:sz w:val="20"/>
                <w:szCs w:val="20"/>
                <w:color w:val="auto"/>
              </w:rPr>
            </w:pPr>
            <w:r>
              <w:rPr>
                <w:rFonts w:ascii="Arial" w:cs="Arial" w:eastAsia="Arial" w:hAnsi="Arial"/>
                <w:sz w:val="14"/>
                <w:szCs w:val="14"/>
                <w:color w:val="auto"/>
              </w:rPr>
              <w:t>Ontario, Canada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Changzhou CRRC Wabtec Diesel Engine Company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Changzhou,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CoFren S.A.S.</w:t>
            </w:r>
          </w:p>
        </w:tc>
        <w:tc>
          <w:tcPr>
            <w:tcW w:w="5080" w:type="dxa"/>
            <w:vAlign w:val="bottom"/>
          </w:tcPr>
          <w:p>
            <w:pPr>
              <w:ind w:left="2760"/>
              <w:spacing w:after="0"/>
              <w:rPr>
                <w:sz w:val="20"/>
                <w:szCs w:val="20"/>
                <w:color w:val="auto"/>
              </w:rPr>
            </w:pPr>
            <w:r>
              <w:rPr>
                <w:rFonts w:ascii="Arial" w:cs="Arial" w:eastAsia="Arial" w:hAnsi="Arial"/>
                <w:sz w:val="14"/>
                <w:szCs w:val="14"/>
                <w:color w:val="auto"/>
              </w:rPr>
              <w:t>Vierzon, France</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CoFren S.r.l.</w:t>
            </w:r>
          </w:p>
        </w:tc>
        <w:tc>
          <w:tcPr>
            <w:tcW w:w="5080" w:type="dxa"/>
            <w:vAlign w:val="bottom"/>
          </w:tcPr>
          <w:p>
            <w:pPr>
              <w:ind w:left="2760"/>
              <w:spacing w:after="0"/>
              <w:rPr>
                <w:sz w:val="20"/>
                <w:szCs w:val="20"/>
                <w:color w:val="auto"/>
              </w:rPr>
            </w:pPr>
            <w:r>
              <w:rPr>
                <w:rFonts w:ascii="Arial" w:cs="Arial" w:eastAsia="Arial" w:hAnsi="Arial"/>
                <w:sz w:val="14"/>
                <w:szCs w:val="14"/>
                <w:color w:val="auto"/>
              </w:rPr>
              <w:t>Avellino, Italy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Coleman Hydraulics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Burton-on-Trent,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CZ-Carbon Prodcuts s.r.o.</w:t>
            </w:r>
          </w:p>
        </w:tc>
        <w:tc>
          <w:tcPr>
            <w:tcW w:w="5080" w:type="dxa"/>
            <w:vAlign w:val="bottom"/>
          </w:tcPr>
          <w:p>
            <w:pPr>
              <w:ind w:left="2760"/>
              <w:spacing w:after="0"/>
              <w:rPr>
                <w:sz w:val="20"/>
                <w:szCs w:val="20"/>
                <w:color w:val="auto"/>
              </w:rPr>
            </w:pPr>
            <w:r>
              <w:rPr>
                <w:rFonts w:ascii="Arial" w:cs="Arial" w:eastAsia="Arial" w:hAnsi="Arial"/>
                <w:sz w:val="14"/>
                <w:szCs w:val="14"/>
                <w:color w:val="auto"/>
              </w:rPr>
              <w:t>Czech Republic</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Datong Faiveley Railway Vehicle Equipment Co. Ltd.</w:t>
            </w:r>
          </w:p>
        </w:tc>
        <w:tc>
          <w:tcPr>
            <w:tcW w:w="5080" w:type="dxa"/>
            <w:vAlign w:val="bottom"/>
          </w:tcPr>
          <w:p>
            <w:pPr>
              <w:ind w:left="2760"/>
              <w:spacing w:after="0"/>
              <w:rPr>
                <w:sz w:val="20"/>
                <w:szCs w:val="20"/>
                <w:color w:val="auto"/>
              </w:rPr>
            </w:pPr>
            <w:r>
              <w:rPr>
                <w:rFonts w:ascii="Arial" w:cs="Arial" w:eastAsia="Arial" w:hAnsi="Arial"/>
                <w:sz w:val="14"/>
                <w:szCs w:val="14"/>
                <w:color w:val="auto"/>
              </w:rPr>
              <w:t>Datong City,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Deptol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Dublin, Ireland</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Durox Company</w:t>
            </w:r>
          </w:p>
        </w:tc>
        <w:tc>
          <w:tcPr>
            <w:tcW w:w="5080" w:type="dxa"/>
            <w:vAlign w:val="bottom"/>
          </w:tcPr>
          <w:p>
            <w:pPr>
              <w:ind w:left="2760"/>
              <w:spacing w:after="0"/>
              <w:rPr>
                <w:sz w:val="20"/>
                <w:szCs w:val="20"/>
                <w:color w:val="auto"/>
              </w:rPr>
            </w:pPr>
            <w:r>
              <w:rPr>
                <w:rFonts w:ascii="Arial" w:cs="Arial" w:eastAsia="Arial" w:hAnsi="Arial"/>
                <w:sz w:val="14"/>
                <w:szCs w:val="14"/>
                <w:color w:val="auto"/>
              </w:rPr>
              <w:t>Strongville, Ohio</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East Erie Commercial Railroad</w:t>
            </w:r>
          </w:p>
        </w:tc>
        <w:tc>
          <w:tcPr>
            <w:tcW w:w="5080" w:type="dxa"/>
            <w:vAlign w:val="bottom"/>
          </w:tcPr>
          <w:p>
            <w:pPr>
              <w:ind w:left="2760"/>
              <w:spacing w:after="0"/>
              <w:rPr>
                <w:sz w:val="20"/>
                <w:szCs w:val="20"/>
                <w:color w:val="auto"/>
              </w:rPr>
            </w:pPr>
            <w:r>
              <w:rPr>
                <w:rFonts w:ascii="Arial" w:cs="Arial" w:eastAsia="Arial" w:hAnsi="Arial"/>
                <w:sz w:val="14"/>
                <w:szCs w:val="14"/>
                <w:color w:val="auto"/>
              </w:rPr>
              <w:t>Erie, Pennsylvania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E-Carbon Asia Sdn. Bhd.</w:t>
            </w:r>
          </w:p>
        </w:tc>
        <w:tc>
          <w:tcPr>
            <w:tcW w:w="5080" w:type="dxa"/>
            <w:vAlign w:val="bottom"/>
          </w:tcPr>
          <w:p>
            <w:pPr>
              <w:ind w:left="2760"/>
              <w:spacing w:after="0"/>
              <w:rPr>
                <w:sz w:val="20"/>
                <w:szCs w:val="20"/>
                <w:color w:val="auto"/>
              </w:rPr>
            </w:pPr>
            <w:r>
              <w:rPr>
                <w:rFonts w:ascii="Arial" w:cs="Arial" w:eastAsia="Arial" w:hAnsi="Arial"/>
                <w:sz w:val="14"/>
                <w:szCs w:val="14"/>
                <w:color w:val="auto"/>
              </w:rPr>
              <w:t>China</w:t>
            </w:r>
          </w:p>
        </w:tc>
        <w:tc>
          <w:tcPr>
            <w:tcW w:w="22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E-Carbon Far East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Hong Kong</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E-Carbon S.A.</w:t>
            </w:r>
          </w:p>
        </w:tc>
        <w:tc>
          <w:tcPr>
            <w:tcW w:w="5080" w:type="dxa"/>
            <w:vAlign w:val="bottom"/>
          </w:tcPr>
          <w:p>
            <w:pPr>
              <w:ind w:left="2760"/>
              <w:spacing w:after="0"/>
              <w:rPr>
                <w:sz w:val="20"/>
                <w:szCs w:val="20"/>
                <w:color w:val="auto"/>
              </w:rPr>
            </w:pPr>
            <w:r>
              <w:rPr>
                <w:rFonts w:ascii="Arial" w:cs="Arial" w:eastAsia="Arial" w:hAnsi="Arial"/>
                <w:sz w:val="14"/>
                <w:szCs w:val="14"/>
                <w:color w:val="auto"/>
              </w:rPr>
              <w:t>Belgium</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Electrical Carbon UK Limited</w:t>
            </w:r>
          </w:p>
        </w:tc>
        <w:tc>
          <w:tcPr>
            <w:tcW w:w="5080" w:type="dxa"/>
            <w:vAlign w:val="bottom"/>
          </w:tcPr>
          <w:p>
            <w:pPr>
              <w:ind w:left="2760"/>
              <w:spacing w:after="0"/>
              <w:rPr>
                <w:sz w:val="20"/>
                <w:szCs w:val="20"/>
                <w:color w:val="auto"/>
              </w:rPr>
            </w:pPr>
            <w:r>
              <w:rPr>
                <w:rFonts w:ascii="Arial" w:cs="Arial" w:eastAsia="Arial" w:hAnsi="Arial"/>
                <w:sz w:val="14"/>
                <w:szCs w:val="14"/>
                <w:color w:val="auto"/>
              </w:rPr>
              <w:t>United Kingdom</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Evand Pty Ltd.</w:t>
            </w:r>
          </w:p>
        </w:tc>
        <w:tc>
          <w:tcPr>
            <w:tcW w:w="5080" w:type="dxa"/>
            <w:vAlign w:val="bottom"/>
          </w:tcPr>
          <w:p>
            <w:pPr>
              <w:ind w:left="2760"/>
              <w:spacing w:after="0"/>
              <w:rPr>
                <w:sz w:val="20"/>
                <w:szCs w:val="20"/>
                <w:color w:val="auto"/>
              </w:rPr>
            </w:pPr>
            <w:r>
              <w:rPr>
                <w:rFonts w:ascii="Arial" w:cs="Arial" w:eastAsia="Arial" w:hAnsi="Arial"/>
                <w:sz w:val="14"/>
                <w:szCs w:val="14"/>
                <w:color w:val="auto"/>
              </w:rPr>
              <w:t>Wetherill Park, Australia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Rail Engineering Singapore Pte Ltd</w:t>
            </w:r>
          </w:p>
        </w:tc>
        <w:tc>
          <w:tcPr>
            <w:tcW w:w="5080" w:type="dxa"/>
            <w:vAlign w:val="bottom"/>
          </w:tcPr>
          <w:p>
            <w:pPr>
              <w:ind w:left="2760"/>
              <w:spacing w:after="0"/>
              <w:rPr>
                <w:sz w:val="20"/>
                <w:szCs w:val="20"/>
                <w:color w:val="auto"/>
              </w:rPr>
            </w:pPr>
            <w:r>
              <w:rPr>
                <w:rFonts w:ascii="Arial" w:cs="Arial" w:eastAsia="Arial" w:hAnsi="Arial"/>
                <w:sz w:val="14"/>
                <w:szCs w:val="14"/>
                <w:color w:val="auto"/>
              </w:rPr>
              <w:t>Singapore</w:t>
            </w:r>
          </w:p>
        </w:tc>
        <w:tc>
          <w:tcPr>
            <w:tcW w:w="22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Amiens</w:t>
            </w:r>
          </w:p>
        </w:tc>
        <w:tc>
          <w:tcPr>
            <w:tcW w:w="5080" w:type="dxa"/>
            <w:vAlign w:val="bottom"/>
          </w:tcPr>
          <w:p>
            <w:pPr>
              <w:ind w:left="2760"/>
              <w:spacing w:after="0"/>
              <w:rPr>
                <w:sz w:val="20"/>
                <w:szCs w:val="20"/>
                <w:color w:val="auto"/>
              </w:rPr>
            </w:pPr>
            <w:r>
              <w:rPr>
                <w:rFonts w:ascii="Arial" w:cs="Arial" w:eastAsia="Arial" w:hAnsi="Arial"/>
                <w:sz w:val="14"/>
                <w:szCs w:val="14"/>
                <w:color w:val="auto"/>
              </w:rPr>
              <w:t>Amiens, France</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Asia Pacific Ltd.</w:t>
            </w:r>
          </w:p>
        </w:tc>
        <w:tc>
          <w:tcPr>
            <w:tcW w:w="5080" w:type="dxa"/>
            <w:vAlign w:val="bottom"/>
          </w:tcPr>
          <w:p>
            <w:pPr>
              <w:ind w:left="2760"/>
              <w:spacing w:after="0"/>
              <w:rPr>
                <w:sz w:val="20"/>
                <w:szCs w:val="20"/>
                <w:color w:val="auto"/>
              </w:rPr>
            </w:pPr>
            <w:r>
              <w:rPr>
                <w:rFonts w:ascii="Arial" w:cs="Arial" w:eastAsia="Arial" w:hAnsi="Arial"/>
                <w:sz w:val="14"/>
                <w:szCs w:val="14"/>
                <w:color w:val="auto"/>
              </w:rPr>
              <w:t>Hong Kong</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Australia Ltd.</w:t>
            </w:r>
          </w:p>
        </w:tc>
        <w:tc>
          <w:tcPr>
            <w:tcW w:w="5080" w:type="dxa"/>
            <w:vAlign w:val="bottom"/>
          </w:tcPr>
          <w:p>
            <w:pPr>
              <w:ind w:left="2760"/>
              <w:spacing w:after="0"/>
              <w:rPr>
                <w:sz w:val="20"/>
                <w:szCs w:val="20"/>
                <w:color w:val="auto"/>
              </w:rPr>
            </w:pPr>
            <w:r>
              <w:rPr>
                <w:rFonts w:ascii="Arial" w:cs="Arial" w:eastAsia="Arial" w:hAnsi="Arial"/>
                <w:sz w:val="14"/>
                <w:szCs w:val="14"/>
                <w:color w:val="auto"/>
              </w:rPr>
              <w:t>Rosehill, Australia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Birkenhead Ltd.</w:t>
            </w:r>
          </w:p>
        </w:tc>
        <w:tc>
          <w:tcPr>
            <w:tcW w:w="5080" w:type="dxa"/>
            <w:vAlign w:val="bottom"/>
          </w:tcPr>
          <w:p>
            <w:pPr>
              <w:ind w:left="2760"/>
              <w:spacing w:after="0"/>
              <w:rPr>
                <w:sz w:val="20"/>
                <w:szCs w:val="20"/>
                <w:color w:val="auto"/>
              </w:rPr>
            </w:pPr>
            <w:r>
              <w:rPr>
                <w:rFonts w:ascii="Arial" w:cs="Arial" w:eastAsia="Arial" w:hAnsi="Arial"/>
                <w:sz w:val="14"/>
                <w:szCs w:val="14"/>
                <w:color w:val="auto"/>
              </w:rPr>
              <w:t>Birkenhead, UK</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Bochum GmbH</w:t>
            </w:r>
          </w:p>
        </w:tc>
        <w:tc>
          <w:tcPr>
            <w:tcW w:w="5080" w:type="dxa"/>
            <w:vAlign w:val="bottom"/>
          </w:tcPr>
          <w:p>
            <w:pPr>
              <w:ind w:left="2760"/>
              <w:spacing w:after="0"/>
              <w:rPr>
                <w:sz w:val="20"/>
                <w:szCs w:val="20"/>
                <w:color w:val="auto"/>
              </w:rPr>
            </w:pPr>
            <w:r>
              <w:rPr>
                <w:rFonts w:ascii="Arial" w:cs="Arial" w:eastAsia="Arial" w:hAnsi="Arial"/>
                <w:sz w:val="14"/>
                <w:szCs w:val="14"/>
                <w:color w:val="auto"/>
              </w:rPr>
              <w:t>Bochum, Germany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Canada Inc.</w:t>
            </w:r>
          </w:p>
        </w:tc>
        <w:tc>
          <w:tcPr>
            <w:tcW w:w="5080" w:type="dxa"/>
            <w:vAlign w:val="bottom"/>
          </w:tcPr>
          <w:p>
            <w:pPr>
              <w:ind w:left="2760"/>
              <w:spacing w:after="0"/>
              <w:rPr>
                <w:sz w:val="20"/>
                <w:szCs w:val="20"/>
                <w:color w:val="auto"/>
              </w:rPr>
            </w:pPr>
            <w:r>
              <w:rPr>
                <w:rFonts w:ascii="Arial" w:cs="Arial" w:eastAsia="Arial" w:hAnsi="Arial"/>
                <w:sz w:val="14"/>
                <w:szCs w:val="14"/>
                <w:color w:val="auto"/>
              </w:rPr>
              <w:t>Montreal, Canada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Czech a.s.</w:t>
            </w:r>
          </w:p>
        </w:tc>
        <w:tc>
          <w:tcPr>
            <w:tcW w:w="5080" w:type="dxa"/>
            <w:vAlign w:val="bottom"/>
          </w:tcPr>
          <w:p>
            <w:pPr>
              <w:ind w:left="2760"/>
              <w:spacing w:after="0"/>
              <w:rPr>
                <w:sz w:val="20"/>
                <w:szCs w:val="20"/>
                <w:color w:val="auto"/>
              </w:rPr>
            </w:pPr>
            <w:r>
              <w:rPr>
                <w:rFonts w:ascii="Arial" w:cs="Arial" w:eastAsia="Arial" w:hAnsi="Arial"/>
                <w:sz w:val="14"/>
                <w:szCs w:val="14"/>
                <w:color w:val="auto"/>
              </w:rPr>
              <w:t>Plzen, Czech Republic</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Chile SpA.</w:t>
            </w:r>
          </w:p>
        </w:tc>
        <w:tc>
          <w:tcPr>
            <w:tcW w:w="5080" w:type="dxa"/>
            <w:vAlign w:val="bottom"/>
          </w:tcPr>
          <w:p>
            <w:pPr>
              <w:ind w:left="2760"/>
              <w:spacing w:after="0"/>
              <w:rPr>
                <w:sz w:val="20"/>
                <w:szCs w:val="20"/>
                <w:color w:val="auto"/>
              </w:rPr>
            </w:pPr>
            <w:r>
              <w:rPr>
                <w:rFonts w:ascii="Arial" w:cs="Arial" w:eastAsia="Arial" w:hAnsi="Arial"/>
                <w:sz w:val="14"/>
                <w:szCs w:val="14"/>
                <w:color w:val="auto"/>
              </w:rPr>
              <w:t>Santiago, Chile</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Far East Ltd</w:t>
            </w:r>
          </w:p>
        </w:tc>
        <w:tc>
          <w:tcPr>
            <w:tcW w:w="5080" w:type="dxa"/>
            <w:vAlign w:val="bottom"/>
          </w:tcPr>
          <w:p>
            <w:pPr>
              <w:ind w:left="2760"/>
              <w:spacing w:after="0"/>
              <w:rPr>
                <w:sz w:val="20"/>
                <w:szCs w:val="20"/>
                <w:color w:val="auto"/>
              </w:rPr>
            </w:pPr>
            <w:r>
              <w:rPr>
                <w:rFonts w:ascii="Arial" w:cs="Arial" w:eastAsia="Arial" w:hAnsi="Arial"/>
                <w:sz w:val="14"/>
                <w:szCs w:val="14"/>
                <w:color w:val="auto"/>
              </w:rPr>
              <w:t>Hong Kong</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Holding Gmbh &amp; co KG</w:t>
            </w:r>
          </w:p>
        </w:tc>
        <w:tc>
          <w:tcPr>
            <w:tcW w:w="5080" w:type="dxa"/>
            <w:vAlign w:val="bottom"/>
          </w:tcPr>
          <w:p>
            <w:pPr>
              <w:ind w:left="2760"/>
              <w:spacing w:after="0"/>
              <w:rPr>
                <w:sz w:val="20"/>
                <w:szCs w:val="20"/>
                <w:color w:val="auto"/>
              </w:rPr>
            </w:pPr>
            <w:r>
              <w:rPr>
                <w:rFonts w:ascii="Arial" w:cs="Arial" w:eastAsia="Arial" w:hAnsi="Arial"/>
                <w:sz w:val="14"/>
                <w:szCs w:val="14"/>
                <w:color w:val="auto"/>
              </w:rPr>
              <w:t>Whitten, Germany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Iberica SA</w:t>
            </w:r>
          </w:p>
        </w:tc>
        <w:tc>
          <w:tcPr>
            <w:tcW w:w="5080" w:type="dxa"/>
            <w:vAlign w:val="bottom"/>
          </w:tcPr>
          <w:p>
            <w:pPr>
              <w:ind w:left="2760"/>
              <w:spacing w:after="0"/>
              <w:rPr>
                <w:sz w:val="20"/>
                <w:szCs w:val="20"/>
                <w:color w:val="auto"/>
              </w:rPr>
            </w:pPr>
            <w:r>
              <w:rPr>
                <w:rFonts w:ascii="Arial" w:cs="Arial" w:eastAsia="Arial" w:hAnsi="Arial"/>
                <w:sz w:val="14"/>
                <w:szCs w:val="14"/>
                <w:color w:val="auto"/>
              </w:rPr>
              <w:t>La Selva del Camp, Spain</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Italia Spa</w:t>
            </w:r>
          </w:p>
        </w:tc>
        <w:tc>
          <w:tcPr>
            <w:tcW w:w="5080" w:type="dxa"/>
            <w:vAlign w:val="bottom"/>
          </w:tcPr>
          <w:p>
            <w:pPr>
              <w:ind w:left="2760"/>
              <w:spacing w:after="0"/>
              <w:rPr>
                <w:sz w:val="20"/>
                <w:szCs w:val="20"/>
                <w:color w:val="auto"/>
              </w:rPr>
            </w:pPr>
            <w:r>
              <w:rPr>
                <w:rFonts w:ascii="Arial" w:cs="Arial" w:eastAsia="Arial" w:hAnsi="Arial"/>
                <w:sz w:val="14"/>
                <w:szCs w:val="14"/>
                <w:color w:val="auto"/>
              </w:rPr>
              <w:t>Turin, Italy</w:t>
            </w:r>
          </w:p>
        </w:tc>
        <w:tc>
          <w:tcPr>
            <w:tcW w:w="2280" w:type="dxa"/>
            <w:vAlign w:val="bottom"/>
          </w:tcPr>
          <w:p>
            <w:pPr>
              <w:jc w:val="right"/>
              <w:spacing w:after="0"/>
              <w:rPr>
                <w:sz w:val="20"/>
                <w:szCs w:val="20"/>
                <w:color w:val="auto"/>
              </w:rPr>
            </w:pPr>
            <w:r>
              <w:rPr>
                <w:rFonts w:ascii="Arial" w:cs="Arial" w:eastAsia="Arial" w:hAnsi="Arial"/>
                <w:sz w:val="14"/>
                <w:szCs w:val="14"/>
                <w:color w:val="auto"/>
              </w:rPr>
              <w:t>98.7 %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Korea Ltd</w:t>
            </w:r>
          </w:p>
        </w:tc>
        <w:tc>
          <w:tcPr>
            <w:tcW w:w="5080" w:type="dxa"/>
            <w:vAlign w:val="bottom"/>
          </w:tcPr>
          <w:p>
            <w:pPr>
              <w:ind w:left="2760"/>
              <w:spacing w:after="0"/>
              <w:rPr>
                <w:sz w:val="20"/>
                <w:szCs w:val="20"/>
                <w:color w:val="auto"/>
              </w:rPr>
            </w:pPr>
            <w:r>
              <w:rPr>
                <w:rFonts w:ascii="Arial" w:cs="Arial" w:eastAsia="Arial" w:hAnsi="Arial"/>
                <w:sz w:val="14"/>
                <w:szCs w:val="14"/>
                <w:color w:val="auto"/>
              </w:rPr>
              <w:t>Seoul, Korea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Leipzig GmbH &amp; Co-KG</w:t>
            </w:r>
          </w:p>
        </w:tc>
        <w:tc>
          <w:tcPr>
            <w:tcW w:w="5080" w:type="dxa"/>
            <w:vAlign w:val="bottom"/>
          </w:tcPr>
          <w:p>
            <w:pPr>
              <w:ind w:left="2760"/>
              <w:spacing w:after="0"/>
              <w:rPr>
                <w:sz w:val="20"/>
                <w:szCs w:val="20"/>
                <w:color w:val="auto"/>
              </w:rPr>
            </w:pPr>
            <w:r>
              <w:rPr>
                <w:rFonts w:ascii="Arial" w:cs="Arial" w:eastAsia="Arial" w:hAnsi="Arial"/>
                <w:sz w:val="14"/>
                <w:szCs w:val="14"/>
                <w:color w:val="auto"/>
              </w:rPr>
              <w:t>Scheuditz, Germany</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860" w:type="dxa"/>
            <w:vAlign w:val="bottom"/>
          </w:tcPr>
          <w:p>
            <w:pPr>
              <w:spacing w:after="0"/>
              <w:rPr>
                <w:sz w:val="20"/>
                <w:szCs w:val="20"/>
                <w:color w:val="auto"/>
              </w:rPr>
            </w:pPr>
            <w:r>
              <w:rPr>
                <w:rFonts w:ascii="Arial" w:cs="Arial" w:eastAsia="Arial" w:hAnsi="Arial"/>
                <w:sz w:val="14"/>
                <w:szCs w:val="14"/>
                <w:color w:val="auto"/>
              </w:rPr>
              <w:t>Faiveley Transport Metro Technology Shanghai Co Ltd.</w:t>
            </w:r>
          </w:p>
        </w:tc>
        <w:tc>
          <w:tcPr>
            <w:tcW w:w="5080" w:type="dxa"/>
            <w:vAlign w:val="bottom"/>
          </w:tcPr>
          <w:p>
            <w:pPr>
              <w:ind w:left="2760"/>
              <w:spacing w:after="0"/>
              <w:rPr>
                <w:sz w:val="20"/>
                <w:szCs w:val="20"/>
                <w:color w:val="auto"/>
              </w:rPr>
            </w:pPr>
            <w:r>
              <w:rPr>
                <w:rFonts w:ascii="Arial" w:cs="Arial" w:eastAsia="Arial" w:hAnsi="Arial"/>
                <w:sz w:val="14"/>
                <w:szCs w:val="14"/>
                <w:color w:val="auto"/>
              </w:rPr>
              <w:t>Shanghai, China</w:t>
            </w:r>
          </w:p>
        </w:tc>
        <w:tc>
          <w:tcPr>
            <w:tcW w:w="228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20"/>
                <w:szCs w:val="20"/>
                <w:color w:val="auto"/>
              </w:rPr>
            </w:pPr>
            <w:r>
              <w:rPr>
                <w:rFonts w:ascii="Arial" w:cs="Arial" w:eastAsia="Arial" w:hAnsi="Arial"/>
                <w:sz w:val="14"/>
                <w:szCs w:val="14"/>
                <w:color w:val="auto"/>
              </w:rPr>
              <w:t>Faiveley Transport Metro Technology Taiwan Ltd.</w:t>
            </w:r>
          </w:p>
        </w:tc>
        <w:tc>
          <w:tcPr>
            <w:tcW w:w="4280" w:type="dxa"/>
            <w:vAlign w:val="bottom"/>
          </w:tcPr>
          <w:p>
            <w:pPr>
              <w:ind w:left="1220"/>
              <w:spacing w:after="0"/>
              <w:rPr>
                <w:sz w:val="20"/>
                <w:szCs w:val="20"/>
                <w:color w:val="auto"/>
              </w:rPr>
            </w:pPr>
            <w:r>
              <w:rPr>
                <w:rFonts w:ascii="Arial" w:cs="Arial" w:eastAsia="Arial" w:hAnsi="Arial"/>
                <w:sz w:val="14"/>
                <w:szCs w:val="14"/>
                <w:color w:val="auto"/>
              </w:rPr>
              <w:t>Taipei, Taiwan</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Metro Technology Thailand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Bangkok, Thailand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Nordic AB</w:t>
            </w:r>
          </w:p>
        </w:tc>
        <w:tc>
          <w:tcPr>
            <w:tcW w:w="4280" w:type="dxa"/>
            <w:vAlign w:val="bottom"/>
          </w:tcPr>
          <w:p>
            <w:pPr>
              <w:ind w:left="1220"/>
              <w:spacing w:after="0"/>
              <w:rPr>
                <w:sz w:val="20"/>
                <w:szCs w:val="20"/>
                <w:color w:val="auto"/>
              </w:rPr>
            </w:pPr>
            <w:r>
              <w:rPr>
                <w:rFonts w:ascii="Arial" w:cs="Arial" w:eastAsia="Arial" w:hAnsi="Arial"/>
                <w:sz w:val="14"/>
                <w:szCs w:val="14"/>
                <w:color w:val="auto"/>
              </w:rPr>
              <w:t>Landskrona, Sweden</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North America Inc.</w:t>
            </w:r>
          </w:p>
        </w:tc>
        <w:tc>
          <w:tcPr>
            <w:tcW w:w="4280" w:type="dxa"/>
            <w:vAlign w:val="bottom"/>
          </w:tcPr>
          <w:p>
            <w:pPr>
              <w:ind w:left="1220"/>
              <w:spacing w:after="0"/>
              <w:rPr>
                <w:sz w:val="20"/>
                <w:szCs w:val="20"/>
                <w:color w:val="auto"/>
              </w:rPr>
            </w:pPr>
            <w:r>
              <w:rPr>
                <w:rFonts w:ascii="Arial" w:cs="Arial" w:eastAsia="Arial" w:hAnsi="Arial"/>
                <w:sz w:val="14"/>
                <w:szCs w:val="14"/>
                <w:color w:val="auto"/>
              </w:rPr>
              <w:t>Greenville, South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Nowe GmbH</w:t>
            </w:r>
          </w:p>
        </w:tc>
        <w:tc>
          <w:tcPr>
            <w:tcW w:w="4280" w:type="dxa"/>
            <w:vAlign w:val="bottom"/>
          </w:tcPr>
          <w:p>
            <w:pPr>
              <w:ind w:left="1220"/>
              <w:spacing w:after="0"/>
              <w:rPr>
                <w:sz w:val="20"/>
                <w:szCs w:val="20"/>
                <w:color w:val="auto"/>
              </w:rPr>
            </w:pPr>
            <w:r>
              <w:rPr>
                <w:rFonts w:ascii="Arial" w:cs="Arial" w:eastAsia="Arial" w:hAnsi="Arial"/>
                <w:sz w:val="14"/>
                <w:szCs w:val="14"/>
                <w:color w:val="auto"/>
              </w:rPr>
              <w:t>Elze, Germany</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NSF</w:t>
            </w:r>
          </w:p>
        </w:tc>
        <w:tc>
          <w:tcPr>
            <w:tcW w:w="4280" w:type="dxa"/>
            <w:vAlign w:val="bottom"/>
          </w:tcPr>
          <w:p>
            <w:pPr>
              <w:ind w:left="1220"/>
              <w:spacing w:after="0"/>
              <w:rPr>
                <w:sz w:val="20"/>
                <w:szCs w:val="20"/>
                <w:color w:val="auto"/>
              </w:rPr>
            </w:pPr>
            <w:r>
              <w:rPr>
                <w:rFonts w:ascii="Arial" w:cs="Arial" w:eastAsia="Arial" w:hAnsi="Arial"/>
                <w:sz w:val="14"/>
                <w:szCs w:val="14"/>
                <w:color w:val="auto"/>
              </w:rPr>
              <w:t>Neuville en Ferrain, France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Plezn s.r.o.</w:t>
            </w:r>
          </w:p>
        </w:tc>
        <w:tc>
          <w:tcPr>
            <w:tcW w:w="4280" w:type="dxa"/>
            <w:vAlign w:val="bottom"/>
          </w:tcPr>
          <w:p>
            <w:pPr>
              <w:ind w:left="1220"/>
              <w:spacing w:after="0"/>
              <w:rPr>
                <w:sz w:val="20"/>
                <w:szCs w:val="20"/>
                <w:color w:val="auto"/>
              </w:rPr>
            </w:pPr>
            <w:r>
              <w:rPr>
                <w:rFonts w:ascii="Arial" w:cs="Arial" w:eastAsia="Arial" w:hAnsi="Arial"/>
                <w:sz w:val="14"/>
                <w:szCs w:val="14"/>
                <w:color w:val="auto"/>
              </w:rPr>
              <w:t>Nyrany, Czech Republic</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Polska zoo</w:t>
            </w:r>
          </w:p>
        </w:tc>
        <w:tc>
          <w:tcPr>
            <w:tcW w:w="4280" w:type="dxa"/>
            <w:vAlign w:val="bottom"/>
          </w:tcPr>
          <w:p>
            <w:pPr>
              <w:ind w:left="1220"/>
              <w:spacing w:after="0"/>
              <w:rPr>
                <w:sz w:val="20"/>
                <w:szCs w:val="20"/>
                <w:color w:val="auto"/>
              </w:rPr>
            </w:pPr>
            <w:r>
              <w:rPr>
                <w:rFonts w:ascii="Arial" w:cs="Arial" w:eastAsia="Arial" w:hAnsi="Arial"/>
                <w:sz w:val="14"/>
                <w:szCs w:val="14"/>
                <w:color w:val="auto"/>
              </w:rPr>
              <w:t>Poznan, Poland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Rail Technologies India Private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Himachal Pradesh, India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Railway Trading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Shanghai,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SAS.</w:t>
            </w:r>
          </w:p>
        </w:tc>
        <w:tc>
          <w:tcPr>
            <w:tcW w:w="4280" w:type="dxa"/>
            <w:vAlign w:val="bottom"/>
          </w:tcPr>
          <w:p>
            <w:pPr>
              <w:ind w:left="1220"/>
              <w:spacing w:after="0"/>
              <w:rPr>
                <w:sz w:val="20"/>
                <w:szCs w:val="20"/>
                <w:color w:val="auto"/>
              </w:rPr>
            </w:pPr>
            <w:r>
              <w:rPr>
                <w:rFonts w:ascii="Arial" w:cs="Arial" w:eastAsia="Arial" w:hAnsi="Arial"/>
                <w:sz w:val="14"/>
                <w:szCs w:val="14"/>
                <w:color w:val="auto"/>
              </w:rPr>
              <w:t>Gennevilliers, France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Schwab AG</w:t>
            </w:r>
          </w:p>
        </w:tc>
        <w:tc>
          <w:tcPr>
            <w:tcW w:w="4280" w:type="dxa"/>
            <w:vAlign w:val="bottom"/>
          </w:tcPr>
          <w:p>
            <w:pPr>
              <w:ind w:left="1220"/>
              <w:spacing w:after="0"/>
              <w:rPr>
                <w:sz w:val="20"/>
                <w:szCs w:val="20"/>
                <w:color w:val="auto"/>
              </w:rPr>
            </w:pPr>
            <w:r>
              <w:rPr>
                <w:rFonts w:ascii="Arial" w:cs="Arial" w:eastAsia="Arial" w:hAnsi="Arial"/>
                <w:sz w:val="14"/>
                <w:szCs w:val="14"/>
                <w:color w:val="auto"/>
              </w:rPr>
              <w:t>Schaffhausen,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Schweiz AG</w:t>
            </w:r>
          </w:p>
        </w:tc>
        <w:tc>
          <w:tcPr>
            <w:tcW w:w="4280" w:type="dxa"/>
            <w:vAlign w:val="bottom"/>
          </w:tcPr>
          <w:p>
            <w:pPr>
              <w:ind w:left="1220"/>
              <w:spacing w:after="0"/>
              <w:rPr>
                <w:sz w:val="20"/>
                <w:szCs w:val="20"/>
                <w:color w:val="auto"/>
              </w:rPr>
            </w:pPr>
            <w:r>
              <w:rPr>
                <w:rFonts w:ascii="Arial" w:cs="Arial" w:eastAsia="Arial" w:hAnsi="Arial"/>
                <w:sz w:val="14"/>
                <w:szCs w:val="14"/>
                <w:color w:val="auto"/>
              </w:rPr>
              <w:t>Hagendorf,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Service Maroc</w:t>
            </w:r>
          </w:p>
        </w:tc>
        <w:tc>
          <w:tcPr>
            <w:tcW w:w="4280" w:type="dxa"/>
            <w:vAlign w:val="bottom"/>
          </w:tcPr>
          <w:p>
            <w:pPr>
              <w:ind w:left="1220"/>
              <w:spacing w:after="0"/>
              <w:rPr>
                <w:sz w:val="20"/>
                <w:szCs w:val="20"/>
                <w:color w:val="auto"/>
              </w:rPr>
            </w:pPr>
            <w:r>
              <w:rPr>
                <w:rFonts w:ascii="Arial" w:cs="Arial" w:eastAsia="Arial" w:hAnsi="Arial"/>
                <w:sz w:val="14"/>
                <w:szCs w:val="14"/>
                <w:color w:val="auto"/>
              </w:rPr>
              <w:t>Casablanca, Morocco</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Systems Technology (Beijing)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Beijing,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Tamworth Ltd.</w:t>
            </w:r>
          </w:p>
        </w:tc>
        <w:tc>
          <w:tcPr>
            <w:tcW w:w="4280" w:type="dxa"/>
            <w:vAlign w:val="bottom"/>
          </w:tcPr>
          <w:p>
            <w:pPr>
              <w:ind w:left="1220"/>
              <w:spacing w:after="0"/>
              <w:rPr>
                <w:sz w:val="20"/>
                <w:szCs w:val="20"/>
                <w:color w:val="auto"/>
              </w:rPr>
            </w:pPr>
            <w:r>
              <w:rPr>
                <w:rFonts w:ascii="Arial" w:cs="Arial" w:eastAsia="Arial" w:hAnsi="Arial"/>
                <w:sz w:val="14"/>
                <w:szCs w:val="14"/>
                <w:color w:val="auto"/>
              </w:rPr>
              <w:t>Tamworth, Staffordshire,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Tours</w:t>
            </w:r>
          </w:p>
        </w:tc>
        <w:tc>
          <w:tcPr>
            <w:tcW w:w="4280" w:type="dxa"/>
            <w:vAlign w:val="bottom"/>
          </w:tcPr>
          <w:p>
            <w:pPr>
              <w:ind w:left="1220"/>
              <w:spacing w:after="0"/>
              <w:rPr>
                <w:sz w:val="20"/>
                <w:szCs w:val="20"/>
                <w:color w:val="auto"/>
              </w:rPr>
            </w:pPr>
            <w:r>
              <w:rPr>
                <w:rFonts w:ascii="Arial" w:cs="Arial" w:eastAsia="Arial" w:hAnsi="Arial"/>
                <w:sz w:val="14"/>
                <w:szCs w:val="14"/>
                <w:color w:val="auto"/>
              </w:rPr>
              <w:t>Saint Pierre des Corps, France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Tremosnice s.r.o.</w:t>
            </w:r>
          </w:p>
        </w:tc>
        <w:tc>
          <w:tcPr>
            <w:tcW w:w="4280" w:type="dxa"/>
            <w:vAlign w:val="bottom"/>
          </w:tcPr>
          <w:p>
            <w:pPr>
              <w:ind w:left="1220"/>
              <w:spacing w:after="0"/>
              <w:rPr>
                <w:sz w:val="20"/>
                <w:szCs w:val="20"/>
                <w:color w:val="auto"/>
              </w:rPr>
            </w:pPr>
            <w:r>
              <w:rPr>
                <w:rFonts w:ascii="Arial" w:cs="Arial" w:eastAsia="Arial" w:hAnsi="Arial"/>
                <w:sz w:val="14"/>
                <w:szCs w:val="14"/>
                <w:color w:val="auto"/>
              </w:rPr>
              <w:t>Treomsnice, Czech Republic</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USA Inc.</w:t>
            </w:r>
          </w:p>
        </w:tc>
        <w:tc>
          <w:tcPr>
            <w:tcW w:w="4280" w:type="dxa"/>
            <w:vAlign w:val="bottom"/>
          </w:tcPr>
          <w:p>
            <w:pPr>
              <w:ind w:left="1220"/>
              <w:spacing w:after="0"/>
              <w:rPr>
                <w:sz w:val="20"/>
                <w:szCs w:val="20"/>
                <w:color w:val="auto"/>
              </w:rPr>
            </w:pPr>
            <w:r>
              <w:rPr>
                <w:rFonts w:ascii="Arial" w:cs="Arial" w:eastAsia="Arial" w:hAnsi="Arial"/>
                <w:sz w:val="14"/>
                <w:szCs w:val="14"/>
                <w:color w:val="auto"/>
              </w:rPr>
              <w:t>Greenville, South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Faiveley Transport Verwaltungs GmbH</w:t>
            </w:r>
          </w:p>
        </w:tc>
        <w:tc>
          <w:tcPr>
            <w:tcW w:w="4280" w:type="dxa"/>
            <w:vAlign w:val="bottom"/>
          </w:tcPr>
          <w:p>
            <w:pPr>
              <w:ind w:left="1220"/>
              <w:spacing w:after="0"/>
              <w:rPr>
                <w:sz w:val="20"/>
                <w:szCs w:val="20"/>
                <w:color w:val="auto"/>
              </w:rPr>
            </w:pPr>
            <w:r>
              <w:rPr>
                <w:rFonts w:ascii="Arial" w:cs="Arial" w:eastAsia="Arial" w:hAnsi="Arial"/>
                <w:sz w:val="14"/>
                <w:szCs w:val="14"/>
                <w:color w:val="auto"/>
              </w:rPr>
              <w:t>Scheuditz, Germany</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F.I.P. Pty Ltd.</w:t>
            </w:r>
          </w:p>
        </w:tc>
        <w:tc>
          <w:tcPr>
            <w:tcW w:w="4280" w:type="dxa"/>
            <w:vAlign w:val="bottom"/>
          </w:tcPr>
          <w:p>
            <w:pPr>
              <w:ind w:left="1220"/>
              <w:spacing w:after="0"/>
              <w:rPr>
                <w:sz w:val="20"/>
                <w:szCs w:val="20"/>
                <w:color w:val="auto"/>
              </w:rPr>
            </w:pPr>
            <w:r>
              <w:rPr>
                <w:rFonts w:ascii="Arial" w:cs="Arial" w:eastAsia="Arial" w:hAnsi="Arial"/>
                <w:sz w:val="14"/>
                <w:szCs w:val="14"/>
                <w:color w:val="auto"/>
              </w:rPr>
              <w:t>Sydney,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FIP Brakes South Africa (Proprietary)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Kempton Park, South Africa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Fandstan Electric Group, Ltd.</w:t>
            </w:r>
          </w:p>
        </w:tc>
        <w:tc>
          <w:tcPr>
            <w:tcW w:w="4280" w:type="dxa"/>
            <w:vAlign w:val="bottom"/>
          </w:tcPr>
          <w:p>
            <w:pPr>
              <w:ind w:left="1220"/>
              <w:spacing w:after="0"/>
              <w:rPr>
                <w:sz w:val="20"/>
                <w:szCs w:val="20"/>
                <w:color w:val="auto"/>
              </w:rPr>
            </w:pPr>
            <w:r>
              <w:rPr>
                <w:rFonts w:ascii="Arial" w:cs="Arial" w:eastAsia="Arial" w:hAnsi="Arial"/>
                <w:sz w:val="14"/>
                <w:szCs w:val="14"/>
                <w:color w:val="auto"/>
              </w:rPr>
              <w:t>London,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Fandstan Electric, Ltd.</w:t>
            </w:r>
          </w:p>
        </w:tc>
        <w:tc>
          <w:tcPr>
            <w:tcW w:w="4280" w:type="dxa"/>
            <w:vAlign w:val="bottom"/>
          </w:tcPr>
          <w:p>
            <w:pPr>
              <w:ind w:left="1220"/>
              <w:spacing w:after="0"/>
              <w:rPr>
                <w:sz w:val="20"/>
                <w:szCs w:val="20"/>
                <w:color w:val="auto"/>
              </w:rPr>
            </w:pPr>
            <w:r>
              <w:rPr>
                <w:rFonts w:ascii="Arial" w:cs="Arial" w:eastAsia="Arial" w:hAnsi="Arial"/>
                <w:sz w:val="14"/>
                <w:szCs w:val="14"/>
                <w:color w:val="auto"/>
              </w:rPr>
              <w:t>London,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F.T.M.T. Singapore Pte Ltd</w:t>
            </w:r>
          </w:p>
        </w:tc>
        <w:tc>
          <w:tcPr>
            <w:tcW w:w="4280" w:type="dxa"/>
            <w:vAlign w:val="bottom"/>
          </w:tcPr>
          <w:p>
            <w:pPr>
              <w:ind w:left="1220"/>
              <w:spacing w:after="0"/>
              <w:rPr>
                <w:sz w:val="20"/>
                <w:szCs w:val="20"/>
                <w:color w:val="auto"/>
              </w:rPr>
            </w:pPr>
            <w:r>
              <w:rPr>
                <w:rFonts w:ascii="Arial" w:cs="Arial" w:eastAsia="Arial" w:hAnsi="Arial"/>
                <w:sz w:val="14"/>
                <w:szCs w:val="14"/>
                <w:color w:val="auto"/>
              </w:rPr>
              <w:t>Singapore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G&amp;B Specialties, Inc.</w:t>
            </w:r>
          </w:p>
        </w:tc>
        <w:tc>
          <w:tcPr>
            <w:tcW w:w="4280" w:type="dxa"/>
            <w:vAlign w:val="bottom"/>
          </w:tcPr>
          <w:p>
            <w:pPr>
              <w:ind w:left="1220"/>
              <w:spacing w:after="0"/>
              <w:rPr>
                <w:sz w:val="20"/>
                <w:szCs w:val="20"/>
                <w:color w:val="auto"/>
              </w:rPr>
            </w:pPr>
            <w:r>
              <w:rPr>
                <w:rFonts w:ascii="Arial" w:cs="Arial" w:eastAsia="Arial" w:hAnsi="Arial"/>
                <w:sz w:val="14"/>
                <w:szCs w:val="14"/>
                <w:color w:val="auto"/>
              </w:rPr>
              <w:t>Berwick, Pennsylvania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Gerken Group S.A.</w:t>
            </w:r>
          </w:p>
        </w:tc>
        <w:tc>
          <w:tcPr>
            <w:tcW w:w="4280" w:type="dxa"/>
            <w:vAlign w:val="bottom"/>
          </w:tcPr>
          <w:p>
            <w:pPr>
              <w:ind w:left="1220"/>
              <w:spacing w:after="0"/>
              <w:rPr>
                <w:sz w:val="20"/>
                <w:szCs w:val="20"/>
                <w:color w:val="auto"/>
              </w:rPr>
            </w:pPr>
            <w:r>
              <w:rPr>
                <w:rFonts w:ascii="Arial" w:cs="Arial" w:eastAsia="Arial" w:hAnsi="Arial"/>
                <w:sz w:val="14"/>
                <w:szCs w:val="14"/>
                <w:color w:val="auto"/>
              </w:rPr>
              <w:t>Belgium</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Gerken Nordiska Karma Aktiebolag</w:t>
            </w:r>
          </w:p>
        </w:tc>
        <w:tc>
          <w:tcPr>
            <w:tcW w:w="4280" w:type="dxa"/>
            <w:vAlign w:val="bottom"/>
          </w:tcPr>
          <w:p>
            <w:pPr>
              <w:ind w:left="1220"/>
              <w:spacing w:after="0"/>
              <w:rPr>
                <w:sz w:val="20"/>
                <w:szCs w:val="20"/>
                <w:color w:val="auto"/>
              </w:rPr>
            </w:pPr>
            <w:r>
              <w:rPr>
                <w:rFonts w:ascii="Arial" w:cs="Arial" w:eastAsia="Arial" w:hAnsi="Arial"/>
                <w:sz w:val="14"/>
                <w:szCs w:val="14"/>
                <w:color w:val="auto"/>
              </w:rPr>
              <w:t>Sweden</w:t>
            </w:r>
          </w:p>
        </w:tc>
        <w:tc>
          <w:tcPr>
            <w:tcW w:w="150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Gerken SAS</w:t>
            </w:r>
          </w:p>
        </w:tc>
        <w:tc>
          <w:tcPr>
            <w:tcW w:w="4280" w:type="dxa"/>
            <w:vAlign w:val="bottom"/>
          </w:tcPr>
          <w:p>
            <w:pPr>
              <w:ind w:left="1220"/>
              <w:spacing w:after="0"/>
              <w:rPr>
                <w:sz w:val="20"/>
                <w:szCs w:val="20"/>
                <w:color w:val="auto"/>
              </w:rPr>
            </w:pPr>
            <w:r>
              <w:rPr>
                <w:rFonts w:ascii="Arial" w:cs="Arial" w:eastAsia="Arial" w:hAnsi="Arial"/>
                <w:sz w:val="14"/>
                <w:szCs w:val="14"/>
                <w:color w:val="auto"/>
              </w:rPr>
              <w:t>France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 (Shijiazhuang) Mining Equipment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Shijiazhuang,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 Transportation, A Wabtec Company</w:t>
            </w:r>
          </w:p>
        </w:tc>
        <w:tc>
          <w:tcPr>
            <w:tcW w:w="4280" w:type="dxa"/>
            <w:vAlign w:val="bottom"/>
          </w:tcPr>
          <w:p>
            <w:pPr>
              <w:ind w:left="122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GE Transportation Deutschland, a Wabtec Company, GmbH</w:t>
            </w:r>
          </w:p>
        </w:tc>
        <w:tc>
          <w:tcPr>
            <w:tcW w:w="4280" w:type="dxa"/>
            <w:vAlign w:val="bottom"/>
          </w:tcPr>
          <w:p>
            <w:pPr>
              <w:ind w:left="1220"/>
              <w:spacing w:after="0"/>
              <w:rPr>
                <w:sz w:val="20"/>
                <w:szCs w:val="20"/>
                <w:color w:val="auto"/>
              </w:rPr>
            </w:pPr>
            <w:r>
              <w:rPr>
                <w:rFonts w:ascii="Arial" w:cs="Arial" w:eastAsia="Arial" w:hAnsi="Arial"/>
                <w:sz w:val="14"/>
                <w:szCs w:val="14"/>
                <w:color w:val="auto"/>
              </w:rPr>
              <w:t>Frankfurt am Main, Germany</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Graham White Manufacturing Company</w:t>
            </w:r>
          </w:p>
        </w:tc>
        <w:tc>
          <w:tcPr>
            <w:tcW w:w="4280" w:type="dxa"/>
            <w:vAlign w:val="bottom"/>
          </w:tcPr>
          <w:p>
            <w:pPr>
              <w:ind w:left="1220"/>
              <w:spacing w:after="0"/>
              <w:rPr>
                <w:sz w:val="20"/>
                <w:szCs w:val="20"/>
                <w:color w:val="auto"/>
              </w:rPr>
            </w:pPr>
            <w:r>
              <w:rPr>
                <w:rFonts w:ascii="Arial" w:cs="Arial" w:eastAsia="Arial" w:hAnsi="Arial"/>
                <w:sz w:val="14"/>
                <w:szCs w:val="14"/>
                <w:color w:val="auto"/>
              </w:rPr>
              <w:t>Salem, Virginia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Huatie Wabtec Faiveley (Qingdao) Transport Equipment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Beijing,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Hunan Times Wabtec Transportation Equipment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Changsha, Hunan,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Chile S.A..</w:t>
            </w:r>
          </w:p>
        </w:tc>
        <w:tc>
          <w:tcPr>
            <w:tcW w:w="4280" w:type="dxa"/>
            <w:vAlign w:val="bottom"/>
          </w:tcPr>
          <w:p>
            <w:pPr>
              <w:ind w:left="1220"/>
              <w:spacing w:after="0"/>
              <w:rPr>
                <w:sz w:val="20"/>
                <w:szCs w:val="20"/>
                <w:color w:val="auto"/>
              </w:rPr>
            </w:pPr>
            <w:r>
              <w:rPr>
                <w:rFonts w:ascii="Arial" w:cs="Arial" w:eastAsia="Arial" w:hAnsi="Arial"/>
                <w:sz w:val="14"/>
                <w:szCs w:val="14"/>
                <w:color w:val="auto"/>
              </w:rPr>
              <w:t>Chile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Hong Kong YL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Hong Kong,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Mining Equipment Pty Ltd.</w:t>
            </w:r>
          </w:p>
        </w:tc>
        <w:tc>
          <w:tcPr>
            <w:tcW w:w="4280" w:type="dxa"/>
            <w:vAlign w:val="bottom"/>
          </w:tcPr>
          <w:p>
            <w:pPr>
              <w:ind w:left="1220"/>
              <w:spacing w:after="0"/>
              <w:rPr>
                <w:sz w:val="20"/>
                <w:szCs w:val="20"/>
                <w:color w:val="auto"/>
              </w:rPr>
            </w:pPr>
            <w:r>
              <w:rPr>
                <w:rFonts w:ascii="Arial" w:cs="Arial" w:eastAsia="Arial" w:hAnsi="Arial"/>
                <w:sz w:val="14"/>
                <w:szCs w:val="14"/>
                <w:color w:val="auto"/>
              </w:rPr>
              <w:t>Springfield Central,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Mining Technology Pty Ltd.</w:t>
            </w:r>
          </w:p>
        </w:tc>
        <w:tc>
          <w:tcPr>
            <w:tcW w:w="4280" w:type="dxa"/>
            <w:vAlign w:val="bottom"/>
          </w:tcPr>
          <w:p>
            <w:pPr>
              <w:ind w:left="1220"/>
              <w:spacing w:after="0"/>
              <w:rPr>
                <w:sz w:val="20"/>
                <w:szCs w:val="20"/>
                <w:color w:val="auto"/>
              </w:rPr>
            </w:pPr>
            <w:r>
              <w:rPr>
                <w:rFonts w:ascii="Arial" w:cs="Arial" w:eastAsia="Arial" w:hAnsi="Arial"/>
                <w:sz w:val="14"/>
                <w:szCs w:val="14"/>
                <w:color w:val="auto"/>
              </w:rPr>
              <w:t>Fountaindale,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Pty Ltd</w:t>
            </w:r>
          </w:p>
        </w:tc>
        <w:tc>
          <w:tcPr>
            <w:tcW w:w="4280" w:type="dxa"/>
            <w:vAlign w:val="bottom"/>
          </w:tcPr>
          <w:p>
            <w:pPr>
              <w:ind w:left="1220"/>
              <w:spacing w:after="0"/>
              <w:rPr>
                <w:sz w:val="20"/>
                <w:szCs w:val="20"/>
                <w:color w:val="auto"/>
              </w:rPr>
            </w:pPr>
            <w:r>
              <w:rPr>
                <w:rFonts w:ascii="Arial" w:cs="Arial" w:eastAsia="Arial" w:hAnsi="Arial"/>
                <w:sz w:val="14"/>
                <w:szCs w:val="14"/>
                <w:color w:val="auto"/>
              </w:rPr>
              <w:t>North Sydney,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Wadam (Beijing) Mining Equipment Technical Services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Beijing,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Industrea Wadam Pty Ltd.</w:t>
            </w:r>
          </w:p>
        </w:tc>
        <w:tc>
          <w:tcPr>
            <w:tcW w:w="4280" w:type="dxa"/>
            <w:vAlign w:val="bottom"/>
          </w:tcPr>
          <w:p>
            <w:pPr>
              <w:ind w:left="1220"/>
              <w:spacing w:after="0"/>
              <w:rPr>
                <w:sz w:val="20"/>
                <w:szCs w:val="20"/>
                <w:color w:val="auto"/>
              </w:rPr>
            </w:pPr>
            <w:r>
              <w:rPr>
                <w:rFonts w:ascii="Arial" w:cs="Arial" w:eastAsia="Arial" w:hAnsi="Arial"/>
                <w:sz w:val="14"/>
                <w:szCs w:val="14"/>
                <w:color w:val="auto"/>
              </w:rPr>
              <w:t>Burnley,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InTrans Engineering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Kolkata, West Bengal, India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Jiaxiang HK Smart Technology Co. Ltd.</w:t>
            </w:r>
          </w:p>
        </w:tc>
        <w:tc>
          <w:tcPr>
            <w:tcW w:w="4280" w:type="dxa"/>
            <w:vAlign w:val="bottom"/>
          </w:tcPr>
          <w:p>
            <w:pPr>
              <w:ind w:left="1220"/>
              <w:spacing w:after="0"/>
              <w:rPr>
                <w:sz w:val="20"/>
                <w:szCs w:val="20"/>
                <w:color w:val="auto"/>
              </w:rPr>
            </w:pPr>
            <w:r>
              <w:rPr>
                <w:rFonts w:ascii="Arial" w:cs="Arial" w:eastAsia="Arial" w:hAnsi="Arial"/>
                <w:sz w:val="14"/>
                <w:szCs w:val="14"/>
                <w:color w:val="auto"/>
              </w:rPr>
              <w:t>Hong Kong,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JSC Lokomotiv Kurastyru Zauyty</w:t>
            </w:r>
          </w:p>
        </w:tc>
        <w:tc>
          <w:tcPr>
            <w:tcW w:w="4280" w:type="dxa"/>
            <w:vAlign w:val="bottom"/>
          </w:tcPr>
          <w:p>
            <w:pPr>
              <w:ind w:left="1220"/>
              <w:spacing w:after="0"/>
              <w:rPr>
                <w:sz w:val="20"/>
                <w:szCs w:val="20"/>
                <w:color w:val="auto"/>
              </w:rPr>
            </w:pPr>
            <w:r>
              <w:rPr>
                <w:rFonts w:ascii="Arial" w:cs="Arial" w:eastAsia="Arial" w:hAnsi="Arial"/>
                <w:sz w:val="14"/>
                <w:szCs w:val="14"/>
                <w:color w:val="auto"/>
              </w:rPr>
              <w:t>Kazakhstan</w:t>
            </w:r>
          </w:p>
        </w:tc>
        <w:tc>
          <w:tcPr>
            <w:tcW w:w="15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Keelex 351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Barton Under Needwood, England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Komatsu Wabtec Mining Systems, LLC.</w:t>
            </w:r>
          </w:p>
        </w:tc>
        <w:tc>
          <w:tcPr>
            <w:tcW w:w="4280" w:type="dxa"/>
            <w:vAlign w:val="bottom"/>
          </w:tcPr>
          <w:p>
            <w:pPr>
              <w:ind w:left="122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LH Access Technology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Barton Under Needwood, England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LH Group Services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Barton Under Needwood, England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420" w:type="dxa"/>
            <w:vAlign w:val="bottom"/>
          </w:tcPr>
          <w:p>
            <w:pPr>
              <w:spacing w:after="0"/>
              <w:rPr>
                <w:sz w:val="20"/>
                <w:szCs w:val="20"/>
                <w:color w:val="auto"/>
              </w:rPr>
            </w:pPr>
            <w:r>
              <w:rPr>
                <w:rFonts w:ascii="Arial" w:cs="Arial" w:eastAsia="Arial" w:hAnsi="Arial"/>
                <w:sz w:val="14"/>
                <w:szCs w:val="14"/>
                <w:color w:val="auto"/>
              </w:rPr>
              <w:t>LH Group Wheelsets Limited</w:t>
            </w:r>
          </w:p>
        </w:tc>
        <w:tc>
          <w:tcPr>
            <w:tcW w:w="4280" w:type="dxa"/>
            <w:vAlign w:val="bottom"/>
          </w:tcPr>
          <w:p>
            <w:pPr>
              <w:ind w:left="1220"/>
              <w:spacing w:after="0"/>
              <w:rPr>
                <w:sz w:val="20"/>
                <w:szCs w:val="20"/>
                <w:color w:val="auto"/>
              </w:rPr>
            </w:pPr>
            <w:r>
              <w:rPr>
                <w:rFonts w:ascii="Arial" w:cs="Arial" w:eastAsia="Arial" w:hAnsi="Arial"/>
                <w:sz w:val="14"/>
                <w:szCs w:val="14"/>
                <w:color w:val="auto"/>
              </w:rPr>
              <w:t>Barton Under Needwood, England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3"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20"/>
                <w:szCs w:val="20"/>
                <w:color w:val="auto"/>
              </w:rPr>
            </w:pPr>
            <w:r>
              <w:rPr>
                <w:rFonts w:ascii="Arial" w:cs="Arial" w:eastAsia="Arial" w:hAnsi="Arial"/>
                <w:sz w:val="14"/>
                <w:szCs w:val="14"/>
                <w:color w:val="auto"/>
              </w:rPr>
              <w:t>Limited Liability Company Transportation Ukraine</w:t>
            </w:r>
          </w:p>
        </w:tc>
        <w:tc>
          <w:tcPr>
            <w:tcW w:w="4620" w:type="dxa"/>
            <w:vAlign w:val="bottom"/>
          </w:tcPr>
          <w:p>
            <w:pPr>
              <w:ind w:left="1740"/>
              <w:spacing w:after="0"/>
              <w:rPr>
                <w:sz w:val="20"/>
                <w:szCs w:val="20"/>
                <w:color w:val="auto"/>
              </w:rPr>
            </w:pPr>
            <w:r>
              <w:rPr>
                <w:rFonts w:ascii="Arial" w:cs="Arial" w:eastAsia="Arial" w:hAnsi="Arial"/>
                <w:sz w:val="14"/>
                <w:szCs w:val="14"/>
                <w:color w:val="auto"/>
              </w:rPr>
              <w:t>Ukraine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Locomotive Manufacturing and Services, S.A. de C.V</w:t>
            </w:r>
          </w:p>
        </w:tc>
        <w:tc>
          <w:tcPr>
            <w:tcW w:w="4620" w:type="dxa"/>
            <w:vAlign w:val="bottom"/>
          </w:tcPr>
          <w:p>
            <w:pPr>
              <w:ind w:left="1740"/>
              <w:spacing w:after="0"/>
              <w:rPr>
                <w:sz w:val="20"/>
                <w:szCs w:val="20"/>
                <w:color w:val="auto"/>
              </w:rPr>
            </w:pPr>
            <w:r>
              <w:rPr>
                <w:rFonts w:ascii="Arial" w:cs="Arial" w:eastAsia="Arial" w:hAnsi="Arial"/>
                <w:sz w:val="14"/>
                <w:szCs w:val="14"/>
                <w:color w:val="auto"/>
              </w:rPr>
              <w:t>Mexico City, Mexico</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Longwood Elastomers,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Wytheville, Virginia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Longwood Elastomers, S.A.</w:t>
            </w:r>
          </w:p>
        </w:tc>
        <w:tc>
          <w:tcPr>
            <w:tcW w:w="4620" w:type="dxa"/>
            <w:vAlign w:val="bottom"/>
          </w:tcPr>
          <w:p>
            <w:pPr>
              <w:ind w:left="1740"/>
              <w:spacing w:after="0"/>
              <w:rPr>
                <w:sz w:val="20"/>
                <w:szCs w:val="20"/>
                <w:color w:val="auto"/>
              </w:rPr>
            </w:pPr>
            <w:r>
              <w:rPr>
                <w:rFonts w:ascii="Arial" w:cs="Arial" w:eastAsia="Arial" w:hAnsi="Arial"/>
                <w:sz w:val="14"/>
                <w:szCs w:val="14"/>
                <w:color w:val="auto"/>
              </w:rPr>
              <w:t>Soria, Spain</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Longwood Engineered Products,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Greensboro, North Carolina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Longwood Industries,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Brenham, Texas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Longwood International, Inc.</w:t>
            </w:r>
          </w:p>
        </w:tc>
        <w:tc>
          <w:tcPr>
            <w:tcW w:w="4620" w:type="dxa"/>
            <w:vAlign w:val="bottom"/>
          </w:tcPr>
          <w:p>
            <w:pPr>
              <w:ind w:left="1740"/>
              <w:spacing w:after="0"/>
              <w:rPr>
                <w:sz w:val="20"/>
                <w:szCs w:val="20"/>
                <w:color w:val="auto"/>
              </w:rPr>
            </w:pPr>
            <w:r>
              <w:rPr>
                <w:rFonts w:ascii="Arial" w:cs="Arial" w:eastAsia="Arial" w:hAnsi="Arial"/>
                <w:sz w:val="14"/>
                <w:szCs w:val="14"/>
                <w:color w:val="auto"/>
              </w:rPr>
              <w:t>Greensboro, North Carolina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LWI Elastomers International, S.L.</w:t>
            </w:r>
          </w:p>
        </w:tc>
        <w:tc>
          <w:tcPr>
            <w:tcW w:w="4620" w:type="dxa"/>
            <w:vAlign w:val="bottom"/>
          </w:tcPr>
          <w:p>
            <w:pPr>
              <w:ind w:left="1740"/>
              <w:spacing w:after="0"/>
              <w:rPr>
                <w:sz w:val="20"/>
                <w:szCs w:val="20"/>
                <w:color w:val="auto"/>
              </w:rPr>
            </w:pPr>
            <w:r>
              <w:rPr>
                <w:rFonts w:ascii="Arial" w:cs="Arial" w:eastAsia="Arial" w:hAnsi="Arial"/>
                <w:sz w:val="14"/>
                <w:szCs w:val="14"/>
                <w:color w:val="auto"/>
              </w:rPr>
              <w:t>Madrid, Spain</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LWI International B.V.</w:t>
            </w:r>
          </w:p>
        </w:tc>
        <w:tc>
          <w:tcPr>
            <w:tcW w:w="4620" w:type="dxa"/>
            <w:vAlign w:val="bottom"/>
          </w:tcPr>
          <w:p>
            <w:pPr>
              <w:ind w:left="1740"/>
              <w:spacing w:after="0"/>
              <w:rPr>
                <w:sz w:val="20"/>
                <w:szCs w:val="20"/>
                <w:color w:val="auto"/>
              </w:rPr>
            </w:pPr>
            <w:r>
              <w:rPr>
                <w:rFonts w:ascii="Arial" w:cs="Arial" w:eastAsia="Arial" w:hAnsi="Arial"/>
                <w:sz w:val="14"/>
                <w:szCs w:val="14"/>
                <w:color w:val="auto"/>
              </w:rPr>
              <w:t>Amsterdam, Netherlands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Manufacturas Del Noreste S.A. de C.V</w:t>
            </w:r>
          </w:p>
        </w:tc>
        <w:tc>
          <w:tcPr>
            <w:tcW w:w="4620" w:type="dxa"/>
            <w:vAlign w:val="bottom"/>
          </w:tcPr>
          <w:p>
            <w:pPr>
              <w:ind w:left="1740"/>
              <w:spacing w:after="0"/>
              <w:rPr>
                <w:sz w:val="20"/>
                <w:szCs w:val="20"/>
                <w:color w:val="auto"/>
              </w:rPr>
            </w:pPr>
            <w:r>
              <w:rPr>
                <w:rFonts w:ascii="Arial" w:cs="Arial" w:eastAsia="Arial" w:hAnsi="Arial"/>
                <w:sz w:val="14"/>
                <w:szCs w:val="14"/>
                <w:color w:val="auto"/>
              </w:rPr>
              <w:t>Portillo Saltillo, Mexico</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Medagao (Suzhou) Rubber-Metal Components Co., Ltd</w:t>
            </w:r>
          </w:p>
        </w:tc>
        <w:tc>
          <w:tcPr>
            <w:tcW w:w="4620" w:type="dxa"/>
            <w:vAlign w:val="bottom"/>
          </w:tcPr>
          <w:p>
            <w:pPr>
              <w:ind w:left="1740"/>
              <w:spacing w:after="0"/>
              <w:rPr>
                <w:sz w:val="20"/>
                <w:szCs w:val="20"/>
                <w:color w:val="auto"/>
              </w:rPr>
            </w:pPr>
            <w:r>
              <w:rPr>
                <w:rFonts w:ascii="Arial" w:cs="Arial" w:eastAsia="Arial" w:hAnsi="Arial"/>
                <w:sz w:val="14"/>
                <w:szCs w:val="14"/>
                <w:color w:val="auto"/>
              </w:rPr>
              <w:t>Suzhou, Jiangsu,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Melett (Changzhou) Precision Machinery Co. Limited</w:t>
            </w:r>
          </w:p>
        </w:tc>
        <w:tc>
          <w:tcPr>
            <w:tcW w:w="4620" w:type="dxa"/>
            <w:vAlign w:val="bottom"/>
          </w:tcPr>
          <w:p>
            <w:pPr>
              <w:ind w:left="1740"/>
              <w:spacing w:after="0"/>
              <w:rPr>
                <w:sz w:val="20"/>
                <w:szCs w:val="20"/>
                <w:color w:val="auto"/>
              </w:rPr>
            </w:pPr>
            <w:r>
              <w:rPr>
                <w:rFonts w:ascii="Arial" w:cs="Arial" w:eastAsia="Arial" w:hAnsi="Arial"/>
                <w:sz w:val="14"/>
                <w:szCs w:val="14"/>
                <w:color w:val="auto"/>
              </w:rPr>
              <w:t>Jiangsu,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Melett Limited</w:t>
            </w:r>
          </w:p>
        </w:tc>
        <w:tc>
          <w:tcPr>
            <w:tcW w:w="4620" w:type="dxa"/>
            <w:vAlign w:val="bottom"/>
          </w:tcPr>
          <w:p>
            <w:pPr>
              <w:ind w:left="1740"/>
              <w:spacing w:after="0"/>
              <w:rPr>
                <w:sz w:val="20"/>
                <w:szCs w:val="20"/>
                <w:color w:val="auto"/>
              </w:rPr>
            </w:pPr>
            <w:r>
              <w:rPr>
                <w:rFonts w:ascii="Arial" w:cs="Arial" w:eastAsia="Arial" w:hAnsi="Arial"/>
                <w:sz w:val="14"/>
                <w:szCs w:val="14"/>
                <w:color w:val="auto"/>
              </w:rPr>
              <w:t>South Yorkshire, England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Melett North America, Inc</w:t>
            </w:r>
          </w:p>
        </w:tc>
        <w:tc>
          <w:tcPr>
            <w:tcW w:w="4620" w:type="dxa"/>
            <w:vAlign w:val="bottom"/>
          </w:tcPr>
          <w:p>
            <w:pPr>
              <w:ind w:left="1740"/>
              <w:spacing w:after="0"/>
              <w:rPr>
                <w:sz w:val="20"/>
                <w:szCs w:val="20"/>
                <w:color w:val="auto"/>
              </w:rPr>
            </w:pPr>
            <w:r>
              <w:rPr>
                <w:rFonts w:ascii="Arial" w:cs="Arial" w:eastAsia="Arial" w:hAnsi="Arial"/>
                <w:sz w:val="14"/>
                <w:szCs w:val="14"/>
                <w:color w:val="auto"/>
              </w:rPr>
              <w:t>Memphis, Tennessee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Melett Polska Spolka z Ograniczona odpowiedzialnoscia</w:t>
            </w:r>
          </w:p>
        </w:tc>
        <w:tc>
          <w:tcPr>
            <w:tcW w:w="4620" w:type="dxa"/>
            <w:vAlign w:val="bottom"/>
          </w:tcPr>
          <w:p>
            <w:pPr>
              <w:ind w:left="1740"/>
              <w:spacing w:after="0"/>
              <w:rPr>
                <w:sz w:val="20"/>
                <w:szCs w:val="20"/>
                <w:color w:val="auto"/>
              </w:rPr>
            </w:pPr>
            <w:r>
              <w:rPr>
                <w:rFonts w:ascii="Arial" w:cs="Arial" w:eastAsia="Arial" w:hAnsi="Arial"/>
                <w:sz w:val="14"/>
                <w:szCs w:val="14"/>
                <w:color w:val="auto"/>
              </w:rPr>
              <w:t>Bydgos, Poland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Merz Industrietechnik GmbH</w:t>
            </w:r>
          </w:p>
        </w:tc>
        <w:tc>
          <w:tcPr>
            <w:tcW w:w="4620" w:type="dxa"/>
            <w:vAlign w:val="bottom"/>
          </w:tcPr>
          <w:p>
            <w:pPr>
              <w:ind w:left="1740"/>
              <w:spacing w:after="0"/>
              <w:rPr>
                <w:sz w:val="20"/>
                <w:szCs w:val="20"/>
                <w:color w:val="auto"/>
              </w:rPr>
            </w:pPr>
            <w:r>
              <w:rPr>
                <w:rFonts w:ascii="Arial" w:cs="Arial" w:eastAsia="Arial" w:hAnsi="Arial"/>
                <w:sz w:val="14"/>
                <w:szCs w:val="14"/>
                <w:color w:val="auto"/>
              </w:rPr>
              <w:t>Österreich, Austria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Metalocaucho, S.L.</w:t>
            </w:r>
          </w:p>
        </w:tc>
        <w:tc>
          <w:tcPr>
            <w:tcW w:w="4620" w:type="dxa"/>
            <w:vAlign w:val="bottom"/>
          </w:tcPr>
          <w:p>
            <w:pPr>
              <w:ind w:left="1740"/>
              <w:spacing w:after="0"/>
              <w:rPr>
                <w:sz w:val="20"/>
                <w:szCs w:val="20"/>
                <w:color w:val="auto"/>
              </w:rPr>
            </w:pPr>
            <w:r>
              <w:rPr>
                <w:rFonts w:ascii="Arial" w:cs="Arial" w:eastAsia="Arial" w:hAnsi="Arial"/>
                <w:sz w:val="14"/>
                <w:szCs w:val="14"/>
                <w:color w:val="auto"/>
              </w:rPr>
              <w:t>Urnieta, Gipuzkoa, Spain</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Mors Smitt France S.A.S.</w:t>
            </w:r>
          </w:p>
        </w:tc>
        <w:tc>
          <w:tcPr>
            <w:tcW w:w="4620" w:type="dxa"/>
            <w:vAlign w:val="bottom"/>
          </w:tcPr>
          <w:p>
            <w:pPr>
              <w:ind w:left="1740"/>
              <w:spacing w:after="0"/>
              <w:rPr>
                <w:sz w:val="20"/>
                <w:szCs w:val="20"/>
                <w:color w:val="auto"/>
              </w:rPr>
            </w:pPr>
            <w:r>
              <w:rPr>
                <w:rFonts w:ascii="Arial" w:cs="Arial" w:eastAsia="Arial" w:hAnsi="Arial"/>
                <w:sz w:val="14"/>
                <w:szCs w:val="14"/>
                <w:color w:val="auto"/>
              </w:rPr>
              <w:t>Sable sur Sarthe, France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Mors Smitt Holding S.A.S.</w:t>
            </w:r>
          </w:p>
        </w:tc>
        <w:tc>
          <w:tcPr>
            <w:tcW w:w="4620" w:type="dxa"/>
            <w:vAlign w:val="bottom"/>
          </w:tcPr>
          <w:p>
            <w:pPr>
              <w:ind w:left="1740"/>
              <w:spacing w:after="0"/>
              <w:rPr>
                <w:sz w:val="20"/>
                <w:szCs w:val="20"/>
                <w:color w:val="auto"/>
              </w:rPr>
            </w:pPr>
            <w:r>
              <w:rPr>
                <w:rFonts w:ascii="Arial" w:cs="Arial" w:eastAsia="Arial" w:hAnsi="Arial"/>
                <w:sz w:val="14"/>
                <w:szCs w:val="14"/>
                <w:color w:val="auto"/>
              </w:rPr>
              <w:t>Utrecht, Netherlands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Mors Smitt Technologies,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Buffalo Grove, Illinois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Mors Smitt UK Ltd.</w:t>
            </w:r>
          </w:p>
        </w:tc>
        <w:tc>
          <w:tcPr>
            <w:tcW w:w="4620" w:type="dxa"/>
            <w:vAlign w:val="bottom"/>
          </w:tcPr>
          <w:p>
            <w:pPr>
              <w:ind w:left="1740"/>
              <w:spacing w:after="0"/>
              <w:rPr>
                <w:sz w:val="20"/>
                <w:szCs w:val="20"/>
                <w:color w:val="auto"/>
              </w:rPr>
            </w:pPr>
            <w:r>
              <w:rPr>
                <w:rFonts w:ascii="Arial" w:cs="Arial" w:eastAsia="Arial" w:hAnsi="Arial"/>
                <w:sz w:val="14"/>
                <w:szCs w:val="14"/>
                <w:color w:val="auto"/>
              </w:rPr>
              <w:t>West Midlands UK</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MorsSmitt Asia, Ltd.</w:t>
            </w:r>
          </w:p>
        </w:tc>
        <w:tc>
          <w:tcPr>
            <w:tcW w:w="4620" w:type="dxa"/>
            <w:vAlign w:val="bottom"/>
          </w:tcPr>
          <w:p>
            <w:pPr>
              <w:ind w:left="1740"/>
              <w:spacing w:after="0"/>
              <w:rPr>
                <w:sz w:val="20"/>
                <w:szCs w:val="20"/>
                <w:color w:val="auto"/>
              </w:rPr>
            </w:pPr>
            <w:r>
              <w:rPr>
                <w:rFonts w:ascii="Arial" w:cs="Arial" w:eastAsia="Arial" w:hAnsi="Arial"/>
                <w:sz w:val="14"/>
                <w:szCs w:val="14"/>
                <w:color w:val="auto"/>
              </w:rPr>
              <w:t>Kwun Tong, Hong Kong</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Motive Equipment, Inc</w:t>
            </w:r>
          </w:p>
        </w:tc>
        <w:tc>
          <w:tcPr>
            <w:tcW w:w="4620" w:type="dxa"/>
            <w:vAlign w:val="bottom"/>
          </w:tcPr>
          <w:p>
            <w:pPr>
              <w:ind w:left="1740"/>
              <w:spacing w:after="0"/>
              <w:rPr>
                <w:sz w:val="20"/>
                <w:szCs w:val="20"/>
                <w:color w:val="auto"/>
              </w:rPr>
            </w:pPr>
            <w:r>
              <w:rPr>
                <w:rFonts w:ascii="Arial" w:cs="Arial" w:eastAsia="Arial" w:hAnsi="Arial"/>
                <w:sz w:val="14"/>
                <w:szCs w:val="14"/>
                <w:color w:val="auto"/>
              </w:rPr>
              <w:t>Milwaukee, Wisconsin</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MotivePower, LLC</w:t>
            </w:r>
          </w:p>
        </w:tc>
        <w:tc>
          <w:tcPr>
            <w:tcW w:w="4620" w:type="dxa"/>
            <w:vAlign w:val="bottom"/>
          </w:tcPr>
          <w:p>
            <w:pPr>
              <w:ind w:left="1740"/>
              <w:spacing w:after="0"/>
              <w:rPr>
                <w:sz w:val="20"/>
                <w:szCs w:val="20"/>
                <w:color w:val="auto"/>
              </w:rPr>
            </w:pPr>
            <w:r>
              <w:rPr>
                <w:rFonts w:ascii="Arial" w:cs="Arial" w:eastAsia="Arial" w:hAnsi="Arial"/>
                <w:sz w:val="14"/>
                <w:szCs w:val="14"/>
                <w:color w:val="auto"/>
              </w:rPr>
              <w:t>Boise, Idaho</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MTC India Rubber Metal Components Private Limited</w:t>
            </w:r>
          </w:p>
        </w:tc>
        <w:tc>
          <w:tcPr>
            <w:tcW w:w="4620" w:type="dxa"/>
            <w:vAlign w:val="bottom"/>
          </w:tcPr>
          <w:p>
            <w:pPr>
              <w:ind w:left="1740"/>
              <w:spacing w:after="0"/>
              <w:rPr>
                <w:sz w:val="20"/>
                <w:szCs w:val="20"/>
                <w:color w:val="auto"/>
              </w:rPr>
            </w:pPr>
            <w:r>
              <w:rPr>
                <w:rFonts w:ascii="Arial" w:cs="Arial" w:eastAsia="Arial" w:hAnsi="Arial"/>
                <w:sz w:val="14"/>
                <w:szCs w:val="14"/>
                <w:color w:val="auto"/>
              </w:rPr>
              <w:t>Bangalore, India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Napier Turbochargers Australia Pty Ltd.</w:t>
            </w:r>
          </w:p>
        </w:tc>
        <w:tc>
          <w:tcPr>
            <w:tcW w:w="4620" w:type="dxa"/>
            <w:vAlign w:val="bottom"/>
          </w:tcPr>
          <w:p>
            <w:pPr>
              <w:ind w:left="1740"/>
              <w:spacing w:after="0"/>
              <w:rPr>
                <w:sz w:val="20"/>
                <w:szCs w:val="20"/>
                <w:color w:val="auto"/>
              </w:rPr>
            </w:pPr>
            <w:r>
              <w:rPr>
                <w:rFonts w:ascii="Arial" w:cs="Arial" w:eastAsia="Arial" w:hAnsi="Arial"/>
                <w:sz w:val="14"/>
                <w:szCs w:val="14"/>
                <w:color w:val="auto"/>
              </w:rPr>
              <w:t>Sydney, Australia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Napier Turbochargers Limited</w:t>
            </w:r>
          </w:p>
        </w:tc>
        <w:tc>
          <w:tcPr>
            <w:tcW w:w="4620" w:type="dxa"/>
            <w:vAlign w:val="bottom"/>
          </w:tcPr>
          <w:p>
            <w:pPr>
              <w:ind w:left="1740"/>
              <w:spacing w:after="0"/>
              <w:rPr>
                <w:sz w:val="20"/>
                <w:szCs w:val="20"/>
                <w:color w:val="auto"/>
              </w:rPr>
            </w:pPr>
            <w:r>
              <w:rPr>
                <w:rFonts w:ascii="Arial" w:cs="Arial" w:eastAsia="Arial" w:hAnsi="Arial"/>
                <w:sz w:val="14"/>
                <w:szCs w:val="14"/>
                <w:color w:val="auto"/>
              </w:rPr>
              <w:t>Lincoln, Lincolnshire, UK</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Nordco Enterprises,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Wilmington, DE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Nordco Holdings Company.</w:t>
            </w:r>
          </w:p>
        </w:tc>
        <w:tc>
          <w:tcPr>
            <w:tcW w:w="4620" w:type="dxa"/>
            <w:vAlign w:val="bottom"/>
          </w:tcPr>
          <w:p>
            <w:pPr>
              <w:ind w:left="1740"/>
              <w:spacing w:after="0"/>
              <w:rPr>
                <w:sz w:val="20"/>
                <w:szCs w:val="20"/>
                <w:color w:val="auto"/>
              </w:rPr>
            </w:pPr>
            <w:r>
              <w:rPr>
                <w:rFonts w:ascii="Arial" w:cs="Arial" w:eastAsia="Arial" w:hAnsi="Arial"/>
                <w:sz w:val="14"/>
                <w:szCs w:val="14"/>
                <w:color w:val="auto"/>
              </w:rPr>
              <w:t>Wilmington, DE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Nordco Holdings Inc.</w:t>
            </w:r>
          </w:p>
        </w:tc>
        <w:tc>
          <w:tcPr>
            <w:tcW w:w="4620" w:type="dxa"/>
            <w:vAlign w:val="bottom"/>
          </w:tcPr>
          <w:p>
            <w:pPr>
              <w:ind w:left="1740"/>
              <w:spacing w:after="0"/>
              <w:rPr>
                <w:sz w:val="20"/>
                <w:szCs w:val="20"/>
                <w:color w:val="auto"/>
              </w:rPr>
            </w:pPr>
            <w:r>
              <w:rPr>
                <w:rFonts w:ascii="Arial" w:cs="Arial" w:eastAsia="Arial" w:hAnsi="Arial"/>
                <w:sz w:val="14"/>
                <w:szCs w:val="14"/>
                <w:color w:val="auto"/>
              </w:rPr>
              <w:t>Wilmington, DE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Nordco Inc.</w:t>
            </w:r>
          </w:p>
        </w:tc>
        <w:tc>
          <w:tcPr>
            <w:tcW w:w="4620" w:type="dxa"/>
            <w:vAlign w:val="bottom"/>
          </w:tcPr>
          <w:p>
            <w:pPr>
              <w:ind w:left="1740"/>
              <w:spacing w:after="0"/>
              <w:rPr>
                <w:sz w:val="20"/>
                <w:szCs w:val="20"/>
                <w:color w:val="auto"/>
              </w:rPr>
            </w:pPr>
            <w:r>
              <w:rPr>
                <w:rFonts w:ascii="Arial" w:cs="Arial" w:eastAsia="Arial" w:hAnsi="Arial"/>
                <w:sz w:val="14"/>
                <w:szCs w:val="14"/>
                <w:color w:val="auto"/>
              </w:rPr>
              <w:t>Wilmington, DE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Nordco Rail Services, LLC</w:t>
            </w:r>
          </w:p>
        </w:tc>
        <w:tc>
          <w:tcPr>
            <w:tcW w:w="4620" w:type="dxa"/>
            <w:vAlign w:val="bottom"/>
          </w:tcPr>
          <w:p>
            <w:pPr>
              <w:ind w:left="1740"/>
              <w:spacing w:after="0"/>
              <w:rPr>
                <w:sz w:val="20"/>
                <w:szCs w:val="20"/>
                <w:color w:val="auto"/>
              </w:rPr>
            </w:pPr>
            <w:r>
              <w:rPr>
                <w:rFonts w:ascii="Arial" w:cs="Arial" w:eastAsia="Arial" w:hAnsi="Arial"/>
                <w:sz w:val="14"/>
                <w:szCs w:val="14"/>
                <w:color w:val="auto"/>
              </w:rPr>
              <w:t>Hartford, CT</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o.o.o. Faiveley Transport</w:t>
            </w:r>
          </w:p>
        </w:tc>
        <w:tc>
          <w:tcPr>
            <w:tcW w:w="4620" w:type="dxa"/>
            <w:vAlign w:val="bottom"/>
          </w:tcPr>
          <w:p>
            <w:pPr>
              <w:ind w:left="1740"/>
              <w:spacing w:after="0"/>
              <w:rPr>
                <w:sz w:val="20"/>
                <w:szCs w:val="20"/>
                <w:color w:val="auto"/>
              </w:rPr>
            </w:pPr>
            <w:r>
              <w:rPr>
                <w:rFonts w:ascii="Arial" w:cs="Arial" w:eastAsia="Arial" w:hAnsi="Arial"/>
                <w:sz w:val="14"/>
                <w:szCs w:val="14"/>
                <w:color w:val="auto"/>
              </w:rPr>
              <w:t>Leningrad Region, Russia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Orion Engineering Ltd</w:t>
            </w:r>
          </w:p>
        </w:tc>
        <w:tc>
          <w:tcPr>
            <w:tcW w:w="4620" w:type="dxa"/>
            <w:vAlign w:val="bottom"/>
          </w:tcPr>
          <w:p>
            <w:pPr>
              <w:ind w:left="1740"/>
              <w:spacing w:after="0"/>
              <w:rPr>
                <w:sz w:val="20"/>
                <w:szCs w:val="20"/>
                <w:color w:val="auto"/>
              </w:rPr>
            </w:pPr>
            <w:r>
              <w:rPr>
                <w:rFonts w:ascii="Arial" w:cs="Arial" w:eastAsia="Arial" w:hAnsi="Arial"/>
                <w:sz w:val="14"/>
                <w:szCs w:val="14"/>
                <w:color w:val="auto"/>
              </w:rPr>
              <w:t>Hong Kong,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Pantrac GmbH</w:t>
            </w:r>
          </w:p>
        </w:tc>
        <w:tc>
          <w:tcPr>
            <w:tcW w:w="4620" w:type="dxa"/>
            <w:vAlign w:val="bottom"/>
          </w:tcPr>
          <w:p>
            <w:pPr>
              <w:ind w:left="1740"/>
              <w:spacing w:after="0"/>
              <w:rPr>
                <w:sz w:val="20"/>
                <w:szCs w:val="20"/>
                <w:color w:val="auto"/>
              </w:rPr>
            </w:pPr>
            <w:r>
              <w:rPr>
                <w:rFonts w:ascii="Arial" w:cs="Arial" w:eastAsia="Arial" w:hAnsi="Arial"/>
                <w:sz w:val="14"/>
                <w:szCs w:val="14"/>
                <w:color w:val="auto"/>
              </w:rPr>
              <w:t>Germany</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Parts Supply Limited</w:t>
            </w:r>
          </w:p>
        </w:tc>
        <w:tc>
          <w:tcPr>
            <w:tcW w:w="4620" w:type="dxa"/>
            <w:vAlign w:val="bottom"/>
          </w:tcPr>
          <w:p>
            <w:pPr>
              <w:ind w:left="1740"/>
              <w:spacing w:after="0"/>
              <w:rPr>
                <w:sz w:val="20"/>
                <w:szCs w:val="20"/>
                <w:color w:val="auto"/>
              </w:rPr>
            </w:pPr>
            <w:r>
              <w:rPr>
                <w:rFonts w:ascii="Arial" w:cs="Arial" w:eastAsia="Arial" w:hAnsi="Arial"/>
                <w:sz w:val="14"/>
                <w:szCs w:val="14"/>
                <w:color w:val="auto"/>
              </w:rPr>
              <w:t>Leicestershire, England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Poli S.r.l.</w:t>
            </w:r>
          </w:p>
        </w:tc>
        <w:tc>
          <w:tcPr>
            <w:tcW w:w="4620" w:type="dxa"/>
            <w:vAlign w:val="bottom"/>
          </w:tcPr>
          <w:p>
            <w:pPr>
              <w:ind w:left="1740"/>
              <w:spacing w:after="0"/>
              <w:rPr>
                <w:sz w:val="20"/>
                <w:szCs w:val="20"/>
                <w:color w:val="auto"/>
              </w:rPr>
            </w:pPr>
            <w:r>
              <w:rPr>
                <w:rFonts w:ascii="Arial" w:cs="Arial" w:eastAsia="Arial" w:hAnsi="Arial"/>
                <w:sz w:val="14"/>
                <w:szCs w:val="14"/>
                <w:color w:val="auto"/>
              </w:rPr>
              <w:t>Camisano, Italy</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Pride Bodies Ltd</w:t>
            </w:r>
          </w:p>
        </w:tc>
        <w:tc>
          <w:tcPr>
            <w:tcW w:w="4620" w:type="dxa"/>
            <w:vAlign w:val="bottom"/>
          </w:tcPr>
          <w:p>
            <w:pPr>
              <w:ind w:left="1740"/>
              <w:spacing w:after="0"/>
              <w:rPr>
                <w:sz w:val="20"/>
                <w:szCs w:val="20"/>
                <w:color w:val="auto"/>
              </w:rPr>
            </w:pPr>
            <w:r>
              <w:rPr>
                <w:rFonts w:ascii="Arial" w:cs="Arial" w:eastAsia="Arial" w:hAnsi="Arial"/>
                <w:sz w:val="14"/>
                <w:szCs w:val="14"/>
                <w:color w:val="auto"/>
              </w:rPr>
              <w:t>Ontario, Canada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PT Transportation Solutions Indonesia.</w:t>
            </w:r>
          </w:p>
        </w:tc>
        <w:tc>
          <w:tcPr>
            <w:tcW w:w="4620" w:type="dxa"/>
            <w:vAlign w:val="bottom"/>
          </w:tcPr>
          <w:p>
            <w:pPr>
              <w:ind w:left="1740"/>
              <w:spacing w:after="0"/>
              <w:rPr>
                <w:sz w:val="20"/>
                <w:szCs w:val="20"/>
                <w:color w:val="auto"/>
              </w:rPr>
            </w:pPr>
            <w:r>
              <w:rPr>
                <w:rFonts w:ascii="Arial" w:cs="Arial" w:eastAsia="Arial" w:hAnsi="Arial"/>
                <w:sz w:val="14"/>
                <w:szCs w:val="14"/>
                <w:color w:val="auto"/>
              </w:rPr>
              <w:t>Indonesia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Qingdao Faiveley Sri Rail Brake Co. Ltd.</w:t>
            </w:r>
          </w:p>
        </w:tc>
        <w:tc>
          <w:tcPr>
            <w:tcW w:w="4620" w:type="dxa"/>
            <w:vAlign w:val="bottom"/>
          </w:tcPr>
          <w:p>
            <w:pPr>
              <w:ind w:left="1740"/>
              <w:spacing w:after="0"/>
              <w:rPr>
                <w:sz w:val="20"/>
                <w:szCs w:val="20"/>
                <w:color w:val="auto"/>
              </w:rPr>
            </w:pPr>
            <w:r>
              <w:rPr>
                <w:rFonts w:ascii="Arial" w:cs="Arial" w:eastAsia="Arial" w:hAnsi="Arial"/>
                <w:sz w:val="14"/>
                <w:szCs w:val="14"/>
                <w:color w:val="auto"/>
              </w:rPr>
              <w:t>Qingdao, Shadong,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Railcar Management, LLC</w:t>
            </w:r>
          </w:p>
        </w:tc>
        <w:tc>
          <w:tcPr>
            <w:tcW w:w="4620" w:type="dxa"/>
            <w:vAlign w:val="bottom"/>
          </w:tcPr>
          <w:p>
            <w:pPr>
              <w:ind w:left="1740"/>
              <w:spacing w:after="0"/>
              <w:rPr>
                <w:sz w:val="20"/>
                <w:szCs w:val="20"/>
                <w:color w:val="auto"/>
              </w:rPr>
            </w:pPr>
            <w:r>
              <w:rPr>
                <w:rFonts w:ascii="Arial" w:cs="Arial" w:eastAsia="Arial" w:hAnsi="Arial"/>
                <w:sz w:val="14"/>
                <w:szCs w:val="14"/>
                <w:color w:val="auto"/>
              </w:rPr>
              <w:t>Atlanta, Georgia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Railroad Controls Construction, Inc.</w:t>
            </w:r>
          </w:p>
        </w:tc>
        <w:tc>
          <w:tcPr>
            <w:tcW w:w="4620" w:type="dxa"/>
            <w:vAlign w:val="bottom"/>
          </w:tcPr>
          <w:p>
            <w:pPr>
              <w:ind w:left="1740"/>
              <w:spacing w:after="0"/>
              <w:rPr>
                <w:sz w:val="20"/>
                <w:szCs w:val="20"/>
                <w:color w:val="auto"/>
              </w:rPr>
            </w:pPr>
            <w:r>
              <w:rPr>
                <w:rFonts w:ascii="Arial" w:cs="Arial" w:eastAsia="Arial" w:hAnsi="Arial"/>
                <w:sz w:val="14"/>
                <w:szCs w:val="14"/>
                <w:color w:val="auto"/>
              </w:rPr>
              <w:t>Benbrook, Texas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Railroad Friction Products Corporation</w:t>
            </w:r>
          </w:p>
        </w:tc>
        <w:tc>
          <w:tcPr>
            <w:tcW w:w="4620" w:type="dxa"/>
            <w:vAlign w:val="bottom"/>
          </w:tcPr>
          <w:p>
            <w:pPr>
              <w:ind w:left="1740"/>
              <w:spacing w:after="0"/>
              <w:rPr>
                <w:sz w:val="20"/>
                <w:szCs w:val="20"/>
                <w:color w:val="auto"/>
              </w:rPr>
            </w:pPr>
            <w:r>
              <w:rPr>
                <w:rFonts w:ascii="Arial" w:cs="Arial" w:eastAsia="Arial" w:hAnsi="Arial"/>
                <w:sz w:val="14"/>
                <w:szCs w:val="14"/>
                <w:color w:val="auto"/>
              </w:rPr>
              <w:t>Maxton, North Carolina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RCLP Acquisition LLC</w:t>
            </w:r>
          </w:p>
        </w:tc>
        <w:tc>
          <w:tcPr>
            <w:tcW w:w="4620" w:type="dxa"/>
            <w:vAlign w:val="bottom"/>
          </w:tcPr>
          <w:p>
            <w:pPr>
              <w:ind w:left="1740"/>
              <w:spacing w:after="0"/>
              <w:rPr>
                <w:sz w:val="20"/>
                <w:szCs w:val="20"/>
                <w:color w:val="auto"/>
              </w:rPr>
            </w:pPr>
            <w:r>
              <w:rPr>
                <w:rFonts w:ascii="Arial" w:cs="Arial" w:eastAsia="Arial" w:hAnsi="Arial"/>
                <w:sz w:val="14"/>
                <w:szCs w:val="14"/>
                <w:color w:val="auto"/>
              </w:rPr>
              <w:t>Benbrook, Texas</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Relay Monitoring Systems Pty Ltd</w:t>
            </w:r>
          </w:p>
        </w:tc>
        <w:tc>
          <w:tcPr>
            <w:tcW w:w="4620" w:type="dxa"/>
            <w:vAlign w:val="bottom"/>
          </w:tcPr>
          <w:p>
            <w:pPr>
              <w:ind w:left="1740"/>
              <w:spacing w:after="0"/>
              <w:rPr>
                <w:sz w:val="20"/>
                <w:szCs w:val="20"/>
                <w:color w:val="auto"/>
              </w:rPr>
            </w:pPr>
            <w:r>
              <w:rPr>
                <w:rFonts w:ascii="Arial" w:cs="Arial" w:eastAsia="Arial" w:hAnsi="Arial"/>
                <w:sz w:val="14"/>
                <w:szCs w:val="14"/>
                <w:color w:val="auto"/>
              </w:rPr>
              <w:t>Mulgrave, Australia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900" w:type="dxa"/>
            <w:vAlign w:val="bottom"/>
          </w:tcPr>
          <w:p>
            <w:pPr>
              <w:spacing w:after="0"/>
              <w:rPr>
                <w:sz w:val="20"/>
                <w:szCs w:val="20"/>
                <w:color w:val="auto"/>
              </w:rPr>
            </w:pPr>
            <w:r>
              <w:rPr>
                <w:rFonts w:ascii="Arial" w:cs="Arial" w:eastAsia="Arial" w:hAnsi="Arial"/>
                <w:sz w:val="14"/>
                <w:szCs w:val="14"/>
                <w:color w:val="auto"/>
              </w:rPr>
              <w:t>Relco Land Holdings of Cedar Rapids, LLC</w:t>
            </w:r>
          </w:p>
        </w:tc>
        <w:tc>
          <w:tcPr>
            <w:tcW w:w="4620" w:type="dxa"/>
            <w:vAlign w:val="bottom"/>
          </w:tcPr>
          <w:p>
            <w:pPr>
              <w:ind w:left="1740"/>
              <w:spacing w:after="0"/>
              <w:rPr>
                <w:sz w:val="20"/>
                <w:szCs w:val="20"/>
                <w:color w:val="auto"/>
              </w:rPr>
            </w:pPr>
            <w:r>
              <w:rPr>
                <w:rFonts w:ascii="Arial" w:cs="Arial" w:eastAsia="Arial" w:hAnsi="Arial"/>
                <w:sz w:val="14"/>
                <w:szCs w:val="14"/>
                <w:color w:val="auto"/>
              </w:rPr>
              <w:t>Albia, Iowa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20"/>
                <w:szCs w:val="20"/>
                <w:color w:val="auto"/>
              </w:rPr>
            </w:pPr>
            <w:r>
              <w:rPr>
                <w:rFonts w:ascii="Arial" w:cs="Arial" w:eastAsia="Arial" w:hAnsi="Arial"/>
                <w:sz w:val="14"/>
                <w:szCs w:val="14"/>
                <w:color w:val="auto"/>
              </w:rPr>
              <w:t>Relco Locomotives, Inc</w:t>
            </w:r>
          </w:p>
        </w:tc>
        <w:tc>
          <w:tcPr>
            <w:tcW w:w="4460" w:type="dxa"/>
            <w:vAlign w:val="bottom"/>
          </w:tcPr>
          <w:p>
            <w:pPr>
              <w:ind w:left="1400"/>
              <w:spacing w:after="0"/>
              <w:rPr>
                <w:sz w:val="20"/>
                <w:szCs w:val="20"/>
                <w:color w:val="auto"/>
              </w:rPr>
            </w:pPr>
            <w:r>
              <w:rPr>
                <w:rFonts w:ascii="Arial" w:cs="Arial" w:eastAsia="Arial" w:hAnsi="Arial"/>
                <w:sz w:val="14"/>
                <w:szCs w:val="14"/>
                <w:color w:val="auto"/>
              </w:rPr>
              <w:t>Albia, Iowa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RFPC Holding Corp</w:t>
            </w:r>
          </w:p>
        </w:tc>
        <w:tc>
          <w:tcPr>
            <w:tcW w:w="4460" w:type="dxa"/>
            <w:vAlign w:val="bottom"/>
          </w:tcPr>
          <w:p>
            <w:pPr>
              <w:ind w:left="140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Ricon Corp.</w:t>
            </w:r>
          </w:p>
        </w:tc>
        <w:tc>
          <w:tcPr>
            <w:tcW w:w="4460" w:type="dxa"/>
            <w:vAlign w:val="bottom"/>
          </w:tcPr>
          <w:p>
            <w:pPr>
              <w:ind w:left="1400"/>
              <w:spacing w:after="0"/>
              <w:rPr>
                <w:sz w:val="20"/>
                <w:szCs w:val="20"/>
                <w:color w:val="auto"/>
              </w:rPr>
            </w:pPr>
            <w:r>
              <w:rPr>
                <w:rFonts w:ascii="Arial" w:cs="Arial" w:eastAsia="Arial" w:hAnsi="Arial"/>
                <w:sz w:val="14"/>
                <w:szCs w:val="14"/>
                <w:color w:val="auto"/>
              </w:rPr>
              <w:t>San Fernando, California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SAB Wabco (Investments) Ltd.</w:t>
            </w:r>
          </w:p>
        </w:tc>
        <w:tc>
          <w:tcPr>
            <w:tcW w:w="4460" w:type="dxa"/>
            <w:vAlign w:val="bottom"/>
          </w:tcPr>
          <w:p>
            <w:pPr>
              <w:ind w:left="1400"/>
              <w:spacing w:after="0"/>
              <w:rPr>
                <w:sz w:val="20"/>
                <w:szCs w:val="20"/>
                <w:color w:val="auto"/>
              </w:rPr>
            </w:pPr>
            <w:r>
              <w:rPr>
                <w:rFonts w:ascii="Arial" w:cs="Arial" w:eastAsia="Arial" w:hAnsi="Arial"/>
                <w:sz w:val="14"/>
                <w:szCs w:val="14"/>
                <w:color w:val="auto"/>
              </w:rPr>
              <w:t>Birkenhead,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SAB Wabco UK Ltd.</w:t>
            </w:r>
          </w:p>
        </w:tc>
        <w:tc>
          <w:tcPr>
            <w:tcW w:w="4460" w:type="dxa"/>
            <w:vAlign w:val="bottom"/>
          </w:tcPr>
          <w:p>
            <w:pPr>
              <w:ind w:left="1400"/>
              <w:spacing w:after="0"/>
              <w:rPr>
                <w:sz w:val="20"/>
                <w:szCs w:val="20"/>
                <w:color w:val="auto"/>
              </w:rPr>
            </w:pPr>
            <w:r>
              <w:rPr>
                <w:rFonts w:ascii="Arial" w:cs="Arial" w:eastAsia="Arial" w:hAnsi="Arial"/>
                <w:sz w:val="14"/>
                <w:szCs w:val="14"/>
                <w:color w:val="auto"/>
              </w:rPr>
              <w:t>Birkenhead,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Schaefer Equipment, Inc.</w:t>
            </w:r>
          </w:p>
        </w:tc>
        <w:tc>
          <w:tcPr>
            <w:tcW w:w="4460" w:type="dxa"/>
            <w:vAlign w:val="bottom"/>
          </w:tcPr>
          <w:p>
            <w:pPr>
              <w:ind w:left="1400"/>
              <w:spacing w:after="0"/>
              <w:rPr>
                <w:sz w:val="20"/>
                <w:szCs w:val="20"/>
                <w:color w:val="auto"/>
              </w:rPr>
            </w:pPr>
            <w:r>
              <w:rPr>
                <w:rFonts w:ascii="Arial" w:cs="Arial" w:eastAsia="Arial" w:hAnsi="Arial"/>
                <w:sz w:val="14"/>
                <w:szCs w:val="14"/>
                <w:color w:val="auto"/>
              </w:rPr>
              <w:t>Warren, Ohio</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SCT Europe Ltd.</w:t>
            </w:r>
          </w:p>
        </w:tc>
        <w:tc>
          <w:tcPr>
            <w:tcW w:w="4460" w:type="dxa"/>
            <w:vAlign w:val="bottom"/>
          </w:tcPr>
          <w:p>
            <w:pPr>
              <w:ind w:left="1400"/>
              <w:spacing w:after="0"/>
              <w:rPr>
                <w:sz w:val="20"/>
                <w:szCs w:val="20"/>
                <w:color w:val="auto"/>
              </w:rPr>
            </w:pPr>
            <w:r>
              <w:rPr>
                <w:rFonts w:ascii="Arial" w:cs="Arial" w:eastAsia="Arial" w:hAnsi="Arial"/>
                <w:sz w:val="14"/>
                <w:szCs w:val="14"/>
                <w:color w:val="auto"/>
              </w:rPr>
              <w:t>Kirkcaldy, Fife,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SCT Technology LLC</w:t>
            </w:r>
          </w:p>
        </w:tc>
        <w:tc>
          <w:tcPr>
            <w:tcW w:w="4460" w:type="dxa"/>
            <w:vAlign w:val="bottom"/>
          </w:tcPr>
          <w:p>
            <w:pPr>
              <w:ind w:left="140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Semvac A/S</w:t>
            </w:r>
          </w:p>
        </w:tc>
        <w:tc>
          <w:tcPr>
            <w:tcW w:w="4460" w:type="dxa"/>
            <w:vAlign w:val="bottom"/>
          </w:tcPr>
          <w:p>
            <w:pPr>
              <w:ind w:left="1400"/>
              <w:spacing w:after="0"/>
              <w:rPr>
                <w:sz w:val="20"/>
                <w:szCs w:val="20"/>
                <w:color w:val="auto"/>
              </w:rPr>
            </w:pPr>
            <w:r>
              <w:rPr>
                <w:rFonts w:ascii="Arial" w:cs="Arial" w:eastAsia="Arial" w:hAnsi="Arial"/>
                <w:sz w:val="14"/>
                <w:szCs w:val="14"/>
                <w:color w:val="auto"/>
              </w:rPr>
              <w:t>Odense, Denmark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Shenyang CRRC Wabtec Railway Brake Technology Company, Ltd.</w:t>
            </w:r>
          </w:p>
        </w:tc>
        <w:tc>
          <w:tcPr>
            <w:tcW w:w="4460" w:type="dxa"/>
            <w:vAlign w:val="bottom"/>
          </w:tcPr>
          <w:p>
            <w:pPr>
              <w:ind w:left="1400"/>
              <w:spacing w:after="0"/>
              <w:rPr>
                <w:sz w:val="20"/>
                <w:szCs w:val="20"/>
                <w:color w:val="auto"/>
              </w:rPr>
            </w:pPr>
            <w:r>
              <w:rPr>
                <w:rFonts w:ascii="Arial" w:cs="Arial" w:eastAsia="Arial" w:hAnsi="Arial"/>
                <w:sz w:val="14"/>
                <w:szCs w:val="14"/>
                <w:color w:val="auto"/>
              </w:rPr>
              <w:t>Shenyang,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Shijiazhuang Jiaxiang Precision Machinery Co. Ltd.</w:t>
            </w:r>
          </w:p>
        </w:tc>
        <w:tc>
          <w:tcPr>
            <w:tcW w:w="4460" w:type="dxa"/>
            <w:vAlign w:val="bottom"/>
          </w:tcPr>
          <w:p>
            <w:pPr>
              <w:ind w:left="1400"/>
              <w:spacing w:after="0"/>
              <w:rPr>
                <w:sz w:val="20"/>
                <w:szCs w:val="20"/>
                <w:color w:val="auto"/>
              </w:rPr>
            </w:pPr>
            <w:r>
              <w:rPr>
                <w:rFonts w:ascii="Arial" w:cs="Arial" w:eastAsia="Arial" w:hAnsi="Arial"/>
                <w:sz w:val="14"/>
                <w:szCs w:val="14"/>
                <w:color w:val="auto"/>
              </w:rPr>
              <w:t>Shijiazhuang,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ShipXpress Technologies (Private)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Nugegoda, Sri Lanka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Shuttlewagon, Inc.</w:t>
            </w:r>
          </w:p>
        </w:tc>
        <w:tc>
          <w:tcPr>
            <w:tcW w:w="4460" w:type="dxa"/>
            <w:vAlign w:val="bottom"/>
          </w:tcPr>
          <w:p>
            <w:pPr>
              <w:ind w:left="1400"/>
              <w:spacing w:after="0"/>
              <w:rPr>
                <w:sz w:val="20"/>
                <w:szCs w:val="20"/>
                <w:color w:val="auto"/>
              </w:rPr>
            </w:pPr>
            <w:r>
              <w:rPr>
                <w:rFonts w:ascii="Arial" w:cs="Arial" w:eastAsia="Arial" w:hAnsi="Arial"/>
                <w:sz w:val="14"/>
                <w:szCs w:val="14"/>
                <w:color w:val="auto"/>
              </w:rPr>
              <w:t>Wilmington, DE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Standard Car Truck Company</w:t>
            </w:r>
          </w:p>
        </w:tc>
        <w:tc>
          <w:tcPr>
            <w:tcW w:w="4460" w:type="dxa"/>
            <w:vAlign w:val="bottom"/>
          </w:tcPr>
          <w:p>
            <w:pPr>
              <w:ind w:left="1400"/>
              <w:spacing w:after="0"/>
              <w:rPr>
                <w:sz w:val="20"/>
                <w:szCs w:val="20"/>
                <w:color w:val="auto"/>
              </w:rPr>
            </w:pPr>
            <w:r>
              <w:rPr>
                <w:rFonts w:ascii="Arial" w:cs="Arial" w:eastAsia="Arial" w:hAnsi="Arial"/>
                <w:sz w:val="14"/>
                <w:szCs w:val="14"/>
                <w:color w:val="auto"/>
              </w:rPr>
              <w:t>Park Ridge, Illinois</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Standard Car Truck-Asia, Inc.</w:t>
            </w:r>
          </w:p>
        </w:tc>
        <w:tc>
          <w:tcPr>
            <w:tcW w:w="4460" w:type="dxa"/>
            <w:vAlign w:val="bottom"/>
          </w:tcPr>
          <w:p>
            <w:pPr>
              <w:ind w:left="1400"/>
              <w:spacing w:after="0"/>
              <w:rPr>
                <w:sz w:val="20"/>
                <w:szCs w:val="20"/>
                <w:color w:val="auto"/>
              </w:rPr>
            </w:pPr>
            <w:r>
              <w:rPr>
                <w:rFonts w:ascii="Arial" w:cs="Arial" w:eastAsia="Arial" w:hAnsi="Arial"/>
                <w:sz w:val="14"/>
                <w:szCs w:val="14"/>
                <w:color w:val="auto"/>
              </w:rPr>
              <w:t>Chaoyang District, Beijing</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Stemmann Technik France SAS</w:t>
            </w:r>
          </w:p>
        </w:tc>
        <w:tc>
          <w:tcPr>
            <w:tcW w:w="4460" w:type="dxa"/>
            <w:vAlign w:val="bottom"/>
          </w:tcPr>
          <w:p>
            <w:pPr>
              <w:ind w:left="1400"/>
              <w:spacing w:after="0"/>
              <w:rPr>
                <w:sz w:val="20"/>
                <w:szCs w:val="20"/>
                <w:color w:val="auto"/>
              </w:rPr>
            </w:pPr>
            <w:r>
              <w:rPr>
                <w:rFonts w:ascii="Arial" w:cs="Arial" w:eastAsia="Arial" w:hAnsi="Arial"/>
                <w:sz w:val="14"/>
                <w:szCs w:val="14"/>
                <w:color w:val="auto"/>
              </w:rPr>
              <w:t>Buchelay, France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Stemmann-Technik GmbH</w:t>
            </w:r>
          </w:p>
        </w:tc>
        <w:tc>
          <w:tcPr>
            <w:tcW w:w="4460" w:type="dxa"/>
            <w:vAlign w:val="bottom"/>
          </w:tcPr>
          <w:p>
            <w:pPr>
              <w:ind w:left="1400"/>
              <w:spacing w:after="0"/>
              <w:rPr>
                <w:sz w:val="20"/>
                <w:szCs w:val="20"/>
                <w:color w:val="auto"/>
              </w:rPr>
            </w:pPr>
            <w:r>
              <w:rPr>
                <w:rFonts w:ascii="Arial" w:cs="Arial" w:eastAsia="Arial" w:hAnsi="Arial"/>
                <w:sz w:val="14"/>
                <w:szCs w:val="14"/>
                <w:color w:val="auto"/>
              </w:rPr>
              <w:t>Schüttorf, Germany</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Stemmann-Technik Hong Kong Company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Hong Kong,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Stemmann Polska SP Zoo</w:t>
            </w:r>
          </w:p>
        </w:tc>
        <w:tc>
          <w:tcPr>
            <w:tcW w:w="4460" w:type="dxa"/>
            <w:vAlign w:val="bottom"/>
          </w:tcPr>
          <w:p>
            <w:pPr>
              <w:ind w:left="1400"/>
              <w:spacing w:after="0"/>
              <w:rPr>
                <w:sz w:val="20"/>
                <w:szCs w:val="20"/>
                <w:color w:val="auto"/>
              </w:rPr>
            </w:pPr>
            <w:r>
              <w:rPr>
                <w:rFonts w:ascii="Arial" w:cs="Arial" w:eastAsia="Arial" w:hAnsi="Arial"/>
                <w:sz w:val="14"/>
                <w:szCs w:val="14"/>
                <w:color w:val="auto"/>
              </w:rPr>
              <w:t>Katy Wroclawskie, Poland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Stemmann-Technik (Shanghai) Ltd.</w:t>
            </w:r>
          </w:p>
        </w:tc>
        <w:tc>
          <w:tcPr>
            <w:tcW w:w="4460" w:type="dxa"/>
            <w:vAlign w:val="bottom"/>
          </w:tcPr>
          <w:p>
            <w:pPr>
              <w:ind w:left="1400"/>
              <w:spacing w:after="0"/>
              <w:rPr>
                <w:sz w:val="20"/>
                <w:szCs w:val="20"/>
                <w:color w:val="auto"/>
              </w:rPr>
            </w:pPr>
            <w:r>
              <w:rPr>
                <w:rFonts w:ascii="Arial" w:cs="Arial" w:eastAsia="Arial" w:hAnsi="Arial"/>
                <w:sz w:val="14"/>
                <w:szCs w:val="14"/>
                <w:color w:val="auto"/>
              </w:rPr>
              <w:t>Shanghai,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Thermal Transfer Acquisition Corporation</w:t>
            </w:r>
          </w:p>
        </w:tc>
        <w:tc>
          <w:tcPr>
            <w:tcW w:w="4460" w:type="dxa"/>
            <w:vAlign w:val="bottom"/>
          </w:tcPr>
          <w:p>
            <w:pPr>
              <w:ind w:left="1400"/>
              <w:spacing w:after="0"/>
              <w:rPr>
                <w:sz w:val="20"/>
                <w:szCs w:val="20"/>
                <w:color w:val="auto"/>
              </w:rPr>
            </w:pPr>
            <w:r>
              <w:rPr>
                <w:rFonts w:ascii="Arial" w:cs="Arial" w:eastAsia="Arial" w:hAnsi="Arial"/>
                <w:sz w:val="14"/>
                <w:szCs w:val="14"/>
                <w:color w:val="auto"/>
              </w:rPr>
              <w:t>Duquesne, Pennsylvania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TMT Holding AB</w:t>
            </w:r>
          </w:p>
        </w:tc>
        <w:tc>
          <w:tcPr>
            <w:tcW w:w="4460" w:type="dxa"/>
            <w:vAlign w:val="bottom"/>
          </w:tcPr>
          <w:p>
            <w:pPr>
              <w:ind w:left="1400"/>
              <w:spacing w:after="0"/>
              <w:rPr>
                <w:sz w:val="20"/>
                <w:szCs w:val="20"/>
                <w:color w:val="auto"/>
              </w:rPr>
            </w:pPr>
            <w:r>
              <w:rPr>
                <w:rFonts w:ascii="Arial" w:cs="Arial" w:eastAsia="Arial" w:hAnsi="Arial"/>
                <w:sz w:val="14"/>
                <w:szCs w:val="14"/>
                <w:color w:val="auto"/>
              </w:rPr>
              <w:t>Stockholm, Sweden</w:t>
            </w:r>
          </w:p>
        </w:tc>
        <w:tc>
          <w:tcPr>
            <w:tcW w:w="1500" w:type="dxa"/>
            <w:vAlign w:val="bottom"/>
          </w:tcPr>
          <w:p>
            <w:pPr>
              <w:jc w:val="right"/>
              <w:spacing w:after="0"/>
              <w:rPr>
                <w:sz w:val="20"/>
                <w:szCs w:val="20"/>
                <w:color w:val="auto"/>
              </w:rPr>
            </w:pPr>
            <w:r>
              <w:rPr>
                <w:rFonts w:ascii="Arial" w:cs="Arial" w:eastAsia="Arial" w:hAnsi="Arial"/>
                <w:sz w:val="14"/>
                <w:szCs w:val="14"/>
                <w:color w:val="auto"/>
              </w:rPr>
              <w:t>50.5 %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Eastern Europe S.r.l</w:t>
            </w:r>
          </w:p>
        </w:tc>
        <w:tc>
          <w:tcPr>
            <w:tcW w:w="4460" w:type="dxa"/>
            <w:vAlign w:val="bottom"/>
          </w:tcPr>
          <w:p>
            <w:pPr>
              <w:ind w:left="1400"/>
              <w:spacing w:after="0"/>
              <w:rPr>
                <w:sz w:val="20"/>
                <w:szCs w:val="20"/>
                <w:color w:val="auto"/>
              </w:rPr>
            </w:pPr>
            <w:r>
              <w:rPr>
                <w:rFonts w:ascii="Arial" w:cs="Arial" w:eastAsia="Arial" w:hAnsi="Arial"/>
                <w:sz w:val="14"/>
                <w:szCs w:val="14"/>
                <w:color w:val="auto"/>
              </w:rPr>
              <w:t>Chisinau, Moldova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Global Egypt L.L.C</w:t>
            </w:r>
          </w:p>
        </w:tc>
        <w:tc>
          <w:tcPr>
            <w:tcW w:w="4460" w:type="dxa"/>
            <w:vAlign w:val="bottom"/>
          </w:tcPr>
          <w:p>
            <w:pPr>
              <w:ind w:left="1400"/>
              <w:spacing w:after="0"/>
              <w:rPr>
                <w:sz w:val="20"/>
                <w:szCs w:val="20"/>
                <w:color w:val="auto"/>
              </w:rPr>
            </w:pPr>
            <w:r>
              <w:rPr>
                <w:rFonts w:ascii="Arial" w:cs="Arial" w:eastAsia="Arial" w:hAnsi="Arial"/>
                <w:sz w:val="14"/>
                <w:szCs w:val="14"/>
                <w:color w:val="auto"/>
              </w:rPr>
              <w:t>Egypt</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Global LLC</w:t>
            </w:r>
          </w:p>
        </w:tc>
        <w:tc>
          <w:tcPr>
            <w:tcW w:w="4460" w:type="dxa"/>
            <w:vAlign w:val="bottom"/>
          </w:tcPr>
          <w:p>
            <w:pPr>
              <w:ind w:left="140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Holdings UK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Altrincham, England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IP Holdings, LLC</w:t>
            </w:r>
          </w:p>
        </w:tc>
        <w:tc>
          <w:tcPr>
            <w:tcW w:w="4460" w:type="dxa"/>
            <w:vAlign w:val="bottom"/>
          </w:tcPr>
          <w:p>
            <w:pPr>
              <w:ind w:left="1400"/>
              <w:spacing w:after="0"/>
              <w:rPr>
                <w:sz w:val="20"/>
                <w:szCs w:val="20"/>
                <w:color w:val="auto"/>
              </w:rPr>
            </w:pPr>
            <w:r>
              <w:rPr>
                <w:rFonts w:ascii="Arial" w:cs="Arial" w:eastAsia="Arial" w:hAnsi="Arial"/>
                <w:sz w:val="14"/>
                <w:szCs w:val="14"/>
                <w:color w:val="auto"/>
              </w:rPr>
              <w:t>Wilmington, Delaware</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Kazakhstan Limited Liability Partnership</w:t>
            </w:r>
          </w:p>
        </w:tc>
        <w:tc>
          <w:tcPr>
            <w:tcW w:w="4460" w:type="dxa"/>
            <w:vAlign w:val="bottom"/>
          </w:tcPr>
          <w:p>
            <w:pPr>
              <w:ind w:left="1400"/>
              <w:spacing w:after="0"/>
              <w:rPr>
                <w:sz w:val="20"/>
                <w:szCs w:val="20"/>
                <w:color w:val="auto"/>
              </w:rPr>
            </w:pPr>
            <w:r>
              <w:rPr>
                <w:rFonts w:ascii="Arial" w:cs="Arial" w:eastAsia="Arial" w:hAnsi="Arial"/>
                <w:sz w:val="14"/>
                <w:szCs w:val="14"/>
                <w:color w:val="auto"/>
              </w:rPr>
              <w:t>Kazakhstan</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Poland sp. z o.o.</w:t>
            </w:r>
          </w:p>
        </w:tc>
        <w:tc>
          <w:tcPr>
            <w:tcW w:w="4460" w:type="dxa"/>
            <w:vAlign w:val="bottom"/>
          </w:tcPr>
          <w:p>
            <w:pPr>
              <w:ind w:left="1400"/>
              <w:spacing w:after="0"/>
              <w:rPr>
                <w:sz w:val="20"/>
                <w:szCs w:val="20"/>
                <w:color w:val="auto"/>
              </w:rPr>
            </w:pPr>
            <w:r>
              <w:rPr>
                <w:rFonts w:ascii="Arial" w:cs="Arial" w:eastAsia="Arial" w:hAnsi="Arial"/>
                <w:sz w:val="14"/>
                <w:szCs w:val="14"/>
                <w:color w:val="auto"/>
              </w:rPr>
              <w:t>Poland</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Rus Limited Liability Company</w:t>
            </w:r>
          </w:p>
        </w:tc>
        <w:tc>
          <w:tcPr>
            <w:tcW w:w="4460" w:type="dxa"/>
            <w:vAlign w:val="bottom"/>
          </w:tcPr>
          <w:p>
            <w:pPr>
              <w:ind w:left="1400"/>
              <w:spacing w:after="0"/>
              <w:rPr>
                <w:sz w:val="20"/>
                <w:szCs w:val="20"/>
                <w:color w:val="auto"/>
              </w:rPr>
            </w:pPr>
            <w:r>
              <w:rPr>
                <w:rFonts w:ascii="Arial" w:cs="Arial" w:eastAsia="Arial" w:hAnsi="Arial"/>
                <w:sz w:val="14"/>
                <w:szCs w:val="14"/>
                <w:color w:val="auto"/>
              </w:rPr>
              <w:t>Moscow, Russia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Services and Technologies Nigeria Ltd</w:t>
            </w:r>
          </w:p>
        </w:tc>
        <w:tc>
          <w:tcPr>
            <w:tcW w:w="4460" w:type="dxa"/>
            <w:vAlign w:val="bottom"/>
          </w:tcPr>
          <w:p>
            <w:pPr>
              <w:ind w:left="1400"/>
              <w:spacing w:after="0"/>
              <w:rPr>
                <w:sz w:val="20"/>
                <w:szCs w:val="20"/>
                <w:color w:val="auto"/>
              </w:rPr>
            </w:pPr>
            <w:r>
              <w:rPr>
                <w:rFonts w:ascii="Arial" w:cs="Arial" w:eastAsia="Arial" w:hAnsi="Arial"/>
                <w:sz w:val="14"/>
                <w:szCs w:val="14"/>
                <w:color w:val="auto"/>
              </w:rPr>
              <w:t>Lagos, Nigeria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Systems and Services Cameroon Ltd</w:t>
            </w:r>
          </w:p>
        </w:tc>
        <w:tc>
          <w:tcPr>
            <w:tcW w:w="4460" w:type="dxa"/>
            <w:vAlign w:val="bottom"/>
          </w:tcPr>
          <w:p>
            <w:pPr>
              <w:ind w:left="1400"/>
              <w:spacing w:after="0"/>
              <w:rPr>
                <w:sz w:val="20"/>
                <w:szCs w:val="20"/>
                <w:color w:val="auto"/>
              </w:rPr>
            </w:pPr>
            <w:r>
              <w:rPr>
                <w:rFonts w:ascii="Arial" w:cs="Arial" w:eastAsia="Arial" w:hAnsi="Arial"/>
                <w:sz w:val="14"/>
                <w:szCs w:val="14"/>
                <w:color w:val="auto"/>
              </w:rPr>
              <w:t>Cameroon</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Systems Pakistan (Private)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Lahore, Pakistan</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Transportation Systems Services Operations Inc</w:t>
            </w:r>
          </w:p>
        </w:tc>
        <w:tc>
          <w:tcPr>
            <w:tcW w:w="4460" w:type="dxa"/>
            <w:vAlign w:val="bottom"/>
          </w:tcPr>
          <w:p>
            <w:pPr>
              <w:ind w:left="1400"/>
              <w:spacing w:after="0"/>
              <w:rPr>
                <w:sz w:val="20"/>
                <w:szCs w:val="20"/>
                <w:color w:val="auto"/>
              </w:rPr>
            </w:pPr>
            <w:r>
              <w:rPr>
                <w:rFonts w:ascii="Arial" w:cs="Arial" w:eastAsia="Arial" w:hAnsi="Arial"/>
                <w:sz w:val="14"/>
                <w:szCs w:val="14"/>
                <w:color w:val="auto"/>
              </w:rPr>
              <w:t>Carson City, Nevada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TransTech of South Carolina, Inc</w:t>
            </w:r>
          </w:p>
        </w:tc>
        <w:tc>
          <w:tcPr>
            <w:tcW w:w="4460" w:type="dxa"/>
            <w:vAlign w:val="bottom"/>
          </w:tcPr>
          <w:p>
            <w:pPr>
              <w:ind w:left="1400"/>
              <w:spacing w:after="0"/>
              <w:rPr>
                <w:sz w:val="20"/>
                <w:szCs w:val="20"/>
                <w:color w:val="auto"/>
              </w:rPr>
            </w:pPr>
            <w:r>
              <w:rPr>
                <w:rFonts w:ascii="Arial" w:cs="Arial" w:eastAsia="Arial" w:hAnsi="Arial"/>
                <w:sz w:val="14"/>
                <w:szCs w:val="14"/>
                <w:color w:val="auto"/>
              </w:rPr>
              <w:t>Piedmont, South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TRSP Systems and Services Kenya Ltd</w:t>
            </w:r>
          </w:p>
        </w:tc>
        <w:tc>
          <w:tcPr>
            <w:tcW w:w="4460" w:type="dxa"/>
            <w:vAlign w:val="bottom"/>
          </w:tcPr>
          <w:p>
            <w:pPr>
              <w:ind w:left="1400"/>
              <w:spacing w:after="0"/>
              <w:rPr>
                <w:sz w:val="20"/>
                <w:szCs w:val="20"/>
                <w:color w:val="auto"/>
              </w:rPr>
            </w:pPr>
            <w:r>
              <w:rPr>
                <w:rFonts w:ascii="Arial" w:cs="Arial" w:eastAsia="Arial" w:hAnsi="Arial"/>
                <w:sz w:val="14"/>
                <w:szCs w:val="14"/>
                <w:color w:val="auto"/>
              </w:rPr>
              <w:t>Kenya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TRSP Systems (Malaysia) SDN. BHD</w:t>
            </w:r>
          </w:p>
        </w:tc>
        <w:tc>
          <w:tcPr>
            <w:tcW w:w="4460" w:type="dxa"/>
            <w:vAlign w:val="bottom"/>
          </w:tcPr>
          <w:p>
            <w:pPr>
              <w:ind w:left="1400"/>
              <w:spacing w:after="0"/>
              <w:rPr>
                <w:sz w:val="20"/>
                <w:szCs w:val="20"/>
                <w:color w:val="auto"/>
              </w:rPr>
            </w:pPr>
            <w:r>
              <w:rPr>
                <w:rFonts w:ascii="Arial" w:cs="Arial" w:eastAsia="Arial" w:hAnsi="Arial"/>
                <w:sz w:val="14"/>
                <w:szCs w:val="14"/>
                <w:color w:val="auto"/>
              </w:rPr>
              <w:t>Malaysia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Turbonetics Holdings, Inc.</w:t>
            </w:r>
          </w:p>
        </w:tc>
        <w:tc>
          <w:tcPr>
            <w:tcW w:w="4460" w:type="dxa"/>
            <w:vAlign w:val="bottom"/>
          </w:tcPr>
          <w:p>
            <w:pPr>
              <w:ind w:left="1400"/>
              <w:spacing w:after="0"/>
              <w:rPr>
                <w:sz w:val="20"/>
                <w:szCs w:val="20"/>
                <w:color w:val="auto"/>
              </w:rPr>
            </w:pPr>
            <w:r>
              <w:rPr>
                <w:rFonts w:ascii="Arial" w:cs="Arial" w:eastAsia="Arial" w:hAnsi="Arial"/>
                <w:sz w:val="14"/>
                <w:szCs w:val="14"/>
                <w:color w:val="auto"/>
              </w:rPr>
              <w:t>Moorpark, California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Vapor Europe S.r.l.</w:t>
            </w:r>
          </w:p>
        </w:tc>
        <w:tc>
          <w:tcPr>
            <w:tcW w:w="4460" w:type="dxa"/>
            <w:vAlign w:val="bottom"/>
          </w:tcPr>
          <w:p>
            <w:pPr>
              <w:ind w:left="1400"/>
              <w:spacing w:after="0"/>
              <w:rPr>
                <w:sz w:val="20"/>
                <w:szCs w:val="20"/>
                <w:color w:val="auto"/>
              </w:rPr>
            </w:pPr>
            <w:r>
              <w:rPr>
                <w:rFonts w:ascii="Arial" w:cs="Arial" w:eastAsia="Arial" w:hAnsi="Arial"/>
                <w:sz w:val="14"/>
                <w:szCs w:val="14"/>
                <w:color w:val="auto"/>
              </w:rPr>
              <w:t>Sassuolo, Modena, Italy</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Vapor Ricon Europe Ltd.</w:t>
            </w:r>
          </w:p>
        </w:tc>
        <w:tc>
          <w:tcPr>
            <w:tcW w:w="4460" w:type="dxa"/>
            <w:vAlign w:val="bottom"/>
          </w:tcPr>
          <w:p>
            <w:pPr>
              <w:ind w:left="1400"/>
              <w:spacing w:after="0"/>
              <w:rPr>
                <w:sz w:val="20"/>
                <w:szCs w:val="20"/>
                <w:color w:val="auto"/>
              </w:rPr>
            </w:pPr>
            <w:r>
              <w:rPr>
                <w:rFonts w:ascii="Arial" w:cs="Arial" w:eastAsia="Arial" w:hAnsi="Arial"/>
                <w:sz w:val="14"/>
                <w:szCs w:val="14"/>
                <w:color w:val="auto"/>
              </w:rPr>
              <w:t>Loughborough, Leicestershire, UK</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Assembly Services S. de R.L. de C.V.</w:t>
            </w:r>
          </w:p>
        </w:tc>
        <w:tc>
          <w:tcPr>
            <w:tcW w:w="4460" w:type="dxa"/>
            <w:vAlign w:val="bottom"/>
          </w:tcPr>
          <w:p>
            <w:pPr>
              <w:ind w:left="1400"/>
              <w:spacing w:after="0"/>
              <w:rPr>
                <w:sz w:val="20"/>
                <w:szCs w:val="20"/>
                <w:color w:val="auto"/>
              </w:rPr>
            </w:pPr>
            <w:r>
              <w:rPr>
                <w:rFonts w:ascii="Arial" w:cs="Arial" w:eastAsia="Arial" w:hAnsi="Arial"/>
                <w:sz w:val="14"/>
                <w:szCs w:val="14"/>
                <w:color w:val="auto"/>
              </w:rPr>
              <w:t>San Luis Potosi, Mexico</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Australia Pty.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Rydalmere, Australia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(Beijing) Investment Co. Ltd.</w:t>
            </w:r>
          </w:p>
        </w:tc>
        <w:tc>
          <w:tcPr>
            <w:tcW w:w="4460" w:type="dxa"/>
            <w:vAlign w:val="bottom"/>
          </w:tcPr>
          <w:p>
            <w:pPr>
              <w:ind w:left="1400"/>
              <w:spacing w:after="0"/>
              <w:rPr>
                <w:sz w:val="20"/>
                <w:szCs w:val="20"/>
                <w:color w:val="auto"/>
              </w:rPr>
            </w:pPr>
            <w:r>
              <w:rPr>
                <w:rFonts w:ascii="Arial" w:cs="Arial" w:eastAsia="Arial" w:hAnsi="Arial"/>
                <w:sz w:val="14"/>
                <w:szCs w:val="14"/>
                <w:color w:val="auto"/>
              </w:rPr>
              <w:t>Beijing, Fengtai District,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Brasil Fabricacao e Manutencao de Equipamentos Ltda</w:t>
            </w:r>
          </w:p>
        </w:tc>
        <w:tc>
          <w:tcPr>
            <w:tcW w:w="4460" w:type="dxa"/>
            <w:vAlign w:val="bottom"/>
          </w:tcPr>
          <w:p>
            <w:pPr>
              <w:ind w:left="1400"/>
              <w:spacing w:after="0"/>
              <w:rPr>
                <w:sz w:val="20"/>
                <w:szCs w:val="20"/>
                <w:color w:val="auto"/>
              </w:rPr>
            </w:pPr>
            <w:r>
              <w:rPr>
                <w:rFonts w:ascii="Arial" w:cs="Arial" w:eastAsia="Arial" w:hAnsi="Arial"/>
                <w:sz w:val="14"/>
                <w:szCs w:val="14"/>
                <w:color w:val="auto"/>
              </w:rPr>
              <w:t>Belo Horizonte, Brazil</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Corporation</w:t>
            </w:r>
          </w:p>
        </w:tc>
        <w:tc>
          <w:tcPr>
            <w:tcW w:w="4460" w:type="dxa"/>
            <w:vAlign w:val="bottom"/>
          </w:tcPr>
          <w:p>
            <w:pPr>
              <w:ind w:left="1400"/>
              <w:spacing w:after="0"/>
              <w:rPr>
                <w:sz w:val="20"/>
                <w:szCs w:val="20"/>
                <w:color w:val="auto"/>
              </w:rPr>
            </w:pPr>
            <w:r>
              <w:rPr>
                <w:rFonts w:ascii="Arial" w:cs="Arial" w:eastAsia="Arial" w:hAnsi="Arial"/>
                <w:sz w:val="14"/>
                <w:szCs w:val="14"/>
                <w:color w:val="auto"/>
              </w:rPr>
              <w:t>Wilmerding, Pennsylvania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Canada, Inc.</w:t>
            </w:r>
          </w:p>
        </w:tc>
        <w:tc>
          <w:tcPr>
            <w:tcW w:w="4460" w:type="dxa"/>
            <w:vAlign w:val="bottom"/>
          </w:tcPr>
          <w:p>
            <w:pPr>
              <w:ind w:left="1400"/>
              <w:spacing w:after="0"/>
              <w:rPr>
                <w:sz w:val="20"/>
                <w:szCs w:val="20"/>
                <w:color w:val="auto"/>
              </w:rPr>
            </w:pPr>
            <w:r>
              <w:rPr>
                <w:rFonts w:ascii="Arial" w:cs="Arial" w:eastAsia="Arial" w:hAnsi="Arial"/>
                <w:sz w:val="14"/>
                <w:szCs w:val="14"/>
                <w:color w:val="auto"/>
              </w:rPr>
              <w:t>Ontario, Canada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240" w:type="dxa"/>
            <w:vAlign w:val="bottom"/>
          </w:tcPr>
          <w:p>
            <w:pPr>
              <w:spacing w:after="0"/>
              <w:rPr>
                <w:sz w:val="20"/>
                <w:szCs w:val="20"/>
                <w:color w:val="auto"/>
              </w:rPr>
            </w:pPr>
            <w:r>
              <w:rPr>
                <w:rFonts w:ascii="Arial" w:cs="Arial" w:eastAsia="Arial" w:hAnsi="Arial"/>
                <w:sz w:val="14"/>
                <w:szCs w:val="14"/>
                <w:color w:val="auto"/>
              </w:rPr>
              <w:t>Wabtec China Friction Holding Limited</w:t>
            </w:r>
          </w:p>
        </w:tc>
        <w:tc>
          <w:tcPr>
            <w:tcW w:w="4460" w:type="dxa"/>
            <w:vAlign w:val="bottom"/>
          </w:tcPr>
          <w:p>
            <w:pPr>
              <w:ind w:left="1400"/>
              <w:spacing w:after="0"/>
              <w:rPr>
                <w:sz w:val="20"/>
                <w:szCs w:val="20"/>
                <w:color w:val="auto"/>
              </w:rPr>
            </w:pPr>
            <w:r>
              <w:rPr>
                <w:rFonts w:ascii="Arial" w:cs="Arial" w:eastAsia="Arial" w:hAnsi="Arial"/>
                <w:sz w:val="14"/>
                <w:szCs w:val="14"/>
                <w:color w:val="auto"/>
              </w:rPr>
              <w:t>Hong Kong, China</w:t>
            </w:r>
          </w:p>
        </w:tc>
        <w:tc>
          <w:tcPr>
            <w:tcW w:w="150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20"/>
                <w:szCs w:val="20"/>
                <w:color w:val="auto"/>
              </w:rPr>
            </w:pPr>
            <w:r>
              <w:rPr>
                <w:rFonts w:ascii="Arial" w:cs="Arial" w:eastAsia="Arial" w:hAnsi="Arial"/>
                <w:sz w:val="14"/>
                <w:szCs w:val="14"/>
                <w:color w:val="auto"/>
              </w:rPr>
              <w:t>Wabtec China Rail Products &amp; Services Holding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Hong Kong, China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Control Systems Pty Ltd</w:t>
            </w:r>
          </w:p>
        </w:tc>
        <w:tc>
          <w:tcPr>
            <w:tcW w:w="4040" w:type="dxa"/>
            <w:vAlign w:val="bottom"/>
          </w:tcPr>
          <w:p>
            <w:pPr>
              <w:ind w:left="1120"/>
              <w:spacing w:after="0"/>
              <w:rPr>
                <w:sz w:val="20"/>
                <w:szCs w:val="20"/>
                <w:color w:val="auto"/>
              </w:rPr>
            </w:pPr>
            <w:r>
              <w:rPr>
                <w:rFonts w:ascii="Arial" w:cs="Arial" w:eastAsia="Arial" w:hAnsi="Arial"/>
                <w:sz w:val="14"/>
                <w:szCs w:val="14"/>
                <w:color w:val="auto"/>
              </w:rPr>
              <w:t>Osborne Park, Australia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de Mexico, S. de R.L. de C.V.</w:t>
            </w:r>
          </w:p>
        </w:tc>
        <w:tc>
          <w:tcPr>
            <w:tcW w:w="4040" w:type="dxa"/>
            <w:vAlign w:val="bottom"/>
          </w:tcPr>
          <w:p>
            <w:pPr>
              <w:ind w:left="1120"/>
              <w:spacing w:after="0"/>
              <w:rPr>
                <w:sz w:val="20"/>
                <w:szCs w:val="20"/>
                <w:color w:val="auto"/>
              </w:rPr>
            </w:pPr>
            <w:r>
              <w:rPr>
                <w:rFonts w:ascii="Arial" w:cs="Arial" w:eastAsia="Arial" w:hAnsi="Arial"/>
                <w:sz w:val="14"/>
                <w:szCs w:val="14"/>
                <w:color w:val="auto"/>
              </w:rPr>
              <w:t>San Luis Potosi, Mexico</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Economic and Trading (Shanghai) Co., Ltd.</w:t>
            </w:r>
          </w:p>
        </w:tc>
        <w:tc>
          <w:tcPr>
            <w:tcW w:w="4040" w:type="dxa"/>
            <w:vAlign w:val="bottom"/>
          </w:tcPr>
          <w:p>
            <w:pPr>
              <w:ind w:left="1120"/>
              <w:spacing w:after="0"/>
              <w:rPr>
                <w:sz w:val="20"/>
                <w:szCs w:val="20"/>
                <w:color w:val="auto"/>
              </w:rPr>
            </w:pPr>
            <w:r>
              <w:rPr>
                <w:rFonts w:ascii="Arial" w:cs="Arial" w:eastAsia="Arial" w:hAnsi="Arial"/>
                <w:sz w:val="14"/>
                <w:szCs w:val="14"/>
                <w:color w:val="auto"/>
              </w:rPr>
              <w:t>Shanghai, China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Egypt for Commercial Agencies.</w:t>
            </w:r>
          </w:p>
        </w:tc>
        <w:tc>
          <w:tcPr>
            <w:tcW w:w="4040" w:type="dxa"/>
            <w:vAlign w:val="bottom"/>
          </w:tcPr>
          <w:p>
            <w:pPr>
              <w:ind w:left="1120"/>
              <w:spacing w:after="0"/>
              <w:rPr>
                <w:sz w:val="20"/>
                <w:szCs w:val="20"/>
                <w:color w:val="auto"/>
              </w:rPr>
            </w:pPr>
            <w:r>
              <w:rPr>
                <w:rFonts w:ascii="Arial" w:cs="Arial" w:eastAsia="Arial" w:hAnsi="Arial"/>
                <w:sz w:val="14"/>
                <w:szCs w:val="14"/>
                <w:color w:val="auto"/>
              </w:rPr>
              <w:t>New Cairo, Egypt</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Europe GmbH</w:t>
            </w:r>
          </w:p>
        </w:tc>
        <w:tc>
          <w:tcPr>
            <w:tcW w:w="4040" w:type="dxa"/>
            <w:vAlign w:val="bottom"/>
          </w:tcPr>
          <w:p>
            <w:pPr>
              <w:ind w:left="1120"/>
              <w:spacing w:after="0"/>
              <w:rPr>
                <w:sz w:val="20"/>
                <w:szCs w:val="20"/>
                <w:color w:val="auto"/>
              </w:rPr>
            </w:pPr>
            <w:r>
              <w:rPr>
                <w:rFonts w:ascii="Arial" w:cs="Arial" w:eastAsia="Arial" w:hAnsi="Arial"/>
                <w:sz w:val="14"/>
                <w:szCs w:val="14"/>
                <w:color w:val="auto"/>
              </w:rPr>
              <w:t>Brunn am Gebirge, Austria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Faiveley Rayli Sistemleri Ltd. Sti</w:t>
            </w:r>
          </w:p>
        </w:tc>
        <w:tc>
          <w:tcPr>
            <w:tcW w:w="4040" w:type="dxa"/>
            <w:vAlign w:val="bottom"/>
          </w:tcPr>
          <w:p>
            <w:pPr>
              <w:ind w:left="1120"/>
              <w:spacing w:after="0"/>
              <w:rPr>
                <w:sz w:val="20"/>
                <w:szCs w:val="20"/>
                <w:color w:val="auto"/>
              </w:rPr>
            </w:pPr>
            <w:r>
              <w:rPr>
                <w:rFonts w:ascii="Arial" w:cs="Arial" w:eastAsia="Arial" w:hAnsi="Arial"/>
                <w:sz w:val="14"/>
                <w:szCs w:val="14"/>
                <w:color w:val="auto"/>
              </w:rPr>
              <w:t>Istanbul, Turkey</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Faiveley Turkey Ulaşım Sistemleri ve Hizmetleri A.Ş</w:t>
            </w:r>
          </w:p>
        </w:tc>
        <w:tc>
          <w:tcPr>
            <w:tcW w:w="4040" w:type="dxa"/>
            <w:vAlign w:val="bottom"/>
          </w:tcPr>
          <w:p>
            <w:pPr>
              <w:ind w:left="1120"/>
              <w:spacing w:after="0"/>
              <w:rPr>
                <w:sz w:val="20"/>
                <w:szCs w:val="20"/>
                <w:color w:val="auto"/>
              </w:rPr>
            </w:pPr>
            <w:r>
              <w:rPr>
                <w:rFonts w:ascii="Arial" w:cs="Arial" w:eastAsia="Arial" w:hAnsi="Arial"/>
                <w:sz w:val="14"/>
                <w:szCs w:val="14"/>
                <w:color w:val="auto"/>
              </w:rPr>
              <w:t>Istanbul, Turkey</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France S.A.S.</w:t>
            </w:r>
          </w:p>
        </w:tc>
        <w:tc>
          <w:tcPr>
            <w:tcW w:w="4040" w:type="dxa"/>
            <w:vAlign w:val="bottom"/>
          </w:tcPr>
          <w:p>
            <w:pPr>
              <w:ind w:left="1120"/>
              <w:spacing w:after="0"/>
              <w:rPr>
                <w:sz w:val="20"/>
                <w:szCs w:val="20"/>
                <w:color w:val="auto"/>
              </w:rPr>
            </w:pPr>
            <w:r>
              <w:rPr>
                <w:rFonts w:ascii="Arial" w:cs="Arial" w:eastAsia="Arial" w:hAnsi="Arial"/>
                <w:sz w:val="14"/>
                <w:szCs w:val="14"/>
                <w:color w:val="auto"/>
              </w:rPr>
              <w:t>Paris, France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FRG GmbH</w:t>
            </w:r>
          </w:p>
        </w:tc>
        <w:tc>
          <w:tcPr>
            <w:tcW w:w="4040" w:type="dxa"/>
            <w:vAlign w:val="bottom"/>
          </w:tcPr>
          <w:p>
            <w:pPr>
              <w:ind w:left="1120"/>
              <w:spacing w:after="0"/>
              <w:rPr>
                <w:sz w:val="20"/>
                <w:szCs w:val="20"/>
                <w:color w:val="auto"/>
              </w:rPr>
            </w:pPr>
            <w:r>
              <w:rPr>
                <w:rFonts w:ascii="Arial" w:cs="Arial" w:eastAsia="Arial" w:hAnsi="Arial"/>
                <w:sz w:val="14"/>
                <w:szCs w:val="14"/>
                <w:color w:val="auto"/>
              </w:rPr>
              <w:t>Recklinghausen, Germany</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FRG Holdings GmbH &amp; Co. KG</w:t>
            </w:r>
          </w:p>
        </w:tc>
        <w:tc>
          <w:tcPr>
            <w:tcW w:w="4040" w:type="dxa"/>
            <w:vAlign w:val="bottom"/>
          </w:tcPr>
          <w:p>
            <w:pPr>
              <w:ind w:left="1120"/>
              <w:spacing w:after="0"/>
              <w:rPr>
                <w:sz w:val="20"/>
                <w:szCs w:val="20"/>
                <w:color w:val="auto"/>
              </w:rPr>
            </w:pPr>
            <w:r>
              <w:rPr>
                <w:rFonts w:ascii="Arial" w:cs="Arial" w:eastAsia="Arial" w:hAnsi="Arial"/>
                <w:sz w:val="14"/>
                <w:szCs w:val="14"/>
                <w:color w:val="auto"/>
              </w:rPr>
              <w:t>Recklinghausen, Germany</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Finance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Golden Bridge Transportation Technology (Hangzhou) Company, Ltd.</w:t>
            </w:r>
          </w:p>
        </w:tc>
        <w:tc>
          <w:tcPr>
            <w:tcW w:w="4040" w:type="dxa"/>
            <w:vAlign w:val="bottom"/>
          </w:tcPr>
          <w:p>
            <w:pPr>
              <w:ind w:left="1120"/>
              <w:spacing w:after="0"/>
              <w:rPr>
                <w:sz w:val="20"/>
                <w:szCs w:val="20"/>
                <w:color w:val="auto"/>
              </w:rPr>
            </w:pPr>
            <w:r>
              <w:rPr>
                <w:rFonts w:ascii="Arial" w:cs="Arial" w:eastAsia="Arial" w:hAnsi="Arial"/>
                <w:sz w:val="14"/>
                <w:szCs w:val="14"/>
                <w:color w:val="auto"/>
              </w:rPr>
              <w:t>Xinwan Town, China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Greenville Real Estate LLC</w:t>
            </w:r>
          </w:p>
        </w:tc>
        <w:tc>
          <w:tcPr>
            <w:tcW w:w="4040" w:type="dxa"/>
            <w:vAlign w:val="bottom"/>
          </w:tcPr>
          <w:p>
            <w:pPr>
              <w:ind w:left="1120"/>
              <w:spacing w:after="0"/>
              <w:rPr>
                <w:sz w:val="20"/>
                <w:szCs w:val="20"/>
                <w:color w:val="auto"/>
              </w:rPr>
            </w:pPr>
            <w:r>
              <w:rPr>
                <w:rFonts w:ascii="Arial" w:cs="Arial" w:eastAsia="Arial" w:hAnsi="Arial"/>
                <w:sz w:val="14"/>
                <w:szCs w:val="14"/>
                <w:color w:val="auto"/>
              </w:rPr>
              <w:t>Greenville, South Carolina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Holding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Holdings South Africa (Pty) Ltd</w:t>
            </w:r>
          </w:p>
        </w:tc>
        <w:tc>
          <w:tcPr>
            <w:tcW w:w="4040" w:type="dxa"/>
            <w:vAlign w:val="bottom"/>
          </w:tcPr>
          <w:p>
            <w:pPr>
              <w:ind w:left="1120"/>
              <w:spacing w:after="0"/>
              <w:rPr>
                <w:sz w:val="20"/>
                <w:szCs w:val="20"/>
                <w:color w:val="auto"/>
              </w:rPr>
            </w:pPr>
            <w:r>
              <w:rPr>
                <w:rFonts w:ascii="Arial" w:cs="Arial" w:eastAsia="Arial" w:hAnsi="Arial"/>
                <w:sz w:val="14"/>
                <w:szCs w:val="14"/>
                <w:color w:val="auto"/>
              </w:rPr>
              <w:t>Johannesburg, South Africa</w:t>
            </w:r>
          </w:p>
        </w:tc>
        <w:tc>
          <w:tcPr>
            <w:tcW w:w="164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India Industrial Private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New Delhi, India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India Transportation Private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Kolkata, India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International, Inc.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Locomotive Private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New Delhi, India</w:t>
            </w:r>
          </w:p>
        </w:tc>
        <w:tc>
          <w:tcPr>
            <w:tcW w:w="164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Manufacturing,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Manufacturing Mexico S. de R.L. de C.V.</w:t>
            </w:r>
          </w:p>
        </w:tc>
        <w:tc>
          <w:tcPr>
            <w:tcW w:w="4040" w:type="dxa"/>
            <w:vAlign w:val="bottom"/>
          </w:tcPr>
          <w:p>
            <w:pPr>
              <w:ind w:left="1120"/>
              <w:spacing w:after="0"/>
              <w:rPr>
                <w:sz w:val="20"/>
                <w:szCs w:val="20"/>
                <w:color w:val="auto"/>
              </w:rPr>
            </w:pPr>
            <w:r>
              <w:rPr>
                <w:rFonts w:ascii="Arial" w:cs="Arial" w:eastAsia="Arial" w:hAnsi="Arial"/>
                <w:sz w:val="14"/>
                <w:szCs w:val="14"/>
                <w:color w:val="auto"/>
              </w:rPr>
              <w:t>San Luis Potosí, Mexico</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Manufacturing Solutions,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Mozambique Limitada</w:t>
            </w:r>
          </w:p>
        </w:tc>
        <w:tc>
          <w:tcPr>
            <w:tcW w:w="4040" w:type="dxa"/>
            <w:vAlign w:val="bottom"/>
          </w:tcPr>
          <w:p>
            <w:pPr>
              <w:ind w:left="1120"/>
              <w:spacing w:after="0"/>
              <w:rPr>
                <w:sz w:val="20"/>
                <w:szCs w:val="20"/>
                <w:color w:val="auto"/>
              </w:rPr>
            </w:pPr>
            <w:r>
              <w:rPr>
                <w:rFonts w:ascii="Arial" w:cs="Arial" w:eastAsia="Arial" w:hAnsi="Arial"/>
                <w:sz w:val="14"/>
                <w:szCs w:val="14"/>
                <w:color w:val="auto"/>
              </w:rPr>
              <w:t>Nacala, Mozambique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MZT AD Skopje</w:t>
            </w:r>
          </w:p>
        </w:tc>
        <w:tc>
          <w:tcPr>
            <w:tcW w:w="4040" w:type="dxa"/>
            <w:vAlign w:val="bottom"/>
          </w:tcPr>
          <w:p>
            <w:pPr>
              <w:ind w:left="1120"/>
              <w:spacing w:after="0"/>
              <w:rPr>
                <w:sz w:val="20"/>
                <w:szCs w:val="20"/>
                <w:color w:val="auto"/>
              </w:rPr>
            </w:pPr>
            <w:r>
              <w:rPr>
                <w:rFonts w:ascii="Arial" w:cs="Arial" w:eastAsia="Arial" w:hAnsi="Arial"/>
                <w:sz w:val="14"/>
                <w:szCs w:val="14"/>
                <w:color w:val="auto"/>
              </w:rPr>
              <w:t>Skopje, Macedonia</w:t>
            </w:r>
          </w:p>
        </w:tc>
        <w:tc>
          <w:tcPr>
            <w:tcW w:w="164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Poland Sp. z.o.o.</w:t>
            </w:r>
          </w:p>
        </w:tc>
        <w:tc>
          <w:tcPr>
            <w:tcW w:w="4040" w:type="dxa"/>
            <w:vAlign w:val="bottom"/>
          </w:tcPr>
          <w:p>
            <w:pPr>
              <w:ind w:left="1120"/>
              <w:spacing w:after="0"/>
              <w:rPr>
                <w:sz w:val="20"/>
                <w:szCs w:val="20"/>
                <w:color w:val="auto"/>
              </w:rPr>
            </w:pPr>
            <w:r>
              <w:rPr>
                <w:rFonts w:ascii="Arial" w:cs="Arial" w:eastAsia="Arial" w:hAnsi="Arial"/>
                <w:sz w:val="14"/>
                <w:szCs w:val="14"/>
                <w:color w:val="auto"/>
              </w:rPr>
              <w:t>Poznan, Poland</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Netherlands BV</w:t>
            </w:r>
          </w:p>
        </w:tc>
        <w:tc>
          <w:tcPr>
            <w:tcW w:w="4040" w:type="dxa"/>
            <w:vAlign w:val="bottom"/>
          </w:tcPr>
          <w:p>
            <w:pPr>
              <w:ind w:left="1120"/>
              <w:spacing w:after="0"/>
              <w:rPr>
                <w:sz w:val="20"/>
                <w:szCs w:val="20"/>
                <w:color w:val="auto"/>
              </w:rPr>
            </w:pPr>
            <w:r>
              <w:rPr>
                <w:rFonts w:ascii="Arial" w:cs="Arial" w:eastAsia="Arial" w:hAnsi="Arial"/>
                <w:sz w:val="14"/>
                <w:szCs w:val="14"/>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Netherlands Holdings BV</w:t>
            </w:r>
          </w:p>
        </w:tc>
        <w:tc>
          <w:tcPr>
            <w:tcW w:w="4040" w:type="dxa"/>
            <w:vAlign w:val="bottom"/>
          </w:tcPr>
          <w:p>
            <w:pPr>
              <w:ind w:left="1120"/>
              <w:spacing w:after="0"/>
              <w:rPr>
                <w:sz w:val="20"/>
                <w:szCs w:val="20"/>
                <w:color w:val="auto"/>
              </w:rPr>
            </w:pPr>
            <w:r>
              <w:rPr>
                <w:rFonts w:ascii="Arial" w:cs="Arial" w:eastAsia="Arial" w:hAnsi="Arial"/>
                <w:sz w:val="14"/>
                <w:szCs w:val="14"/>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Railway Electronics Corporation</w:t>
            </w:r>
          </w:p>
        </w:tc>
        <w:tc>
          <w:tcPr>
            <w:tcW w:w="4040" w:type="dxa"/>
            <w:vAlign w:val="bottom"/>
          </w:tcPr>
          <w:p>
            <w:pPr>
              <w:ind w:left="1120"/>
              <w:spacing w:after="0"/>
              <w:rPr>
                <w:sz w:val="20"/>
                <w:szCs w:val="20"/>
                <w:color w:val="auto"/>
              </w:rPr>
            </w:pPr>
            <w:r>
              <w:rPr>
                <w:rFonts w:ascii="Arial" w:cs="Arial" w:eastAsia="Arial" w:hAnsi="Arial"/>
                <w:sz w:val="14"/>
                <w:szCs w:val="14"/>
                <w:color w:val="auto"/>
              </w:rPr>
              <w:t>Halifax, Nova Scotia, Canada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Railway Electronics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Railway Electronics Manufacturing, Inc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Railway Electronics, Inc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Receivables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Rus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Moscow, Russia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Servicios Administrativos, S.A. de C.V.</w:t>
            </w:r>
          </w:p>
        </w:tc>
        <w:tc>
          <w:tcPr>
            <w:tcW w:w="4040" w:type="dxa"/>
            <w:vAlign w:val="bottom"/>
          </w:tcPr>
          <w:p>
            <w:pPr>
              <w:ind w:left="1120"/>
              <w:spacing w:after="0"/>
              <w:rPr>
                <w:sz w:val="20"/>
                <w:szCs w:val="20"/>
                <w:color w:val="auto"/>
              </w:rPr>
            </w:pPr>
            <w:r>
              <w:rPr>
                <w:rFonts w:ascii="Arial" w:cs="Arial" w:eastAsia="Arial" w:hAnsi="Arial"/>
                <w:sz w:val="14"/>
                <w:szCs w:val="14"/>
                <w:color w:val="auto"/>
              </w:rPr>
              <w:t>San Luis Potosi, Mexico</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South Africa Proprietary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Kempton Park, South Africa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South Africa Technologies (Pty) Ltd</w:t>
            </w:r>
          </w:p>
        </w:tc>
        <w:tc>
          <w:tcPr>
            <w:tcW w:w="4040" w:type="dxa"/>
            <w:vAlign w:val="bottom"/>
          </w:tcPr>
          <w:p>
            <w:pPr>
              <w:ind w:left="1120"/>
              <w:spacing w:after="0"/>
              <w:rPr>
                <w:sz w:val="20"/>
                <w:szCs w:val="20"/>
                <w:color w:val="auto"/>
              </w:rPr>
            </w:pPr>
            <w:r>
              <w:rPr>
                <w:rFonts w:ascii="Arial" w:cs="Arial" w:eastAsia="Arial" w:hAnsi="Arial"/>
                <w:sz w:val="14"/>
                <w:szCs w:val="14"/>
                <w:color w:val="auto"/>
              </w:rPr>
              <w:t>Johannesburg, South Africa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Switzerland IP Holdings GmbH</w:t>
            </w:r>
          </w:p>
        </w:tc>
        <w:tc>
          <w:tcPr>
            <w:tcW w:w="4040" w:type="dxa"/>
            <w:vAlign w:val="bottom"/>
          </w:tcPr>
          <w:p>
            <w:pPr>
              <w:ind w:left="1120"/>
              <w:spacing w:after="0"/>
              <w:rPr>
                <w:sz w:val="20"/>
                <w:szCs w:val="20"/>
                <w:color w:val="auto"/>
              </w:rPr>
            </w:pPr>
            <w:r>
              <w:rPr>
                <w:rFonts w:ascii="Arial" w:cs="Arial" w:eastAsia="Arial" w:hAnsi="Arial"/>
                <w:sz w:val="14"/>
                <w:szCs w:val="14"/>
                <w:color w:val="auto"/>
              </w:rPr>
              <w:t>Zug, Switzerland</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Texmaco Rail Private Limited</w:t>
            </w:r>
          </w:p>
        </w:tc>
        <w:tc>
          <w:tcPr>
            <w:tcW w:w="4040" w:type="dxa"/>
            <w:vAlign w:val="bottom"/>
          </w:tcPr>
          <w:p>
            <w:pPr>
              <w:ind w:left="1120"/>
              <w:spacing w:after="0"/>
              <w:rPr>
                <w:sz w:val="20"/>
                <w:szCs w:val="20"/>
                <w:color w:val="auto"/>
              </w:rPr>
            </w:pPr>
            <w:r>
              <w:rPr>
                <w:rFonts w:ascii="Arial" w:cs="Arial" w:eastAsia="Arial" w:hAnsi="Arial"/>
                <w:sz w:val="14"/>
                <w:szCs w:val="14"/>
                <w:color w:val="auto"/>
              </w:rPr>
              <w:t>Kolkata, India</w:t>
            </w:r>
          </w:p>
        </w:tc>
        <w:tc>
          <w:tcPr>
            <w:tcW w:w="164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Canada Inc.</w:t>
            </w:r>
          </w:p>
        </w:tc>
        <w:tc>
          <w:tcPr>
            <w:tcW w:w="4040" w:type="dxa"/>
            <w:vAlign w:val="bottom"/>
          </w:tcPr>
          <w:p>
            <w:pPr>
              <w:ind w:left="1120"/>
              <w:spacing w:after="0"/>
              <w:rPr>
                <w:sz w:val="20"/>
                <w:szCs w:val="20"/>
                <w:color w:val="auto"/>
              </w:rPr>
            </w:pPr>
            <w:r>
              <w:rPr>
                <w:rFonts w:ascii="Arial" w:cs="Arial" w:eastAsia="Arial" w:hAnsi="Arial"/>
                <w:sz w:val="14"/>
                <w:szCs w:val="14"/>
                <w:color w:val="auto"/>
              </w:rPr>
              <w:t>Ontario, Canada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Egypt Services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New Cairo, Egypt</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Engines Holding B.V. .</w:t>
            </w:r>
          </w:p>
        </w:tc>
        <w:tc>
          <w:tcPr>
            <w:tcW w:w="4040" w:type="dxa"/>
            <w:vAlign w:val="bottom"/>
          </w:tcPr>
          <w:p>
            <w:pPr>
              <w:ind w:left="1120"/>
              <w:spacing w:after="0"/>
              <w:rPr>
                <w:sz w:val="20"/>
                <w:szCs w:val="20"/>
                <w:color w:val="auto"/>
              </w:rPr>
            </w:pPr>
            <w:r>
              <w:rPr>
                <w:rFonts w:ascii="Arial" w:cs="Arial" w:eastAsia="Arial" w:hAnsi="Arial"/>
                <w:sz w:val="14"/>
                <w:szCs w:val="14"/>
                <w:color w:val="auto"/>
              </w:rPr>
              <w:t>Breda, Netherlands</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Global Holdings, LLC</w:t>
            </w:r>
          </w:p>
        </w:tc>
        <w:tc>
          <w:tcPr>
            <w:tcW w:w="4040" w:type="dxa"/>
            <w:vAlign w:val="bottom"/>
          </w:tcPr>
          <w:p>
            <w:pPr>
              <w:ind w:left="1120"/>
              <w:spacing w:after="0"/>
              <w:rPr>
                <w:sz w:val="20"/>
                <w:szCs w:val="20"/>
                <w:color w:val="auto"/>
              </w:rPr>
            </w:pPr>
            <w:r>
              <w:rPr>
                <w:rFonts w:ascii="Arial" w:cs="Arial" w:eastAsia="Arial" w:hAnsi="Arial"/>
                <w:sz w:val="14"/>
                <w:szCs w:val="14"/>
                <w:color w:val="auto"/>
              </w:rPr>
              <w:t>Wilmington, Delaware</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Group Holdings Pty Ltd.</w:t>
            </w:r>
          </w:p>
        </w:tc>
        <w:tc>
          <w:tcPr>
            <w:tcW w:w="4040" w:type="dxa"/>
            <w:vAlign w:val="bottom"/>
          </w:tcPr>
          <w:p>
            <w:pPr>
              <w:ind w:left="1120"/>
              <w:spacing w:after="0"/>
              <w:rPr>
                <w:sz w:val="20"/>
                <w:szCs w:val="20"/>
                <w:color w:val="auto"/>
              </w:rPr>
            </w:pPr>
            <w:r>
              <w:rPr>
                <w:rFonts w:ascii="Arial" w:cs="Arial" w:eastAsia="Arial" w:hAnsi="Arial"/>
                <w:sz w:val="14"/>
                <w:szCs w:val="14"/>
                <w:color w:val="auto"/>
              </w:rPr>
              <w:t>Richmond, Australia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Holding GmbH</w:t>
            </w:r>
          </w:p>
        </w:tc>
        <w:tc>
          <w:tcPr>
            <w:tcW w:w="4040" w:type="dxa"/>
            <w:vAlign w:val="bottom"/>
          </w:tcPr>
          <w:p>
            <w:pPr>
              <w:ind w:left="1120"/>
              <w:spacing w:after="0"/>
              <w:rPr>
                <w:sz w:val="20"/>
                <w:szCs w:val="20"/>
                <w:color w:val="auto"/>
              </w:rPr>
            </w:pPr>
            <w:r>
              <w:rPr>
                <w:rFonts w:ascii="Arial" w:cs="Arial" w:eastAsia="Arial" w:hAnsi="Arial"/>
                <w:sz w:val="14"/>
                <w:szCs w:val="14"/>
                <w:color w:val="auto"/>
              </w:rPr>
              <w:t>Zug, Switzerland</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Netherlands B.V..</w:t>
            </w:r>
          </w:p>
        </w:tc>
        <w:tc>
          <w:tcPr>
            <w:tcW w:w="4040" w:type="dxa"/>
            <w:vAlign w:val="bottom"/>
          </w:tcPr>
          <w:p>
            <w:pPr>
              <w:ind w:left="1120"/>
              <w:spacing w:after="0"/>
              <w:rPr>
                <w:sz w:val="20"/>
                <w:szCs w:val="20"/>
                <w:color w:val="auto"/>
              </w:rPr>
            </w:pPr>
            <w:r>
              <w:rPr>
                <w:rFonts w:ascii="Arial" w:cs="Arial" w:eastAsia="Arial" w:hAnsi="Arial"/>
                <w:sz w:val="14"/>
                <w:szCs w:val="14"/>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Netherlands Holdings B.V..</w:t>
            </w:r>
          </w:p>
        </w:tc>
        <w:tc>
          <w:tcPr>
            <w:tcW w:w="4040" w:type="dxa"/>
            <w:vAlign w:val="bottom"/>
          </w:tcPr>
          <w:p>
            <w:pPr>
              <w:ind w:left="1120"/>
              <w:spacing w:after="0"/>
              <w:rPr>
                <w:sz w:val="20"/>
                <w:szCs w:val="20"/>
                <w:color w:val="auto"/>
              </w:rPr>
            </w:pPr>
            <w:r>
              <w:rPr>
                <w:rFonts w:ascii="Arial" w:cs="Arial" w:eastAsia="Arial" w:hAnsi="Arial"/>
                <w:sz w:val="14"/>
                <w:szCs w:val="14"/>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5520" w:type="dxa"/>
            <w:vAlign w:val="bottom"/>
          </w:tcPr>
          <w:p>
            <w:pPr>
              <w:spacing w:after="0"/>
              <w:rPr>
                <w:sz w:val="20"/>
                <w:szCs w:val="20"/>
                <w:color w:val="auto"/>
              </w:rPr>
            </w:pPr>
            <w:r>
              <w:rPr>
                <w:rFonts w:ascii="Arial" w:cs="Arial" w:eastAsia="Arial" w:hAnsi="Arial"/>
                <w:sz w:val="14"/>
                <w:szCs w:val="14"/>
                <w:color w:val="auto"/>
              </w:rPr>
              <w:t>Wabtec Transportation System (Shenyang) Co. Ltd.</w:t>
            </w:r>
          </w:p>
        </w:tc>
        <w:tc>
          <w:tcPr>
            <w:tcW w:w="4040" w:type="dxa"/>
            <w:vAlign w:val="bottom"/>
          </w:tcPr>
          <w:p>
            <w:pPr>
              <w:ind w:left="1120"/>
              <w:spacing w:after="0"/>
              <w:rPr>
                <w:sz w:val="20"/>
                <w:szCs w:val="20"/>
                <w:color w:val="auto"/>
              </w:rPr>
            </w:pPr>
            <w:r>
              <w:rPr>
                <w:rFonts w:ascii="Arial" w:cs="Arial" w:eastAsia="Arial" w:hAnsi="Arial"/>
                <w:sz w:val="14"/>
                <w:szCs w:val="14"/>
                <w:color w:val="auto"/>
              </w:rPr>
              <w:t>Shenyang, China</w:t>
            </w:r>
          </w:p>
        </w:tc>
        <w:tc>
          <w:tcPr>
            <w:tcW w:w="164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Pr>
          <w:p>
            <w:pPr>
              <w:spacing w:after="0"/>
              <w:rPr>
                <w:sz w:val="20"/>
                <w:szCs w:val="20"/>
                <w:color w:val="auto"/>
              </w:rPr>
            </w:pPr>
            <w:r>
              <w:rPr>
                <w:rFonts w:ascii="Arial" w:cs="Arial" w:eastAsia="Arial" w:hAnsi="Arial"/>
                <w:sz w:val="14"/>
                <w:szCs w:val="14"/>
                <w:color w:val="auto"/>
              </w:rPr>
              <w:t>Wabtec Transportation Systems Co. Ltd.</w:t>
            </w:r>
          </w:p>
        </w:tc>
        <w:tc>
          <w:tcPr>
            <w:tcW w:w="4900" w:type="dxa"/>
            <w:vAlign w:val="bottom"/>
          </w:tcPr>
          <w:p>
            <w:pPr>
              <w:ind w:left="2020"/>
              <w:spacing w:after="0"/>
              <w:rPr>
                <w:sz w:val="20"/>
                <w:szCs w:val="20"/>
                <w:color w:val="auto"/>
              </w:rPr>
            </w:pPr>
            <w:r>
              <w:rPr>
                <w:rFonts w:ascii="Arial" w:cs="Arial" w:eastAsia="Arial" w:hAnsi="Arial"/>
                <w:sz w:val="14"/>
                <w:szCs w:val="14"/>
                <w:color w:val="auto"/>
              </w:rPr>
              <w:t>Beijing,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Transportation Systems Limited.</w:t>
            </w:r>
          </w:p>
        </w:tc>
        <w:tc>
          <w:tcPr>
            <w:tcW w:w="4900" w:type="dxa"/>
            <w:vAlign w:val="bottom"/>
          </w:tcPr>
          <w:p>
            <w:pPr>
              <w:ind w:left="2020"/>
              <w:spacing w:after="0"/>
              <w:rPr>
                <w:sz w:val="20"/>
                <w:szCs w:val="20"/>
                <w:color w:val="auto"/>
              </w:rPr>
            </w:pPr>
            <w:r>
              <w:rPr>
                <w:rFonts w:ascii="Arial" w:cs="Arial" w:eastAsia="Arial" w:hAnsi="Arial"/>
                <w:sz w:val="14"/>
                <w:szCs w:val="14"/>
                <w:color w:val="auto"/>
              </w:rPr>
              <w:t>Altrincham, England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Transportation Systems, LLC.</w:t>
            </w:r>
          </w:p>
        </w:tc>
        <w:tc>
          <w:tcPr>
            <w:tcW w:w="4900" w:type="dxa"/>
            <w:vAlign w:val="bottom"/>
          </w:tcPr>
          <w:p>
            <w:pPr>
              <w:ind w:left="2020"/>
              <w:spacing w:after="0"/>
              <w:rPr>
                <w:sz w:val="20"/>
                <w:szCs w:val="20"/>
                <w:color w:val="auto"/>
              </w:rPr>
            </w:pPr>
            <w:r>
              <w:rPr>
                <w:rFonts w:ascii="Arial" w:cs="Arial" w:eastAsia="Arial" w:hAnsi="Arial"/>
                <w:sz w:val="14"/>
                <w:szCs w:val="14"/>
                <w:color w:val="auto"/>
              </w:rPr>
              <w:t>Wilmington, Delaware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UK Holdings Limited</w:t>
            </w:r>
          </w:p>
        </w:tc>
        <w:tc>
          <w:tcPr>
            <w:tcW w:w="4900" w:type="dxa"/>
            <w:vAlign w:val="bottom"/>
          </w:tcPr>
          <w:p>
            <w:pPr>
              <w:ind w:left="2020"/>
              <w:spacing w:after="0"/>
              <w:rPr>
                <w:sz w:val="20"/>
                <w:szCs w:val="20"/>
                <w:color w:val="auto"/>
              </w:rPr>
            </w:pPr>
            <w:r>
              <w:rPr>
                <w:rFonts w:ascii="Arial" w:cs="Arial" w:eastAsia="Arial" w:hAnsi="Arial"/>
                <w:sz w:val="14"/>
                <w:szCs w:val="14"/>
                <w:color w:val="auto"/>
              </w:rPr>
              <w:t>Staffordshire, England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UK Investments Limited</w:t>
            </w:r>
          </w:p>
        </w:tc>
        <w:tc>
          <w:tcPr>
            <w:tcW w:w="4900" w:type="dxa"/>
            <w:vAlign w:val="bottom"/>
          </w:tcPr>
          <w:p>
            <w:pPr>
              <w:ind w:left="2020"/>
              <w:spacing w:after="0"/>
              <w:rPr>
                <w:sz w:val="20"/>
                <w:szCs w:val="20"/>
                <w:color w:val="auto"/>
              </w:rPr>
            </w:pPr>
            <w:r>
              <w:rPr>
                <w:rFonts w:ascii="Arial" w:cs="Arial" w:eastAsia="Arial" w:hAnsi="Arial"/>
                <w:sz w:val="14"/>
                <w:szCs w:val="14"/>
                <w:color w:val="auto"/>
              </w:rPr>
              <w:t>Manchester, England</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UK Limited</w:t>
            </w:r>
          </w:p>
        </w:tc>
        <w:tc>
          <w:tcPr>
            <w:tcW w:w="4900" w:type="dxa"/>
            <w:vAlign w:val="bottom"/>
          </w:tcPr>
          <w:p>
            <w:pPr>
              <w:ind w:left="2020"/>
              <w:spacing w:after="0"/>
              <w:rPr>
                <w:sz w:val="20"/>
                <w:szCs w:val="20"/>
                <w:color w:val="auto"/>
              </w:rPr>
            </w:pPr>
            <w:r>
              <w:rPr>
                <w:rFonts w:ascii="Arial" w:cs="Arial" w:eastAsia="Arial" w:hAnsi="Arial"/>
                <w:sz w:val="14"/>
                <w:szCs w:val="14"/>
                <w:color w:val="auto"/>
              </w:rPr>
              <w:t>Doncaster, S.Yorkshire, UK</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US Rail Holdings, Inc.</w:t>
            </w:r>
          </w:p>
        </w:tc>
        <w:tc>
          <w:tcPr>
            <w:tcW w:w="4900" w:type="dxa"/>
            <w:vAlign w:val="bottom"/>
          </w:tcPr>
          <w:p>
            <w:pPr>
              <w:ind w:left="2020"/>
              <w:spacing w:after="0"/>
              <w:rPr>
                <w:sz w:val="20"/>
                <w:szCs w:val="20"/>
                <w:color w:val="auto"/>
              </w:rPr>
            </w:pPr>
            <w:r>
              <w:rPr>
                <w:rFonts w:ascii="Arial" w:cs="Arial" w:eastAsia="Arial" w:hAnsi="Arial"/>
                <w:sz w:val="14"/>
                <w:szCs w:val="14"/>
                <w:color w:val="auto"/>
              </w:rPr>
              <w:t>Wilmington, Delaware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 US Rail, Inc.</w:t>
            </w:r>
          </w:p>
        </w:tc>
        <w:tc>
          <w:tcPr>
            <w:tcW w:w="4900" w:type="dxa"/>
            <w:vAlign w:val="bottom"/>
          </w:tcPr>
          <w:p>
            <w:pPr>
              <w:ind w:left="2020"/>
              <w:spacing w:after="0"/>
              <w:rPr>
                <w:sz w:val="20"/>
                <w:szCs w:val="20"/>
                <w:color w:val="auto"/>
              </w:rPr>
            </w:pPr>
            <w:r>
              <w:rPr>
                <w:rFonts w:ascii="Arial" w:cs="Arial" w:eastAsia="Arial" w:hAnsi="Arial"/>
                <w:sz w:val="14"/>
                <w:szCs w:val="14"/>
                <w:color w:val="auto"/>
              </w:rPr>
              <w:t>Wilmington, Delaware</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Wabtec-UWC Ltd</w:t>
            </w:r>
          </w:p>
        </w:tc>
        <w:tc>
          <w:tcPr>
            <w:tcW w:w="4900" w:type="dxa"/>
            <w:vAlign w:val="bottom"/>
          </w:tcPr>
          <w:p>
            <w:pPr>
              <w:ind w:left="2020"/>
              <w:spacing w:after="0"/>
              <w:rPr>
                <w:sz w:val="20"/>
                <w:szCs w:val="20"/>
                <w:color w:val="auto"/>
              </w:rPr>
            </w:pPr>
            <w:r>
              <w:rPr>
                <w:rFonts w:ascii="Arial" w:cs="Arial" w:eastAsia="Arial" w:hAnsi="Arial"/>
                <w:sz w:val="14"/>
                <w:szCs w:val="14"/>
                <w:color w:val="auto"/>
              </w:rPr>
              <w:t>Limassol, Cyprus</w:t>
            </w:r>
          </w:p>
        </w:tc>
        <w:tc>
          <w:tcPr>
            <w:tcW w:w="168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Westinghouse Railway Holdings (Canada) Inc.</w:t>
            </w:r>
          </w:p>
        </w:tc>
        <w:tc>
          <w:tcPr>
            <w:tcW w:w="4900" w:type="dxa"/>
            <w:vAlign w:val="bottom"/>
          </w:tcPr>
          <w:p>
            <w:pPr>
              <w:ind w:left="2020"/>
              <w:spacing w:after="0"/>
              <w:rPr>
                <w:sz w:val="20"/>
                <w:szCs w:val="20"/>
                <w:color w:val="auto"/>
              </w:rPr>
            </w:pPr>
            <w:r>
              <w:rPr>
                <w:rFonts w:ascii="Arial" w:cs="Arial" w:eastAsia="Arial" w:hAnsi="Arial"/>
                <w:sz w:val="14"/>
                <w:szCs w:val="14"/>
                <w:color w:val="auto"/>
              </w:rPr>
              <w:t>Toronto, Ontario, Canada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Workhorse Rail, LLC</w:t>
            </w:r>
          </w:p>
        </w:tc>
        <w:tc>
          <w:tcPr>
            <w:tcW w:w="4900" w:type="dxa"/>
            <w:vAlign w:val="bottom"/>
          </w:tcPr>
          <w:p>
            <w:pPr>
              <w:ind w:left="2020"/>
              <w:spacing w:after="0"/>
              <w:rPr>
                <w:sz w:val="20"/>
                <w:szCs w:val="20"/>
                <w:color w:val="auto"/>
              </w:rPr>
            </w:pPr>
            <w:r>
              <w:rPr>
                <w:rFonts w:ascii="Arial" w:cs="Arial" w:eastAsia="Arial" w:hAnsi="Arial"/>
                <w:sz w:val="14"/>
                <w:szCs w:val="14"/>
                <w:color w:val="auto"/>
              </w:rPr>
              <w:t>Pittsburgh, Pennsylvania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Xorail, Inc.</w:t>
            </w:r>
          </w:p>
        </w:tc>
        <w:tc>
          <w:tcPr>
            <w:tcW w:w="4900" w:type="dxa"/>
            <w:vAlign w:val="bottom"/>
          </w:tcPr>
          <w:p>
            <w:pPr>
              <w:ind w:left="2020"/>
              <w:spacing w:after="0"/>
              <w:rPr>
                <w:sz w:val="20"/>
                <w:szCs w:val="20"/>
                <w:color w:val="auto"/>
              </w:rPr>
            </w:pPr>
            <w:r>
              <w:rPr>
                <w:rFonts w:ascii="Arial" w:cs="Arial" w:eastAsia="Arial" w:hAnsi="Arial"/>
                <w:sz w:val="14"/>
                <w:szCs w:val="14"/>
                <w:color w:val="auto"/>
              </w:rPr>
              <w:t>Jacksonville, Florida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Young Touchstone Company</w:t>
            </w:r>
          </w:p>
        </w:tc>
        <w:tc>
          <w:tcPr>
            <w:tcW w:w="4900" w:type="dxa"/>
            <w:vAlign w:val="bottom"/>
          </w:tcPr>
          <w:p>
            <w:pPr>
              <w:ind w:left="2020"/>
              <w:spacing w:after="0"/>
              <w:rPr>
                <w:sz w:val="20"/>
                <w:szCs w:val="20"/>
                <w:color w:val="auto"/>
              </w:rPr>
            </w:pPr>
            <w:r>
              <w:rPr>
                <w:rFonts w:ascii="Arial" w:cs="Arial" w:eastAsia="Arial" w:hAnsi="Arial"/>
                <w:sz w:val="14"/>
                <w:szCs w:val="14"/>
                <w:color w:val="auto"/>
              </w:rPr>
              <w:t>Oak Creek, Wisconsin</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Zhongshan MorsSmitt Relay Ltd.</w:t>
            </w:r>
          </w:p>
        </w:tc>
        <w:tc>
          <w:tcPr>
            <w:tcW w:w="4900" w:type="dxa"/>
            <w:vAlign w:val="bottom"/>
          </w:tcPr>
          <w:p>
            <w:pPr>
              <w:ind w:left="2020"/>
              <w:spacing w:after="0"/>
              <w:rPr>
                <w:sz w:val="20"/>
                <w:szCs w:val="20"/>
                <w:color w:val="auto"/>
              </w:rPr>
            </w:pPr>
            <w:r>
              <w:rPr>
                <w:rFonts w:ascii="Arial" w:cs="Arial" w:eastAsia="Arial" w:hAnsi="Arial"/>
                <w:sz w:val="14"/>
                <w:szCs w:val="14"/>
                <w:color w:val="auto"/>
              </w:rPr>
              <w:t>Zhongshan, China</w:t>
            </w:r>
          </w:p>
        </w:tc>
        <w:tc>
          <w:tcPr>
            <w:tcW w:w="168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20"/>
          </w:cols>
          <w:pgMar w:left="340" w:top="59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22.0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Guarantor Subsidiaries of Westinghouse Air Brake Technologies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obligations under the Company's US Notes, the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US Notes and Senior Credit Facility</w:t>
      </w:r>
    </w:p>
    <w:p>
      <w:pPr>
        <w:spacing w:after="0" w:line="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i w:val="1"/>
          <w:iCs w:val="1"/>
          <w:u w:val="single" w:color="auto"/>
          <w:color w:val="auto"/>
        </w:rPr>
        <w:t>Guarantors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GE Transportation, a Wabtec Company</w:t>
      </w:r>
    </w:p>
    <w:p>
      <w:pPr>
        <w:ind w:left="1260"/>
        <w:spacing w:after="0" w:line="226" w:lineRule="auto"/>
        <w:rPr>
          <w:sz w:val="20"/>
          <w:szCs w:val="20"/>
          <w:color w:val="auto"/>
        </w:rPr>
      </w:pPr>
      <w:r>
        <w:rPr>
          <w:rFonts w:ascii="Arial" w:cs="Arial" w:eastAsia="Arial" w:hAnsi="Arial"/>
          <w:sz w:val="17"/>
          <w:szCs w:val="17"/>
          <w:color w:val="auto"/>
        </w:rPr>
        <w:t>RFPC Holding Corp.</w:t>
      </w:r>
    </w:p>
    <w:p>
      <w:pPr>
        <w:ind w:left="1260"/>
        <w:spacing w:after="0" w:line="225" w:lineRule="auto"/>
        <w:rPr>
          <w:sz w:val="20"/>
          <w:szCs w:val="20"/>
          <w:color w:val="auto"/>
        </w:rPr>
      </w:pPr>
      <w:r>
        <w:rPr>
          <w:rFonts w:ascii="Arial" w:cs="Arial" w:eastAsia="Arial" w:hAnsi="Arial"/>
          <w:sz w:val="17"/>
          <w:szCs w:val="17"/>
          <w:color w:val="auto"/>
        </w:rPr>
        <w:t>Schaefer Equipment, Inc.</w:t>
      </w:r>
    </w:p>
    <w:p>
      <w:pPr>
        <w:ind w:left="1260"/>
        <w:spacing w:after="0" w:line="225" w:lineRule="auto"/>
        <w:rPr>
          <w:sz w:val="20"/>
          <w:szCs w:val="20"/>
          <w:color w:val="auto"/>
        </w:rPr>
      </w:pPr>
      <w:r>
        <w:rPr>
          <w:rFonts w:ascii="Arial" w:cs="Arial" w:eastAsia="Arial" w:hAnsi="Arial"/>
          <w:sz w:val="17"/>
          <w:szCs w:val="17"/>
          <w:color w:val="auto"/>
        </w:rPr>
        <w:t>Standard Car Truck Company</w:t>
      </w:r>
    </w:p>
    <w:p>
      <w:pPr>
        <w:ind w:left="1260"/>
        <w:spacing w:after="0" w:line="225" w:lineRule="auto"/>
        <w:rPr>
          <w:sz w:val="20"/>
          <w:szCs w:val="20"/>
          <w:color w:val="auto"/>
        </w:rPr>
      </w:pPr>
      <w:r>
        <w:rPr>
          <w:rFonts w:ascii="Arial" w:cs="Arial" w:eastAsia="Arial" w:hAnsi="Arial"/>
          <w:sz w:val="17"/>
          <w:szCs w:val="17"/>
          <w:color w:val="auto"/>
        </w:rPr>
        <w:t>Transportation IP Holdings, LLC</w:t>
      </w:r>
    </w:p>
    <w:p>
      <w:pPr>
        <w:ind w:left="1260"/>
        <w:spacing w:after="0" w:line="225" w:lineRule="auto"/>
        <w:rPr>
          <w:sz w:val="20"/>
          <w:szCs w:val="20"/>
          <w:color w:val="auto"/>
        </w:rPr>
      </w:pPr>
      <w:r>
        <w:rPr>
          <w:rFonts w:ascii="Arial" w:cs="Arial" w:eastAsia="Arial" w:hAnsi="Arial"/>
          <w:sz w:val="17"/>
          <w:szCs w:val="17"/>
          <w:color w:val="auto"/>
        </w:rPr>
        <w:t>Transportation Systems Services Operations Inc.</w:t>
      </w:r>
    </w:p>
    <w:p>
      <w:pPr>
        <w:ind w:left="1260"/>
        <w:spacing w:after="0" w:line="226" w:lineRule="auto"/>
        <w:rPr>
          <w:sz w:val="20"/>
          <w:szCs w:val="20"/>
          <w:color w:val="auto"/>
        </w:rPr>
      </w:pPr>
      <w:r>
        <w:rPr>
          <w:rFonts w:ascii="Arial" w:cs="Arial" w:eastAsia="Arial" w:hAnsi="Arial"/>
          <w:sz w:val="17"/>
          <w:szCs w:val="17"/>
          <w:color w:val="auto"/>
        </w:rPr>
        <w:t>Wabtec Holding Corp.</w:t>
      </w:r>
    </w:p>
    <w:p>
      <w:pPr>
        <w:ind w:left="1260"/>
        <w:spacing w:after="0" w:line="225" w:lineRule="auto"/>
        <w:rPr>
          <w:sz w:val="20"/>
          <w:szCs w:val="20"/>
          <w:color w:val="auto"/>
        </w:rPr>
      </w:pPr>
      <w:r>
        <w:rPr>
          <w:rFonts w:ascii="Arial" w:cs="Arial" w:eastAsia="Arial" w:hAnsi="Arial"/>
          <w:sz w:val="17"/>
          <w:szCs w:val="17"/>
          <w:color w:val="auto"/>
        </w:rPr>
        <w:t>Wabtec Railway Electronics Holdings, LLC</w:t>
      </w:r>
    </w:p>
    <w:p>
      <w:pPr>
        <w:ind w:left="1260"/>
        <w:spacing w:after="0" w:line="225" w:lineRule="auto"/>
        <w:rPr>
          <w:sz w:val="20"/>
          <w:szCs w:val="20"/>
          <w:color w:val="auto"/>
        </w:rPr>
      </w:pPr>
      <w:r>
        <w:rPr>
          <w:rFonts w:ascii="Arial" w:cs="Arial" w:eastAsia="Arial" w:hAnsi="Arial"/>
          <w:sz w:val="17"/>
          <w:szCs w:val="17"/>
          <w:color w:val="auto"/>
        </w:rPr>
        <w:t>Wabtec Transportation Systems, LLC</w:t>
      </w:r>
    </w:p>
    <w:p>
      <w:pPr>
        <w:ind w:left="1260"/>
        <w:spacing w:after="0"/>
        <w:rPr>
          <w:sz w:val="20"/>
          <w:szCs w:val="20"/>
          <w:color w:val="auto"/>
        </w:rPr>
      </w:pPr>
      <w:r>
        <w:rPr>
          <w:rFonts w:ascii="Arial" w:cs="Arial" w:eastAsia="Arial" w:hAnsi="Arial"/>
          <w:sz w:val="17"/>
          <w:szCs w:val="17"/>
          <w:color w:val="auto"/>
        </w:rPr>
        <w:t>Workhorse Rail, LLC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Euro Notes</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Wabtec Transportation Netherlands B.V.</w:t>
      </w:r>
    </w:p>
    <w:p>
      <w:pPr>
        <w:spacing w:after="0"/>
        <w:tabs>
          <w:tab w:leader="none" w:pos="960" w:val="left"/>
        </w:tabs>
        <w:rPr>
          <w:sz w:val="20"/>
          <w:szCs w:val="20"/>
          <w:color w:val="auto"/>
        </w:rPr>
      </w:pPr>
      <w:r>
        <w:rPr>
          <w:rFonts w:ascii="Arial" w:cs="Arial" w:eastAsia="Arial" w:hAnsi="Arial"/>
          <w:sz w:val="17"/>
          <w:szCs w:val="17"/>
          <w:i w:val="1"/>
          <w:iCs w:val="1"/>
          <w:u w:val="single" w:color="auto"/>
          <w:color w:val="auto"/>
        </w:rPr>
        <w:t>Guarantor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ectPr>
          <w:pgSz w:w="11900" w:h="16838" w:orient="portrait"/>
          <w:cols w:equalWidth="0" w:num="1">
            <w:col w:w="11240"/>
          </w:cols>
          <w:pgMar w:left="320" w:top="137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23.1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71" w:lineRule="exact"/>
        <w:rPr>
          <w:sz w:val="20"/>
          <w:szCs w:val="20"/>
          <w:color w:val="auto"/>
        </w:rPr>
      </w:pPr>
    </w:p>
    <w:p>
      <w:pPr>
        <w:ind w:left="640" w:right="380" w:hanging="321"/>
        <w:spacing w:after="0" w:line="233"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333-53753) pertaining to the 1998 Employee Stock Purchase Plan of Westinghouse Air Brake Technologies Corporation,</w:t>
      </w:r>
    </w:p>
    <w:p>
      <w:pPr>
        <w:spacing w:after="0" w:line="1" w:lineRule="exact"/>
        <w:rPr>
          <w:rFonts w:ascii="Arial" w:cs="Arial" w:eastAsia="Arial" w:hAnsi="Arial"/>
          <w:sz w:val="17"/>
          <w:szCs w:val="17"/>
          <w:color w:val="auto"/>
        </w:rPr>
      </w:pPr>
    </w:p>
    <w:p>
      <w:pPr>
        <w:ind w:left="640" w:right="680" w:hanging="321"/>
        <w:spacing w:after="0" w:line="225"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333-39159) pertaining to the 1997 Executive Retirement Plan of Westinghouse Air Brake Technologies Corporation,</w:t>
      </w:r>
    </w:p>
    <w:p>
      <w:pPr>
        <w:ind w:left="640" w:right="260" w:hanging="321"/>
        <w:spacing w:after="0" w:line="225"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333-02979) pertaining to the 1995 Non-Employee Directors’ Fee and Stock Option Plan of Westinghouse Air Brake Technologies Corporation,</w:t>
      </w:r>
    </w:p>
    <w:p>
      <w:pPr>
        <w:ind w:left="640" w:right="780" w:hanging="321"/>
        <w:spacing w:after="0" w:line="225"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333-115014) pertaining to the 2004 Bonus Plan Agreements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S-8 No. 333-137985) pertaining to the 2000 Stock Incentive Plan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S-8 No. 333-41840) pertaining to the 2000 Stock Inventive Plan of Westinghouse Air Brake Technologies Corporation,</w:t>
      </w:r>
    </w:p>
    <w:p>
      <w:pPr>
        <w:ind w:left="640" w:right="260" w:hanging="321"/>
        <w:spacing w:after="0" w:line="225"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333-40468) pertaining to the 1995 Non-Employee Directors’ Fee and Stock Option Plan of Westinghouse Air Brake Technologies Corporation,</w:t>
      </w:r>
    </w:p>
    <w:p>
      <w:pPr>
        <w:ind w:left="620" w:hanging="301"/>
        <w:spacing w:after="0" w:line="225"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333-35744) pertaining to the 2000 Savings Plan of Westinghouse Air Brake Technologies Corporation,</w:t>
      </w:r>
    </w:p>
    <w:p>
      <w:pPr>
        <w:ind w:left="640" w:right="240" w:hanging="321"/>
        <w:spacing w:after="0" w:line="225"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333-89086) pertaining to the 2002 Employee Stock Ownership Plan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S-8 No. 333-179857) pertaining to the 2011 Stock Incentive Plan of Westinghouse Air Brake Technologies Corporation,</w:t>
      </w:r>
    </w:p>
    <w:p>
      <w:pPr>
        <w:ind w:left="640" w:right="60" w:hanging="321"/>
        <w:spacing w:after="0" w:line="225" w:lineRule="auto"/>
        <w:tabs>
          <w:tab w:leader="none" w:pos="6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219662) pertaining to the 1995 Non-Employee Directors' Fee and Stock Option Plan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S-8 No. 219663) pertaining to the 2011 Stock Incentive Plan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S-3 No. 333-231125)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S-3 No. 333-240166) of Westinghouse Air Brake Technologies Corporation,</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S-3 No. 333-248731) of Westinghouse Air Brake Technologies Corporation,</w:t>
      </w:r>
    </w:p>
    <w:p>
      <w:pPr>
        <w:ind w:left="640" w:right="60" w:hanging="321"/>
        <w:spacing w:after="0" w:line="225" w:lineRule="auto"/>
        <w:tabs>
          <w:tab w:leader="none" w:pos="62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Registration Statement (Form S-8 No. 333-253256) pertaining to the 2011 Stock Incentive Plan (as Amended and Restated effective May 15, 2020) (as amended by Amendment Number One dated January 14, 2021) of Westinghouse Air Brake Technologies Corporation, and</w:t>
      </w:r>
    </w:p>
    <w:p>
      <w:pPr>
        <w:ind w:left="620" w:hanging="301"/>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Registration Statement (Form S-3 No. 333-256296) of Westinghouse Air Brake Technologies Corporation;</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of our reports dated February 17, 2022,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2021.</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ectPr>
          <w:pgSz w:w="11900" w:h="16838" w:orient="portrait"/>
          <w:cols w:equalWidth="0" w:num="1">
            <w:col w:w="11240"/>
          </w:cols>
          <w:pgMar w:left="320" w:top="86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Rafael Santana, certify that:</w:t>
      </w:r>
    </w:p>
    <w:p>
      <w:pPr>
        <w:spacing w:after="0" w:line="119" w:lineRule="exact"/>
        <w:rPr>
          <w:sz w:val="20"/>
          <w:szCs w:val="20"/>
          <w:color w:val="auto"/>
        </w:rPr>
      </w:pPr>
    </w:p>
    <w:p>
      <w:pPr>
        <w:ind w:left="660" w:hanging="184"/>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Westinghouse Air Brake Technologies Corporation.</w:t>
      </w:r>
    </w:p>
    <w:p>
      <w:pPr>
        <w:spacing w:after="0" w:line="118" w:lineRule="exact"/>
        <w:rPr>
          <w:rFonts w:ascii="Arial" w:cs="Arial" w:eastAsia="Arial" w:hAnsi="Arial"/>
          <w:sz w:val="17"/>
          <w:szCs w:val="17"/>
          <w:color w:val="auto"/>
        </w:rPr>
      </w:pPr>
    </w:p>
    <w:p>
      <w:pPr>
        <w:ind w:right="180" w:firstLine="476"/>
        <w:spacing w:after="0" w:line="273" w:lineRule="auto"/>
        <w:tabs>
          <w:tab w:leader="none" w:pos="6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6" w:lineRule="exact"/>
        <w:rPr>
          <w:rFonts w:ascii="Arial" w:cs="Arial" w:eastAsia="Arial" w:hAnsi="Arial"/>
          <w:sz w:val="17"/>
          <w:szCs w:val="17"/>
          <w:color w:val="auto"/>
        </w:rPr>
      </w:pPr>
    </w:p>
    <w:p>
      <w:pPr>
        <w:ind w:right="140" w:firstLine="476"/>
        <w:spacing w:after="0" w:line="289" w:lineRule="auto"/>
        <w:tabs>
          <w:tab w:leader="none" w:pos="6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Arial" w:cs="Arial" w:eastAsia="Arial" w:hAnsi="Arial"/>
          <w:sz w:val="17"/>
          <w:szCs w:val="17"/>
          <w:color w:val="auto"/>
        </w:rPr>
      </w:pPr>
    </w:p>
    <w:p>
      <w:pPr>
        <w:ind w:right="160" w:firstLine="476"/>
        <w:spacing w:after="0" w:line="273" w:lineRule="auto"/>
        <w:tabs>
          <w:tab w:leader="none" w:pos="6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6" w:lineRule="exact"/>
        <w:rPr>
          <w:rFonts w:ascii="Arial" w:cs="Arial" w:eastAsia="Arial" w:hAnsi="Arial"/>
          <w:sz w:val="17"/>
          <w:szCs w:val="17"/>
          <w:color w:val="auto"/>
        </w:rPr>
      </w:pPr>
    </w:p>
    <w:p>
      <w:pPr>
        <w:ind w:right="460" w:firstLine="634"/>
        <w:spacing w:after="0" w:line="273" w:lineRule="auto"/>
        <w:tabs>
          <w:tab w:leader="none" w:pos="866"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6" w:lineRule="exact"/>
        <w:rPr>
          <w:rFonts w:ascii="Arial" w:cs="Arial" w:eastAsia="Arial" w:hAnsi="Arial"/>
          <w:sz w:val="17"/>
          <w:szCs w:val="17"/>
          <w:color w:val="auto"/>
        </w:rPr>
      </w:pPr>
    </w:p>
    <w:p>
      <w:pPr>
        <w:ind w:right="180" w:firstLine="634"/>
        <w:spacing w:after="0" w:line="273" w:lineRule="auto"/>
        <w:tabs>
          <w:tab w:leader="none" w:pos="876"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right="440" w:firstLine="634"/>
        <w:spacing w:after="0" w:line="322" w:lineRule="auto"/>
        <w:tabs>
          <w:tab w:leader="none" w:pos="866"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30" w:lineRule="exact"/>
        <w:rPr>
          <w:rFonts w:ascii="Arial" w:cs="Arial" w:eastAsia="Arial" w:hAnsi="Arial"/>
          <w:sz w:val="16"/>
          <w:szCs w:val="16"/>
          <w:color w:val="auto"/>
        </w:rPr>
      </w:pPr>
    </w:p>
    <w:p>
      <w:pPr>
        <w:ind w:right="420" w:firstLine="634"/>
        <w:spacing w:after="0" w:line="359" w:lineRule="auto"/>
        <w:tabs>
          <w:tab w:leader="none" w:pos="876" w:val="left"/>
        </w:tabs>
        <w:numPr>
          <w:ilvl w:val="1"/>
          <w:numId w:val="41"/>
        </w:numPr>
        <w:rPr>
          <w:rFonts w:ascii="Arial" w:cs="Arial" w:eastAsia="Arial" w:hAnsi="Arial"/>
          <w:sz w:val="15"/>
          <w:szCs w:val="15"/>
          <w:color w:val="auto"/>
        </w:rPr>
      </w:pPr>
      <w:r>
        <w:rPr>
          <w:rFonts w:ascii="Arial" w:cs="Arial" w:eastAsia="Arial" w:hAnsi="Arial"/>
          <w:sz w:val="15"/>
          <w:szCs w:val="15"/>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 w:lineRule="exact"/>
        <w:rPr>
          <w:rFonts w:ascii="Arial" w:cs="Arial" w:eastAsia="Arial" w:hAnsi="Arial"/>
          <w:sz w:val="15"/>
          <w:szCs w:val="15"/>
          <w:color w:val="auto"/>
        </w:rPr>
      </w:pPr>
    </w:p>
    <w:p>
      <w:pPr>
        <w:ind w:right="260" w:firstLine="476"/>
        <w:spacing w:after="0" w:line="289" w:lineRule="auto"/>
        <w:tabs>
          <w:tab w:leader="none" w:pos="6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Arial" w:cs="Arial" w:eastAsia="Arial" w:hAnsi="Arial"/>
          <w:sz w:val="17"/>
          <w:szCs w:val="17"/>
          <w:color w:val="auto"/>
        </w:rPr>
      </w:pPr>
    </w:p>
    <w:p>
      <w:pPr>
        <w:ind w:right="360" w:firstLine="634"/>
        <w:spacing w:after="0" w:line="289" w:lineRule="auto"/>
        <w:tabs>
          <w:tab w:leader="none" w:pos="866"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right="320" w:firstLine="634"/>
        <w:spacing w:after="0" w:line="289" w:lineRule="auto"/>
        <w:tabs>
          <w:tab w:leader="none" w:pos="876"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February 17, 2022</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3100" w:type="dxa"/>
            <w:vAlign w:val="bottom"/>
            <w:tcBorders>
              <w:bottom w:val="single" w:sz="8" w:color="auto"/>
            </w:tcBorders>
          </w:tcPr>
          <w:p>
            <w:pPr>
              <w:jc w:val="center"/>
              <w:ind w:left="84"/>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R</w:t>
            </w:r>
            <w:r>
              <w:rPr>
                <w:rFonts w:ascii="Arial" w:cs="Arial" w:eastAsia="Arial" w:hAnsi="Arial"/>
                <w:sz w:val="13"/>
                <w:szCs w:val="13"/>
                <w:color w:val="auto"/>
              </w:rPr>
              <w:t>AFAEL</w:t>
            </w:r>
            <w:r>
              <w:rPr>
                <w:rFonts w:ascii="Arial" w:cs="Arial" w:eastAsia="Arial" w:hAnsi="Arial"/>
                <w:sz w:val="17"/>
                <w:szCs w:val="17"/>
                <w:color w:val="auto"/>
              </w:rPr>
              <w:t xml:space="preserve"> S</w:t>
            </w:r>
            <w:r>
              <w:rPr>
                <w:rFonts w:ascii="Arial" w:cs="Arial" w:eastAsia="Arial" w:hAnsi="Arial"/>
                <w:sz w:val="13"/>
                <w:szCs w:val="13"/>
                <w:color w:val="auto"/>
              </w:rPr>
              <w:t>ANTANA</w:t>
            </w:r>
          </w:p>
        </w:tc>
      </w:tr>
      <w:tr>
        <w:trPr>
          <w:trHeight w:val="211"/>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3100" w:type="dxa"/>
            <w:vAlign w:val="bottom"/>
          </w:tcPr>
          <w:p>
            <w:pPr>
              <w:jc w:val="center"/>
              <w:ind w:left="64"/>
              <w:spacing w:after="0"/>
              <w:rPr>
                <w:sz w:val="20"/>
                <w:szCs w:val="20"/>
                <w:color w:val="auto"/>
              </w:rPr>
            </w:pPr>
            <w:r>
              <w:rPr>
                <w:rFonts w:ascii="Arial" w:cs="Arial" w:eastAsia="Arial" w:hAnsi="Arial"/>
                <w:sz w:val="14"/>
                <w:szCs w:val="14"/>
                <w:b w:val="1"/>
                <w:bCs w:val="1"/>
                <w:color w:val="auto"/>
                <w:w w:val="91"/>
              </w:rPr>
              <w:t>Rafael Santana</w:t>
            </w:r>
          </w:p>
        </w:tc>
      </w:tr>
      <w:tr>
        <w:trPr>
          <w:trHeight w:val="228"/>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3100" w:type="dxa"/>
            <w:vAlign w:val="bottom"/>
          </w:tcPr>
          <w:p>
            <w:pPr>
              <w:jc w:val="center"/>
              <w:ind w:left="84"/>
              <w:spacing w:after="0"/>
              <w:rPr>
                <w:sz w:val="20"/>
                <w:szCs w:val="20"/>
                <w:color w:val="auto"/>
              </w:rPr>
            </w:pPr>
            <w:r>
              <w:rPr>
                <w:rFonts w:ascii="Arial" w:cs="Arial" w:eastAsia="Arial" w:hAnsi="Arial"/>
                <w:sz w:val="14"/>
                <w:szCs w:val="14"/>
                <w:b w:val="1"/>
                <w:bCs w:val="1"/>
                <w:color w:val="auto"/>
                <w:w w:val="90"/>
              </w:rPr>
              <w:t>President and Chief Executive Officer</w:t>
            </w:r>
          </w:p>
        </w:tc>
      </w:tr>
    </w:tbl>
    <w:p>
      <w:pPr>
        <w:sectPr>
          <w:pgSz w:w="11900" w:h="16838" w:orient="portrait"/>
          <w:cols w:equalWidth="0" w:num="1">
            <w:col w:w="11240"/>
          </w:cols>
          <w:pgMar w:left="320" w:top="86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John A. Olin, certify that:</w:t>
      </w:r>
    </w:p>
    <w:p>
      <w:pPr>
        <w:spacing w:after="0" w:line="119" w:lineRule="exact"/>
        <w:rPr>
          <w:sz w:val="20"/>
          <w:szCs w:val="20"/>
          <w:color w:val="auto"/>
        </w:rPr>
      </w:pPr>
    </w:p>
    <w:p>
      <w:pPr>
        <w:ind w:left="660" w:hanging="184"/>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Westinghouse Air Brake Technologies Corporation.</w:t>
      </w:r>
    </w:p>
    <w:p>
      <w:pPr>
        <w:spacing w:after="0" w:line="118" w:lineRule="exact"/>
        <w:rPr>
          <w:rFonts w:ascii="Arial" w:cs="Arial" w:eastAsia="Arial" w:hAnsi="Arial"/>
          <w:sz w:val="17"/>
          <w:szCs w:val="17"/>
          <w:color w:val="auto"/>
        </w:rPr>
      </w:pPr>
    </w:p>
    <w:p>
      <w:pPr>
        <w:ind w:right="180" w:firstLine="476"/>
        <w:spacing w:after="0" w:line="273" w:lineRule="auto"/>
        <w:tabs>
          <w:tab w:leader="none" w:pos="6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6" w:lineRule="exact"/>
        <w:rPr>
          <w:rFonts w:ascii="Arial" w:cs="Arial" w:eastAsia="Arial" w:hAnsi="Arial"/>
          <w:sz w:val="17"/>
          <w:szCs w:val="17"/>
          <w:color w:val="auto"/>
        </w:rPr>
      </w:pPr>
    </w:p>
    <w:p>
      <w:pPr>
        <w:ind w:right="140" w:firstLine="476"/>
        <w:spacing w:after="0" w:line="289" w:lineRule="auto"/>
        <w:tabs>
          <w:tab w:leader="none" w:pos="6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Arial" w:cs="Arial" w:eastAsia="Arial" w:hAnsi="Arial"/>
          <w:sz w:val="17"/>
          <w:szCs w:val="17"/>
          <w:color w:val="auto"/>
        </w:rPr>
      </w:pPr>
    </w:p>
    <w:p>
      <w:pPr>
        <w:ind w:right="160" w:firstLine="476"/>
        <w:spacing w:after="0" w:line="273" w:lineRule="auto"/>
        <w:tabs>
          <w:tab w:leader="none" w:pos="6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6" w:lineRule="exact"/>
        <w:rPr>
          <w:rFonts w:ascii="Arial" w:cs="Arial" w:eastAsia="Arial" w:hAnsi="Arial"/>
          <w:sz w:val="17"/>
          <w:szCs w:val="17"/>
          <w:color w:val="auto"/>
        </w:rPr>
      </w:pPr>
    </w:p>
    <w:p>
      <w:pPr>
        <w:ind w:right="460" w:firstLine="634"/>
        <w:spacing w:after="0" w:line="273" w:lineRule="auto"/>
        <w:tabs>
          <w:tab w:leader="none" w:pos="866"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6" w:lineRule="exact"/>
        <w:rPr>
          <w:rFonts w:ascii="Arial" w:cs="Arial" w:eastAsia="Arial" w:hAnsi="Arial"/>
          <w:sz w:val="17"/>
          <w:szCs w:val="17"/>
          <w:color w:val="auto"/>
        </w:rPr>
      </w:pPr>
    </w:p>
    <w:p>
      <w:pPr>
        <w:ind w:right="180" w:firstLine="634"/>
        <w:spacing w:after="0" w:line="273" w:lineRule="auto"/>
        <w:tabs>
          <w:tab w:leader="none" w:pos="8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ind w:right="440" w:firstLine="634"/>
        <w:spacing w:after="0" w:line="322" w:lineRule="auto"/>
        <w:tabs>
          <w:tab w:leader="none" w:pos="866"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30" w:lineRule="exact"/>
        <w:rPr>
          <w:rFonts w:ascii="Arial" w:cs="Arial" w:eastAsia="Arial" w:hAnsi="Arial"/>
          <w:sz w:val="16"/>
          <w:szCs w:val="16"/>
          <w:color w:val="auto"/>
        </w:rPr>
      </w:pPr>
    </w:p>
    <w:p>
      <w:pPr>
        <w:ind w:right="420" w:firstLine="634"/>
        <w:spacing w:after="0" w:line="359" w:lineRule="auto"/>
        <w:tabs>
          <w:tab w:leader="none" w:pos="876" w:val="left"/>
        </w:tabs>
        <w:numPr>
          <w:ilvl w:val="1"/>
          <w:numId w:val="42"/>
        </w:numPr>
        <w:rPr>
          <w:rFonts w:ascii="Arial" w:cs="Arial" w:eastAsia="Arial" w:hAnsi="Arial"/>
          <w:sz w:val="15"/>
          <w:szCs w:val="15"/>
          <w:color w:val="auto"/>
        </w:rPr>
      </w:pPr>
      <w:r>
        <w:rPr>
          <w:rFonts w:ascii="Arial" w:cs="Arial" w:eastAsia="Arial" w:hAnsi="Arial"/>
          <w:sz w:val="15"/>
          <w:szCs w:val="15"/>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 w:lineRule="exact"/>
        <w:rPr>
          <w:rFonts w:ascii="Arial" w:cs="Arial" w:eastAsia="Arial" w:hAnsi="Arial"/>
          <w:sz w:val="15"/>
          <w:szCs w:val="15"/>
          <w:color w:val="auto"/>
        </w:rPr>
      </w:pPr>
    </w:p>
    <w:p>
      <w:pPr>
        <w:ind w:right="260" w:firstLine="476"/>
        <w:spacing w:after="0" w:line="289" w:lineRule="auto"/>
        <w:tabs>
          <w:tab w:leader="none" w:pos="6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Arial" w:cs="Arial" w:eastAsia="Arial" w:hAnsi="Arial"/>
          <w:sz w:val="17"/>
          <w:szCs w:val="17"/>
          <w:color w:val="auto"/>
        </w:rPr>
      </w:pPr>
    </w:p>
    <w:p>
      <w:pPr>
        <w:ind w:right="360" w:firstLine="634"/>
        <w:spacing w:after="0" w:line="289" w:lineRule="auto"/>
        <w:tabs>
          <w:tab w:leader="none" w:pos="866"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right="320" w:firstLine="634"/>
        <w:spacing w:after="0" w:line="289" w:lineRule="auto"/>
        <w:tabs>
          <w:tab w:leader="none" w:pos="8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February 17, 2022</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4600" w:type="dxa"/>
            <w:vAlign w:val="bottom"/>
            <w:tcBorders>
              <w:bottom w:val="single" w:sz="8" w:color="auto"/>
            </w:tcBorders>
          </w:tcPr>
          <w:p>
            <w:pPr>
              <w:jc w:val="center"/>
              <w:ind w:right="24"/>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w:t>
            </w:r>
            <w:r>
              <w:rPr>
                <w:rFonts w:ascii="Arial" w:cs="Arial" w:eastAsia="Arial" w:hAnsi="Arial"/>
                <w:sz w:val="13"/>
                <w:szCs w:val="13"/>
                <w:color w:val="auto"/>
              </w:rPr>
              <w:t>OHN</w:t>
            </w:r>
            <w:r>
              <w:rPr>
                <w:rFonts w:ascii="Arial" w:cs="Arial" w:eastAsia="Arial" w:hAnsi="Arial"/>
                <w:sz w:val="17"/>
                <w:szCs w:val="17"/>
                <w:color w:val="auto"/>
              </w:rPr>
              <w:t xml:space="preserve"> A. O</w:t>
            </w:r>
            <w:r>
              <w:rPr>
                <w:rFonts w:ascii="Arial" w:cs="Arial" w:eastAsia="Arial" w:hAnsi="Arial"/>
                <w:sz w:val="13"/>
                <w:szCs w:val="13"/>
                <w:color w:val="auto"/>
              </w:rPr>
              <w:t>LIN</w:t>
            </w:r>
          </w:p>
        </w:tc>
      </w:tr>
      <w:tr>
        <w:trPr>
          <w:trHeight w:val="211"/>
        </w:trPr>
        <w:tc>
          <w:tcPr>
            <w:tcW w:w="118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460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John A. Olin</w:t>
            </w:r>
          </w:p>
        </w:tc>
      </w:tr>
      <w:tr>
        <w:trPr>
          <w:trHeight w:val="228"/>
        </w:trPr>
        <w:tc>
          <w:tcPr>
            <w:tcW w:w="118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Executive Vice President and Chief Financial Officer</w:t>
            </w:r>
          </w:p>
        </w:tc>
      </w:tr>
    </w:tbl>
    <w:p>
      <w:pPr>
        <w:sectPr>
          <w:pgSz w:w="11900" w:h="16838" w:orient="portrait"/>
          <w:cols w:equalWidth="0" w:num="1">
            <w:col w:w="11240"/>
          </w:cols>
          <w:pgMar w:left="320" w:top="86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ind w:right="40" w:firstLine="472"/>
        <w:spacing w:after="0" w:line="267" w:lineRule="auto"/>
        <w:rPr>
          <w:sz w:val="20"/>
          <w:szCs w:val="20"/>
          <w:color w:val="auto"/>
        </w:rPr>
      </w:pPr>
      <w:r>
        <w:rPr>
          <w:rFonts w:ascii="Arial" w:cs="Arial" w:eastAsia="Arial" w:hAnsi="Arial"/>
          <w:sz w:val="17"/>
          <w:szCs w:val="17"/>
          <w:color w:val="auto"/>
        </w:rPr>
        <w:t>Pursuant to 18 U.S.C. § 1350, the undersigned officers of Westinghouse Air Brake Technologies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certify, to the best of their knowledge, that the Company’s Annual Report on Form 10-K for the year ended December 31, 2021 (the “</w:t>
      </w:r>
      <w:r>
        <w:rPr>
          <w:rFonts w:ascii="Arial" w:cs="Arial" w:eastAsia="Arial" w:hAnsi="Arial"/>
          <w:sz w:val="17"/>
          <w:szCs w:val="17"/>
          <w:i w:val="1"/>
          <w:iCs w:val="1"/>
          <w:color w:val="auto"/>
        </w:rPr>
        <w:t>Report</w:t>
      </w:r>
      <w:r>
        <w:rPr>
          <w:rFonts w:ascii="Arial" w:cs="Arial" w:eastAsia="Arial" w:hAnsi="Arial"/>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13" w:lineRule="exact"/>
        <w:rPr>
          <w:sz w:val="20"/>
          <w:szCs w:val="20"/>
          <w:color w:val="auto"/>
        </w:rPr>
      </w:pPr>
    </w:p>
    <w:p>
      <w:pPr>
        <w:ind w:left="1260"/>
        <w:spacing w:after="0"/>
        <w:tabs>
          <w:tab w:leader="none" w:pos="3040" w:val="left"/>
          <w:tab w:leader="none" w:pos="3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tab/>
        <w:t>R</w:t>
      </w:r>
      <w:r>
        <w:rPr>
          <w:rFonts w:ascii="Arial" w:cs="Arial" w:eastAsia="Arial" w:hAnsi="Arial"/>
          <w:sz w:val="13"/>
          <w:szCs w:val="13"/>
          <w:color w:val="auto"/>
        </w:rPr>
        <w:t>AFAEL</w:t>
      </w:r>
      <w:r>
        <w:rPr>
          <w:rFonts w:ascii="Arial" w:cs="Arial" w:eastAsia="Arial" w:hAnsi="Arial"/>
          <w:sz w:val="17"/>
          <w:szCs w:val="17"/>
          <w:color w:val="auto"/>
        </w:rPr>
        <w:t xml:space="preserve"> S</w:t>
      </w:r>
      <w:r>
        <w:rPr>
          <w:rFonts w:ascii="Arial" w:cs="Arial" w:eastAsia="Arial" w:hAnsi="Arial"/>
          <w:sz w:val="13"/>
          <w:szCs w:val="13"/>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16510</wp:posOffset>
            </wp:positionV>
            <wp:extent cx="29857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2985770" cy="8255"/>
                    </a:xfrm>
                    <a:prstGeom prst="rect">
                      <a:avLst/>
                    </a:prstGeom>
                    <a:noFill/>
                  </pic:spPr>
                </pic:pic>
              </a:graphicData>
            </a:graphic>
          </wp:anchor>
        </w:drawing>
      </w:r>
    </w:p>
    <w:p>
      <w:pPr>
        <w:jc w:val="center"/>
        <w:ind w:right="3240"/>
        <w:spacing w:after="0"/>
        <w:rPr>
          <w:sz w:val="20"/>
          <w:szCs w:val="20"/>
          <w:color w:val="auto"/>
        </w:rPr>
      </w:pPr>
      <w:r>
        <w:rPr>
          <w:rFonts w:ascii="Arial" w:cs="Arial" w:eastAsia="Arial" w:hAnsi="Arial"/>
          <w:sz w:val="14"/>
          <w:szCs w:val="14"/>
          <w:b w:val="1"/>
          <w:bCs w:val="1"/>
          <w:color w:val="auto"/>
        </w:rPr>
        <w:t>Rafael Santana</w:t>
      </w:r>
    </w:p>
    <w:p>
      <w:pPr>
        <w:jc w:val="center"/>
        <w:ind w:right="3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46" w:lineRule="exact"/>
        <w:rPr>
          <w:sz w:val="20"/>
          <w:szCs w:val="20"/>
          <w:color w:val="auto"/>
        </w:rPr>
      </w:pPr>
    </w:p>
    <w:p>
      <w:pPr>
        <w:ind w:left="1120"/>
        <w:spacing w:after="0"/>
        <w:tabs>
          <w:tab w:leader="none" w:pos="166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5"/>
          <w:szCs w:val="15"/>
          <w:color w:val="auto"/>
        </w:rPr>
        <w:t>February 17, 2022</w:t>
      </w:r>
    </w:p>
    <w:p>
      <w:pPr>
        <w:spacing w:after="0" w:line="269" w:lineRule="exact"/>
        <w:rPr>
          <w:sz w:val="20"/>
          <w:szCs w:val="20"/>
          <w:color w:val="auto"/>
        </w:rPr>
      </w:pPr>
    </w:p>
    <w:p>
      <w:pPr>
        <w:ind w:left="1260"/>
        <w:spacing w:after="0"/>
        <w:tabs>
          <w:tab w:leader="none" w:pos="3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A. O</w:t>
      </w:r>
      <w:r>
        <w:rPr>
          <w:rFonts w:ascii="Arial" w:cs="Arial" w:eastAsia="Arial" w:hAnsi="Arial"/>
          <w:sz w:val="13"/>
          <w:szCs w:val="13"/>
          <w:color w:val="auto"/>
        </w:rPr>
        <w: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16510</wp:posOffset>
            </wp:positionV>
            <wp:extent cx="2985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2985770" cy="8255"/>
                    </a:xfrm>
                    <a:prstGeom prst="rect">
                      <a:avLst/>
                    </a:prstGeom>
                    <a:noFill/>
                  </pic:spPr>
                </pic:pic>
              </a:graphicData>
            </a:graphic>
          </wp:anchor>
        </w:drawing>
      </w:r>
    </w:p>
    <w:p>
      <w:pPr>
        <w:jc w:val="center"/>
        <w:ind w:right="3240"/>
        <w:spacing w:after="0"/>
        <w:rPr>
          <w:sz w:val="20"/>
          <w:szCs w:val="20"/>
          <w:color w:val="auto"/>
        </w:rPr>
      </w:pPr>
      <w:r>
        <w:rPr>
          <w:rFonts w:ascii="Arial" w:cs="Arial" w:eastAsia="Arial" w:hAnsi="Arial"/>
          <w:sz w:val="14"/>
          <w:szCs w:val="14"/>
          <w:b w:val="1"/>
          <w:bCs w:val="1"/>
          <w:color w:val="auto"/>
        </w:rPr>
        <w:t>John A. Olin</w:t>
      </w:r>
    </w:p>
    <w:p>
      <w:pPr>
        <w:jc w:val="center"/>
        <w:ind w:right="32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63" w:lineRule="exact"/>
        <w:rPr>
          <w:sz w:val="20"/>
          <w:szCs w:val="20"/>
          <w:color w:val="auto"/>
        </w:rPr>
      </w:pPr>
    </w:p>
    <w:p>
      <w:pPr>
        <w:ind w:left="1120"/>
        <w:spacing w:after="0"/>
        <w:tabs>
          <w:tab w:leader="none" w:pos="166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5"/>
          <w:szCs w:val="15"/>
          <w:color w:val="auto"/>
        </w:rPr>
        <w:t>February 17, 2022</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decimal"/>
      <w:start w:val="104"/>
    </w:lvl>
  </w:abstractNum>
  <w:abstractNum w:abstractNumId="32">
    <w:nsid w:val="7724C67E"/>
    <w:multiLevelType w:val="hybridMultilevel"/>
    <w:lvl w:ilvl="0">
      <w:lvlJc w:val="left"/>
      <w:lvlText w:val="8"/>
      <w:numFmt w:val="bullet"/>
      <w:start w:val="1"/>
    </w:lvl>
  </w:abstractNum>
  <w:abstractNum w:abstractNumId="33">
    <w:nsid w:val="5C482A97"/>
    <w:multiLevelType w:val="hybridMultilevel"/>
    <w:lvl w:ilvl="0">
      <w:lvlJc w:val="left"/>
      <w:lvlText w:val="*"/>
      <w:numFmt w:val="bullet"/>
      <w:start w:val="1"/>
    </w:lvl>
    <w:lvl w:ilvl="1">
      <w:lvlJc w:val="left"/>
      <w:lvlText w:val="%2"/>
      <w:numFmt w:val="decimal"/>
      <w:start w:val="10"/>
    </w:lvl>
  </w:abstractNum>
  <w:abstractNum w:abstractNumId="34">
    <w:nsid w:val="2463B9EA"/>
    <w:multiLevelType w:val="hybridMultilevel"/>
    <w:lvl w:ilvl="0">
      <w:lvlJc w:val="left"/>
      <w:lvlText w:val="**"/>
      <w:numFmt w:val="bullet"/>
      <w:start w:val="1"/>
    </w:lvl>
    <w:lvl w:ilvl="1">
      <w:lvlJc w:val="left"/>
      <w:lvlText w:val="%2"/>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0"/>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119"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66" Type="http://schemas.openxmlformats.org/officeDocument/2006/relationships/hyperlink" Target="http://www.sec.gov/Archives/edgar/data/943452/000119312515340255/d40711dex23.htm" TargetMode="External"/><Relationship Id="rId67" Type="http://schemas.openxmlformats.org/officeDocument/2006/relationships/hyperlink" Target="http://www.sec.gov/Archives/edgar/data/943452/000119312516747971/d171024dex23.htm" TargetMode="External"/><Relationship Id="rId68" Type="http://schemas.openxmlformats.org/officeDocument/2006/relationships/hyperlink" Target="http://www.sec.gov/Archives/edgar/data/943452/000114036119003790/s002675x3_ex10-3.htm" TargetMode="External"/><Relationship Id="rId69" Type="http://schemas.openxmlformats.org/officeDocument/2006/relationships/hyperlink" Target="http://www.sec.gov/Archives/edgar/data/943452/000114036119003790/s002675x3_ex10-2.htm" TargetMode="External"/><Relationship Id="rId70" Type="http://schemas.openxmlformats.org/officeDocument/2006/relationships/hyperlink" Target="http://www.sec.gov/Archives/edgar/data/943452/000119312511046939/dex31.htm" TargetMode="External"/><Relationship Id="rId71" Type="http://schemas.openxmlformats.org/officeDocument/2006/relationships/hyperlink" Target="http://www.sec.gov/Archives/edgar/data/943452/000119312513221862/d539211dex31.htm" TargetMode="External"/><Relationship Id="rId72" Type="http://schemas.openxmlformats.org/officeDocument/2006/relationships/hyperlink" Target="http://www.sec.gov/Archives/edgar/data/943452/000114036121005371/brhc10020545_ex3-1.htm" TargetMode="External"/><Relationship Id="rId73" Type="http://schemas.openxmlformats.org/officeDocument/2006/relationships/hyperlink" Target="http://www.sec.gov/Archives/edgar/data/943452/000162828019002095/wabex34-10k2018.htm" TargetMode="External"/><Relationship Id="rId74" Type="http://schemas.openxmlformats.org/officeDocument/2006/relationships/hyperlink" Target="http://www.sec.gov/Archives/edgar/data/943452/000114036119003790/s002675x3_ex3-1.htm" TargetMode="External"/><Relationship Id="rId75" Type="http://schemas.openxmlformats.org/officeDocument/2006/relationships/hyperlink" Target="http://www.sec.gov/Archives/edgar/data/943452/000119312513326831/d579823dex41.htm" TargetMode="External"/><Relationship Id="rId76" Type="http://schemas.openxmlformats.org/officeDocument/2006/relationships/hyperlink" Target="http://www.sec.gov/Archives/edgar/data/943452/000119312513326831/d579823dex42.htm" TargetMode="External"/><Relationship Id="rId77" Type="http://schemas.openxmlformats.org/officeDocument/2006/relationships/hyperlink" Target="http://www.sec.gov/Archives/edgar/data/943452/000119312516759080/d286174dex42.htm" TargetMode="External"/><Relationship Id="rId78" Type="http://schemas.openxmlformats.org/officeDocument/2006/relationships/hyperlink" Target="http://www.sec.gov/Archives/edgar/data/943452/000119312516759080/d286174dex43.htm" TargetMode="External"/><Relationship Id="rId79" Type="http://schemas.openxmlformats.org/officeDocument/2006/relationships/hyperlink" Target="https://www.sec.gov/Archives/edgar/data/943452/000119312516759080/d286174dex43.htm" TargetMode="External"/><Relationship Id="rId80" Type="http://schemas.openxmlformats.org/officeDocument/2006/relationships/hyperlink" Target="http://www.sec.gov/Archives/edgar/data/943452/000162828017001863/wabex4910k2016.htm" TargetMode="External"/><Relationship Id="rId83" Type="http://schemas.openxmlformats.org/officeDocument/2006/relationships/hyperlink" Target="http://www.sec.gov/Archives/edgar/data/943452/000162828017004956/exhibit41.htm" TargetMode="External"/><Relationship Id="rId84" Type="http://schemas.openxmlformats.org/officeDocument/2006/relationships/hyperlink" Target="http://www.sec.gov/Archives/edgar/data/943452/000119312517231307/d326636dex410.htm" TargetMode="External"/><Relationship Id="rId85" Type="http://schemas.openxmlformats.org/officeDocument/2006/relationships/hyperlink" Target="http://www.sec.gov/Archives/edgar/data/943452/000162828018009841/wabexseventhsupplemental.htm" TargetMode="External"/><Relationship Id="rId86" Type="http://schemas.openxmlformats.org/officeDocument/2006/relationships/hyperlink" Target="http://www.sec.gov/Archives/edgar/data/943452/000162828018009841/wabexeigthsupplementalin.htm" TargetMode="External"/><Relationship Id="rId87" Type="http://schemas.openxmlformats.org/officeDocument/2006/relationships/hyperlink" Target="http://www.sec.gov/Archives/edgar/data/943452/000114036118038440/s002426x14_ex4-3.htm" TargetMode="External"/><Relationship Id="rId88" Type="http://schemas.openxmlformats.org/officeDocument/2006/relationships/hyperlink" Target="http://www.sec.gov/Archives/edgar/data/943452/000162828019009750/wabex41q22019.htm" TargetMode="External"/><Relationship Id="rId89" Type="http://schemas.openxmlformats.org/officeDocument/2006/relationships/hyperlink" Target="http://www.sec.gov/Archives/edgar/data/943452/000114036120015073/ex4_4.htm" TargetMode="External"/><Relationship Id="rId90" Type="http://schemas.openxmlformats.org/officeDocument/2006/relationships/hyperlink" Target="http://www.sec.gov/Archives/edgar/data/0000943452/000114036121019675/nt10024721x10_ex4-1.htm" TargetMode="External"/><Relationship Id="rId91" Type="http://schemas.openxmlformats.org/officeDocument/2006/relationships/hyperlink" Target="http://www.sec.gov/Archives/edgar/data/0000943452/000114036121019675/nt10024721x10_ex4-2.htm" TargetMode="External"/><Relationship Id="rId92" Type="http://schemas.openxmlformats.org/officeDocument/2006/relationships/hyperlink" Target="http://www.sec.gov/Archives/edgar/data/943452/000119312517105511/d323634ddef14a.htm#toc323634_49" TargetMode="External"/><Relationship Id="rId93" Type="http://schemas.openxmlformats.org/officeDocument/2006/relationships/hyperlink" Target="http://www.sec.gov/Archives/edgar/data/943452/000119312512094184/d309440ds8pos.htm" TargetMode="External"/><Relationship Id="rId94" Type="http://schemas.openxmlformats.org/officeDocument/2006/relationships/hyperlink" Target="http://www.sec.gov/Archives/edgar/data/943452/000119312506079330/ddef14a.htm" TargetMode="External"/><Relationship Id="rId95" Type="http://schemas.openxmlformats.org/officeDocument/2006/relationships/hyperlink" Target="http://www.sec.gov/Archives/edgar/data/943452/000119312506107416/dex101.htm" TargetMode="External"/><Relationship Id="rId96" Type="http://schemas.openxmlformats.org/officeDocument/2006/relationships/hyperlink" Target="http://www.sec.gov/Archives/edgar/data/943452/000119312513071115/d448585dex107.htm" TargetMode="External"/><Relationship Id="rId97" Type="http://schemas.openxmlformats.org/officeDocument/2006/relationships/hyperlink" Target="http://www.sec.gov/Archives/edgar/data/943452/000119312517105511/d323634ddef14a.htm#toc323634_48" TargetMode="External"/><Relationship Id="rId98" Type="http://schemas.openxmlformats.org/officeDocument/2006/relationships/hyperlink" Target="http://www.sec.gov/Archives/edgar/data/943452/000119312508227810/dex101.htm" TargetMode="External"/><Relationship Id="rId99" Type="http://schemas.openxmlformats.org/officeDocument/2006/relationships/hyperlink" Target="http://www.sec.gov/Archives/edgar/data/943452/000119312509143629/dex101.htm" TargetMode="External"/><Relationship Id="rId100" Type="http://schemas.openxmlformats.org/officeDocument/2006/relationships/hyperlink" Target="http://www.sec.gov/Archives/edgar/data/943452/000119312513071115/d448585dex1012.htm" TargetMode="External"/><Relationship Id="rId101" Type="http://schemas.openxmlformats.org/officeDocument/2006/relationships/hyperlink" Target="http://www.sec.gov/Archives/edgar/data/943452/000119312513071115/d448585dex1013.htm" TargetMode="External"/><Relationship Id="rId102" Type="http://schemas.openxmlformats.org/officeDocument/2006/relationships/hyperlink" Target="http://www.sec.gov/Archives/edgar/data/943452/000119312513071115/d448585dex1014.htm" TargetMode="External"/><Relationship Id="rId103" Type="http://schemas.openxmlformats.org/officeDocument/2006/relationships/hyperlink" Target="http://www.sec.gov/Archives/edgar/data/943452/000119312513071115/d448585dex1015.htm" TargetMode="External"/><Relationship Id="rId106" Type="http://schemas.openxmlformats.org/officeDocument/2006/relationships/hyperlink" Target="http://www.sec.gov/Archives/edgar/data/943452/000162828018009841/wabex1019q22018.htm" TargetMode="External"/><Relationship Id="rId107" Type="http://schemas.openxmlformats.org/officeDocument/2006/relationships/hyperlink" Target="http://www.sec.gov/Archives/edgar/data/943452/000162828019002095/wabex1020-10k2018.htm" TargetMode="External"/><Relationship Id="rId108" Type="http://schemas.openxmlformats.org/officeDocument/2006/relationships/hyperlink" Target="http://www.sec.gov/Archives/edgar/data/0000943452/000114036121014771/brhc10023712_ex10-1.htm" TargetMode="External"/><Relationship Id="rId109" Type="http://schemas.openxmlformats.org/officeDocument/2006/relationships/hyperlink" Target="http://www.sec.gov/Archives/edgar/data/0000943452/000114036122000657/brhc10032558_ex10-1.htm" TargetMode="External"/><Relationship Id="rId110" Type="http://schemas.openxmlformats.org/officeDocument/2006/relationships/hyperlink" Target="http://www.sec.gov/Archives/edgar/data/0000943452/000114036121035452/brhc10030064_ex99-1.htm" TargetMode="External"/><Relationship Id="rId111" Type="http://schemas.openxmlformats.org/officeDocument/2006/relationships/hyperlink" Target="http://www.sec.gov/Archives/edgar/data/943452/000162828019006382/wabex101q12019.htm" TargetMode="External"/><Relationship Id="rId112" Type="http://schemas.openxmlformats.org/officeDocument/2006/relationships/hyperlink" Target="http://www.sec.gov/Archives/edgar/data/943452/000162828019006382/wabex102q12019.htm" TargetMode="External"/><Relationship Id="rId113" Type="http://schemas.openxmlformats.org/officeDocument/2006/relationships/hyperlink" Target="http://www.sec.gov/Archives/edgar/data/943452/000114036120010932/ex10_1.htm" TargetMode="External"/><Relationship Id="rId114" Type="http://schemas.openxmlformats.org/officeDocument/2006/relationships/hyperlink" Target="http://www.sec.gov/Archives/edgar/data/943452/000162828021002557/wabex1020-10k2020.htm" TargetMode="External"/><Relationship Id="rId115" Type="http://schemas.openxmlformats.org/officeDocument/2006/relationships/hyperlink" Target="http://www.sec.gov/Archives/edgar/data/943452/000162828021020615/wabex101q32021.htm" TargetMode="External"/><Relationship Id="rId116" Type="http://schemas.openxmlformats.org/officeDocument/2006/relationships/hyperlink" Target="http://www.sec.gov/Archives/edgar/data/943452/000162828021020615/wabex102q3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2022-02-17T12:53:05Z</dcterms:created>
  <dcterms:modified xsi:type="dcterms:W3CDTF">2022-02-17T12:53:05Z</dcterms:modified>
</cp:coreProperties>
</file>