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540" w:right="38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520"/>
        <w:spacing w:after="0"/>
        <w:tabs>
          <w:tab w:leader="none" w:pos="3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033-90866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100"/>
        <w:spacing w:after="0"/>
        <w:rPr>
          <w:sz w:val="20"/>
          <w:szCs w:val="20"/>
          <w:color w:val="auto"/>
        </w:rPr>
      </w:pPr>
      <w:r>
        <w:rPr>
          <w:rFonts w:ascii="Arial" w:cs="Arial" w:eastAsia="Arial" w:hAnsi="Arial"/>
          <w:sz w:val="40"/>
          <w:szCs w:val="40"/>
          <w:b w:val="1"/>
          <w:bCs w:val="1"/>
          <w:color w:val="auto"/>
        </w:rPr>
        <w:t>WESTINGHOUSE AIR BRAKE TECHNOLOGIES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CORPORATION</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25-1615902</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of 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1001 Air Brake Avenue</w:t>
            </w:r>
          </w:p>
        </w:tc>
        <w:tc>
          <w:tcPr>
            <w:tcW w:w="5140" w:type="dxa"/>
            <w:vAlign w:val="bottom"/>
          </w:tcPr>
          <w:p>
            <w:pPr>
              <w:spacing w:after="0"/>
              <w:rPr>
                <w:sz w:val="24"/>
                <w:szCs w:val="24"/>
                <w:color w:val="auto"/>
              </w:rPr>
            </w:pPr>
          </w:p>
        </w:tc>
      </w:t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Wilmerding, PA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15148</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2"/>
              </w:rPr>
              <w:t>(Zip code)</w:t>
            </w:r>
          </w:p>
        </w:tc>
      </w:tr>
      <w:tr>
        <w:trPr>
          <w:trHeight w:val="286"/>
        </w:trPr>
        <w:tc>
          <w:tcPr>
            <w:tcW w:w="2420" w:type="dxa"/>
            <w:vAlign w:val="bottom"/>
          </w:tcPr>
          <w:p>
            <w:pPr>
              <w:spacing w:after="0"/>
              <w:rPr>
                <w:sz w:val="24"/>
                <w:szCs w:val="24"/>
                <w:color w:val="auto"/>
              </w:rPr>
            </w:pPr>
          </w:p>
        </w:tc>
        <w:tc>
          <w:tcPr>
            <w:tcW w:w="5140" w:type="dxa"/>
            <w:vAlign w:val="bottom"/>
          </w:tcPr>
          <w:p>
            <w:pPr>
              <w:jc w:val="right"/>
              <w:ind w:right="2880"/>
              <w:spacing w:after="0"/>
              <w:rPr>
                <w:sz w:val="20"/>
                <w:szCs w:val="20"/>
                <w:color w:val="auto"/>
              </w:rPr>
            </w:pPr>
            <w:r>
              <w:rPr>
                <w:rFonts w:ascii="Arial" w:cs="Arial" w:eastAsia="Arial" w:hAnsi="Arial"/>
                <w:sz w:val="18"/>
                <w:szCs w:val="18"/>
                <w:b w:val="1"/>
                <w:bCs w:val="1"/>
                <w:color w:val="auto"/>
              </w:rPr>
              <w:t>412-825-1000</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7" w:lineRule="exact"/>
        <w:rPr>
          <w:sz w:val="24"/>
          <w:szCs w:val="24"/>
          <w:color w:val="auto"/>
        </w:rPr>
      </w:pPr>
    </w:p>
    <w:p>
      <w:pPr>
        <w:ind w:right="20"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jc w:val="both"/>
        <w:ind w:right="100"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right="180" w:firstLine="518"/>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68" w:right="239" w:bottom="1440" w:gutter="0" w:footer="0" w:header="0"/>
        </w:sectPr>
      </w:pP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120"/>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8">
            <w:col w:w="1540" w:space="660"/>
            <w:col w:w="160" w:space="600"/>
            <w:col w:w="1140" w:space="520"/>
            <w:col w:w="140" w:space="520"/>
            <w:col w:w="1460" w:space="600"/>
            <w:col w:w="300" w:space="720"/>
            <w:col w:w="2000" w:space="720"/>
            <w:col w:w="340"/>
          </w:cols>
          <w:pgMar w:left="240" w:top="368" w:right="239" w:bottom="1440" w:gutter="0" w:footer="0" w:header="0"/>
          <w:type w:val="continuous"/>
        </w:sectPr>
      </w:pPr>
    </w:p>
    <w:p>
      <w:pPr>
        <w:spacing w:after="0" w:line="22"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5">
            <w:col w:w="8300" w:space="200"/>
            <w:col w:w="240" w:space="100"/>
            <w:col w:w="140" w:space="180"/>
            <w:col w:w="200" w:space="80"/>
            <w:col w:w="1980"/>
          </w:cols>
          <w:pgMar w:left="240" w:top="368"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at October 27, 2014</w:t>
            </w:r>
          </w:p>
        </w:tc>
      </w:tr>
      <w:tr>
        <w:trPr>
          <w:trHeight w:val="21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$.01 par value per share</w:t>
            </w:r>
          </w:p>
        </w:tc>
        <w:tc>
          <w:tcPr>
            <w:tcW w:w="200" w:type="dxa"/>
            <w:vAlign w:val="bottom"/>
          </w:tcPr>
          <w:p>
            <w:pPr>
              <w:spacing w:after="0"/>
              <w:rPr>
                <w:sz w:val="18"/>
                <w:szCs w:val="18"/>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96,254,818 shares</w:t>
            </w:r>
          </w:p>
        </w:tc>
      </w:tr>
      <w:tr>
        <w:trPr>
          <w:trHeight w:val="216"/>
        </w:trPr>
        <w:tc>
          <w:tcPr>
            <w:tcW w:w="5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984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840" w:type="dxa"/>
            <w:vAlign w:val="bottom"/>
            <w:gridSpan w:val="15"/>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3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98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2014 and December 31, 2013</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40" w:type="dxa"/>
            <w:vAlign w:val="bottom"/>
            <w:gridSpan w:val="15"/>
          </w:tcPr>
          <w:p>
            <w:pPr>
              <w:spacing w:after="0"/>
              <w:rPr>
                <w:sz w:val="20"/>
                <w:szCs w:val="20"/>
                <w:color w:val="auto"/>
              </w:rPr>
            </w:pPr>
            <w:r>
              <w:rPr>
                <w:rFonts w:ascii="Arial" w:cs="Arial" w:eastAsia="Arial" w:hAnsi="Arial"/>
                <w:sz w:val="18"/>
                <w:szCs w:val="18"/>
                <w:color w:val="0000EE"/>
              </w:rPr>
              <w:t>Condensed Consolidated Statements of Income for the three and nine months ended September 30, 2014 and 2013</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40" w:type="dxa"/>
            <w:vAlign w:val="bottom"/>
            <w:gridSpan w:val="15"/>
          </w:tcPr>
          <w:p>
            <w:pPr>
              <w:spacing w:after="0"/>
              <w:rPr>
                <w:sz w:val="20"/>
                <w:szCs w:val="20"/>
                <w:color w:val="auto"/>
              </w:rPr>
            </w:pPr>
            <w:r>
              <w:rPr>
                <w:rFonts w:ascii="Arial" w:cs="Arial" w:eastAsia="Arial" w:hAnsi="Arial"/>
                <w:sz w:val="18"/>
                <w:szCs w:val="18"/>
                <w:color w:val="0000EE"/>
                <w:w w:val="92"/>
              </w:rPr>
              <w:t>Condensed Consolidated Statements of Comprehensive Income for the three and nine months ended September 30, 2014 and 2013</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942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2014 and 2013</w:t>
              </w:r>
            </w:hyperlink>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44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0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38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806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840" w:type="dxa"/>
            <w:vAlign w:val="bottom"/>
            <w:gridSpan w:val="15"/>
          </w:tcPr>
          <w:p>
            <w:pPr>
              <w:spacing w:after="0"/>
              <w:rPr>
                <w:sz w:val="20"/>
                <w:szCs w:val="20"/>
                <w:color w:val="auto"/>
              </w:rPr>
            </w:pPr>
            <w:r>
              <w:rPr>
                <w:rFonts w:ascii="Arial" w:cs="Arial" w:eastAsia="Arial" w:hAnsi="Arial"/>
                <w:sz w:val="18"/>
                <w:szCs w:val="18"/>
                <w:b w:val="1"/>
                <w:bCs w:val="1"/>
                <w:color w:val="auto"/>
              </w:rPr>
              <w:t>PART II—OTHER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850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4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806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8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4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Unaudited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81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 except shares and par value</w:t>
            </w:r>
          </w:p>
        </w:tc>
        <w:tc>
          <w:tcPr>
            <w:tcW w:w="180" w:type="dxa"/>
            <w:vAlign w:val="bottom"/>
          </w:tcPr>
          <w:p>
            <w:pPr>
              <w:spacing w:after="0"/>
              <w:rPr>
                <w:sz w:val="15"/>
                <w:szCs w:val="15"/>
                <w:color w:val="auto"/>
              </w:rPr>
            </w:pPr>
          </w:p>
        </w:tc>
        <w:tc>
          <w:tcPr>
            <w:tcW w:w="1320" w:type="dxa"/>
            <w:vAlign w:val="bottom"/>
          </w:tcPr>
          <w:p>
            <w:pPr>
              <w:jc w:val="center"/>
              <w:ind w:right="111"/>
              <w:spacing w:after="0" w:line="158"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511"/>
              <w:spacing w:after="0" w:line="158"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5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212,541</w:t>
            </w:r>
          </w:p>
        </w:tc>
        <w:tc>
          <w:tcPr>
            <w:tcW w:w="22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285,760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474,930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240,178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489,053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1,533,808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1,333,047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682,297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597,740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(339,932)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(321,662)</w:t>
            </w:r>
          </w:p>
        </w:tc>
        <w:tc>
          <w:tcPr>
            <w:tcW w:w="0" w:type="dxa"/>
            <w:vAlign w:val="bottom"/>
          </w:tcPr>
          <w:p>
            <w:pPr>
              <w:spacing w:after="0"/>
              <w:rPr>
                <w:sz w:val="1"/>
                <w:szCs w:val="1"/>
                <w:color w:val="auto"/>
              </w:rPr>
            </w:pPr>
          </w:p>
        </w:tc>
      </w:tr>
      <w:tr>
        <w:trPr>
          <w:trHeight w:val="218"/>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864,460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786,433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449,533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1,352,214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389,284</w:t>
            </w:r>
          </w:p>
        </w:tc>
        <w:tc>
          <w:tcPr>
            <w:tcW w:w="22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674,748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579,400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521,087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Accrued postretirement and pension benefits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143,549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1,438,778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1,234,830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 no shares issued</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Common stock, $.01 par value; 200,000,000 shares authorized: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140"/>
              <w:spacing w:after="0"/>
              <w:rPr>
                <w:sz w:val="20"/>
                <w:szCs w:val="20"/>
                <w:color w:val="auto"/>
              </w:rPr>
            </w:pPr>
            <w:r>
              <w:rPr>
                <w:rFonts w:ascii="Arial" w:cs="Arial" w:eastAsia="Arial" w:hAnsi="Arial"/>
                <w:sz w:val="18"/>
                <w:szCs w:val="18"/>
                <w:color w:val="auto"/>
              </w:rPr>
              <w:t>132,349,534 shares issued and 96,254,818 and 95,909,948 outstanding</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140"/>
              <w:spacing w:after="0"/>
              <w:rPr>
                <w:sz w:val="20"/>
                <w:szCs w:val="20"/>
                <w:color w:val="auto"/>
              </w:rPr>
            </w:pPr>
            <w:r>
              <w:rPr>
                <w:rFonts w:ascii="Arial" w:cs="Arial" w:eastAsia="Arial" w:hAnsi="Arial"/>
                <w:sz w:val="18"/>
                <w:szCs w:val="18"/>
                <w:color w:val="auto"/>
              </w:rPr>
              <w:t>at September 30, 2014 and December 31, 2013, respectively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441,869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Treasury stock, at cost, 36,094,716 and 36,439,586 shares, at</w:t>
            </w: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(392,475)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(372,969)</w:t>
            </w:r>
          </w:p>
        </w:tc>
        <w:tc>
          <w:tcPr>
            <w:tcW w:w="0" w:type="dxa"/>
            <w:vAlign w:val="bottom"/>
          </w:tcPr>
          <w:p>
            <w:pPr>
              <w:spacing w:after="0"/>
              <w:rPr>
                <w:sz w:val="1"/>
                <w:szCs w:val="1"/>
                <w:color w:val="auto"/>
              </w:rPr>
            </w:pPr>
          </w:p>
        </w:tc>
      </w:tr>
      <w:tr>
        <w:trPr>
          <w:trHeight w:val="230"/>
        </w:trPr>
        <w:tc>
          <w:tcPr>
            <w:tcW w:w="8120" w:type="dxa"/>
            <w:vAlign w:val="bottom"/>
            <w:gridSpan w:val="2"/>
          </w:tcPr>
          <w:p>
            <w:pPr>
              <w:ind w:left="140"/>
              <w:spacing w:after="0"/>
              <w:rPr>
                <w:sz w:val="20"/>
                <w:szCs w:val="20"/>
                <w:color w:val="auto"/>
              </w:rPr>
            </w:pPr>
            <w:r>
              <w:rPr>
                <w:rFonts w:ascii="Arial" w:cs="Arial" w:eastAsia="Arial" w:hAnsi="Arial"/>
                <w:sz w:val="18"/>
                <w:szCs w:val="18"/>
                <w:color w:val="auto"/>
              </w:rPr>
              <w:t>September 30, 2014 and December 31, 2013, respectively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1,822,225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1,576,702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(84,285)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22"/>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Westinghouse Air Brake Technologies Corporation shareholders' equity</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1,788,657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Non-controlling interest (minority interest)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1,789,609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center"/>
              <w:ind w:left="493"/>
              <w:spacing w:after="0"/>
              <w:rPr>
                <w:sz w:val="20"/>
                <w:szCs w:val="20"/>
                <w:color w:val="auto"/>
              </w:rPr>
            </w:pPr>
            <w:r>
              <w:rPr>
                <w:rFonts w:ascii="Arial" w:cs="Arial" w:eastAsia="Arial" w:hAnsi="Arial"/>
                <w:sz w:val="14"/>
                <w:szCs w:val="14"/>
                <w:b w:val="1"/>
                <w:bCs w:val="1"/>
                <w:color w:val="auto"/>
                <w:w w:val="93"/>
              </w:rPr>
              <w:t>Unaudited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center"/>
              <w:ind w:left="493"/>
              <w:spacing w:after="0"/>
              <w:rPr>
                <w:sz w:val="20"/>
                <w:szCs w:val="20"/>
                <w:color w:val="auto"/>
              </w:rPr>
            </w:pPr>
            <w:r>
              <w:rPr>
                <w:rFonts w:ascii="Arial" w:cs="Arial" w:eastAsia="Arial" w:hAnsi="Arial"/>
                <w:sz w:val="14"/>
                <w:szCs w:val="14"/>
                <w:b w:val="1"/>
                <w:bCs w:val="1"/>
                <w:color w:val="auto"/>
                <w:w w:val="93"/>
              </w:rPr>
              <w:t>Unaudited</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6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797,271</w:t>
            </w:r>
          </w:p>
        </w:tc>
        <w:tc>
          <w:tcPr>
            <w:tcW w:w="160" w:type="dxa"/>
            <w:vAlign w:val="bottom"/>
          </w:tcPr>
          <w:p>
            <w:pPr>
              <w:spacing w:after="0"/>
              <w:rPr>
                <w:sz w:val="24"/>
                <w:szCs w:val="24"/>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631,398</w:t>
            </w:r>
          </w:p>
        </w:tc>
        <w:tc>
          <w:tcPr>
            <w:tcW w:w="140" w:type="dxa"/>
            <w:vAlign w:val="bottom"/>
          </w:tcPr>
          <w:p>
            <w:pPr>
              <w:spacing w:after="0"/>
              <w:rPr>
                <w:sz w:val="24"/>
                <w:szCs w:val="24"/>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2,223,588</w:t>
            </w:r>
          </w:p>
        </w:tc>
        <w:tc>
          <w:tcPr>
            <w:tcW w:w="140" w:type="dxa"/>
            <w:vAlign w:val="bottom"/>
          </w:tcPr>
          <w:p>
            <w:pPr>
              <w:spacing w:after="0"/>
              <w:rPr>
                <w:sz w:val="24"/>
                <w:szCs w:val="24"/>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1,884,910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(549,813)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(443,265)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(1,541,903)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(1,321,008)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681,685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(88,359)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(63,402)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(231,422)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(191,576)</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Engineering expenses</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(10,921)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(43,558)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(33,535)</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(6,731)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(3,939)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390,146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Other income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(3,829)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(13,569)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Income from operations before income taxes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(41,074)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(30,441)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(117,655)</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Pr>
          <w:p>
            <w:pPr>
              <w:spacing w:after="0"/>
              <w:rPr>
                <w:sz w:val="20"/>
                <w:szCs w:val="20"/>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20"/>
                <w:szCs w:val="20"/>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Pr>
          <w:p>
            <w:pPr>
              <w:spacing w:after="0"/>
              <w:rPr>
                <w:sz w:val="20"/>
                <w:szCs w:val="20"/>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97,174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96,834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96,754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4"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center"/>
              <w:ind w:left="496"/>
              <w:spacing w:after="0"/>
              <w:rPr>
                <w:sz w:val="20"/>
                <w:szCs w:val="20"/>
                <w:color w:val="auto"/>
              </w:rPr>
            </w:pPr>
            <w:r>
              <w:rPr>
                <w:rFonts w:ascii="Arial" w:cs="Arial" w:eastAsia="Arial" w:hAnsi="Arial"/>
                <w:sz w:val="14"/>
                <w:szCs w:val="14"/>
                <w:b w:val="1"/>
                <w:bCs w:val="1"/>
                <w:color w:val="auto"/>
                <w:w w:val="93"/>
              </w:rPr>
              <w:t>Unaudited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Unaudited</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620" w:type="dxa"/>
            <w:vAlign w:val="bottom"/>
            <w:gridSpan w:val="3"/>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90,155</w:t>
            </w:r>
          </w:p>
        </w:tc>
        <w:tc>
          <w:tcPr>
            <w:tcW w:w="160" w:type="dxa"/>
            <w:vAlign w:val="bottom"/>
          </w:tcPr>
          <w:p>
            <w:pPr>
              <w:spacing w:after="0"/>
              <w:rPr>
                <w:sz w:val="24"/>
                <w:szCs w:val="24"/>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73,943</w:t>
            </w:r>
          </w:p>
        </w:tc>
        <w:tc>
          <w:tcPr>
            <w:tcW w:w="140" w:type="dxa"/>
            <w:vAlign w:val="bottom"/>
          </w:tcPr>
          <w:p>
            <w:pPr>
              <w:spacing w:after="0"/>
              <w:rPr>
                <w:sz w:val="24"/>
                <w:szCs w:val="24"/>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258,994</w:t>
            </w:r>
          </w:p>
        </w:tc>
        <w:tc>
          <w:tcPr>
            <w:tcW w:w="200" w:type="dxa"/>
            <w:vAlign w:val="bottom"/>
          </w:tcPr>
          <w:p>
            <w:pPr>
              <w:spacing w:after="0"/>
              <w:rPr>
                <w:sz w:val="24"/>
                <w:szCs w:val="24"/>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218,194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(60,964)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(52,876)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Unrealized gain (loss) on derivative contracts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Pension benefit plans and post-retirement benefit plans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Income tax benefit (expense) related to components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Comprehensive income attributable to Wabtec shareholders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4" w:right="279" w:bottom="1440" w:gutter="0" w:footer="0" w:header="0"/>
        </w:sectPr>
      </w:pPr>
    </w:p>
    <w:bookmarkStart w:id="5" w:name="page6"/>
    <w:bookmarkEnd w:id="5"/>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center"/>
              <w:ind w:left="532"/>
              <w:spacing w:after="0"/>
              <w:rPr>
                <w:sz w:val="20"/>
                <w:szCs w:val="20"/>
                <w:color w:val="auto"/>
              </w:rPr>
            </w:pPr>
            <w:r>
              <w:rPr>
                <w:rFonts w:ascii="Arial" w:cs="Arial" w:eastAsia="Arial" w:hAnsi="Arial"/>
                <w:sz w:val="14"/>
                <w:szCs w:val="14"/>
                <w:b w:val="1"/>
                <w:bCs w:val="1"/>
                <w:color w:val="auto"/>
                <w:w w:val="93"/>
              </w:rPr>
              <w:t>Unaudited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center"/>
              <w:ind w:left="532"/>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5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532"/>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1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258,994</w:t>
            </w:r>
          </w:p>
        </w:tc>
        <w:tc>
          <w:tcPr>
            <w:tcW w:w="220" w:type="dxa"/>
            <w:vAlign w:val="bottom"/>
          </w:tcPr>
          <w:p>
            <w:pPr>
              <w:spacing w:after="0"/>
              <w:rPr>
                <w:sz w:val="19"/>
                <w:szCs w:val="19"/>
                <w:color w:val="auto"/>
              </w:rPr>
            </w:pP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Loss (gain) on disposal of property, plant and 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Excess income tax benefits from exercise of stock options</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(89,359)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(33,958)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2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(32,640)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(30,977)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2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(299,661)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(222,058)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(330,298)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433,400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868,538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(362,965)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(649,359)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Purchase of treasury stock</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(26,757)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Excess income tax benefits from exercise of stock options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Earn-out settlement</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(4,429)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Cash dividends ($0.14 and $0.09 per share for the nine months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360"/>
              <w:spacing w:after="0"/>
              <w:rPr>
                <w:sz w:val="20"/>
                <w:szCs w:val="20"/>
                <w:color w:val="auto"/>
              </w:rPr>
            </w:pPr>
            <w:r>
              <w:rPr>
                <w:rFonts w:ascii="Arial" w:cs="Arial" w:eastAsia="Arial" w:hAnsi="Arial"/>
                <w:sz w:val="18"/>
                <w:szCs w:val="18"/>
                <w:color w:val="auto"/>
              </w:rPr>
              <w:t>ended September 30, 2014 and 2013, respectively)</w:t>
            </w:r>
          </w:p>
        </w:tc>
        <w:tc>
          <w:tcPr>
            <w:tcW w:w="2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(13,471)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Effect of changes in currency exchange rates</w:t>
            </w:r>
          </w:p>
        </w:tc>
        <w:tc>
          <w:tcPr>
            <w:tcW w:w="2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tcPr>
          <w:p>
            <w:pPr>
              <w:ind w:left="240"/>
              <w:spacing w:after="0"/>
              <w:rPr>
                <w:sz w:val="20"/>
                <w:szCs w:val="20"/>
                <w:color w:val="auto"/>
              </w:rPr>
            </w:pPr>
            <w:r>
              <w:rPr>
                <w:rFonts w:ascii="Arial" w:cs="Arial" w:eastAsia="Arial" w:hAnsi="Arial"/>
                <w:sz w:val="18"/>
                <w:szCs w:val="18"/>
                <w:color w:val="auto"/>
              </w:rPr>
              <w:t>(Decrease) increase in cash</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Cash, beginning of year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285,760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2"/>
          </w:tcPr>
          <w:p>
            <w:pPr>
              <w:ind w:left="480"/>
              <w:spacing w:after="0"/>
              <w:rPr>
                <w:sz w:val="20"/>
                <w:szCs w:val="20"/>
                <w:color w:val="auto"/>
              </w:rPr>
            </w:pPr>
            <w:r>
              <w:rPr>
                <w:rFonts w:ascii="Arial" w:cs="Arial" w:eastAsia="Arial" w:hAnsi="Arial"/>
                <w:sz w:val="18"/>
                <w:szCs w:val="18"/>
                <w:color w:val="auto"/>
              </w:rPr>
              <w:t>Cash, end of period</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4" w:right="27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Westinghouse Air Brake Technologies Corporation (“Wabtec”)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19 countries. In the first nine months of 2014, about 48% of the Company’s revenues came from customers outside the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jc w:val="both"/>
        <w:ind w:right="180" w:firstLine="518"/>
        <w:spacing w:after="0" w:line="297"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condensed consolidated interim financial statements have been prepared in accordance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and the rules and regulations of the Securities and Exchange Commission and include the accounts of Wabtec and its majority owned subsidiaries.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158"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2013. The December 31, 2013 information has been derived from the Company’s Annual Report on Form 10-K for the year ended December 31, 2013.</w:t>
      </w:r>
    </w:p>
    <w:p>
      <w:pPr>
        <w:spacing w:after="0" w:line="181" w:lineRule="exact"/>
        <w:rPr>
          <w:sz w:val="20"/>
          <w:szCs w:val="20"/>
          <w:color w:val="auto"/>
        </w:rPr>
      </w:pPr>
    </w:p>
    <w:p>
      <w:pPr>
        <w:jc w:val="both"/>
        <w:ind w:right="100" w:firstLine="487"/>
        <w:spacing w:after="0" w:line="259" w:lineRule="auto"/>
        <w:rPr>
          <w:sz w:val="20"/>
          <w:szCs w:val="20"/>
          <w:color w:val="auto"/>
        </w:rPr>
      </w:pPr>
      <w:r>
        <w:rPr>
          <w:rFonts w:ascii="Arial" w:cs="Arial" w:eastAsia="Arial" w:hAnsi="Arial"/>
          <w:sz w:val="18"/>
          <w:szCs w:val="18"/>
          <w:b w:val="1"/>
          <w:bCs w:val="1"/>
          <w:i w:val="1"/>
          <w:iCs w:val="1"/>
          <w:color w:val="auto"/>
        </w:rPr>
        <w:t xml:space="preserve">Capital Structure </w:t>
      </w:r>
      <w:r>
        <w:rPr>
          <w:rFonts w:ascii="Arial" w:cs="Arial" w:eastAsia="Arial" w:hAnsi="Arial"/>
          <w:sz w:val="18"/>
          <w:szCs w:val="18"/>
          <w:color w:val="auto"/>
        </w:rPr>
        <w:t>On May 14, 2013, our stockholders approved an amendment to our Amended and Restated Certificate of Incorporation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authorized shares of our common stock to 200.0 million shares. In addition, on May 14, 2013, our Board of Directors approved a two-for-one split of the Company’s issued and outstanding common stock in the form of a 100% stock dividend. The increase in the authorized shares and the stock split became effective on May 14, 2013 and June 11, 2013, respectively.</w:t>
      </w:r>
    </w:p>
    <w:p>
      <w:pPr>
        <w:spacing w:after="0" w:line="187" w:lineRule="exact"/>
        <w:rPr>
          <w:sz w:val="20"/>
          <w:szCs w:val="20"/>
          <w:color w:val="auto"/>
        </w:rPr>
      </w:pPr>
    </w:p>
    <w:p>
      <w:pPr>
        <w:ind w:right="60" w:firstLine="487"/>
        <w:spacing w:after="0" w:line="277" w:lineRule="auto"/>
        <w:rPr>
          <w:sz w:val="20"/>
          <w:szCs w:val="20"/>
          <w:color w:val="auto"/>
        </w:rPr>
      </w:pPr>
      <w:r>
        <w:rPr>
          <w:rFonts w:ascii="Arial" w:cs="Arial" w:eastAsia="Arial" w:hAnsi="Arial"/>
          <w:sz w:val="18"/>
          <w:szCs w:val="18"/>
          <w:color w:val="auto"/>
        </w:rPr>
        <w:t>The Company issued approximately 66.2 million shares of its common stock as a result of the two-for-one stock split. The par value of the Company’s common stock remained unchanged at $0.01 per share.</w:t>
      </w:r>
    </w:p>
    <w:p>
      <w:pPr>
        <w:spacing w:after="0" w:line="170" w:lineRule="exact"/>
        <w:rPr>
          <w:sz w:val="20"/>
          <w:szCs w:val="20"/>
          <w:color w:val="auto"/>
        </w:rPr>
      </w:pPr>
    </w:p>
    <w:p>
      <w:pPr>
        <w:ind w:right="280" w:firstLine="487"/>
        <w:spacing w:after="0" w:line="279" w:lineRule="auto"/>
        <w:rPr>
          <w:sz w:val="20"/>
          <w:szCs w:val="20"/>
          <w:color w:val="auto"/>
        </w:rPr>
      </w:pPr>
      <w:r>
        <w:rPr>
          <w:rFonts w:ascii="Arial" w:cs="Arial" w:eastAsia="Arial" w:hAnsi="Arial"/>
          <w:sz w:val="17"/>
          <w:szCs w:val="17"/>
          <w:color w:val="auto"/>
        </w:rPr>
        <w:t>Information regarding shares of common stock (except par value per share), retained earnings, and net income per common share attributable to Wabtec shareholders for all periods presented reflects the two-for-one split of the Company’s common stock. The number of shares of the Company’s common stock issuable upon exercise of outstanding stock options and vesting of other stock-based awards was proportionally increased, and the exercise price per share thereof was proportionally decreased, in accordance with the terms of the stock incentive plans.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prior year footnote amounts have been reclassified where necessary to conform to the current year presentation.</w:t>
      </w:r>
    </w:p>
    <w:p>
      <w:pPr>
        <w:spacing w:after="0" w:line="23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 is recognized in accordance with Accounting Standards Codification (“ASC”) 605 “Revenue Recognition”. Revenue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when products have been shipped to the respective customers, title has passed and the price for the product has been determined.</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general, the Company recognizes revenues on long-term contracts based on the percentage of completion method of accounting. The units-of-delivery method or other input-based or output-based measures, as appropriate, are used to measure the progress toward completion of individual contracts. Contract revenues and cost estimates are reviewed and revised at a minimum quarterly and adjustments are reflected in the accounting period as such amounts are determined. Provisions are made currently for estimated losses on uncompleted contracts. Unbilled accounts receivables were $240.2 million and $205.0 million, customer deposits were $74.9 million and $66.6 million, and provisions for loss contracts were $7.4 million and $14.0 million at September 30, 2014 and December 31, 2013,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right="440" w:firstLine="518"/>
        <w:spacing w:after="0" w:line="277" w:lineRule="auto"/>
        <w:rPr>
          <w:sz w:val="20"/>
          <w:szCs w:val="20"/>
          <w:color w:val="auto"/>
        </w:rPr>
      </w:pPr>
      <w:r>
        <w:rPr>
          <w:rFonts w:ascii="Arial" w:cs="Arial" w:eastAsia="Arial" w:hAnsi="Arial"/>
          <w:sz w:val="18"/>
          <w:szCs w:val="18"/>
          <w:color w:val="auto"/>
        </w:rPr>
        <w:t>Certain pre-production costs relating to long-term production and supply contracts have been deferred and will be recognized over the life of the contracts. Deferred pre-production costs were $19.2 million at September 30, 2014 and December 31, 2013, respectively.</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154"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b w:val="1"/>
          <w:bCs w:val="1"/>
          <w:i w:val="1"/>
          <w:iCs w:val="1"/>
          <w:color w:val="auto"/>
        </w:rPr>
        <w:t xml:space="preserve">Financial Derivatives and Hedging Activities </w:t>
      </w:r>
      <w:r>
        <w:rPr>
          <w:rFonts w:ascii="Arial" w:cs="Arial" w:eastAsia="Arial" w:hAnsi="Arial"/>
          <w:sz w:val="16"/>
          <w:szCs w:val="16"/>
          <w:color w:val="auto"/>
        </w:rPr>
        <w:t>The Company periodically enters into foreign currency forward contracts to reduce the impact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currency exchange rates.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At September 30, 2014, the Company had no material foreign currency forward contracts.</w:t>
      </w:r>
    </w:p>
    <w:p>
      <w:pPr>
        <w:spacing w:after="0" w:line="154"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To reduce the impact of interest rate changes on a portion of its variable-rate debt, the Company has entered into two forward starting interest rate swap agreements with notional values of $150.0 million. As of September 30, 2014, the Company has recorded a current liability of $2.4 million and a corresponding offset in accumulated other comprehensive loss of $1.4 million, net of tax, related to this agreement. For further information regarding the forward starting interest rate swap agreements, see Footnote 6.</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Assets and liabilities of foreign subsidiaries, except for the Company’s Mexican operations whose functional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U.S. Dollar, are translated at the rate of exchange in effect on the balance sheet date while income and expenses are translated at the average rates of exchange prevailing during the year.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the Company has classified non-controlling interests as equity on our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as of September 30, 2014 and December 31, 2013. Net income attributable to non-controlling interests for the three and nine months ended September 30, 2014 and 2013 was not material.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 xml:space="preserve">Other Comprehensive Income </w:t>
      </w:r>
      <w:r>
        <w:rPr>
          <w:rFonts w:ascii="Arial" w:cs="Arial" w:eastAsia="Arial" w:hAnsi="Arial"/>
          <w:sz w:val="17"/>
          <w:szCs w:val="17"/>
          <w:color w:val="auto"/>
        </w:rPr>
        <w:t>Comprehensive income is defined as net income and all other non-owner changes in shareholders’ equity.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September 30, 2014 are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Pension and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post</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retirement</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7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translation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benefits plans</w:t>
            </w:r>
          </w:p>
        </w:tc>
        <w:tc>
          <w:tcPr>
            <w:tcW w:w="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(50,172)</w:t>
            </w:r>
          </w:p>
        </w:tc>
        <w:tc>
          <w:tcPr>
            <w:tcW w:w="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(52,876)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(52,596)</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50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September 30, 2014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(47,016)</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57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84" w:right="29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Reclassifications out of accumulated other comprehensive loss for the three months ended September 30, 2014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 reclassified from</w:t>
            </w:r>
          </w:p>
        </w:tc>
        <w:tc>
          <w:tcPr>
            <w:tcW w:w="1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accumulated other</w:t>
            </w:r>
          </w:p>
        </w:tc>
        <w:tc>
          <w:tcPr>
            <w:tcW w:w="1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62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comprehensive income</w:t>
            </w:r>
          </w:p>
        </w:tc>
        <w:tc>
          <w:tcPr>
            <w:tcW w:w="140" w:type="dxa"/>
            <w:vAlign w:val="bottom"/>
          </w:tcPr>
          <w:p>
            <w:pPr>
              <w:spacing w:after="0"/>
              <w:rPr>
                <w:sz w:val="13"/>
                <w:szCs w:val="13"/>
                <w:color w:val="auto"/>
              </w:rPr>
            </w:pPr>
          </w:p>
        </w:tc>
        <w:tc>
          <w:tcPr>
            <w:tcW w:w="2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60"/>
              <w:spacing w:after="0"/>
              <w:rPr>
                <w:sz w:val="20"/>
                <w:szCs w:val="20"/>
                <w:color w:val="auto"/>
              </w:rPr>
            </w:pPr>
            <w:r>
              <w:rPr>
                <w:rFonts w:ascii="Arial" w:cs="Arial" w:eastAsia="Arial" w:hAnsi="Arial"/>
                <w:sz w:val="18"/>
                <w:szCs w:val="18"/>
                <w:color w:val="auto"/>
              </w:rPr>
              <w:t>Amortization of initial net obligation and prior service cost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60"/>
              <w:spacing w:after="0"/>
              <w:rPr>
                <w:sz w:val="20"/>
                <w:szCs w:val="20"/>
                <w:color w:val="auto"/>
              </w:rPr>
            </w:pPr>
            <w:r>
              <w:rPr>
                <w:rFonts w:ascii="Arial" w:cs="Arial" w:eastAsia="Arial" w:hAnsi="Arial"/>
                <w:sz w:val="18"/>
                <w:szCs w:val="18"/>
                <w:color w:val="auto"/>
              </w:rPr>
              <w:t>Amortization of net loss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20"/>
                <w:szCs w:val="20"/>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19"/>
                <w:szCs w:val="19"/>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9"/>
                <w:szCs w:val="19"/>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21"/>
                <w:szCs w:val="21"/>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20"/>
                <w:szCs w:val="20"/>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23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420" w:type="dxa"/>
            <w:vAlign w:val="bottom"/>
            <w:gridSpan w:val="8"/>
          </w:tcPr>
          <w:p>
            <w:pPr>
              <w:ind w:left="520"/>
              <w:spacing w:after="0"/>
              <w:rPr>
                <w:sz w:val="20"/>
                <w:szCs w:val="20"/>
                <w:color w:val="auto"/>
              </w:rPr>
            </w:pPr>
            <w:r>
              <w:rPr>
                <w:rFonts w:ascii="Arial" w:cs="Arial" w:eastAsia="Arial" w:hAnsi="Arial"/>
                <w:sz w:val="18"/>
                <w:szCs w:val="18"/>
                <w:color w:val="auto"/>
              </w:rPr>
              <w:t>Reclassifications out of accumulated other comprehensive loss for the nine months ended September 30, 2014 are as follows:</w:t>
            </w: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 reclassified from</w:t>
            </w:r>
          </w:p>
        </w:tc>
        <w:tc>
          <w:tcPr>
            <w:tcW w:w="1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accumulated other</w:t>
            </w:r>
          </w:p>
        </w:tc>
        <w:tc>
          <w:tcPr>
            <w:tcW w:w="1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62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comprehensive income</w:t>
            </w:r>
          </w:p>
        </w:tc>
        <w:tc>
          <w:tcPr>
            <w:tcW w:w="140" w:type="dxa"/>
            <w:vAlign w:val="bottom"/>
          </w:tcPr>
          <w:p>
            <w:pPr>
              <w:spacing w:after="0"/>
              <w:rPr>
                <w:sz w:val="13"/>
                <w:szCs w:val="13"/>
                <w:color w:val="auto"/>
              </w:rPr>
            </w:pPr>
          </w:p>
        </w:tc>
        <w:tc>
          <w:tcPr>
            <w:tcW w:w="2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260"/>
              <w:spacing w:after="0"/>
              <w:rPr>
                <w:sz w:val="20"/>
                <w:szCs w:val="20"/>
                <w:color w:val="auto"/>
              </w:rPr>
            </w:pPr>
            <w:r>
              <w:rPr>
                <w:rFonts w:ascii="Arial" w:cs="Arial" w:eastAsia="Arial" w:hAnsi="Arial"/>
                <w:sz w:val="18"/>
                <w:szCs w:val="18"/>
                <w:color w:val="auto"/>
              </w:rPr>
              <w:t>Amortization of initial net obligation and prior service cost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(1,843)</w:t>
            </w: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30"/>
        </w:trPr>
        <w:tc>
          <w:tcPr>
            <w:tcW w:w="6240" w:type="dxa"/>
            <w:vAlign w:val="bottom"/>
            <w:gridSpan w:val="2"/>
          </w:tcPr>
          <w:p>
            <w:pPr>
              <w:ind w:left="260"/>
              <w:spacing w:after="0"/>
              <w:rPr>
                <w:sz w:val="20"/>
                <w:szCs w:val="20"/>
                <w:color w:val="auto"/>
              </w:rPr>
            </w:pPr>
            <w:r>
              <w:rPr>
                <w:rFonts w:ascii="Arial" w:cs="Arial" w:eastAsia="Arial" w:hAnsi="Arial"/>
                <w:sz w:val="18"/>
                <w:szCs w:val="18"/>
                <w:color w:val="auto"/>
              </w:rPr>
              <w:t>Amortization of net loss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80" w:type="dxa"/>
            <w:vAlign w:val="bottom"/>
          </w:tcPr>
          <w:p>
            <w:pPr>
              <w:spacing w:after="0"/>
              <w:rPr>
                <w:sz w:val="20"/>
                <w:szCs w:val="20"/>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2,908</w:t>
            </w:r>
          </w:p>
        </w:tc>
        <w:tc>
          <w:tcPr>
            <w:tcW w:w="180" w:type="dxa"/>
            <w:vAlign w:val="bottom"/>
          </w:tcPr>
          <w:p>
            <w:pPr>
              <w:spacing w:after="0"/>
              <w:rPr>
                <w:sz w:val="19"/>
                <w:szCs w:val="19"/>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1,697</w:t>
            </w:r>
          </w:p>
        </w:tc>
        <w:tc>
          <w:tcPr>
            <w:tcW w:w="180" w:type="dxa"/>
            <w:vAlign w:val="bottom"/>
          </w:tcPr>
          <w:p>
            <w:pPr>
              <w:spacing w:after="0"/>
              <w:rPr>
                <w:sz w:val="21"/>
                <w:szCs w:val="21"/>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20"/>
                <w:szCs w:val="20"/>
                <w:color w:val="auto"/>
              </w:rPr>
            </w:pPr>
          </w:p>
        </w:tc>
        <w:tc>
          <w:tcPr>
            <w:tcW w:w="264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Freight Segment:</w:t>
      </w:r>
    </w:p>
    <w:p>
      <w:pPr>
        <w:spacing w:after="0" w:line="117" w:lineRule="exact"/>
        <w:rPr>
          <w:sz w:val="20"/>
          <w:szCs w:val="20"/>
          <w:color w:val="auto"/>
        </w:rPr>
      </w:pPr>
    </w:p>
    <w:p>
      <w:pPr>
        <w:ind w:left="1020" w:right="180" w:hanging="365"/>
        <w:spacing w:after="0" w:line="264" w:lineRule="auto"/>
        <w:rPr>
          <w:sz w:val="20"/>
          <w:szCs w:val="20"/>
          <w:color w:val="auto"/>
        </w:rPr>
      </w:pPr>
      <w:r>
        <w:rPr>
          <w:rFonts w:ascii="Arial" w:cs="Arial" w:eastAsia="Arial" w:hAnsi="Arial"/>
          <w:sz w:val="18"/>
          <w:szCs w:val="18"/>
          <w:color w:val="auto"/>
        </w:rPr>
        <w:t>— On September 3, 2014, the Company acquired C2CE Pty Ltd. (“C2CE”), a provider of railway signal design services, for a net purchase price of approximately $25.1 million, net of cash acquired, resulting in preliminary goodwill of $15.0 million, none of which will be deductible for tax purposes.</w:t>
      </w:r>
    </w:p>
    <w:p>
      <w:pPr>
        <w:spacing w:after="0" w:line="73" w:lineRule="exact"/>
        <w:rPr>
          <w:sz w:val="20"/>
          <w:szCs w:val="20"/>
          <w:color w:val="auto"/>
        </w:rPr>
      </w:pPr>
    </w:p>
    <w:p>
      <w:pPr>
        <w:ind w:left="1020" w:right="320" w:hanging="365"/>
        <w:spacing w:after="0" w:line="264" w:lineRule="auto"/>
        <w:rPr>
          <w:sz w:val="20"/>
          <w:szCs w:val="20"/>
          <w:color w:val="auto"/>
        </w:rPr>
      </w:pPr>
      <w:r>
        <w:rPr>
          <w:rFonts w:ascii="Arial" w:cs="Arial" w:eastAsia="Arial" w:hAnsi="Arial"/>
          <w:sz w:val="18"/>
          <w:szCs w:val="18"/>
          <w:color w:val="auto"/>
        </w:rPr>
        <w:t>— On September 24, 2013, the Company acquired Longwood Industries, Inc (“Longwood”), a manufacturer of specialty rubber products for transportation, oil and gas, and industrial markets, for a net purchase price of approximately $83.9 million, net of cash acquired, resulting in goodwill of $28.3 million, none of which will be deductible for tax purposes.</w:t>
      </w:r>
    </w:p>
    <w:p>
      <w:pPr>
        <w:spacing w:after="0" w:line="73" w:lineRule="exact"/>
        <w:rPr>
          <w:sz w:val="20"/>
          <w:szCs w:val="20"/>
          <w:color w:val="auto"/>
        </w:rPr>
      </w:pPr>
    </w:p>
    <w:p>
      <w:pPr>
        <w:ind w:left="1020" w:right="180" w:hanging="365"/>
        <w:spacing w:after="0" w:line="264" w:lineRule="auto"/>
        <w:rPr>
          <w:sz w:val="20"/>
          <w:szCs w:val="20"/>
          <w:color w:val="auto"/>
        </w:rPr>
      </w:pPr>
      <w:r>
        <w:rPr>
          <w:rFonts w:ascii="Arial" w:cs="Arial" w:eastAsia="Arial" w:hAnsi="Arial"/>
          <w:sz w:val="18"/>
          <w:szCs w:val="18"/>
          <w:color w:val="auto"/>
        </w:rPr>
        <w:t>— On July 30, 2013, the Company acquired Turbonetics Holdings, Inc (“Turbonetics”), a manufacturer of turbochargers and related components for various industrial markets, for a net purchase price of approximately $23.2 million, net of cash acquired, resulting in preliminary goodwill of $11.3 million, none of which will be deductible for tax purposes.</w:t>
      </w:r>
    </w:p>
    <w:p>
      <w:pPr>
        <w:spacing w:after="0" w:line="73" w:lineRule="exact"/>
        <w:rPr>
          <w:sz w:val="20"/>
          <w:szCs w:val="20"/>
          <w:color w:val="auto"/>
        </w:rPr>
      </w:pPr>
    </w:p>
    <w:p>
      <w:pPr>
        <w:ind w:left="1020" w:hanging="365"/>
        <w:spacing w:after="0" w:line="264" w:lineRule="auto"/>
        <w:rPr>
          <w:sz w:val="20"/>
          <w:szCs w:val="20"/>
          <w:color w:val="auto"/>
        </w:rPr>
      </w:pPr>
      <w:r>
        <w:rPr>
          <w:rFonts w:ascii="Arial" w:cs="Arial" w:eastAsia="Arial" w:hAnsi="Arial"/>
          <w:sz w:val="18"/>
          <w:szCs w:val="18"/>
          <w:color w:val="auto"/>
        </w:rPr>
        <w:t>— On January 31, 2013, the Company acquired Napier Turbochargers Ltd. (“Napier”), a UK-based provider of turbochargers and related parts for the worldwide power generation and marine markets, for a net purchase price of approximately $112.3 million, net of cash acquired, resulting in additional goodwill of $67.0 million, none of which will be deductible for tax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Transit Segment:</w:t>
      </w:r>
    </w:p>
    <w:p>
      <w:pPr>
        <w:spacing w:after="0" w:line="117" w:lineRule="exact"/>
        <w:rPr>
          <w:sz w:val="20"/>
          <w:szCs w:val="20"/>
          <w:color w:val="auto"/>
        </w:rPr>
      </w:pPr>
    </w:p>
    <w:p>
      <w:pPr>
        <w:jc w:val="both"/>
        <w:ind w:left="1020" w:right="300" w:hanging="358"/>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21, 2014, the Company acquired Dia-Frag (“Dia-Frag”), a manufacturer of friction products for various markets with a focus on motorcycle braking, for a net purchase price of approximately $70.6 million, net of cash acquired, resulting in additional goodwill of $32.6 million, none of which will be deductible for tax purposes.</w:t>
      </w:r>
    </w:p>
    <w:p>
      <w:pPr>
        <w:spacing w:after="0" w:line="73" w:lineRule="exact"/>
        <w:rPr>
          <w:rFonts w:ascii="Arial" w:cs="Arial" w:eastAsia="Arial" w:hAnsi="Arial"/>
          <w:sz w:val="18"/>
          <w:szCs w:val="18"/>
          <w:color w:val="auto"/>
        </w:rPr>
      </w:pPr>
    </w:p>
    <w:p>
      <w:pPr>
        <w:ind w:left="1020" w:hanging="358"/>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June 6, 2014, the Company acquired Fandstan Electric Group Ltd. (“Fandstan”), a leading rail and industrial equipment manufacturer for a variety of markets, including rail and tram transportation, industrial and energy, for a net purchase price of approximately $199.4 million, net of cash acquired, resulting in additional goodwill of $49.7 million, none of which will be deductible for tax purposes.</w:t>
      </w:r>
    </w:p>
    <w:p>
      <w:pPr>
        <w:spacing w:after="0" w:line="166"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acquisitions listed above include escrow deposits of $41.6 million, which act as security for indemnity and other claims in accordance with the purchase and related escrow agreements. For the C2CE, Dia-Frag, and Fandstan acquisitions, the following table summarizes the preliminary estimated fair values of the assets acquired and liabilities assumed at the date of the acquisition. For the Longwood, Turbonetics, and Napier acquisitions, the following table summarizes the final fair values of the assets acquired and liabilities assumed at the date of acquisition.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C2CE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Dia-Frag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Fandstan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Longwood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Turbonetics</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Napier</w:t>
            </w:r>
          </w:p>
        </w:tc>
      </w:tr>
      <w:tr>
        <w:trPr>
          <w:trHeight w:val="146"/>
        </w:trPr>
        <w:tc>
          <w:tcPr>
            <w:tcW w:w="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w w:val="90"/>
              </w:rPr>
              <w:t>September 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75"/>
              <w:spacing w:after="0" w:line="147" w:lineRule="exact"/>
              <w:rPr>
                <w:sz w:val="20"/>
                <w:szCs w:val="20"/>
                <w:color w:val="auto"/>
              </w:rPr>
            </w:pPr>
            <w:r>
              <w:rPr>
                <w:rFonts w:ascii="Arial" w:cs="Arial" w:eastAsia="Arial" w:hAnsi="Arial"/>
                <w:sz w:val="14"/>
                <w:szCs w:val="14"/>
                <w:b w:val="1"/>
                <w:bCs w:val="1"/>
                <w:color w:val="auto"/>
                <w:w w:val="92"/>
              </w:rPr>
              <w:t>August 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15"/>
              <w:spacing w:after="0" w:line="147" w:lineRule="exact"/>
              <w:rPr>
                <w:sz w:val="20"/>
                <w:szCs w:val="20"/>
                <w:color w:val="auto"/>
              </w:rPr>
            </w:pPr>
            <w:r>
              <w:rPr>
                <w:rFonts w:ascii="Arial" w:cs="Arial" w:eastAsia="Arial" w:hAnsi="Arial"/>
                <w:sz w:val="14"/>
                <w:szCs w:val="14"/>
                <w:b w:val="1"/>
                <w:bCs w:val="1"/>
                <w:color w:val="auto"/>
                <w:w w:val="91"/>
              </w:rPr>
              <w:t>June 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5"/>
              <w:spacing w:after="0" w:line="147" w:lineRule="exact"/>
              <w:rPr>
                <w:sz w:val="20"/>
                <w:szCs w:val="20"/>
                <w:color w:val="auto"/>
              </w:rPr>
            </w:pPr>
            <w:r>
              <w:rPr>
                <w:rFonts w:ascii="Arial" w:cs="Arial" w:eastAsia="Arial" w:hAnsi="Arial"/>
                <w:sz w:val="14"/>
                <w:szCs w:val="14"/>
                <w:b w:val="1"/>
                <w:bCs w:val="1"/>
                <w:color w:val="auto"/>
                <w:w w:val="91"/>
              </w:rPr>
              <w:t>September 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75"/>
              <w:spacing w:after="0" w:line="147"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75"/>
              <w:spacing w:after="0" w:line="147" w:lineRule="exact"/>
              <w:rPr>
                <w:sz w:val="20"/>
                <w:szCs w:val="20"/>
                <w:color w:val="auto"/>
              </w:rPr>
            </w:pPr>
            <w:r>
              <w:rPr>
                <w:rFonts w:ascii="Arial" w:cs="Arial" w:eastAsia="Arial" w:hAnsi="Arial"/>
                <w:sz w:val="14"/>
                <w:szCs w:val="14"/>
                <w:b w:val="1"/>
                <w:bCs w:val="1"/>
                <w:color w:val="auto"/>
                <w:w w:val="93"/>
              </w:rPr>
              <w:t>January 31,</w:t>
            </w:r>
          </w:p>
        </w:tc>
        <w:tc>
          <w:tcPr>
            <w:tcW w:w="60" w:type="dxa"/>
            <w:vAlign w:val="bottom"/>
          </w:tcPr>
          <w:p>
            <w:pPr>
              <w:spacing w:after="0"/>
              <w:rPr>
                <w:sz w:val="12"/>
                <w:szCs w:val="12"/>
                <w:color w:val="auto"/>
              </w:rPr>
            </w:pPr>
          </w:p>
        </w:tc>
      </w:tr>
      <w:tr>
        <w:trPr>
          <w:trHeight w:val="158"/>
        </w:trPr>
        <w:tc>
          <w:tcPr>
            <w:tcW w:w="280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3"/>
                <w:szCs w:val="13"/>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9,794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5,532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13,441</w:t>
            </w:r>
          </w:p>
        </w:tc>
        <w:tc>
          <w:tcPr>
            <w:tcW w:w="60" w:type="dxa"/>
            <w:vAlign w:val="bottom"/>
          </w:tcPr>
          <w:p>
            <w:pPr>
              <w:spacing w:after="0"/>
              <w:rPr>
                <w:sz w:val="18"/>
                <w:szCs w:val="18"/>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8,837</w:t>
            </w:r>
          </w:p>
        </w:tc>
        <w:tc>
          <w:tcPr>
            <w:tcW w:w="60" w:type="dxa"/>
            <w:vAlign w:val="bottom"/>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67,045</w:t>
            </w:r>
          </w:p>
        </w:tc>
        <w:tc>
          <w:tcPr>
            <w:tcW w:w="60" w:type="dxa"/>
            <w:vAlign w:val="bottom"/>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40,583</w:t>
            </w:r>
          </w:p>
        </w:tc>
        <w:tc>
          <w:tcPr>
            <w:tcW w:w="60" w:type="dxa"/>
            <w:vAlign w:val="bottom"/>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2"/>
        </w:trPr>
        <w:tc>
          <w:tcPr>
            <w:tcW w:w="2800" w:type="dxa"/>
            <w:vAlign w:val="bottom"/>
            <w:gridSpan w:val="2"/>
          </w:tcPr>
          <w:p>
            <w:pPr>
              <w:ind w:left="380"/>
              <w:spacing w:after="0"/>
              <w:rPr>
                <w:sz w:val="20"/>
                <w:szCs w:val="20"/>
                <w:color w:val="auto"/>
              </w:rPr>
            </w:pPr>
            <w:r>
              <w:rPr>
                <w:rFonts w:ascii="Arial" w:cs="Arial" w:eastAsia="Arial" w:hAnsi="Arial"/>
                <w:sz w:val="18"/>
                <w:szCs w:val="18"/>
                <w:color w:val="auto"/>
              </w:rPr>
              <w:t>Total assets acquired</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85,831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288,118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129,906</w:t>
            </w:r>
          </w:p>
        </w:tc>
        <w:tc>
          <w:tcPr>
            <w:tcW w:w="60" w:type="dxa"/>
            <w:vAlign w:val="bottom"/>
          </w:tcPr>
          <w:p>
            <w:pPr>
              <w:spacing w:after="0"/>
              <w:rPr>
                <w:sz w:val="19"/>
                <w:szCs w:val="19"/>
                <w:color w:val="auto"/>
              </w:rPr>
            </w:pPr>
          </w:p>
        </w:tc>
      </w:tr>
      <w:tr>
        <w:trPr>
          <w:trHeight w:val="230"/>
        </w:trPr>
        <w:tc>
          <w:tcPr>
            <w:tcW w:w="280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(15,190)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(88,714)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(20,663)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(5,790)</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(17,565)</w:t>
            </w:r>
          </w:p>
        </w:tc>
      </w:tr>
      <w:tr>
        <w:trPr>
          <w:trHeight w:val="223"/>
        </w:trPr>
        <w:tc>
          <w:tcPr>
            <w:tcW w:w="2800" w:type="dxa"/>
            <w:vAlign w:val="bottom"/>
            <w:gridSpan w:val="2"/>
          </w:tcPr>
          <w:p>
            <w:pPr>
              <w:ind w:left="380"/>
              <w:spacing w:after="0"/>
              <w:rPr>
                <w:sz w:val="20"/>
                <w:szCs w:val="20"/>
                <w:color w:val="auto"/>
              </w:rPr>
            </w:pPr>
            <w:r>
              <w:rPr>
                <w:rFonts w:ascii="Arial" w:cs="Arial" w:eastAsia="Arial" w:hAnsi="Arial"/>
                <w:sz w:val="18"/>
                <w:szCs w:val="18"/>
                <w:color w:val="auto"/>
              </w:rPr>
              <w:t>Net assets acquired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112,341</w:t>
            </w:r>
          </w:p>
        </w:tc>
        <w:tc>
          <w:tcPr>
            <w:tcW w:w="6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Of the $182.6 million of total acquired intangible assets, $119.5 million was assigned to customer relationships, $45.9 million was assigned to trade names, $5.2 million was assigned to patents, $3.9 million was assigned to non-compete agreements, $0.8 million was assigned to favorable leasehold interest and $7.3 million was assigned to customer backlog. The trade names were determined to have an indefinite useful life, while the customer relationships’ average useful life is 20 years, the patents’ useful life is 11 years, the non-compete useful life is five years and the favorable leasehold interest useful life is five years.</w:t>
      </w:r>
    </w:p>
    <w:p>
      <w:pPr>
        <w:spacing w:after="0" w:line="18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acquisitions listed above had occurred on January 1,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Nine Months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Nine Months Ended</w:t>
            </w:r>
          </w:p>
        </w:tc>
      </w:tr>
      <w:tr>
        <w:trPr>
          <w:trHeight w:val="178"/>
        </w:trPr>
        <w:tc>
          <w:tcPr>
            <w:tcW w:w="29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w w:val="99"/>
              </w:rPr>
              <w:t>September 30, 2014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w w:val="97"/>
              </w:rPr>
              <w:t>September 30, 2014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w w:val="99"/>
              </w:rPr>
              <w:t>September 30, 2013</w:t>
            </w:r>
          </w:p>
        </w:tc>
      </w:tr>
      <w:tr>
        <w:trPr>
          <w:trHeight w:val="216"/>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Net sales</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808,327</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727,010</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2,357,388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2,179,068</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250,542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212,649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724,706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645,888</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Net income attributable to Wabtec</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91,519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79,897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269,469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239,151</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960" w:type="dxa"/>
            <w:vAlign w:val="bottom"/>
            <w:gridSpan w:val="2"/>
          </w:tcPr>
          <w:p>
            <w:pPr>
              <w:ind w:left="380"/>
              <w:spacing w:after="0"/>
              <w:rPr>
                <w:sz w:val="20"/>
                <w:szCs w:val="20"/>
                <w:color w:val="auto"/>
              </w:rPr>
            </w:pPr>
            <w:r>
              <w:rPr>
                <w:rFonts w:ascii="Arial" w:cs="Arial" w:eastAsia="Arial" w:hAnsi="Arial"/>
                <w:sz w:val="18"/>
                <w:szCs w:val="18"/>
                <w:color w:val="auto"/>
              </w:rPr>
              <w:t>As Reported</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0.76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2960" w:type="dxa"/>
            <w:vAlign w:val="bottom"/>
            <w:gridSpan w:val="2"/>
          </w:tcPr>
          <w:p>
            <w:pPr>
              <w:ind w:left="380"/>
              <w:spacing w:after="0"/>
              <w:rPr>
                <w:sz w:val="20"/>
                <w:szCs w:val="20"/>
                <w:color w:val="auto"/>
              </w:rPr>
            </w:pPr>
            <w:r>
              <w:rPr>
                <w:rFonts w:ascii="Arial" w:cs="Arial" w:eastAsia="Arial" w:hAnsi="Arial"/>
                <w:sz w:val="18"/>
                <w:szCs w:val="18"/>
                <w:color w:val="auto"/>
              </w:rPr>
              <w:t>Pro forma</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0.82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797"/>
        </w:trPr>
        <w:tc>
          <w:tcPr>
            <w:tcW w:w="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1354"/>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380"/>
          </w:cols>
          <w:pgMar w:left="240" w:top="58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inventory, net of reserves, were:</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2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0"/>
              <w:spacing w:after="0" w:line="15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6"/>
              <w:spacing w:after="0" w:line="158" w:lineRule="exact"/>
              <w:rPr>
                <w:sz w:val="20"/>
                <w:szCs w:val="20"/>
                <w:color w:val="auto"/>
              </w:rPr>
            </w:pPr>
            <w:r>
              <w:rPr>
                <w:rFonts w:ascii="Arial" w:cs="Arial" w:eastAsia="Arial" w:hAnsi="Arial"/>
                <w:sz w:val="14"/>
                <w:szCs w:val="14"/>
                <w:b w:val="1"/>
                <w:bCs w:val="1"/>
                <w:color w:val="auto"/>
              </w:rPr>
              <w:t>2013</w:t>
            </w:r>
          </w:p>
        </w:tc>
      </w:tr>
      <w:tr>
        <w:trPr>
          <w:trHeight w:val="240"/>
        </w:trPr>
        <w:tc>
          <w:tcPr>
            <w:tcW w:w="3520" w:type="dxa"/>
            <w:vAlign w:val="bottom"/>
            <w:gridSpan w:val="2"/>
          </w:tcPr>
          <w:p>
            <w:pPr>
              <w:spacing w:after="0"/>
              <w:rPr>
                <w:sz w:val="20"/>
                <w:szCs w:val="20"/>
                <w:color w:val="auto"/>
              </w:rPr>
            </w:pPr>
            <w:r>
              <w:rPr>
                <w:rFonts w:ascii="Arial" w:cs="Arial" w:eastAsia="Arial" w:hAnsi="Arial"/>
                <w:sz w:val="18"/>
                <w:szCs w:val="18"/>
                <w:color w:val="auto"/>
              </w:rPr>
              <w:t>Raw materials</w:t>
            </w:r>
          </w:p>
        </w:tc>
        <w:tc>
          <w:tcPr>
            <w:tcW w:w="182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192,042</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165,906</w:t>
            </w:r>
          </w:p>
        </w:tc>
      </w:tr>
      <w:tr>
        <w:trPr>
          <w:trHeight w:val="243"/>
        </w:trPr>
        <w:tc>
          <w:tcPr>
            <w:tcW w:w="352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155,574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137,449</w:t>
            </w:r>
          </w:p>
        </w:tc>
      </w:tr>
      <w:tr>
        <w:trPr>
          <w:trHeight w:val="246"/>
        </w:trPr>
        <w:tc>
          <w:tcPr>
            <w:tcW w:w="352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141,437</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99,874</w:t>
            </w:r>
          </w:p>
        </w:tc>
      </w:tr>
      <w:tr>
        <w:trPr>
          <w:trHeight w:val="237"/>
        </w:trPr>
        <w:tc>
          <w:tcPr>
            <w:tcW w:w="3520" w:type="dxa"/>
            <w:vAlign w:val="bottom"/>
            <w:gridSpan w:val="2"/>
          </w:tcPr>
          <w:p>
            <w:pPr>
              <w:ind w:left="500"/>
              <w:spacing w:after="0"/>
              <w:rPr>
                <w:sz w:val="20"/>
                <w:szCs w:val="20"/>
                <w:color w:val="auto"/>
              </w:rPr>
            </w:pPr>
            <w:r>
              <w:rPr>
                <w:rFonts w:ascii="Arial" w:cs="Arial" w:eastAsia="Arial" w:hAnsi="Arial"/>
                <w:sz w:val="18"/>
                <w:szCs w:val="18"/>
                <w:color w:val="auto"/>
              </w:rPr>
              <w:t>Total inventories</w:t>
            </w:r>
          </w:p>
        </w:tc>
        <w:tc>
          <w:tcPr>
            <w:tcW w:w="182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489,053</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403,229</w:t>
            </w:r>
          </w:p>
        </w:tc>
      </w:tr>
      <w:tr>
        <w:trPr>
          <w:trHeight w:val="20"/>
        </w:trPr>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the carrying amount of goodwill by segment for the nine months ended September 30, 2014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Freight</w:t>
            </w:r>
          </w:p>
        </w:tc>
        <w:tc>
          <w:tcPr>
            <w:tcW w:w="2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Transit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70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3"/>
                <w:szCs w:val="13"/>
                <w:color w:val="auto"/>
              </w:rPr>
            </w:pPr>
          </w:p>
        </w:tc>
        <w:tc>
          <w:tcPr>
            <w:tcW w:w="128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3"/>
                <w:szCs w:val="13"/>
                <w:color w:val="auto"/>
              </w:rPr>
            </w:pPr>
          </w:p>
        </w:tc>
        <w:tc>
          <w:tcPr>
            <w:tcW w:w="124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Total</w:t>
            </w:r>
          </w:p>
        </w:tc>
      </w:tr>
      <w:tr>
        <w:trPr>
          <w:trHeight w:val="20"/>
        </w:trPr>
        <w:tc>
          <w:tcPr>
            <w:tcW w:w="7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509,664</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276,769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786,433</w:t>
            </w:r>
          </w:p>
        </w:tc>
        <w:tc>
          <w:tcPr>
            <w:tcW w:w="60" w:type="dxa"/>
            <w:vAlign w:val="bottom"/>
          </w:tcPr>
          <w:p>
            <w:pPr>
              <w:spacing w:after="0"/>
              <w:rPr>
                <w:sz w:val="18"/>
                <w:szCs w:val="18"/>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Adjustment to preliminary purchase allocation</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(2,488)</w:t>
            </w: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(4,042)</w:t>
            </w: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100,544</w:t>
            </w:r>
          </w:p>
        </w:tc>
        <w:tc>
          <w:tcPr>
            <w:tcW w:w="60" w:type="dxa"/>
            <w:vAlign w:val="bottom"/>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2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(3,236)</w:t>
            </w: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(15,239)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(18,475)</w:t>
            </w: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Balance at September 30, 2014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522,108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864,460</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of September 30, 2014 and December 31, 2013, the Company’s trademarks had a net carrying amount of $173.9 million and $156.8 million, respectively, and the Company believes these intangibles have an indefinite life.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of the Company, other than goodwill and trademarks, consist of the following:</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4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line="15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line="158" w:lineRule="exact"/>
              <w:rPr>
                <w:sz w:val="20"/>
                <w:szCs w:val="20"/>
                <w:color w:val="auto"/>
              </w:rPr>
            </w:pPr>
            <w:r>
              <w:rPr>
                <w:rFonts w:ascii="Arial" w:cs="Arial" w:eastAsia="Arial" w:hAnsi="Arial"/>
                <w:sz w:val="14"/>
                <w:szCs w:val="14"/>
                <w:b w:val="1"/>
                <w:bCs w:val="1"/>
                <w:color w:val="auto"/>
              </w:rPr>
              <w:t>2013</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w w:val="96"/>
              </w:rPr>
              <w:t>Patents, non-compete and other intangibles, net of accumulated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amortization of $39,867 and $37,824</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19,573</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15,561</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of $53,848 and $44,910</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213,324</w:t>
            </w:r>
          </w:p>
        </w:tc>
      </w:tr>
      <w:tr>
        <w:trPr>
          <w:trHeight w:val="223"/>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228,885</w:t>
            </w:r>
          </w:p>
        </w:tc>
      </w:tr>
      <w:tr>
        <w:trPr>
          <w:trHeight w:val="20"/>
        </w:trPr>
        <w:tc>
          <w:tcPr>
            <w:tcW w:w="7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540" w:firstLine="518"/>
        <w:spacing w:after="0" w:line="286" w:lineRule="auto"/>
        <w:rPr>
          <w:sz w:val="20"/>
          <w:szCs w:val="20"/>
          <w:color w:val="auto"/>
        </w:rPr>
      </w:pPr>
      <w:r>
        <w:rPr>
          <w:rFonts w:ascii="Arial" w:cs="Arial" w:eastAsia="Arial" w:hAnsi="Arial"/>
          <w:sz w:val="17"/>
          <w:szCs w:val="17"/>
          <w:color w:val="auto"/>
        </w:rPr>
        <w:t>The weighted average remaining useful life of patents, customer relationships and intellectual property were eight years, 17 years and 15 years, respectively. Amortization expense for intangible assets was $6.7 million and $16.6 million for the three and nine months ended September 30, 2014, respectively, and $3.9 million and $12.7 million for the three and nine months ended September 30, 2013, respectively.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five succeeding years is estimated to be as follows (in thousands):</w:t>
      </w:r>
    </w:p>
    <w:p>
      <w:pPr>
        <w:spacing w:after="0" w:line="266"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2580" w:type="dxa"/>
            <w:vAlign w:val="bottom"/>
          </w:tcPr>
          <w:p>
            <w:pPr>
              <w:jc w:val="right"/>
              <w:ind w:right="1110"/>
              <w:spacing w:after="0"/>
              <w:rPr>
                <w:sz w:val="20"/>
                <w:szCs w:val="20"/>
                <w:color w:val="auto"/>
              </w:rPr>
            </w:pPr>
            <w:r>
              <w:rPr>
                <w:rFonts w:ascii="Arial" w:cs="Arial" w:eastAsia="Arial" w:hAnsi="Arial"/>
                <w:sz w:val="18"/>
                <w:szCs w:val="18"/>
                <w:color w:val="auto"/>
                <w:w w:val="88"/>
              </w:rPr>
              <w:t>Remainder of 2014</w:t>
            </w:r>
          </w:p>
        </w:tc>
        <w:tc>
          <w:tcPr>
            <w:tcW w:w="39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6,353</w:t>
            </w:r>
          </w:p>
        </w:tc>
      </w:tr>
      <w:tr>
        <w:trPr>
          <w:trHeight w:val="230"/>
        </w:trPr>
        <w:tc>
          <w:tcPr>
            <w:tcW w:w="2580" w:type="dxa"/>
            <w:vAlign w:val="bottom"/>
          </w:tcPr>
          <w:p>
            <w:pPr>
              <w:jc w:val="right"/>
              <w:ind w:right="2010"/>
              <w:spacing w:after="0"/>
              <w:rPr>
                <w:sz w:val="20"/>
                <w:szCs w:val="20"/>
                <w:color w:val="auto"/>
              </w:rPr>
            </w:pPr>
            <w:r>
              <w:rPr>
                <w:rFonts w:ascii="Arial" w:cs="Arial" w:eastAsia="Arial" w:hAnsi="Arial"/>
                <w:sz w:val="18"/>
                <w:szCs w:val="18"/>
                <w:color w:val="auto"/>
              </w:rPr>
              <w:t>2015</w:t>
            </w:r>
          </w:p>
        </w:tc>
        <w:tc>
          <w:tcPr>
            <w:tcW w:w="39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22,324</w:t>
            </w:r>
          </w:p>
        </w:tc>
      </w:tr>
      <w:tr>
        <w:trPr>
          <w:trHeight w:val="230"/>
        </w:trPr>
        <w:tc>
          <w:tcPr>
            <w:tcW w:w="2580" w:type="dxa"/>
            <w:vAlign w:val="bottom"/>
          </w:tcPr>
          <w:p>
            <w:pPr>
              <w:jc w:val="right"/>
              <w:ind w:right="2010"/>
              <w:spacing w:after="0"/>
              <w:rPr>
                <w:sz w:val="20"/>
                <w:szCs w:val="20"/>
                <w:color w:val="auto"/>
              </w:rPr>
            </w:pPr>
            <w:r>
              <w:rPr>
                <w:rFonts w:ascii="Arial" w:cs="Arial" w:eastAsia="Arial" w:hAnsi="Arial"/>
                <w:sz w:val="18"/>
                <w:szCs w:val="18"/>
                <w:color w:val="auto"/>
              </w:rPr>
              <w:t>2016</w:t>
            </w:r>
          </w:p>
        </w:tc>
        <w:tc>
          <w:tcPr>
            <w:tcW w:w="39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19,799</w:t>
            </w:r>
          </w:p>
        </w:tc>
      </w:tr>
      <w:tr>
        <w:trPr>
          <w:trHeight w:val="230"/>
        </w:trPr>
        <w:tc>
          <w:tcPr>
            <w:tcW w:w="2580" w:type="dxa"/>
            <w:vAlign w:val="bottom"/>
          </w:tcPr>
          <w:p>
            <w:pPr>
              <w:jc w:val="right"/>
              <w:ind w:right="2010"/>
              <w:spacing w:after="0"/>
              <w:rPr>
                <w:sz w:val="20"/>
                <w:szCs w:val="20"/>
                <w:color w:val="auto"/>
              </w:rPr>
            </w:pPr>
            <w:r>
              <w:rPr>
                <w:rFonts w:ascii="Arial" w:cs="Arial" w:eastAsia="Arial" w:hAnsi="Arial"/>
                <w:sz w:val="18"/>
                <w:szCs w:val="18"/>
                <w:color w:val="auto"/>
              </w:rPr>
              <w:t>2017</w:t>
            </w:r>
          </w:p>
        </w:tc>
        <w:tc>
          <w:tcPr>
            <w:tcW w:w="39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18,903</w:t>
            </w:r>
          </w:p>
        </w:tc>
      </w:tr>
      <w:tr>
        <w:trPr>
          <w:trHeight w:val="230"/>
        </w:trPr>
        <w:tc>
          <w:tcPr>
            <w:tcW w:w="2580" w:type="dxa"/>
            <w:vAlign w:val="bottom"/>
          </w:tcPr>
          <w:p>
            <w:pPr>
              <w:jc w:val="right"/>
              <w:ind w:right="2010"/>
              <w:spacing w:after="0"/>
              <w:rPr>
                <w:sz w:val="20"/>
                <w:szCs w:val="20"/>
                <w:color w:val="auto"/>
              </w:rPr>
            </w:pPr>
            <w:r>
              <w:rPr>
                <w:rFonts w:ascii="Arial" w:cs="Arial" w:eastAsia="Arial" w:hAnsi="Arial"/>
                <w:sz w:val="18"/>
                <w:szCs w:val="18"/>
                <w:color w:val="auto"/>
              </w:rPr>
              <w:t>2018</w:t>
            </w:r>
          </w:p>
        </w:tc>
        <w:tc>
          <w:tcPr>
            <w:tcW w:w="39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18,267</w:t>
            </w:r>
          </w:p>
        </w:tc>
      </w:tr>
      <w:tr>
        <w:trPr>
          <w:trHeight w:val="864"/>
        </w:trPr>
        <w:tc>
          <w:tcPr>
            <w:tcW w:w="2580" w:type="dxa"/>
            <w:vAlign w:val="bottom"/>
          </w:tcPr>
          <w:p>
            <w:pPr>
              <w:spacing w:after="0"/>
              <w:rPr>
                <w:sz w:val="24"/>
                <w:szCs w:val="24"/>
                <w:color w:val="auto"/>
              </w:rPr>
            </w:pPr>
          </w:p>
        </w:tc>
        <w:tc>
          <w:tcPr>
            <w:tcW w:w="3920" w:type="dxa"/>
            <w:vAlign w:val="bottom"/>
          </w:tcPr>
          <w:p>
            <w:pPr>
              <w:jc w:val="right"/>
              <w:ind w:right="2450"/>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r>
    </w:tbl>
    <w:p>
      <w:pPr>
        <w:sectPr>
          <w:pgSz w:w="11900" w:h="16838" w:orient="portrait"/>
          <w:cols w:equalWidth="0" w:num="1">
            <w:col w:w="11380"/>
          </w:cols>
          <w:pgMar w:left="240" w:top="36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w:t>
      </w:r>
    </w:p>
    <w:p>
      <w:pPr>
        <w:spacing w:after="0" w:line="325"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3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line="15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4.375% Senior Notes, due 2023</w:t>
            </w:r>
          </w:p>
        </w:tc>
        <w:tc>
          <w:tcPr>
            <w:tcW w:w="15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r>
      <w:tr>
        <w:trPr>
          <w:trHeight w:val="222"/>
        </w:trPr>
        <w:tc>
          <w:tcPr>
            <w:tcW w:w="382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522,042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450,709</w:t>
            </w:r>
          </w:p>
        </w:tc>
      </w:tr>
      <w:tr>
        <w:trPr>
          <w:trHeight w:val="230"/>
        </w:trPr>
        <w:tc>
          <w:tcPr>
            <w:tcW w:w="3820" w:type="dxa"/>
            <w:vAlign w:val="bottom"/>
            <w:gridSpan w:val="2"/>
          </w:tcPr>
          <w:p>
            <w:pPr>
              <w:ind w:left="500"/>
              <w:spacing w:after="0"/>
              <w:rPr>
                <w:sz w:val="20"/>
                <w:szCs w:val="20"/>
                <w:color w:val="auto"/>
              </w:rPr>
            </w:pPr>
            <w:r>
              <w:rPr>
                <w:rFonts w:ascii="Arial" w:cs="Arial" w:eastAsia="Arial" w:hAnsi="Arial"/>
                <w:sz w:val="18"/>
                <w:szCs w:val="18"/>
                <w:color w:val="auto"/>
              </w:rPr>
              <w:t>Less - current portion</w:t>
            </w: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23"/>
        </w:trPr>
        <w:tc>
          <w:tcPr>
            <w:tcW w:w="3820" w:type="dxa"/>
            <w:vAlign w:val="bottom"/>
            <w:gridSpan w:val="2"/>
          </w:tcPr>
          <w:p>
            <w:pPr>
              <w:ind w:left="500"/>
              <w:spacing w:after="0"/>
              <w:rPr>
                <w:sz w:val="20"/>
                <w:szCs w:val="20"/>
                <w:color w:val="auto"/>
              </w:rPr>
            </w:pPr>
            <w:r>
              <w:rPr>
                <w:rFonts w:ascii="Arial" w:cs="Arial" w:eastAsia="Arial" w:hAnsi="Arial"/>
                <w:sz w:val="18"/>
                <w:szCs w:val="18"/>
                <w:color w:val="auto"/>
              </w:rPr>
              <w:t>Long-term portion</w:t>
            </w:r>
          </w:p>
        </w:tc>
        <w:tc>
          <w:tcPr>
            <w:tcW w:w="15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450,288</w:t>
            </w:r>
          </w:p>
        </w:tc>
      </w:tr>
      <w:tr>
        <w:trPr>
          <w:trHeight w:val="20"/>
        </w:trPr>
        <w:tc>
          <w:tcPr>
            <w:tcW w:w="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Refinancing Credit Agreement</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On December 19, 2013, the Company amended its existing revolving credit facility with a consortium of commercial banks. This “2013 Refinancing Credit Agreement” provides the Company with an $800 million, five-year revolving credit facility. The Company incurred approximately $1.0 million of deferred financing cost related to the 2013 Refinancing Credit Agreement. The facility expires on December 19, 2018. The 2013 Refinancing Credit Agreement borrowings bear variable interest rates indexed as described below. At September 30, 2014, the Company had available bank borrowing capacity, net of $17.0 million of letters of credit, of approximately $513.0 million, subject to certain financial covenant restrictions.</w:t>
      </w:r>
    </w:p>
    <w:p>
      <w:pPr>
        <w:spacing w:after="0" w:line="158" w:lineRule="exact"/>
        <w:rPr>
          <w:sz w:val="20"/>
          <w:szCs w:val="20"/>
          <w:color w:val="auto"/>
        </w:rPr>
      </w:pPr>
    </w:p>
    <w:p>
      <w:pPr>
        <w:ind w:firstLine="518"/>
        <w:spacing w:after="0" w:line="292" w:lineRule="auto"/>
        <w:rPr>
          <w:sz w:val="20"/>
          <w:szCs w:val="20"/>
          <w:color w:val="auto"/>
        </w:rPr>
      </w:pPr>
      <w:r>
        <w:rPr>
          <w:rFonts w:ascii="Arial" w:cs="Arial" w:eastAsia="Arial" w:hAnsi="Arial"/>
          <w:sz w:val="16"/>
          <w:szCs w:val="16"/>
          <w:color w:val="auto"/>
        </w:rPr>
        <w:t>Under the 2013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cash flow ratios. The initial Base Rate margin is 0 basis points and the Alternate Rate margin is 75 basis points</w:t>
      </w:r>
      <w:r>
        <w:rPr>
          <w:rFonts w:ascii="Arial" w:cs="Arial" w:eastAsia="Arial" w:hAnsi="Arial"/>
          <w:sz w:val="19"/>
          <w:szCs w:val="19"/>
          <w:color w:val="auto"/>
        </w:rPr>
        <w:t>.</w:t>
      </w:r>
    </w:p>
    <w:p>
      <w:pPr>
        <w:spacing w:after="0" w:line="15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At September 30, 2014 the weighted average interest rate on the Company’s variable rate debt was 1.16%. On January 12, 2012, the Company entered into a forward starting interest rate swap agreement with a notional value of $150.0 million. The effective date of the interest rate swap agreement is July 31, 2013, and the termination date is November 7, 2016. The impact of the interest rate swap agreement converts a portion of the Company’s outstanding debt from a variable rate to a fixed-rate borrowing. During the term of the interest rate swap agreement the interest rate on the notional value will be fixed at</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1.415% plus the Alternate Rate margin. The Company is exposed to credit risk in the event of nonperformance by the counterparty. However, since only the cash interest payments are exchanged, exposure is significantly less than the notional amount. The counterparty is a large financial institution with an excellent credit rating and history of performance. The Company currently believes the risk of nonperformance is negligible.</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June 5, 2014, the Company entered into a forward starting interest rate swap agreement with a notional value of $150.0 million. The effective date of the interest rate swap agreement is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The Company is exposed to credit risk in the event of nonperformance by the counterparty. However, since only the cash interest payments are exchanged, exposure is significantly less than the notional amount. The counterparty is a large financial institution with an excellent credit rating and history of performance. The Company currently believes the risk of nonperformance is negligible.</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2013 Refinancing Credit Agreement limits the Company’s ability to declare or pay cash dividends and prohibits the Company from declaring or making other distributions, subject to certain exceptions. The 2013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cash flow ratio of 3.25. The Company does not expect that these measurements will limit the Company in executing our operating activities.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2011 Refinancing Credit Agreement</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On November 7, 2011, the Company refinanced its existing revolving credit and term loan facility with a consortium of commercial banks. This “2011 Refinancing Credit Agreement” provided the company with a $600 million, five-year revolving credit facility. The Company incurred approximately $1.9 million of deferred financing cost related to the 2011 Refinancing Credit Agreement. The facility was set to expire on November 7, 2016.</w:t>
      </w:r>
    </w:p>
    <w:p>
      <w:pPr>
        <w:spacing w:after="0" w:line="166"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Under the 2011 Refinancing Credit Agreement, the Company may have elected a Base Rate of interest or an interest rate based on the London Interbank Offered Rate (“LIBOR”) of interest (“the Alternate Rate”). The Base Rate adjusted on a daily basis and was the greater of the Federal Funds Effective Rate plus 0.5% per annum, the PNC, N.A. prime rate or the Daily LIBOR Rate plus 100 basis points plus a margin that ranged from 0 to 75 basis points. The Alternate Rate was based on quoted LIBOR rates plus a margin that ranged from 75 to 175 basis points. Both the Base Rate and Alternate Rate margins were dependent on the Company’s consolidated total indebtedness to cash flow ratios. The current Base Rate margin was 0 basis points and the Alternate Rate margin was 100 basis points.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firstLine="577"/>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w:t>
      </w:r>
    </w:p>
    <w:p>
      <w:pPr>
        <w:spacing w:after="0" w:line="171" w:lineRule="exact"/>
        <w:rPr>
          <w:sz w:val="20"/>
          <w:szCs w:val="20"/>
          <w:color w:val="auto"/>
        </w:rPr>
      </w:pPr>
    </w:p>
    <w:p>
      <w:pPr>
        <w:ind w:right="40" w:firstLine="577"/>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87" w:lineRule="exact"/>
        <w:rPr>
          <w:sz w:val="20"/>
          <w:szCs w:val="20"/>
          <w:color w:val="auto"/>
        </w:rPr>
      </w:pPr>
    </w:p>
    <w:p>
      <w:pPr>
        <w:ind w:right="280" w:firstLine="577"/>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6.875% Senior Notes Due July 31, 2013</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In August 2003, the Company issued $150.0 million of Senior Notes due in 2013 (“the 2003 Notes”). The 2003 Notes were issued at par. Interest on the 2003 Notes accrued at a rate of 6.875% per annum and was payable semi-annually on January 31 and July 31 of each year. The proceeds were used to repay debt outstanding under the Company’s existing credit agreement, and for general corporate purposes. The Company paid off the 2003 Notes, which matured on July 31, 2013 utilizing available capacity under the 2011 Refinancing Credit Agreement.</w:t>
      </w:r>
    </w:p>
    <w:p>
      <w:pPr>
        <w:spacing w:after="0" w:line="316" w:lineRule="exact"/>
        <w:rPr>
          <w:sz w:val="20"/>
          <w:szCs w:val="20"/>
          <w:color w:val="auto"/>
        </w:rPr>
      </w:pPr>
    </w:p>
    <w:p>
      <w:pPr>
        <w:ind w:right="87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20" w:firstLine="518"/>
        <w:spacing w:after="0" w:line="277" w:lineRule="auto"/>
        <w:rPr>
          <w:sz w:val="20"/>
          <w:szCs w:val="20"/>
          <w:color w:val="auto"/>
        </w:rPr>
      </w:pPr>
      <w:r>
        <w:rPr>
          <w:rFonts w:ascii="Arial" w:cs="Arial" w:eastAsia="Arial" w:hAnsi="Arial"/>
          <w:sz w:val="18"/>
          <w:szCs w:val="18"/>
          <w:color w:val="auto"/>
        </w:rPr>
        <w:t>The Company sponsors defined benefit pension plans that cover certain U.S., Canadian, German, and United Kingdom employees and which provide benefits of stated amounts for each year of service of the employee.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uses a December 31 measurement date for the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4"/>
                <w:szCs w:val="14"/>
                <w:b w:val="1"/>
                <w:bCs w:val="1"/>
                <w:color w:val="auto"/>
                <w:w w:val="95"/>
              </w:rPr>
              <w:t>U.S.</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97"/>
              </w:rPr>
              <w:t>International</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80" w:type="dxa"/>
            <w:vAlign w:val="bottom"/>
            <w:gridSpan w:val="4"/>
          </w:tcPr>
          <w:p>
            <w:pPr>
              <w:jc w:val="center"/>
              <w:ind w:left="407"/>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tcPr>
          <w:p>
            <w:pPr>
              <w:jc w:val="center"/>
              <w:ind w:right="233"/>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 except percentages</w:t>
            </w:r>
          </w:p>
        </w:tc>
        <w:tc>
          <w:tcPr>
            <w:tcW w:w="3700" w:type="dxa"/>
            <w:vAlign w:val="bottom"/>
            <w:vMerge w:val="restart"/>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9"/>
                <w:szCs w:val="19"/>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(617)</w:t>
            </w: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Net amortization/deferrals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Settlement loss recognized</w:t>
            </w: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Net periodic benefit cost</w:t>
            </w: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4"/>
                <w:szCs w:val="14"/>
                <w:b w:val="1"/>
                <w:bCs w:val="1"/>
                <w:color w:val="auto"/>
                <w:w w:val="95"/>
              </w:rPr>
              <w:t>U.S.</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97"/>
              </w:rPr>
              <w:t>International</w:t>
            </w: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80" w:type="dxa"/>
            <w:vAlign w:val="bottom"/>
            <w:gridSpan w:val="4"/>
          </w:tcPr>
          <w:p>
            <w:pPr>
              <w:jc w:val="center"/>
              <w:ind w:left="407"/>
              <w:spacing w:after="0" w:line="147" w:lineRule="exact"/>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tcPr>
          <w:p>
            <w:pPr>
              <w:jc w:val="center"/>
              <w:ind w:right="213"/>
              <w:spacing w:after="0" w:line="147" w:lineRule="exact"/>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 except percentages</w:t>
            </w:r>
          </w:p>
        </w:tc>
        <w:tc>
          <w:tcPr>
            <w:tcW w:w="3700" w:type="dxa"/>
            <w:vAlign w:val="bottom"/>
            <w:vMerge w:val="restart"/>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Pr>
          <w:p>
            <w:pPr>
              <w:spacing w:after="0"/>
              <w:rPr>
                <w:sz w:val="19"/>
                <w:szCs w:val="19"/>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1,552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(1,857)</w:t>
            </w: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(2,232)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Net amortization/deferrals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1,665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Settlement loss recognized</w:t>
            </w: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Net periodic benefit cost</w:t>
            </w: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1,610</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The Company’s funding methods are based on governmental requirements and differ from those methods used to recognize pension expense. The Company expects to contribute $5.2 million to the international plans and does not expect to make a contribution to the U.S. plans during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Retirement Benefit Plans</w:t>
      </w:r>
    </w:p>
    <w:p>
      <w:pPr>
        <w:spacing w:after="0" w:line="12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uses a December 31 measurement date for all post retirement plans.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480"/>
              <w:spacing w:after="0"/>
              <w:rPr>
                <w:sz w:val="20"/>
                <w:szCs w:val="20"/>
                <w:color w:val="auto"/>
              </w:rPr>
            </w:pPr>
            <w:r>
              <w:rPr>
                <w:rFonts w:ascii="Arial" w:cs="Arial" w:eastAsia="Arial" w:hAnsi="Arial"/>
                <w:sz w:val="14"/>
                <w:szCs w:val="14"/>
                <w:b w:val="1"/>
                <w:bCs w:val="1"/>
                <w:color w:val="auto"/>
                <w:w w:val="95"/>
              </w:rPr>
              <w:t>U.S.</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520"/>
              <w:spacing w:after="0"/>
              <w:rPr>
                <w:sz w:val="20"/>
                <w:szCs w:val="20"/>
                <w:color w:val="auto"/>
              </w:rPr>
            </w:pPr>
            <w:r>
              <w:rPr>
                <w:rFonts w:ascii="Arial" w:cs="Arial" w:eastAsia="Arial" w:hAnsi="Arial"/>
                <w:sz w:val="14"/>
                <w:szCs w:val="14"/>
                <w:b w:val="1"/>
                <w:bCs w:val="1"/>
                <w:color w:val="auto"/>
                <w:w w:val="97"/>
              </w:rPr>
              <w:t>International</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20" w:type="dxa"/>
            <w:vAlign w:val="bottom"/>
            <w:gridSpan w:val="5"/>
          </w:tcPr>
          <w:p>
            <w:pPr>
              <w:jc w:val="center"/>
              <w:ind w:right="194"/>
              <w:spacing w:after="0" w:line="11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00" w:type="dxa"/>
            <w:vAlign w:val="bottom"/>
            <w:gridSpan w:val="5"/>
          </w:tcPr>
          <w:p>
            <w:pPr>
              <w:jc w:val="center"/>
              <w:ind w:right="194"/>
              <w:spacing w:after="0" w:line="119" w:lineRule="exact"/>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2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2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9"/>
              </w:rPr>
              <w:t>Net periodic benefit cost</w:t>
            </w:r>
          </w:p>
        </w:tc>
        <w:tc>
          <w:tcPr>
            <w:tcW w:w="1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1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Net amortization/deferrals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Net periodic benefit (credit) cost</w:t>
            </w: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left="480"/>
              <w:spacing w:after="0"/>
              <w:rPr>
                <w:sz w:val="20"/>
                <w:szCs w:val="20"/>
                <w:color w:val="auto"/>
              </w:rPr>
            </w:pPr>
            <w:r>
              <w:rPr>
                <w:rFonts w:ascii="Arial" w:cs="Arial" w:eastAsia="Arial" w:hAnsi="Arial"/>
                <w:sz w:val="14"/>
                <w:szCs w:val="14"/>
                <w:b w:val="1"/>
                <w:bCs w:val="1"/>
                <w:color w:val="auto"/>
                <w:w w:val="95"/>
              </w:rPr>
              <w:t>U.S.</w:t>
            </w: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left="520"/>
              <w:spacing w:after="0"/>
              <w:rPr>
                <w:sz w:val="20"/>
                <w:szCs w:val="20"/>
                <w:color w:val="auto"/>
              </w:rPr>
            </w:pPr>
            <w:r>
              <w:rPr>
                <w:rFonts w:ascii="Arial" w:cs="Arial" w:eastAsia="Arial" w:hAnsi="Arial"/>
                <w:sz w:val="14"/>
                <w:szCs w:val="14"/>
                <w:b w:val="1"/>
                <w:bCs w:val="1"/>
                <w:color w:val="auto"/>
                <w:w w:val="97"/>
              </w:rPr>
              <w:t>International</w:t>
            </w: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20" w:type="dxa"/>
            <w:vAlign w:val="bottom"/>
            <w:gridSpan w:val="5"/>
          </w:tcPr>
          <w:p>
            <w:pPr>
              <w:jc w:val="center"/>
              <w:ind w:right="194"/>
              <w:spacing w:after="0" w:line="119" w:lineRule="exact"/>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00" w:type="dxa"/>
            <w:vAlign w:val="bottom"/>
            <w:gridSpan w:val="5"/>
          </w:tcPr>
          <w:p>
            <w:pPr>
              <w:jc w:val="center"/>
              <w:ind w:right="194"/>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00"/>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394"/>
              <w:spacing w:after="0" w:line="129"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20"/>
              <w:spacing w:after="0" w:line="129"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414"/>
              <w:spacing w:after="0" w:line="129"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9"/>
              </w:rPr>
              <w:t>Net periodic benefit cost</w:t>
            </w:r>
          </w:p>
        </w:tc>
        <w:tc>
          <w:tcPr>
            <w:tcW w:w="1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1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Net amortization/deferrals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3660" w:type="dxa"/>
            <w:vAlign w:val="bottom"/>
            <w:gridSpan w:val="2"/>
          </w:tcPr>
          <w:p>
            <w:pPr>
              <w:ind w:left="500"/>
              <w:spacing w:after="0"/>
              <w:rPr>
                <w:sz w:val="20"/>
                <w:szCs w:val="20"/>
                <w:color w:val="auto"/>
              </w:rPr>
            </w:pPr>
            <w:r>
              <w:rPr>
                <w:rFonts w:ascii="Arial" w:cs="Arial" w:eastAsia="Arial" w:hAnsi="Arial"/>
                <w:sz w:val="18"/>
                <w:szCs w:val="18"/>
                <w:color w:val="auto"/>
              </w:rPr>
              <w:t>Net periodic benefit (credit) cost</w:t>
            </w: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As of September 30, 2014, the Company maintains employee stock-based compensation plans for stock options, restricted stock, restricted units, and incentive stock awards as governed by the 2011 Stock Incentive Compensation Plan (the “2011 Plan”) and the 2000 Stock Incentive Plan, as amended (the “2000 Plan”). The 2011 Plan has a 10-year term through March 27, 2021 and provides a maximum of 3,800,000 shares for grants or awards. The 2011 Plan was approved by stockholders of Wabtec on May 11, 2011. The Company also maintains a Non-Employee Directors’ Fee and Stock Option Plan (“Directors Plan”). No awards may be made under the Directors Plan subsequent to October 31, 2016.</w:t>
      </w:r>
    </w:p>
    <w:p>
      <w:pPr>
        <w:spacing w:after="0" w:line="173"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Stock-based compensation expense was $19.1 million and $17.6 million for the nine months ended September 30, 2014 and 2013, respectively. Included in the stock-based compensation expense for the nine months ended September 30, 2014 above is $1.8 million of expense related to stock options, $4.5 million related to restricted stock, $1.8 million related to restricted units, $10.3 million related to incentive stock awards and $0.7 million related to awards issued for Directors’ fees. At September 30, 2014, unamortized compensation expense related to stock options, restricted stock, restricted units and incentive stock awards expected to vest totaled $27.7 million and will be recognized over a weighted average period of 1.2 years.</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on the date of grant. Under the 2011 Plan and the 2000 Plan, options become exercisable over a four-year vesting period and expire 10 years from the date of grant.</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nine months ended September 30, 2014:</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3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71"/>
        </w:trPr>
        <w:tc>
          <w:tcPr>
            <w:tcW w:w="4740" w:type="dxa"/>
            <w:vAlign w:val="bottom"/>
            <w:vMerge w:val="restart"/>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 Life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1,232,862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81,552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73.20</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(144,210)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(3,070)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52.73</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Outstanding at September 30, 2014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1,167,134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Exercisable at September 30, 2014</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815,518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74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584" w:right="319" w:bottom="1440" w:gutter="0" w:footer="0" w:header="0"/>
        </w:sectPr>
      </w:pPr>
    </w:p>
    <w:bookmarkStart w:id="15" w:name="page16"/>
    <w:bookmarkEnd w:id="15"/>
    <w:p>
      <w:pPr>
        <w:ind w:firstLine="518"/>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27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Nine Months Ended</w:t>
      </w:r>
    </w:p>
    <w:p>
      <w:pPr>
        <w:spacing w:after="0" w:line="11"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September 30,</w:t>
      </w:r>
    </w:p>
    <w:tbl>
      <w:tblPr>
        <w:tblLayout w:type="fixed"/>
        <w:tblInd w:w="138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3"/>
                <w:szCs w:val="13"/>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Stock price volatility</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2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and 2000 Plans, eligible employees are granted restricted stock or restricted units that generally vest over four years from the date of grant. Under the Directors Plan, restricted stock awards vest one year from the date of grant.</w:t>
      </w:r>
    </w:p>
    <w:p>
      <w:pPr>
        <w:spacing w:after="0" w:line="18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addition, the Company has issued incentive stock awards to eligible employees that vest upon attainment of certain cumulative three year performance goals. Based on the Company’s performance for each three-year period then ended, the incentive stock awards can vest and be awarded ranging from 0% to 200% of the initial incentive stock awards granted. The incentive stock awards included in the table below represent the number of shares that are expected to vest based on the Company’s estimate for meeting those established performance targets. As of September 30, 2014, the Company estimates that it will achieve 180%, 104% and 100% for the incentive stock awards expected to vest based on performance for the three-year periods ending December 31, 2014, 2015, and 2016, respectively, and has recorded incentive compensation expense accordingly. If our estimate of the number of these stock awards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66"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Compensation expense for the restricted stock and incentive stock awards is based on the average of the high and low Wabtec stock price on the date of grant and recognized over the applicable vesting period.</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following table summarizes the restricted stock and unit activity for the 2011 Plan, the 2000 Plan and the Directors Plan, and incentive stock awards activity for the 2011 Plan and the 2000 Plan with related information for the nine months ended September 30, 2014:</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Restricted</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Incentive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260" w:type="dxa"/>
            <w:vAlign w:val="bottom"/>
            <w:vMerge w:val="restart"/>
          </w:tcPr>
          <w:p>
            <w:pPr>
              <w:spacing w:after="0"/>
              <w:rPr>
                <w:sz w:val="20"/>
                <w:szCs w:val="20"/>
                <w:color w:val="auto"/>
              </w:rPr>
            </w:pPr>
            <w:r>
              <w:rPr>
                <w:rFonts w:ascii="Arial" w:cs="Arial" w:eastAsia="Arial" w:hAnsi="Arial"/>
                <w:sz w:val="18"/>
                <w:szCs w:val="18"/>
                <w:color w:val="auto"/>
              </w:rPr>
              <w:t>Outstanding at December 31, 2013</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and Units</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510,128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1,043,594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149,136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140,240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Vested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(218,502)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(458,536)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Adjustment for incentive stock awards expected to vest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(3,970)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(8,370)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Outstanding at September 30, 2014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436,792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The overall effective income tax rate was 31.3% and 31.2% for the three and nine months ended September 30, 2014, respectively, and 29.2% and 30.4% for the three and nine months ended September 30, 2013, respectively. For the three months ended September 30, 2014, the increase in the effective rate is primarily due to a benefit recorded in the third quarter of 2013 for the enacted reduction of a foreign statutory tax rate. For the nine months ended September 30, 2014, the increase in the effective rate is also due to a 2013 benefit for the retroactive extension of the R&amp;D tax credit.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jc w:val="both"/>
        <w:ind w:right="100" w:firstLine="518"/>
        <w:spacing w:after="0" w:line="264" w:lineRule="auto"/>
        <w:rPr>
          <w:sz w:val="20"/>
          <w:szCs w:val="20"/>
          <w:color w:val="auto"/>
        </w:rPr>
      </w:pPr>
      <w:r>
        <w:rPr>
          <w:rFonts w:ascii="Arial" w:cs="Arial" w:eastAsia="Arial" w:hAnsi="Arial"/>
          <w:sz w:val="18"/>
          <w:szCs w:val="18"/>
          <w:color w:val="auto"/>
        </w:rPr>
        <w:t>As of September 30, 2014, the liability for income taxes associated with uncertain tax positions is $10.4 million, of which $4.7 million, if recognized, would favorably affect the Company’s effective tax rate. As of December 31, 2013 the liability associated with uncertain tax positions was $10.5 million, of which $4.7 million, if recognized, would favorably affect the Company’s effective tax rate.</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As of September 30, 2014 the total accrued interest and penalties are $1.9 million and $1.2 million, respectively. As of December 31, 2013 the total accrued interest and penalties were $1.5 million and $0.9 million, respectively.</w:t>
      </w:r>
    </w:p>
    <w:p>
      <w:pPr>
        <w:spacing w:after="0" w:line="18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At this time, the Company believes that it is reasonably possible that unrecognized tax benefits of approximately $0.1 million may change within the next 12 months due to the expiration of statutory review periods and current examinations. With limited exception, the Company is no longer subject to examination by various U.S. and foreign taxing authorities for years before 2011.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vMerge w:val="restart"/>
          </w:tcPr>
          <w:p>
            <w:pPr>
              <w:spacing w:after="0"/>
              <w:rPr>
                <w:sz w:val="20"/>
                <w:szCs w:val="20"/>
                <w:color w:val="auto"/>
              </w:rPr>
            </w:pPr>
            <w:r>
              <w:rPr>
                <w:rFonts w:ascii="Arial" w:cs="Arial" w:eastAsia="Arial" w:hAnsi="Arial"/>
                <w:sz w:val="14"/>
                <w:szCs w:val="14"/>
                <w:i w:val="1"/>
                <w:iCs w:val="1"/>
                <w:color w:val="auto"/>
                <w:w w:val="91"/>
              </w:rPr>
              <w:t>In thousands, except per share data</w:t>
            </w:r>
          </w:p>
        </w:tc>
        <w:tc>
          <w:tcPr>
            <w:tcW w:w="626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vMerge w:val="continue"/>
          </w:tcPr>
          <w:p>
            <w:pPr>
              <w:spacing w:after="0"/>
              <w:rPr>
                <w:sz w:val="14"/>
                <w:szCs w:val="14"/>
                <w:color w:val="auto"/>
              </w:rPr>
            </w:pPr>
          </w:p>
        </w:tc>
        <w:tc>
          <w:tcPr>
            <w:tcW w:w="626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 share - net income attributable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to Wabtec shareholders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90,155</w:t>
            </w:r>
          </w:p>
        </w:tc>
        <w:tc>
          <w:tcPr>
            <w:tcW w:w="28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73,943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3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(5,780)</w:t>
            </w: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84,375</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84,038</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 share</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89,797</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95,935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Denominator for diluted earnings per common share - adjusted weighted average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shares and assumed conversion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97,004</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 attributable to Wabtec shareholders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28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32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95,935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95,848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Basic weighted-average common shares outstanding and non-vested restricted</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stock expected to vest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96,285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675"/>
        </w:trPr>
        <w:tc>
          <w:tcPr>
            <w:tcW w:w="8320" w:type="dxa"/>
            <w:vAlign w:val="bottom"/>
            <w:gridSpan w:val="2"/>
          </w:tcPr>
          <w:p>
            <w:pPr>
              <w:ind w:left="56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13"/>
              <w:spacing w:after="0" w:line="129"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ind w:right="351"/>
              <w:spacing w:after="0" w:line="129"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6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Numerator for basic and diluted earnings per common share - net income attributable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258,994</w:t>
            </w:r>
          </w:p>
        </w:tc>
        <w:tc>
          <w:tcPr>
            <w:tcW w:w="28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218,194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(13,471)</w:t>
            </w: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22"/>
        </w:trPr>
        <w:tc>
          <w:tcPr>
            <w:tcW w:w="8320" w:type="dxa"/>
            <w:vAlign w:val="bottom"/>
            <w:gridSpan w:val="3"/>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245,523</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244,541</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13,415</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gridSpan w:val="3"/>
          </w:tcPr>
          <w:p>
            <w:pPr>
              <w:spacing w:after="0"/>
              <w:rPr>
                <w:sz w:val="20"/>
                <w:szCs w:val="20"/>
                <w:color w:val="auto"/>
              </w:rPr>
            </w:pPr>
            <w:r>
              <w:rPr>
                <w:rFonts w:ascii="Arial" w:cs="Arial" w:eastAsia="Arial" w:hAnsi="Arial"/>
                <w:sz w:val="18"/>
                <w:szCs w:val="18"/>
                <w:color w:val="auto"/>
              </w:rPr>
              <w:t>Numerator for basic and diluted earnings per common share</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257,956</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95,745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320" w:type="dxa"/>
            <w:vAlign w:val="bottom"/>
            <w:gridSpan w:val="3"/>
          </w:tcPr>
          <w:p>
            <w:pPr>
              <w:spacing w:after="0"/>
              <w:rPr>
                <w:sz w:val="20"/>
                <w:szCs w:val="20"/>
                <w:color w:val="auto"/>
              </w:rPr>
            </w:pPr>
            <w:r>
              <w:rPr>
                <w:rFonts w:ascii="Arial" w:cs="Arial" w:eastAsia="Arial" w:hAnsi="Arial"/>
                <w:sz w:val="18"/>
                <w:szCs w:val="18"/>
                <w:color w:val="auto"/>
              </w:rPr>
              <w:t>Denominator for diluted earnings per common share - adjusted weighted average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shares and assumed conversion</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96,834</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 attributable to Wabtec shareholders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320" w:type="dxa"/>
            <w:vAlign w:val="bottom"/>
            <w:gridSpan w:val="3"/>
          </w:tcPr>
          <w:p>
            <w:pPr>
              <w:spacing w:after="0"/>
              <w:rPr>
                <w:sz w:val="20"/>
                <w:szCs w:val="20"/>
                <w:color w:val="auto"/>
              </w:rPr>
            </w:pPr>
            <w:r>
              <w:rPr>
                <w:rFonts w:ascii="Arial" w:cs="Arial" w:eastAsia="Arial" w:hAnsi="Arial"/>
                <w:sz w:val="18"/>
                <w:szCs w:val="18"/>
                <w:color w:val="auto"/>
              </w:rPr>
              <w:t>(1) Basic weighted-average common shares outstanding</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95,745</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95,383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Basic weighted-average common shares outstanding and non-vested restricted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stock expected to vest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96,146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Percentage allocated to common shareholders</w:t>
            </w:r>
          </w:p>
        </w:tc>
        <w:tc>
          <w:tcPr>
            <w:tcW w:w="3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4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536"/>
              <w:spacing w:after="0" w:line="129"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33"/>
              <w:spacing w:after="0" w:line="129"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6"/>
              </w:rPr>
              <w:t>Balance at</w:t>
            </w:r>
          </w:p>
        </w:tc>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December 31, 2013 and 2012, respectively</w:t>
            </w:r>
          </w:p>
        </w:tc>
        <w:tc>
          <w:tcPr>
            <w:tcW w:w="720" w:type="dxa"/>
            <w:vAlign w:val="bottom"/>
          </w:tcPr>
          <w:p>
            <w:pPr>
              <w:spacing w:after="0"/>
              <w:rPr>
                <w:sz w:val="17"/>
                <w:szCs w:val="17"/>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60,593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58,212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Warranty expense</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Warranty claim payments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(14,572)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(16,740)</w:t>
            </w: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impact/other</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Balance at September 30, 2014 and 2013, respectively</w:t>
            </w:r>
          </w:p>
        </w:tc>
        <w:tc>
          <w:tcPr>
            <w:tcW w:w="7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 AND FAIR VALUE OF FINANCIAL INSTRUMENTS</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15" w:right="259" w:bottom="1440" w:gutter="0" w:footer="0" w:header="0"/>
        </w:sectPr>
      </w:pPr>
    </w:p>
    <w:bookmarkStart w:id="18" w:name="page19"/>
    <w:bookmarkEnd w:id="18"/>
    <w:p>
      <w:pPr>
        <w:ind w:right="80" w:firstLine="518"/>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9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September 30, 2014, which are included in other current liabilities on the Condensed Consolidated Balance sheet:</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Total Carrying</w:t>
            </w:r>
          </w:p>
        </w:tc>
        <w:tc>
          <w:tcPr>
            <w:tcW w:w="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7"/>
          </w:tcPr>
          <w:p>
            <w:pPr>
              <w:jc w:val="center"/>
              <w:ind w:right="42"/>
              <w:spacing w:after="0"/>
              <w:rPr>
                <w:sz w:val="20"/>
                <w:szCs w:val="20"/>
                <w:color w:val="auto"/>
              </w:rPr>
            </w:pPr>
            <w:r>
              <w:rPr>
                <w:rFonts w:ascii="Arial" w:cs="Arial" w:eastAsia="Arial" w:hAnsi="Arial"/>
                <w:sz w:val="14"/>
                <w:szCs w:val="14"/>
                <w:b w:val="1"/>
                <w:bCs w:val="1"/>
                <w:color w:val="auto"/>
                <w:w w:val="92"/>
              </w:rPr>
              <w:t>Fair Value Measurements at September 30, 2014 Using</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Value at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7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112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2013, which is included in other current liabilities on the Condensed Consolidated Balance sheet:</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Total Carrying</w:t>
            </w:r>
          </w:p>
        </w:tc>
        <w:tc>
          <w:tcPr>
            <w:tcW w:w="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7"/>
          </w:tcPr>
          <w:p>
            <w:pPr>
              <w:jc w:val="center"/>
              <w:ind w:right="42"/>
              <w:spacing w:after="0"/>
              <w:rPr>
                <w:sz w:val="20"/>
                <w:szCs w:val="20"/>
                <w:color w:val="auto"/>
              </w:rPr>
            </w:pPr>
            <w:r>
              <w:rPr>
                <w:rFonts w:ascii="Arial" w:cs="Arial" w:eastAsia="Arial" w:hAnsi="Arial"/>
                <w:sz w:val="14"/>
                <w:szCs w:val="14"/>
                <w:b w:val="1"/>
                <w:bCs w:val="1"/>
                <w:color w:val="auto"/>
                <w:w w:val="92"/>
              </w:rPr>
              <w:t>Fair Value Measurements at December 31, 2013 Using</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Value at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47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112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5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2014 and December 31, 2013.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Notes are considered Level 2 based on the fair value valuation hierarchy.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Pr>
          <w:p>
            <w:pPr>
              <w:spacing w:after="0"/>
              <w:rPr>
                <w:sz w:val="14"/>
                <w:szCs w:val="14"/>
                <w:color w:val="auto"/>
              </w:rPr>
            </w:pPr>
          </w:p>
        </w:tc>
        <w:tc>
          <w:tcPr>
            <w:tcW w:w="254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December 31, 2013</w:t>
            </w:r>
          </w:p>
        </w:tc>
      </w:tr>
      <w:tr>
        <w:trPr>
          <w:trHeight w:val="133"/>
        </w:trPr>
        <w:tc>
          <w:tcPr>
            <w:tcW w:w="7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61"/>
              <w:spacing w:after="0" w:line="133" w:lineRule="exact"/>
              <w:rPr>
                <w:sz w:val="20"/>
                <w:szCs w:val="20"/>
                <w:color w:val="auto"/>
              </w:rPr>
            </w:pPr>
            <w:r>
              <w:rPr>
                <w:rFonts w:ascii="Arial" w:cs="Arial" w:eastAsia="Arial" w:hAnsi="Arial"/>
                <w:sz w:val="14"/>
                <w:szCs w:val="14"/>
                <w:b w:val="1"/>
                <w:bCs w:val="1"/>
                <w:color w:val="auto"/>
              </w:rPr>
              <w:t>Carry</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79"/>
              <w:spacing w:after="0" w:line="13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81"/>
              <w:spacing w:after="0" w:line="133" w:lineRule="exact"/>
              <w:rPr>
                <w:sz w:val="20"/>
                <w:szCs w:val="20"/>
                <w:color w:val="auto"/>
              </w:rPr>
            </w:pPr>
            <w:r>
              <w:rPr>
                <w:rFonts w:ascii="Arial" w:cs="Arial" w:eastAsia="Arial" w:hAnsi="Arial"/>
                <w:sz w:val="14"/>
                <w:szCs w:val="14"/>
                <w:b w:val="1"/>
                <w:bCs w:val="1"/>
                <w:color w:val="auto"/>
              </w:rPr>
              <w:t>Carry</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39"/>
              <w:spacing w:after="0" w:line="133" w:lineRule="exact"/>
              <w:rPr>
                <w:sz w:val="20"/>
                <w:szCs w:val="20"/>
                <w:color w:val="auto"/>
              </w:rPr>
            </w:pPr>
            <w:r>
              <w:rPr>
                <w:rFonts w:ascii="Arial" w:cs="Arial" w:eastAsia="Arial" w:hAnsi="Arial"/>
                <w:sz w:val="14"/>
                <w:szCs w:val="14"/>
                <w:b w:val="1"/>
                <w:bCs w:val="1"/>
                <w:color w:val="auto"/>
              </w:rPr>
              <w:t>Fair</w:t>
            </w:r>
          </w:p>
        </w:tc>
      </w:tr>
      <w:tr>
        <w:trPr>
          <w:trHeight w:val="158"/>
        </w:trPr>
        <w:tc>
          <w:tcPr>
            <w:tcW w:w="472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3"/>
                <w:szCs w:val="13"/>
                <w:color w:val="auto"/>
              </w:rPr>
            </w:pPr>
          </w:p>
        </w:tc>
        <w:tc>
          <w:tcPr>
            <w:tcW w:w="980" w:type="dxa"/>
            <w:vAlign w:val="bottom"/>
          </w:tcPr>
          <w:p>
            <w:pPr>
              <w:jc w:val="right"/>
              <w:ind w:right="361"/>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3"/>
                <w:szCs w:val="13"/>
                <w:color w:val="auto"/>
              </w:rPr>
            </w:pPr>
          </w:p>
        </w:tc>
        <w:tc>
          <w:tcPr>
            <w:tcW w:w="1020" w:type="dxa"/>
            <w:vAlign w:val="bottom"/>
          </w:tcPr>
          <w:p>
            <w:pPr>
              <w:jc w:val="right"/>
              <w:ind w:right="381"/>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99"/>
              <w:spacing w:after="0" w:line="158" w:lineRule="exact"/>
              <w:rPr>
                <w:sz w:val="20"/>
                <w:szCs w:val="20"/>
                <w:color w:val="auto"/>
              </w:rPr>
            </w:pPr>
            <w:r>
              <w:rPr>
                <w:rFonts w:ascii="Arial" w:cs="Arial" w:eastAsia="Arial" w:hAnsi="Arial"/>
                <w:sz w:val="14"/>
                <w:szCs w:val="14"/>
                <w:b w:val="1"/>
                <w:bCs w:val="1"/>
                <w:color w:val="auto"/>
              </w:rPr>
              <w:t>Value</w:t>
            </w:r>
          </w:p>
        </w:tc>
      </w:tr>
      <w:tr>
        <w:trPr>
          <w:trHeight w:val="20"/>
        </w:trPr>
        <w:tc>
          <w:tcPr>
            <w:tcW w:w="7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Interest rate swap agreement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3,005</w:t>
            </w:r>
          </w:p>
        </w:tc>
        <w:tc>
          <w:tcPr>
            <w:tcW w:w="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3,005</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4.375% Senior Notes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264,633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253,135</w:t>
            </w:r>
          </w:p>
        </w:tc>
      </w:tr>
    </w:tbl>
    <w:p>
      <w:pPr>
        <w:spacing w:after="0" w:line="2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Notes were based on dealer quotes and represent the estimated amount the Company would pay to the counterparty to terminate the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2013, in Note 18 therein, filed on February 21, 2014. During the first nine months for 2014, there were no material changes to the information described in the Form 10-K.</w:t>
      </w:r>
    </w:p>
    <w:p>
      <w:pPr>
        <w:spacing w:after="0" w:line="187" w:lineRule="exact"/>
        <w:rPr>
          <w:sz w:val="20"/>
          <w:szCs w:val="20"/>
          <w:color w:val="auto"/>
        </w:rPr>
      </w:pPr>
    </w:p>
    <w:p>
      <w:pPr>
        <w:jc w:val="both"/>
        <w:ind w:right="100" w:firstLine="518"/>
        <w:spacing w:after="0" w:line="279" w:lineRule="auto"/>
        <w:rPr>
          <w:sz w:val="20"/>
          <w:szCs w:val="20"/>
          <w:color w:val="auto"/>
        </w:rPr>
      </w:pPr>
      <w:r>
        <w:rPr>
          <w:rFonts w:ascii="Arial" w:cs="Arial" w:eastAsia="Arial" w:hAnsi="Arial"/>
          <w:sz w:val="17"/>
          <w:szCs w:val="17"/>
          <w:color w:val="auto"/>
        </w:rPr>
        <w:t>The Company is also subject to litigation from time to time arising out of its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2013, in Note 18 therein, filed on February 21, 2014. During the first nine months of 2014, there were no material changes to the information described in the Form 10-K.</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0" w:lineRule="exact"/>
        <w:rPr>
          <w:sz w:val="20"/>
          <w:szCs w:val="20"/>
          <w:color w:val="auto"/>
        </w:rPr>
      </w:pPr>
    </w:p>
    <w:p>
      <w:pPr>
        <w:ind w:right="240" w:firstLine="518"/>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friction products,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right="200" w:firstLine="518"/>
        <w:spacing w:after="0" w:line="266"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subway cars and buses,</w:t>
      </w:r>
      <w:r>
        <w:rPr>
          <w:rFonts w:ascii="Arial" w:cs="Arial" w:eastAsia="Arial" w:hAnsi="Arial"/>
          <w:sz w:val="18"/>
          <w:szCs w:val="18"/>
          <w:b w:val="1"/>
          <w:bCs w:val="1"/>
          <w:color w:val="auto"/>
        </w:rPr>
        <w:t xml:space="preserve"> </w:t>
      </w:r>
      <w:r>
        <w:rPr>
          <w:rFonts w:ascii="Arial" w:cs="Arial" w:eastAsia="Arial" w:hAnsi="Arial"/>
          <w:sz w:val="18"/>
          <w:szCs w:val="18"/>
          <w:color w:val="auto"/>
        </w:rPr>
        <w:t>builds new commuter locomotives, friction products, and refurbishes subway cars. Customers include public transit authorities and municipalities, leasing companies, and manufacturers of subway cars and buses around the world.</w:t>
      </w:r>
    </w:p>
    <w:p>
      <w:pPr>
        <w:spacing w:after="0" w:line="18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Company evaluates its business segments’ operating results based on income from operations. Corporate activities include general corporate expenses, elimination of intersegment transactions, interest income and expense and other unallocated charges. Since certain administrative and other operating expenses and other items have not been allocated to business segments, the results in the following tables are not necessarily a measure computed in accordance with generally accepted accounting principles and may not be comparable to other companies.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Segment financial information for the three months ended September 30, 2014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554"/>
              <w:spacing w:after="0"/>
              <w:rPr>
                <w:sz w:val="20"/>
                <w:szCs w:val="20"/>
                <w:color w:val="auto"/>
              </w:rPr>
            </w:pPr>
            <w:r>
              <w:rPr>
                <w:rFonts w:ascii="Arial" w:cs="Arial" w:eastAsia="Arial" w:hAnsi="Arial"/>
                <w:sz w:val="14"/>
                <w:szCs w:val="14"/>
                <w:b w:val="1"/>
                <w:bCs w:val="1"/>
                <w:color w:val="auto"/>
              </w:rPr>
              <w:t>Freight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38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3"/>
                <w:szCs w:val="13"/>
                <w:color w:val="auto"/>
              </w:rPr>
            </w:pPr>
          </w:p>
        </w:tc>
        <w:tc>
          <w:tcPr>
            <w:tcW w:w="10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453,329</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343,942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797,271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9,781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(11,603)</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rPr>
              <w:t>Total sales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463,110</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345,764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102,182</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40,734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(6,939)</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(4,748)</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w w:val="98"/>
              </w:rPr>
              <w:t>Income (loss) from operations before income taxes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102,182</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for the three months ended September 30, 2013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554"/>
              <w:spacing w:after="0"/>
              <w:rPr>
                <w:sz w:val="20"/>
                <w:szCs w:val="20"/>
                <w:color w:val="auto"/>
              </w:rPr>
            </w:pPr>
            <w:r>
              <w:rPr>
                <w:rFonts w:ascii="Arial" w:cs="Arial" w:eastAsia="Arial" w:hAnsi="Arial"/>
                <w:sz w:val="14"/>
                <w:szCs w:val="14"/>
                <w:b w:val="1"/>
                <w:bCs w:val="1"/>
                <w:color w:val="auto"/>
              </w:rPr>
              <w:t>Freight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38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3"/>
                <w:szCs w:val="13"/>
                <w:color w:val="auto"/>
              </w:rPr>
            </w:pPr>
          </w:p>
        </w:tc>
        <w:tc>
          <w:tcPr>
            <w:tcW w:w="10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340,533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290,865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(8,052)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rPr>
              <w:t>Total sales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345,943</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293,507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77,299</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36,335</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(5,487)</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w w:val="98"/>
              </w:rPr>
              <w:t>Income (loss) from operations before income taxes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77,299</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for the nine months ended September 30, 2014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554"/>
              <w:spacing w:after="0"/>
              <w:rPr>
                <w:sz w:val="20"/>
                <w:szCs w:val="20"/>
                <w:color w:val="auto"/>
              </w:rPr>
            </w:pPr>
            <w:r>
              <w:rPr>
                <w:rFonts w:ascii="Arial" w:cs="Arial" w:eastAsia="Arial" w:hAnsi="Arial"/>
                <w:sz w:val="14"/>
                <w:szCs w:val="14"/>
                <w:b w:val="1"/>
                <w:bCs w:val="1"/>
                <w:color w:val="auto"/>
              </w:rPr>
              <w:t>Freight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38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3"/>
                <w:szCs w:val="13"/>
                <w:color w:val="auto"/>
              </w:rPr>
            </w:pPr>
          </w:p>
        </w:tc>
        <w:tc>
          <w:tcPr>
            <w:tcW w:w="10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1,250,337</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973,251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2,223,588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27,074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(33,170)</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rPr>
              <w:t>Total sales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1,277,411</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979,347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(33,170)</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294,396</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112,009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(13,497)</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w w:val="98"/>
              </w:rPr>
              <w:t>Income (loss) from operations before income taxes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294,396</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(29,756)</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for the nine months ended September 30, 2013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554"/>
              <w:spacing w:after="0"/>
              <w:rPr>
                <w:sz w:val="20"/>
                <w:szCs w:val="20"/>
                <w:color w:val="auto"/>
              </w:rPr>
            </w:pPr>
            <w:r>
              <w:rPr>
                <w:rFonts w:ascii="Arial" w:cs="Arial" w:eastAsia="Arial" w:hAnsi="Arial"/>
                <w:sz w:val="14"/>
                <w:szCs w:val="14"/>
                <w:b w:val="1"/>
                <w:bCs w:val="1"/>
                <w:color w:val="auto"/>
              </w:rPr>
              <w:t>Freight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38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3"/>
                <w:szCs w:val="13"/>
                <w:color w:val="auto"/>
              </w:rPr>
            </w:pPr>
          </w:p>
        </w:tc>
        <w:tc>
          <w:tcPr>
            <w:tcW w:w="10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1,009,069</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875,841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1,884,910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20,384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(25,791)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rPr>
              <w:t>Total sales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1,029,453</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881,248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(25,791)</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225,734</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110,809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(12,547)</w:t>
            </w: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500"/>
              <w:spacing w:after="0"/>
              <w:rPr>
                <w:sz w:val="20"/>
                <w:szCs w:val="20"/>
                <w:color w:val="auto"/>
              </w:rPr>
            </w:pPr>
            <w:r>
              <w:rPr>
                <w:rFonts w:ascii="Arial" w:cs="Arial" w:eastAsia="Arial" w:hAnsi="Arial"/>
                <w:sz w:val="18"/>
                <w:szCs w:val="18"/>
                <w:color w:val="auto"/>
                <w:w w:val="98"/>
              </w:rPr>
              <w:t>Income (loss) from operations before income taxes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225,734</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110,809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(22,998)</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774"/>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00" w:top="382" w:right="739" w:bottom="1440" w:gutter="0" w:footer="0" w:header="0"/>
        </w:sectPr>
      </w:pPr>
    </w:p>
    <w:bookmarkStart w:id="21" w:name="page22"/>
    <w:bookmarkEnd w:id="21"/>
    <w:p>
      <w:pPr>
        <w:ind w:left="1380"/>
        <w:spacing w:after="0"/>
        <w:rPr>
          <w:sz w:val="20"/>
          <w:szCs w:val="20"/>
          <w:color w:val="auto"/>
        </w:rPr>
      </w:pPr>
      <w:r>
        <w:rPr>
          <w:rFonts w:ascii="Arial" w:cs="Arial" w:eastAsia="Arial" w:hAnsi="Arial"/>
          <w:sz w:val="18"/>
          <w:szCs w:val="18"/>
          <w:color w:val="auto"/>
        </w:rPr>
        <w:t>Sales by product are as follows:</w:t>
      </w:r>
    </w:p>
    <w:p>
      <w:pPr>
        <w:spacing w:after="0" w:line="25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jc w:val="center"/>
              <w:ind w:left="516"/>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160" w:type="dxa"/>
            <w:vAlign w:val="bottom"/>
            <w:vMerge w:val="restart"/>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Specialty Products &amp; Electronics</w:t>
            </w:r>
          </w:p>
        </w:tc>
        <w:tc>
          <w:tcPr>
            <w:tcW w:w="13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390,038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263,595</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Brake Products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170,826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137,189</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Remanufacturing, Overhaul &amp; Build</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142,620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161,857</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Other Transit Products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50,270</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23"/>
        </w:trPr>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sales</w:t>
            </w:r>
          </w:p>
        </w:tc>
        <w:tc>
          <w:tcPr>
            <w:tcW w:w="13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631,398</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Sales by product are as follows:</w:t>
            </w: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94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4"/>
          </w:tcPr>
          <w:p>
            <w:pPr>
              <w:jc w:val="center"/>
              <w:ind w:left="516"/>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160" w:type="dxa"/>
            <w:vAlign w:val="bottom"/>
            <w:vMerge w:val="restart"/>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Specialty Products &amp; Electronics</w:t>
            </w:r>
          </w:p>
        </w:tc>
        <w:tc>
          <w:tcPr>
            <w:tcW w:w="13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980,897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764,222</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Brake Products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487,095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417,921</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Remanufacturing, Overhaul &amp; Build</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474,444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489,391</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Other Transit Products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153,698</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59,678</w:t>
            </w:r>
          </w:p>
        </w:tc>
        <w:tc>
          <w:tcPr>
            <w:tcW w:w="0" w:type="dxa"/>
            <w:vAlign w:val="bottom"/>
          </w:tcPr>
          <w:p>
            <w:pPr>
              <w:spacing w:after="0"/>
              <w:rPr>
                <w:sz w:val="1"/>
                <w:szCs w:val="1"/>
                <w:color w:val="auto"/>
              </w:rPr>
            </w:pPr>
          </w:p>
        </w:tc>
      </w:tr>
      <w:tr>
        <w:trPr>
          <w:trHeight w:val="223"/>
        </w:trPr>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sales</w:t>
            </w:r>
          </w:p>
        </w:tc>
        <w:tc>
          <w:tcPr>
            <w:tcW w:w="13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2,223,588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1,884,910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INCOME (EXPENSE),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other income (expense) are as follows:</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80" w:type="dxa"/>
            <w:vAlign w:val="bottom"/>
            <w:gridSpan w:val="6"/>
          </w:tcPr>
          <w:p>
            <w:pPr>
              <w:ind w:lef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Foreign currency gain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Other miscellaneous income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26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240" w:top="638" w:right="739" w:bottom="1440" w:gutter="0" w:footer="0" w:header="0"/>
        </w:sectPr>
      </w:pPr>
    </w:p>
    <w:bookmarkStart w:id="22" w:name="page23"/>
    <w:bookmarkEnd w:id="22"/>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2013, filed with the Securities and Exchange Commission on February 21,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19 countries. In the first nine months of 2014, about 48% of the Company’s revenues came from customers outside the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Performance System, and increase revenues through a focused growth strategy, including global and market expansion, new products and technologies, aftermarket products and services, and acquisitions. In addition, management evaluates the Company’s current operational performance through measures such as quality and on-time delivery.</w:t>
      </w:r>
    </w:p>
    <w:p>
      <w:pPr>
        <w:spacing w:after="0" w:line="188" w:lineRule="exact"/>
        <w:rPr>
          <w:sz w:val="20"/>
          <w:szCs w:val="20"/>
          <w:color w:val="auto"/>
        </w:rPr>
      </w:pPr>
    </w:p>
    <w:p>
      <w:pPr>
        <w:ind w:right="300" w:firstLine="518"/>
        <w:spacing w:after="0" w:line="290" w:lineRule="auto"/>
        <w:rPr>
          <w:sz w:val="20"/>
          <w:szCs w:val="20"/>
          <w:color w:val="auto"/>
        </w:rPr>
      </w:pPr>
      <w:r>
        <w:rPr>
          <w:rFonts w:ascii="Arial" w:cs="Arial" w:eastAsia="Arial" w:hAnsi="Arial"/>
          <w:sz w:val="16"/>
          <w:szCs w:val="16"/>
          <w:color w:val="auto"/>
        </w:rPr>
        <w:t>The Company monitors a variety of factors and statistics to gauge activity in key freight rail and passenger transit markets such as North and South America, Europe and Asia-Pacific. In these and other markets, the freight rail industry is largely driven by general economic conditions, which can cause fluctuations in rail traffic and the level of investment spending by railroads and governments to expand, upgrade, and modernize their networks. Based on those fluctuations, railroads and governments can increase or decrease purchases of new locomotives and freight cars, and spending on rail-related infrastructure. The passenger transit industry is driven mainly by the spending of government agencies and authorities as they maintain, expand and modernize their transit systems. In doing so, they will increase or decrease spending on new locomotives, transit/subway cars, buses and related infrastructure. Farebox revenues, the fees paid by riders to use public transit, also provide funding for maintaining and operating the systems. Many government entities at all levels are facing budget issues, which could have a negative effect on demand for the Company’s products and services.</w:t>
      </w:r>
    </w:p>
    <w:p>
      <w:pPr>
        <w:spacing w:after="0" w:line="166"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North America, the AAR compiles freight rail industry statistics such as carloadings, generally referred to as “rail traffic,” and the Railway Supply Institute (RSI) releases data on freight car orders, deliveries, and backlog. Through October 11, 2014 carloadings in North America increased 4.3% from 2013, including a 5.7% increase in intermodal traffic. According to the RSI, in the second quarter of 2014, the industry multi-year backlog of freight cars on order increased to about 100,000. In 2014, with some carbuilders already at capacity, we expect deliveries of new locomotives and new freight cars to be higher than in 2013. Future demand depends largely on the strength in the overall economy and in rail traffic volumes.</w:t>
      </w:r>
    </w:p>
    <w:p>
      <w:pPr>
        <w:spacing w:after="0" w:line="173"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American Public Transportation Association (APTA) provides quarterly transit ridership statistics for the U.S. and Canada. In its most recent report, APTA said second quarter 2014 ridership increased slightly in United States and Canada. In 2012, the U.S. Congress passed a new, two-year transportation funding bill, which maintained transit spending at about the same level, about $10.7 billion, as in prior years. Spending in 2014 is expected to remain at about the same level. The Company also expects deliveries of new subway cars and buses in 2014 to remain about the same as in 2013.</w:t>
      </w:r>
    </w:p>
    <w:p>
      <w:pPr>
        <w:spacing w:after="0" w:line="154" w:lineRule="exact"/>
        <w:rPr>
          <w:sz w:val="20"/>
          <w:szCs w:val="20"/>
          <w:color w:val="auto"/>
        </w:rPr>
      </w:pPr>
    </w:p>
    <w:p>
      <w:pPr>
        <w:ind w:firstLine="518"/>
        <w:spacing w:after="0" w:line="270" w:lineRule="auto"/>
        <w:rPr>
          <w:sz w:val="20"/>
          <w:szCs w:val="20"/>
          <w:color w:val="auto"/>
        </w:rPr>
      </w:pPr>
      <w:r>
        <w:rPr>
          <w:rFonts w:ascii="Arial" w:cs="Arial" w:eastAsia="Arial" w:hAnsi="Arial"/>
          <w:sz w:val="16"/>
          <w:szCs w:val="16"/>
          <w:color w:val="auto"/>
        </w:rPr>
        <w:t>In 2008, the U.S. federal government enacted a rail safety bill that mandates the use of PTC technology, which includes on-board locomotive computer and related software, on a majority of the locomotives and track in the U.S. With our Electronic Train Management System</w:t>
      </w:r>
      <w:r>
        <w:rPr>
          <w:rFonts w:ascii="Arial" w:cs="Arial" w:eastAsia="Arial" w:hAnsi="Arial"/>
          <w:sz w:val="23"/>
          <w:szCs w:val="23"/>
          <w:color w:val="auto"/>
          <w:vertAlign w:val="superscript"/>
        </w:rPr>
        <w:t>®</w:t>
      </w:r>
      <w:r>
        <w:rPr>
          <w:rFonts w:ascii="Arial" w:cs="Arial" w:eastAsia="Arial" w:hAnsi="Arial"/>
          <w:sz w:val="16"/>
          <w:szCs w:val="16"/>
          <w:color w:val="auto"/>
        </w:rPr>
        <w:t>, we are the leading supplier of this on-board train control equipment, and we are working with the U.S. Class I railroads, commuter rail authorities and other industry suppliers to implement this technology by the December 31, 2015 deadline set in the rail safety bill. The railroads and commuter rail authorities have said they cannot complete full implementation by the deadline. The U.S. Congress has discussed extending the deadline but has not done so. An extension of the deadline could affect the rate of industry spending on this technology. Wabtec’s PTC revenue was about $221 million for the nine months ended September 30, 2014.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ind w:firstLine="518"/>
        <w:spacing w:after="0" w:line="273" w:lineRule="auto"/>
        <w:rPr>
          <w:sz w:val="20"/>
          <w:szCs w:val="20"/>
          <w:color w:val="auto"/>
        </w:rPr>
      </w:pPr>
      <w:r>
        <w:rPr>
          <w:rFonts w:ascii="Arial" w:cs="Arial" w:eastAsia="Arial" w:hAnsi="Arial"/>
          <w:sz w:val="17"/>
          <w:szCs w:val="17"/>
          <w:color w:val="auto"/>
        </w:rPr>
        <w:t>Wabtec continues to expand its presence in freight rail and passenger transit markets outside the U.S., particularly in Europe, Asia-Pacific and South America. In Europe, the majority of the rail system serves the passenger transit market, which is larger than the transit market in the U.S. Our presence in the U.K., Germany and Italy has positioned the Company to take advantage of this market. Asia-Pacific is a growth market and our various joint ventures and direct exports to China have positioned the Company to take advantage of this growth. Australia has also been an area of expansion for the Company as commodity suppliers use our products to meet the demands of their regional customers. In Brazil, the Company is delivering on a PTC contract, has expanded locations and has completed three acquisitions, allowing us to increase our sales in that market.</w:t>
      </w:r>
    </w:p>
    <w:p>
      <w:pPr>
        <w:spacing w:after="0" w:line="17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Current conditions in these international markets vary based on general economic factors and specific freight rail and passenger transit drivers, as mentioned above. In its most recent quarterly data, the Office of Rail Regulation in the U.K. reported an increase in passenger ridership of 3.7% and a 2.3% decrease in freight moved. In Germany, the government statistics bureau reported an increase of 0.5% for passenger ridership for the first half of 2014, and an increase in rail freight transport of 1.5% for the same period. In China, the government said China Railway Corporation increased railway investment by 9% in the first quarter of 2014, compared to the year-ago quarter. Russian Railways announced a decrease of 0.3% in passenger ridership in the first eight months of 2014 compared to the year-ago period, and it said freight tons loaded were 1.4% lower than the year-ago period.</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2014 and beyond, general economic and market conditions in our key markets could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15"/>
        </w:trPr>
        <w:tc>
          <w:tcPr>
            <w:tcW w:w="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jc w:val="right"/>
              <w:ind w:right="251"/>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8"/>
                <w:szCs w:val="18"/>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797,271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631,398</w:t>
            </w:r>
          </w:p>
        </w:tc>
        <w:tc>
          <w:tcPr>
            <w:tcW w:w="2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2,223,588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1,884,910</w:t>
            </w:r>
          </w:p>
        </w:tc>
        <w:tc>
          <w:tcPr>
            <w:tcW w:w="60" w:type="dxa"/>
            <w:vAlign w:val="bottom"/>
          </w:tcPr>
          <w:p>
            <w:pPr>
              <w:spacing w:after="0"/>
              <w:rPr>
                <w:sz w:val="18"/>
                <w:szCs w:val="18"/>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(549,813)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(443,265)</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(1,541,903)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(1,321,008)</w:t>
            </w: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188,133</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681,685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563,902</w:t>
            </w:r>
          </w:p>
        </w:tc>
        <w:tc>
          <w:tcPr>
            <w:tcW w:w="60" w:type="dxa"/>
            <w:vAlign w:val="bottom"/>
          </w:tcPr>
          <w:p>
            <w:pPr>
              <w:spacing w:after="0"/>
              <w:rPr>
                <w:sz w:val="19"/>
                <w:szCs w:val="19"/>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(88,359)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(63,402)</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(231,422)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(191,576)</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(16,391)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(10,921)</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(43,558)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(33,535)</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(6,731)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(3,939)</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(12,699)</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(78,262)</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(237,810)</w:t>
            </w:r>
          </w:p>
        </w:tc>
        <w:tc>
          <w:tcPr>
            <w:tcW w:w="60" w:type="dxa"/>
            <w:vAlign w:val="bottom"/>
          </w:tcPr>
          <w:p>
            <w:pPr>
              <w:spacing w:after="0"/>
              <w:rPr>
                <w:sz w:val="19"/>
                <w:szCs w:val="19"/>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109,871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390,146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326,092</w:t>
            </w:r>
          </w:p>
        </w:tc>
        <w:tc>
          <w:tcPr>
            <w:tcW w:w="60" w:type="dxa"/>
            <w:vAlign w:val="bottom"/>
          </w:tcPr>
          <w:p>
            <w:pPr>
              <w:spacing w:after="0"/>
              <w:rPr>
                <w:sz w:val="19"/>
                <w:szCs w:val="19"/>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(4,594)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(3,829)</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(10,714)</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(1,833)</w:t>
            </w: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104,384</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313,545</w:t>
            </w:r>
          </w:p>
        </w:tc>
        <w:tc>
          <w:tcPr>
            <w:tcW w:w="60" w:type="dxa"/>
            <w:vAlign w:val="bottom"/>
          </w:tcPr>
          <w:p>
            <w:pPr>
              <w:spacing w:after="0"/>
              <w:rPr>
                <w:sz w:val="19"/>
                <w:szCs w:val="19"/>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(41,074)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(30,441)</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(117,655)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(95,351)</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73,943</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218,194</w:t>
            </w:r>
          </w:p>
        </w:tc>
        <w:tc>
          <w:tcPr>
            <w:tcW w:w="6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6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5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THIRD QUARTER 2014 COMPARED TO THIRD QUARTER 2013</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3"/>
              </w:rPr>
              <w:t>Three months ended September 30,</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96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453,329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340,533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343,942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290,865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6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797,271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631,398</w:t>
            </w:r>
          </w:p>
        </w:tc>
        <w:tc>
          <w:tcPr>
            <w:tcW w:w="2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135,977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90,155</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73,943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major components of the change in sales in the third quarter of 2014 from the third quarter of 2013:</w:t>
      </w: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Freight</w:t>
            </w: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Transit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52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3"/>
                <w:szCs w:val="13"/>
                <w:color w:val="auto"/>
              </w:rPr>
            </w:pPr>
          </w:p>
        </w:tc>
        <w:tc>
          <w:tcPr>
            <w:tcW w:w="124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3"/>
                <w:szCs w:val="13"/>
                <w:color w:val="auto"/>
              </w:rPr>
            </w:pPr>
          </w:p>
        </w:tc>
        <w:tc>
          <w:tcPr>
            <w:tcW w:w="12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r>
      <w:tr>
        <w:trPr>
          <w:trHeight w:val="20"/>
        </w:trPr>
        <w:tc>
          <w:tcPr>
            <w:tcW w:w="7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Third Quarter 2013 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340,533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290,865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631,398</w:t>
            </w:r>
          </w:p>
        </w:tc>
        <w:tc>
          <w:tcPr>
            <w:tcW w:w="60" w:type="dxa"/>
            <w:vAlign w:val="bottom"/>
          </w:tcPr>
          <w:p>
            <w:pPr>
              <w:spacing w:after="0"/>
              <w:rPr>
                <w:sz w:val="18"/>
                <w:szCs w:val="18"/>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86,627</w:t>
            </w:r>
          </w:p>
        </w:tc>
        <w:tc>
          <w:tcPr>
            <w:tcW w:w="60" w:type="dxa"/>
            <w:vAlign w:val="bottom"/>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Specialty Products &amp; Electronics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52,663</w:t>
            </w: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Brake Products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29,551</w:t>
            </w: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Remanufacturing, Overhaul &amp; Build</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(3,476)</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(22,267)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(25,743)</w:t>
            </w: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Other Transit Products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8,667</w:t>
            </w:r>
          </w:p>
        </w:tc>
        <w:tc>
          <w:tcPr>
            <w:tcW w:w="60" w:type="dxa"/>
            <w:vAlign w:val="bottom"/>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12,781</w:t>
            </w:r>
          </w:p>
        </w:tc>
        <w:tc>
          <w:tcPr>
            <w:tcW w:w="60" w:type="dxa"/>
            <w:vAlign w:val="bottom"/>
          </w:tcPr>
          <w:p>
            <w:pPr>
              <w:spacing w:after="0"/>
              <w:rPr>
                <w:sz w:val="20"/>
                <w:szCs w:val="20"/>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Third Quarter 2014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453,329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797,271</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Net sales for the three months ended September 30, 2014 increased by $165.9 million or 26.3% to $797.3 million from $631.4 million. The increase is due to sales from acquisitions of $86.6 million, $52.7 million for Specialty Products and Electronics sales from higher demand for freight original equipment products and aftermarket electronic products and $29.6 million for Brake Products sales due to higher demand for original equipment brakes for freight customers and aftermarket brakes from certain transit authorities. These increases were partially offset by $25.7 million in lower Remanufacturing, Overhaul and Build sales related primarily to original transit locomotives. Favorable foreign exchange increased sales $12.8 million.</w:t>
      </w:r>
    </w:p>
    <w:p>
      <w:pPr>
        <w:spacing w:after="0" w:line="15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Freight Segment sales increased by $112.8 million, or 33.1%, primarily due to an increase of $57.3 million for Specialty Products and Electronics sales from higher demand for freight original equipment rail products, positive train control electronics, and aftermarket rail products, and $18.9 million for Brake Products due to higher demand for original equipment brakes. Acquisitions increased sales by $29.4 million, while favorable foreign exchange increased sales by $1.5 million.</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Transit Segment sales increased by $53.1 million, or 18.2%, primarily due to sales from acquisitions of $57.2 million and $10.6 million from increased demand for aftermarket brakes from certain transit authorities. These increases were partially offset by $22.3 million in lower Remanufacturing, Overhaul &amp; Build sales related to original equipment transit locomotives. Acquisitions increased sales by $57.2 million, while favorable foreign exchange increased net sales by $11.2 million.</w:t>
      </w:r>
    </w:p>
    <w:p>
      <w:pPr>
        <w:spacing w:after="0" w:line="18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b w:val="1"/>
          <w:bCs w:val="1"/>
          <w:i w:val="1"/>
          <w:iCs w:val="1"/>
          <w:color w:val="auto"/>
        </w:rPr>
        <w:t xml:space="preserve">Cost of Sales and Gross Profit. </w:t>
      </w:r>
      <w:r>
        <w:rPr>
          <w:rFonts w:ascii="Arial" w:cs="Arial" w:eastAsia="Arial" w:hAnsi="Arial"/>
          <w:sz w:val="16"/>
          <w:szCs w:val="16"/>
          <w:color w:val="auto"/>
        </w:rPr>
        <w:t>Cost of Sales increased by $106.5 million to $549.8 million in the third quarter of 2014 compared to $443.3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of 2013. In the third quarter of 2014, cost of sales, as a percentage of sales was 69.0% compared to 70.2% in the same period of 2013.</w:t>
      </w:r>
    </w:p>
    <w:p>
      <w:pPr>
        <w:spacing w:after="0" w:line="124"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Raw material costs were approximately 43% of sales in the third quarters of 2014 and 2013. Labor costs were approximately 12% of sales in the third quarters of 2014 and 2013. Overhead costs were approximately 14% and 15% in the third quarters of 2014 and 2013, respectively. Freight Segment raw material costs increased as a percentage of sales to approximately 41% in the third quarter of 2014 from 39% in the same period of 2013. Freight Segment labor costs were approximately 11% as a percentage of sales in the third quarters of 2014 and 2013, and overhead costs were approximately 13% and 14% as a percentage of sales in the third quarters of 2014 and 2013, respectively. Transit Segment raw material costs as a percentage of sales decreased from approximately 47% in the third quarter of 2013 to 43% in the same period of 2014 primarily due to lower original equipment locomotive sales which have higher raw material content. Transit Segment labor costs were approximately 12% and 13% as a percentage of sales in the third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88"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quarters of 2014 and 2013, respectively, and overhead costs remained unchanged at 15% for both the third quarter of 2014 and the third quarter of 2013.</w:t>
      </w:r>
    </w:p>
    <w:p>
      <w:pPr>
        <w:spacing w:after="0" w:line="24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$3.6 million higher in the third quarter of 2014 compared to the same period of 2013. As a percentage of sales, warranty expense was 1.0% for the third quarter of 2014 and 2013, respectively.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Gross profit for the three months ended September 30, 2014 increased $59.3 million to $247.5 million from $188.1 million and the gross profit margin increased 30 basis points to 31.0%. These increases are due to higher sales volume and the reasons discussed above.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1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156"/>
              <w:spacing w:after="0" w:line="147" w:lineRule="exact"/>
              <w:rPr>
                <w:sz w:val="20"/>
                <w:szCs w:val="20"/>
                <w:color w:val="auto"/>
              </w:rPr>
            </w:pPr>
            <w:r>
              <w:rPr>
                <w:rFonts w:ascii="Arial" w:cs="Arial" w:eastAsia="Arial" w:hAnsi="Arial"/>
                <w:sz w:val="14"/>
                <w:szCs w:val="14"/>
                <w:b w:val="1"/>
                <w:bCs w:val="1"/>
                <w:color w:val="auto"/>
              </w:rPr>
              <w:t>Percentage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96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150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3"/>
                <w:szCs w:val="13"/>
                <w:color w:val="auto"/>
              </w:rPr>
            </w:pPr>
          </w:p>
        </w:tc>
        <w:tc>
          <w:tcPr>
            <w:tcW w:w="96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3"/>
                <w:szCs w:val="13"/>
                <w:color w:val="auto"/>
              </w:rPr>
            </w:pPr>
          </w:p>
        </w:tc>
        <w:tc>
          <w:tcPr>
            <w:tcW w:w="144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88,359</w:t>
            </w: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63,402</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16,391</w:t>
            </w: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10,921</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6,731</w:t>
            </w:r>
          </w:p>
        </w:tc>
        <w:tc>
          <w:tcPr>
            <w:tcW w:w="2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111,481</w:t>
            </w: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78,262</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Total operating expenses were 14.0% and 12.4% of sales for the third quarters of 2014 and 2013, respectively. Selling, general, and administrative expenses increased $25.0 million, or 39.4%, primarily due to $12.5 million of additional expenses from acquisitions and $3.5 million for incentive and non-cash compensation expense. Engineering expense increased by $5.5 million primarily due to $4.2 million related to acquisitions. Costs related to engineering for specific customer contracts are included in cost of sales. Amortization expense increased $2.8 million due to amortization of intangibles associated with acquisitions.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3"/>
              </w:rPr>
              <w:t>Three months ended September 30,</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316"/>
              <w:spacing w:after="0" w:line="147" w:lineRule="exact"/>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960" w:type="dxa"/>
            <w:vAlign w:val="bottom"/>
          </w:tcPr>
          <w:p>
            <w:pPr>
              <w:jc w:val="right"/>
              <w:ind w:right="396"/>
              <w:spacing w:after="0" w:line="158"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49,462</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111,481</w:t>
            </w:r>
          </w:p>
        </w:tc>
        <w:tc>
          <w:tcPr>
            <w:tcW w:w="22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78,262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Freight Segment operating expenses increased $11.5 million, or 30.2%, in the third quarter of 2014 but decreased 30 basis points to 10.9% of sales. The increase primarily relates to $4.4 million of incremental selling, general and administrative expense and $0.8 million of incremental engineering expense from acquisitions, and an increase of $6.0 million in selling, general and administrative expense supporting the higher sales volume.</w:t>
      </w:r>
    </w:p>
    <w:p>
      <w:pPr>
        <w:spacing w:after="0" w:line="14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Transit Segment operating expenses increased $18.6 million, or 50.9%, in the third quarter of 2014 and increased 350 basis points to 16.0% of sales. The increase is primarily related to $8.1 million of incremental selling, general, and administrative expense, $3.4 million of incremental engineering expense and $2.0 million of incremental amortization expense all related to acquisitions.</w:t>
      </w:r>
    </w:p>
    <w:p>
      <w:pPr>
        <w:spacing w:after="0" w:line="1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Corporate non-allocated operating expenses increased $3.2 million in the third quarter of 2014 compared to the same period of 2013 due to increased incentive compensation expenses.</w:t>
      </w:r>
    </w:p>
    <w:p>
      <w:pPr>
        <w:spacing w:after="0" w:line="17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totaled $136.0 million or 17.1% of sales in the third quarter of 2014 compared to $109.9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17.4% of sales in the same period of 2013. Income from operations increased due to higher sales volume, partially offset by higher operating expenses discussed above.</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$0.8 million in the third quarter of 2014 compared to the same period of 2013 due to higher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balances resulting from acquisitions, partially offset by lower average interest rates.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4" w:right="279" w:bottom="1440" w:gutter="0" w:footer="0" w:header="0"/>
        </w:sectPr>
      </w:pPr>
    </w:p>
    <w:bookmarkStart w:id="26" w:name="page27"/>
    <w:bookmarkEnd w:id="26"/>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31.2% and 29.2% for the third quarter of 2014 and 2013, respectively. The increase in the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is primarily due to a benefit recorded in the third quarter of 2013 for the enacted reduction of a foreign statutory tax rate.</w:t>
      </w:r>
    </w:p>
    <w:p>
      <w:pPr>
        <w:spacing w:after="0" w:line="170"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for the third quarter of 2014 was $90.2 million or $0.93 per diluted share compared to $73.9 million or $0.76 per diluted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prior year quarter. The increase in net income is due to higher sales volume, partially offset by higher operating expenses discussed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OF 2014 COMPARED TO FIRST NINE MONTHS OF 2013</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4"/>
              </w:rPr>
              <w:t>Nine months ended 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96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1,250,337</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1,009,069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973,251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875,841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6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2,223,588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1,884,910</w:t>
            </w:r>
          </w:p>
        </w:tc>
        <w:tc>
          <w:tcPr>
            <w:tcW w:w="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390,146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326,092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258,994</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218,194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major components of the change in sales in the first nine months of 2014 from the first nine months of 2013:</w:t>
      </w:r>
    </w:p>
    <w:p>
      <w:pPr>
        <w:spacing w:after="0" w:line="33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Freight</w:t>
            </w:r>
          </w:p>
        </w:tc>
        <w:tc>
          <w:tcPr>
            <w:tcW w:w="22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Transit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52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3"/>
                <w:szCs w:val="13"/>
                <w:color w:val="auto"/>
              </w:rPr>
            </w:pPr>
          </w:p>
        </w:tc>
        <w:tc>
          <w:tcPr>
            <w:tcW w:w="124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3"/>
                <w:szCs w:val="13"/>
                <w:color w:val="auto"/>
              </w:rPr>
            </w:pPr>
          </w:p>
        </w:tc>
        <w:tc>
          <w:tcPr>
            <w:tcW w:w="12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Total</w:t>
            </w:r>
          </w:p>
        </w:tc>
      </w:tr>
      <w:tr>
        <w:trPr>
          <w:trHeight w:val="20"/>
        </w:trPr>
        <w:tc>
          <w:tcPr>
            <w:tcW w:w="7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First Nine Months of 2013 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1,009,069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875,841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1,884,910</w:t>
            </w:r>
          </w:p>
        </w:tc>
        <w:tc>
          <w:tcPr>
            <w:tcW w:w="60" w:type="dxa"/>
            <w:vAlign w:val="bottom"/>
          </w:tcPr>
          <w:p>
            <w:pPr>
              <w:spacing w:after="0"/>
              <w:rPr>
                <w:sz w:val="18"/>
                <w:szCs w:val="18"/>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146,957</w:t>
            </w:r>
          </w:p>
        </w:tc>
        <w:tc>
          <w:tcPr>
            <w:tcW w:w="60" w:type="dxa"/>
            <w:vAlign w:val="bottom"/>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Change in Sales by Product Line: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Specialty Products &amp; Electronics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118,942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119,720</w:t>
            </w: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Brake Products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61,567</w:t>
            </w: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Remanufacturing, Overhaul &amp; Build</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(10,837)</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(24,166)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(35,003)</w:t>
            </w: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Other Transit Products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9"/>
                <w:szCs w:val="19"/>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19,432</w:t>
            </w:r>
          </w:p>
        </w:tc>
        <w:tc>
          <w:tcPr>
            <w:tcW w:w="60" w:type="dxa"/>
            <w:vAlign w:val="bottom"/>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(6,026)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30,987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24,961</w:t>
            </w:r>
          </w:p>
        </w:tc>
        <w:tc>
          <w:tcPr>
            <w:tcW w:w="60" w:type="dxa"/>
            <w:vAlign w:val="bottom"/>
          </w:tcPr>
          <w:p>
            <w:pPr>
              <w:spacing w:after="0"/>
              <w:rPr>
                <w:sz w:val="20"/>
                <w:szCs w:val="20"/>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First Nine Months of 2014 Net Sales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1,250,337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973,251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2,223,588</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Net sales for the nine months ended September 30, 2014 increased by $338.7 million or 18.0% to $2,223.6 million from $1,884.9 million. The increase is primarily due to acquisitions of $147.0 million, $119.7 million for Specialty Products and Electronics sales from higher demand for freight original equipment products and aftermarket electronic products and $61.6 million for Brake Products sales due to higher demand for original equipment brakes for freight customers and aftermarket brakes from certain transit authorities. These increases were partially offset by lower sales for original equipment locomotives. Favorable foreign exchange increased sales $25.0 million.</w:t>
      </w:r>
    </w:p>
    <w:p>
      <w:pPr>
        <w:spacing w:after="0" w:line="188"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Freight Segment sales increased by $241.3 million, or 23.9%, primarily due to $118.9 million for Specialty Products and Electronics sales from higher demand for freight original equipment rail products, positive train control electronics, and aftermarket rail products, acquisitions of $74.2 million and $44.3 million for Brake Products due to higher demand for original equipment brakes. Unfavorable foreign exchange decreased sales by $6.0 million.</w:t>
      </w:r>
    </w:p>
    <w:p>
      <w:pPr>
        <w:spacing w:after="0" w:line="147" w:lineRule="exact"/>
        <w:rPr>
          <w:sz w:val="20"/>
          <w:szCs w:val="20"/>
          <w:color w:val="auto"/>
        </w:rPr>
      </w:pPr>
    </w:p>
    <w:p>
      <w:pPr>
        <w:jc w:val="both"/>
        <w:ind w:right="660" w:firstLine="518"/>
        <w:spacing w:after="0" w:line="264" w:lineRule="auto"/>
        <w:rPr>
          <w:sz w:val="20"/>
          <w:szCs w:val="20"/>
          <w:color w:val="auto"/>
        </w:rPr>
      </w:pPr>
      <w:r>
        <w:rPr>
          <w:rFonts w:ascii="Arial" w:cs="Arial" w:eastAsia="Arial" w:hAnsi="Arial"/>
          <w:sz w:val="18"/>
          <w:szCs w:val="18"/>
          <w:color w:val="auto"/>
        </w:rPr>
        <w:t>Transit Segment sales increased by $97.4 million, or 11.1%, due to acquisitions of $72.7 million and $17.3 million from increased demand for aftermarket brakes from certain transit authorities. These increases were partially offset by $24.2 million in lower sales for original equipment transit locomotives. Favorable foreign exchange increased net sales by $31.0 million.</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Cost of Sales and Gross Profit. </w:t>
      </w:r>
      <w:r>
        <w:rPr>
          <w:rFonts w:ascii="Arial" w:cs="Arial" w:eastAsia="Arial" w:hAnsi="Arial"/>
          <w:sz w:val="18"/>
          <w:szCs w:val="18"/>
          <w:color w:val="auto"/>
        </w:rPr>
        <w:t>Cost of Sales increased by $220.9 million to $1,541.9 million in the first nine months of 2014 compared to $1,321.0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same period of 2013. In the first nine months of 2014, cost of sales as a percentage of sales was 69.3% compared to 70.1% in the same period of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firstLine="518"/>
        <w:spacing w:after="0" w:line="253" w:lineRule="auto"/>
        <w:rPr>
          <w:sz w:val="20"/>
          <w:szCs w:val="20"/>
          <w:color w:val="auto"/>
        </w:rPr>
      </w:pPr>
      <w:r>
        <w:rPr>
          <w:rFonts w:ascii="Arial" w:cs="Arial" w:eastAsia="Arial" w:hAnsi="Arial"/>
          <w:sz w:val="18"/>
          <w:szCs w:val="18"/>
          <w:color w:val="auto"/>
        </w:rPr>
        <w:t>Raw material costs were approximately 43% and 42% as a percentage of sales in the first nine months of 2014 and 2013,respectively. Labor costs were approximately 11% and 12% as a percentage of sales in the first nine months of 2014 and 2013, respectively. Overhead costs decreased as a percentage of sales to approximately 14% in the first nine months of 2014 from approximately 15% in the same period of 2013. Freight Segment raw material costs increased as a percentage of sales to approximately 42% in the first nine months of 2014 from 40% in the same period of 2013. Freight Segment labor costs were approximately 10% and 11% as a percentage of sales in the first nine months of 2014 and 2013, respectively, and overhead costs decreased as a percentage of sales to 13% in the first nine months of 2014 from approximately 14% in the same period of 2013. Transit Segment raw material costs were approximately 45% as a percentage of sales in the first nine months of 2014 and 2013. Transit Segment labor costs were approximately 13% as a percentage of sales in the first nine months of 2014 and 2013, and overhead costs remained unchanged at 15% for both the first nine months of 2014 and the first nine months of 2013.</w:t>
      </w:r>
    </w:p>
    <w:p>
      <w:pPr>
        <w:spacing w:after="0" w:line="19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general, raw material costs as a percentage of sales increased due to the higher mix of revenue generated from freight and transit original equipment sales and aftermarket services, which have a higher raw material component as cost of sales. Overhead costs vary as a percentage of sales depending on product mix and changes in sales volume</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$3.4 million higher in the first nine months of 2014 compared to the same period of 2013 resulting from the increase in sales. As a percentage of sales, warranty expense was 1.0% for the first nine months of 2014 and 2013.</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Gross profit for the nine months ended September 30, 2014 increased $117.8 million to $681.7 million from $563.9 million and the gross profit margin increased 70 basis points to 30.7%. These increases are due to higher sales volume and the reasons discussed above.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1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rPr>
              <w:t>Percentage of</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156"/>
              <w:spacing w:after="0" w:line="147" w:lineRule="exact"/>
              <w:rPr>
                <w:sz w:val="20"/>
                <w:szCs w:val="20"/>
                <w:color w:val="auto"/>
              </w:rPr>
            </w:pPr>
            <w:r>
              <w:rPr>
                <w:rFonts w:ascii="Arial" w:cs="Arial" w:eastAsia="Arial" w:hAnsi="Arial"/>
                <w:sz w:val="14"/>
                <w:szCs w:val="14"/>
                <w:b w:val="1"/>
                <w:bCs w:val="1"/>
                <w:color w:val="auto"/>
              </w:rPr>
              <w:t>Percentage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3"/>
                <w:szCs w:val="13"/>
                <w:color w:val="auto"/>
              </w:rPr>
            </w:pPr>
          </w:p>
        </w:tc>
        <w:tc>
          <w:tcPr>
            <w:tcW w:w="96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150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3"/>
                <w:szCs w:val="13"/>
                <w:color w:val="auto"/>
              </w:rPr>
            </w:pPr>
          </w:p>
        </w:tc>
        <w:tc>
          <w:tcPr>
            <w:tcW w:w="96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3"/>
                <w:szCs w:val="13"/>
                <w:color w:val="auto"/>
              </w:rPr>
            </w:pPr>
          </w:p>
        </w:tc>
        <w:tc>
          <w:tcPr>
            <w:tcW w:w="144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231,422</w:t>
            </w: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191,576</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43,558</w:t>
            </w: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33,535</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16,559</w:t>
            </w:r>
          </w:p>
        </w:tc>
        <w:tc>
          <w:tcPr>
            <w:tcW w:w="2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12,699</w:t>
            </w: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291,539</w:t>
            </w: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237,810</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Total operating expenses were 13.1% of sales for the first nine months of 2014 compared to 12.6% for the same period in the previous year, a increase of 50 basis points. Selling, general, and administrative expenses increased $39.8 million, or 20.8%, primarily due to $19.3 million of additional expenses from acquisitions and $5.9 million for incentive and non-cash compensation expense. Engineering expense increased by $10.0 million primarily due to a $4.8 million increase related to new product development and $5.0 million related to acquisitions. Costs related to engineering for specific customer contracts are included in cost of sales. Amortization expense increased $3.9 million, or 30.4%, due to amortization of intangibles associated with acquisitions.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4"/>
              </w:rPr>
              <w:t>Nine months ended September 30,</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16"/>
              <w:spacing w:after="0" w:line="147" w:lineRule="exact"/>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960" w:type="dxa"/>
            <w:vAlign w:val="bottom"/>
          </w:tcPr>
          <w:p>
            <w:pPr>
              <w:jc w:val="right"/>
              <w:ind w:right="396"/>
              <w:spacing w:after="0" w:line="158"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135,703</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114,055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139,578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113,304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16,258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10,451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291,539</w:t>
            </w:r>
          </w:p>
        </w:tc>
        <w:tc>
          <w:tcPr>
            <w:tcW w:w="22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237,810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Segment operating expenses consist of specific segment costs such as, sales and marketing, information technology, insurance, and audit and tax fees, allocated corporate costs, and other segment specific discrete charges. Certain corporate costs are allocated to the Freight and Transit Segments based on segment revenues.</w:t>
      </w:r>
    </w:p>
    <w:p>
      <w:pPr>
        <w:spacing w:after="0" w:line="18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Freight Segment operating expenses increased $21.6 million, or 19.0%, in the first nine months of 2014 but decreased 40 basis points to 10.9% of sales. The increase primarily relates to $9.1 million of incremental selling, general and administrative expense, $0.8 million of incremental engineering expense from acquisitions, and higher costs to support the increase in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160" w:firstLine="518"/>
        <w:spacing w:after="0" w:line="264" w:lineRule="auto"/>
        <w:rPr>
          <w:sz w:val="20"/>
          <w:szCs w:val="20"/>
          <w:color w:val="auto"/>
        </w:rPr>
      </w:pPr>
      <w:r>
        <w:rPr>
          <w:rFonts w:ascii="Arial" w:cs="Arial" w:eastAsia="Arial" w:hAnsi="Arial"/>
          <w:sz w:val="18"/>
          <w:szCs w:val="18"/>
          <w:color w:val="auto"/>
        </w:rPr>
        <w:t>Transit Segment operating expenses increased $26.3 million, or 23.2%, in the first nine months of 2014 and increased 140 basis points to 14.3% of sales. The increase is primarily related to $10.3 million of incremental selling, general, and administrative expense, $3.4 million of incremental engineering expense and $3.2 million of incremental amortization expense all related to acquisitions.</w:t>
      </w:r>
    </w:p>
    <w:p>
      <w:pPr>
        <w:spacing w:after="0" w:line="18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Corporate non-allocated operating expenses increased $5.8 million in the first nine months of 2014 compared to the same period of 2013 due to increased incentive compensation expenses.</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totaled $390.1 million or 17.5% of sales in the first nine months of 2014 compared to $326.1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17.3% of sales in the same period of 2013. Income from operations increased due to higher sales volume, partially offset by higher operating expenses discussed above.</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$2.9 million in the first nine months of 2014 compared to the same period of 2013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balances resulting from acquisitions, partially offset by lower average interest rates.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31.2% and 30.4% for the first nine months of 2014 and 2013, respectively. The increase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rate is primarily due to a benefit recorded in 2013 related to the extension of the R&amp;D tax credit and the enacted reduction of a foreign statutory tax rate.</w:t>
      </w:r>
    </w:p>
    <w:p>
      <w:pPr>
        <w:spacing w:after="0" w:line="181"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for the first nine months of 2014 was $259.0 million or $2.67 per diluted share compared to $218.2 million or $2.25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share in the prior year quarter. The increase in net income is due to higher sales volume, partially offset by a higher effective tax rate discussed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60" w:firstLine="518"/>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270"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2920" w:type="dxa"/>
            <w:vAlign w:val="bottom"/>
            <w:vMerge w:val="restart"/>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Cash provided by (used for):</w:t>
            </w: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230,164</w:t>
            </w:r>
          </w:p>
        </w:tc>
        <w:tc>
          <w:tcPr>
            <w:tcW w:w="140" w:type="dxa"/>
            <w:vAlign w:val="bottom"/>
          </w:tcPr>
          <w:p>
            <w:pPr>
              <w:spacing w:after="0"/>
              <w:rPr>
                <w:sz w:val="19"/>
                <w:szCs w:val="19"/>
                <w:color w:val="auto"/>
              </w:rPr>
            </w:pP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84,996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(330,298)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(239,485)</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(Decrease) increase in cash</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(73,219)</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In the first nine months of 2014 and 2013, cash provided by operations was $233.5 million and $85.0 million, respectively.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comparison to the first nine months of 2013, cash provided by operations in 2014 resulted from reduced cash outflows for working capital compared to the prior year, coupled with higher operating results. The major components of the higher cash inflows were as follows: a positive change in accounts receivable of $77.8 million as the number of days to collect cash decreased, a positive change in accounts payable of $17.4 million, and a favorable change in accrued income taxes of $18.4 million, both due to payment timing.</w:t>
      </w:r>
    </w:p>
    <w:p>
      <w:pPr>
        <w:spacing w:after="0" w:line="18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nine months of 2014 and 2013, cash used in investing activities was $330.3 million and $239.5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 components of the cash outflow in 2014 relate to planned additions to property, plant and equipment of $31.0 million for continued investments in our facilities and manufacturing processes and $299.7 million in net cash paid for acquisitions. This compares to $23.6 million in property, plant, and equipment and $222.1 million in net cash paid for acquisitions in 2013. Refer to Note 3 of the “Notes to Condensed Consolidated Financial Statements” for additional information on acquisitions.</w:t>
      </w:r>
    </w:p>
    <w:p>
      <w:pPr>
        <w:spacing w:after="0" w:line="18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In the first nine months of 2014, cash provided by financing activities was $31.6 million, which included $433.4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proceeds from the revolving credit facility, $363.0 million of repayments of debt on the revolving credit facility, $4.4 million for the settlement of contingent purchase price obligations related to a prior year acquisition, $26.8 million for the repurchase of 346,800 shares of stock, and $13.5 million of dividend payments. In the first nine months of 2013, cash provided by financing activities was $219.1 million, which included $868.5 million in proceeds from debt and $649.4 million of repayments of debt on the revolving credit facility and $8.8 million of dividend payments.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On December 11, 2013, the Board of Directors amended its stock repurchase authorization to $200.0 million of the Company’s outstanding shares. During the first nine months of 2014, the Company repurchased 346,800 shares at an average price of $77.15 per share, leaving $173.2 million under the authorization. All purchases were on the open market.</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intends to purchase shares on the open market or in negotiated or block trades. No time limit was set for the completion of the programs which conforms to the requirements under the 2013 Refinancing Credit Agreement, as well as the Notes currently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Structure</w:t>
      </w:r>
    </w:p>
    <w:p>
      <w:pPr>
        <w:spacing w:after="0" w:line="117" w:lineRule="exact"/>
        <w:rPr>
          <w:sz w:val="20"/>
          <w:szCs w:val="20"/>
          <w:color w:val="auto"/>
        </w:rPr>
      </w:pPr>
    </w:p>
    <w:p>
      <w:pPr>
        <w:jc w:val="both"/>
        <w:ind w:right="300" w:firstLine="518"/>
        <w:spacing w:after="0" w:line="259" w:lineRule="auto"/>
        <w:rPr>
          <w:sz w:val="20"/>
          <w:szCs w:val="20"/>
          <w:color w:val="auto"/>
        </w:rPr>
      </w:pPr>
      <w:r>
        <w:rPr>
          <w:rFonts w:ascii="Arial" w:cs="Arial" w:eastAsia="Arial" w:hAnsi="Arial"/>
          <w:sz w:val="18"/>
          <w:szCs w:val="18"/>
          <w:color w:val="auto"/>
        </w:rPr>
        <w:t>On May 14, 2013, our stockholders approved an amendment to our Amended and Restated Certificate of Incorporation to increase the number of authorized shares of our common stock to 200.0 million shares. In addition, on May 14, 2013, our Board of Directors approved a two-for-one split of the Company’s issued and outstanding common stock in the form of a 100% stock dividend. The increase in the authorized shares and the stock split became effective on May 14, 2013 and June 11, 2013, respectively.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issued approximately 66.2 million shares of its common stock as a result of the two-for-one stock split. The par value of the Company’s common stock remained unchanged at $0.01 per share.</w:t>
      </w:r>
    </w:p>
    <w:p>
      <w:pPr>
        <w:spacing w:after="0" w:line="170"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Information regarding shares of common stock (except par value per share), retained earnings, and net income per common share attributable to Wabtec shareholders for all periods presented reflects the two-for-one split of the Company’s common stock. The number of shares of the Company’s common stock issuable upon exercise of outstanding stock options and vesting of other stock-based awards was proportionally increased, and the exercise price per share thereof was proportionally decreased, in accordance with the terms of the stock incentive plans.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September 30, 2014, the Company has recognized a total liability of $10.4 million for unrecognized tax benefits related to uncertain tax positions. At this time, the Company is unable to make a reasonably reliable estimate of the timing of cash settlement for any of the unrecognized tax benefits due to the uncertainty of the timing and outcome of its audits and other factors.</w:t>
      </w:r>
    </w:p>
    <w:p>
      <w:pPr>
        <w:spacing w:after="0" w:line="18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Since December 31, 2013, there have been no other significant changes in the total amount of the Company’s contractual obligations or the timing of cash flows in accordance with those obligations, as reported in the Company’s Annual Report on Form 10-K for the year ended December 31,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Economic and industry conditions</w:t>
      </w:r>
    </w:p>
    <w:p>
      <w:pPr>
        <w:spacing w:after="0" w:line="117" w:lineRule="exact"/>
        <w:rPr>
          <w:sz w:val="20"/>
          <w:szCs w:val="20"/>
          <w:color w:val="auto"/>
        </w:rPr>
      </w:pPr>
    </w:p>
    <w:p>
      <w:pPr>
        <w:ind w:left="1020" w:right="500" w:hanging="365"/>
        <w:spacing w:after="0" w:line="277" w:lineRule="auto"/>
        <w:rPr>
          <w:sz w:val="20"/>
          <w:szCs w:val="20"/>
          <w:color w:val="auto"/>
        </w:rPr>
      </w:pPr>
      <w:r>
        <w:rPr>
          <w:rFonts w:ascii="Arial" w:cs="Arial" w:eastAsia="Arial" w:hAnsi="Arial"/>
          <w:sz w:val="18"/>
          <w:szCs w:val="18"/>
          <w:color w:val="auto"/>
        </w:rPr>
        <w:t>— prolonged unfavorable economic and industry conditions in the markets served by us, including North America, South America, Europe, Australia, Asia and South Africa;</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decline in demand for freight cars, locomotives, passenger transit cars, buses, power generation equipment and related products and services;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reliance on major original equipment manufacturer customers;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original equipment manufacturers’ program delays;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demand for services in the freight and passenger rail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demand for our products and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92" w:right="27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  orders either being delayed, cancelled, not returning to historical levels, or reduced or any combination of the foregoing;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consolidations in the rail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continued outsourcing by our customers; industry demand for faster and more efficient braking equipment;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fluctuations in interest rates and foreign currency exchange rates; 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availability of credit;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supply disruptions;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technical difficulties;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changes in operating conditions and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increases in raw material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successful introduction of new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performance under material long-term contracts;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labor relations;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completion and integration of acquisitions; 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development and use of new technology;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Competitive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actions of competitors;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Political/governmental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political stability in relevant areas of the world;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future regulation/deregulation of our customers and/or the rail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levels of governmental funding on transit projects, including for some of our customers;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political developments and laws and regulations, including those related to Positive Train Control;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federal and state income tax legislation; or</w:t>
      </w:r>
    </w:p>
    <w:p>
      <w:pPr>
        <w:spacing w:after="0" w:line="117" w:lineRule="exact"/>
        <w:rPr>
          <w:sz w:val="20"/>
          <w:szCs w:val="20"/>
          <w:color w:val="auto"/>
        </w:rPr>
      </w:pPr>
    </w:p>
    <w:p>
      <w:pPr>
        <w:ind w:left="1020" w:right="520" w:hanging="365"/>
        <w:spacing w:after="0" w:line="277" w:lineRule="auto"/>
        <w:rPr>
          <w:sz w:val="20"/>
          <w:szCs w:val="20"/>
          <w:color w:val="auto"/>
        </w:rPr>
      </w:pPr>
      <w:r>
        <w:rPr>
          <w:rFonts w:ascii="Arial" w:cs="Arial" w:eastAsia="Arial" w:hAnsi="Arial"/>
          <w:sz w:val="18"/>
          <w:szCs w:val="18"/>
          <w:color w:val="auto"/>
        </w:rPr>
        <w:t>— the outcome of our existing or any future legal proceedings, including litigation involving our principal customers and any litigation with respect to environmental, asbestos-related matters and pension liabilities; and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Transaction or commercial factors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outcome of negotiations with partners, governments, suppliers, customers or others.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Statements in this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500" w:firstLine="518"/>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2013. In particular, judgment is used in areas such as accounts receivable and the allowance for doubtful accounts, inventories, goodwill and indefinite-lived intangibles, warranty reserves, pensions and postretirement benefits, income taxes and revenue recognition. There have been no significant changes in accounting policies since December 31, 2013.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1" w:name="page32"/>
    <w:bookmarkEnd w:id="31"/>
    <w:p>
      <w:pPr>
        <w:ind w:right="39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100" w:firstLine="518"/>
        <w:spacing w:after="0" w:line="293"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23% and 11% of total long-term debt at September 30, 2014 and December 31, 2013, respectively. On an annual basis a 1% change in the interest rate for variable rate debt at September 30, 2014 would increase or decrease interest expense by about $1.2 million. To reduce the impact of interest rate changes on a portion of this variable-rate debt, the Company entered into forward interest rate swap agreements which converts a portion of the debt from variable to fixed-rate borrowings during the term of the swap contract. Refer to Note 6 – Long Term Debt of “Notes to Condensed Consolidated Financial Statements” for additional information regarding interest rate risk.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first nine months of 2014, approximately 52% of Wabtec’s net sales were to customers in the United States, 12% in the United Kingdom, 6% in Canada, 6% in Mexico, 4% in Australia, 3% in Brazil, 3% in Germany and 14% in other international locations. To reduce the impact of changes in currency exchange rates,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3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September 30, 2014.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September 30, 2014, that has materially affected, or is reasonably likely to materially affect, Wabtec’s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364" w:right="29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There have been no material changes regarding the Company’s commitments and contingencies as described in Note 18 of the Company’s Annual Report on Form 10-K for the year ended December 31, 2013.</w:t>
      </w:r>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On December 11, 2013, the Board of Directors amended its stock repurchase authorization to $200.0 million of the Company’s outstanding shares. During the first nine months of 2014, the Company repurchased 346,800 shares at an average price of $77.15 per share, leaving $173.2 million under the authorization. All purchases were on the open market.</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intends to purchase shares on the open market or in negotiated or block trades. No time limit was set for the completion of the programs which conforms to the requirements under the 2013 Refinancing Credit Agreement, as well as the Notes currently outstanding.</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being filed with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6120" w:type="dxa"/>
            <w:vAlign w:val="bottom"/>
          </w:tcPr>
          <w:p>
            <w:pPr>
              <w:ind w:left="180"/>
              <w:spacing w:after="0"/>
              <w:rPr>
                <w:sz w:val="20"/>
                <w:szCs w:val="20"/>
                <w:color w:val="auto"/>
              </w:rPr>
            </w:pPr>
            <w:r>
              <w:rPr>
                <w:rFonts w:ascii="Arial" w:cs="Arial" w:eastAsia="Arial" w:hAnsi="Arial"/>
                <w:sz w:val="18"/>
                <w:szCs w:val="18"/>
                <w:color w:val="auto"/>
              </w:rPr>
              <w:t>Rule 13a-14(a) Certification of Chief Executive Officer.</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6120" w:type="dxa"/>
            <w:vAlign w:val="bottom"/>
          </w:tcPr>
          <w:p>
            <w:pPr>
              <w:ind w:left="180"/>
              <w:spacing w:after="0"/>
              <w:rPr>
                <w:sz w:val="20"/>
                <w:szCs w:val="20"/>
                <w:color w:val="auto"/>
              </w:rPr>
            </w:pPr>
            <w:r>
              <w:rPr>
                <w:rFonts w:ascii="Arial" w:cs="Arial" w:eastAsia="Arial" w:hAnsi="Arial"/>
                <w:sz w:val="18"/>
                <w:szCs w:val="18"/>
                <w:color w:val="auto"/>
              </w:rPr>
              <w:t>Rule 13a-14(a) Certification of Chief Financial Officer.</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6120" w:type="dxa"/>
            <w:vAlign w:val="bottom"/>
          </w:tcPr>
          <w:p>
            <w:pPr>
              <w:ind w:left="180"/>
              <w:spacing w:after="0"/>
              <w:rPr>
                <w:sz w:val="20"/>
                <w:szCs w:val="20"/>
                <w:color w:val="auto"/>
              </w:rPr>
            </w:pPr>
            <w:r>
              <w:rPr>
                <w:rFonts w:ascii="Arial" w:cs="Arial" w:eastAsia="Arial" w:hAnsi="Arial"/>
                <w:sz w:val="18"/>
                <w:szCs w:val="18"/>
                <w:color w:val="auto"/>
                <w:w w:val="93"/>
              </w:rPr>
              <w:t>Section 1350 Certification of Chief Executive Officer and Chief Financial Officer.</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1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364" w:right="279"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9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WESTINGHOUSE AIR BRAKE TECHNOLOGIES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640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18"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-97790</wp:posOffset>
            </wp:positionV>
            <wp:extent cx="2778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jc w:val="center"/>
        <w:ind w:left="7040"/>
        <w:spacing w:after="0" w:line="221" w:lineRule="auto"/>
        <w:rPr>
          <w:sz w:val="20"/>
          <w:szCs w:val="20"/>
          <w:color w:val="auto"/>
        </w:rPr>
      </w:pPr>
      <w:r>
        <w:rPr>
          <w:rFonts w:ascii="Arial" w:cs="Arial" w:eastAsia="Arial" w:hAnsi="Arial"/>
          <w:sz w:val="14"/>
          <w:szCs w:val="14"/>
          <w:b w:val="1"/>
          <w:bCs w:val="1"/>
          <w:color w:val="auto"/>
        </w:rPr>
        <w:t>Senior Vice President Finance and</w:t>
      </w:r>
    </w:p>
    <w:p>
      <w:pPr>
        <w:jc w:val="center"/>
        <w:ind w:left="7040"/>
        <w:spacing w:after="0"/>
        <w:rPr>
          <w:sz w:val="20"/>
          <w:szCs w:val="20"/>
          <w:color w:val="auto"/>
        </w:rPr>
      </w:pPr>
      <w:r>
        <w:rPr>
          <w:rFonts w:ascii="Arial" w:cs="Arial" w:eastAsia="Arial" w:hAnsi="Arial"/>
          <w:sz w:val="14"/>
          <w:szCs w:val="14"/>
          <w:b w:val="1"/>
          <w:bCs w:val="1"/>
          <w:color w:val="auto"/>
        </w:rPr>
        <w:t>Chief Financial Officer</w:t>
      </w:r>
    </w:p>
    <w:p>
      <w:pPr>
        <w:spacing w:after="0" w:line="1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October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364"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6120" w:type="dxa"/>
            <w:vAlign w:val="bottom"/>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6120" w:type="dxa"/>
            <w:vAlign w:val="bottom"/>
          </w:tcPr>
          <w:p>
            <w:pPr>
              <w:ind w:left="180"/>
              <w:spacing w:after="0"/>
              <w:rPr>
                <w:sz w:val="20"/>
                <w:szCs w:val="20"/>
                <w:color w:val="auto"/>
              </w:rPr>
            </w:pPr>
            <w:r>
              <w:rPr>
                <w:rFonts w:ascii="Arial" w:cs="Arial" w:eastAsia="Arial" w:hAnsi="Arial"/>
                <w:sz w:val="18"/>
                <w:szCs w:val="18"/>
                <w:color w:val="auto"/>
              </w:rPr>
              <w:t>Rule 13a-14(a) Certification of Chief Executive Officer.</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6120" w:type="dxa"/>
            <w:vAlign w:val="bottom"/>
          </w:tcPr>
          <w:p>
            <w:pPr>
              <w:ind w:left="180"/>
              <w:spacing w:after="0"/>
              <w:rPr>
                <w:sz w:val="20"/>
                <w:szCs w:val="20"/>
                <w:color w:val="auto"/>
              </w:rPr>
            </w:pPr>
            <w:r>
              <w:rPr>
                <w:rFonts w:ascii="Arial" w:cs="Arial" w:eastAsia="Arial" w:hAnsi="Arial"/>
                <w:sz w:val="18"/>
                <w:szCs w:val="18"/>
                <w:color w:val="auto"/>
              </w:rPr>
              <w:t>Rule 13a-14(a) Certification of Chief Financial Officer.</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6120" w:type="dxa"/>
            <w:vAlign w:val="bottom"/>
          </w:tcPr>
          <w:p>
            <w:pPr>
              <w:ind w:left="180"/>
              <w:spacing w:after="0"/>
              <w:rPr>
                <w:sz w:val="20"/>
                <w:szCs w:val="20"/>
                <w:color w:val="auto"/>
              </w:rPr>
            </w:pPr>
            <w:r>
              <w:rPr>
                <w:rFonts w:ascii="Arial" w:cs="Arial" w:eastAsia="Arial" w:hAnsi="Arial"/>
                <w:sz w:val="18"/>
                <w:szCs w:val="18"/>
                <w:color w:val="auto"/>
                <w:w w:val="93"/>
              </w:rPr>
              <w:t>Section 1350 Certification of Chief Executive Officer and Chief Financial Officer.</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1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61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83"/>
        </w:trPr>
        <w:tc>
          <w:tcPr>
            <w:tcW w:w="860" w:type="dxa"/>
            <w:vAlign w:val="bottom"/>
          </w:tcPr>
          <w:p>
            <w:pPr>
              <w:spacing w:after="0"/>
              <w:rPr>
                <w:sz w:val="24"/>
                <w:szCs w:val="24"/>
                <w:color w:val="auto"/>
              </w:rPr>
            </w:pPr>
          </w:p>
        </w:tc>
        <w:tc>
          <w:tcPr>
            <w:tcW w:w="6120" w:type="dxa"/>
            <w:vAlign w:val="bottom"/>
          </w:tcPr>
          <w:p>
            <w:pPr>
              <w:ind w:left="476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219"/>
          </w:cols>
          <w:pgMar w:left="240" w:top="364"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77" w:lineRule="exact"/>
        <w:rPr>
          <w:sz w:val="20"/>
          <w:szCs w:val="20"/>
          <w:color w:val="auto"/>
        </w:rPr>
      </w:pPr>
    </w:p>
    <w:p>
      <w:pPr>
        <w:ind w:left="780" w:hanging="174"/>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71" w:lineRule="exact"/>
        <w:rPr>
          <w:rFonts w:ascii="Arial" w:cs="Arial" w:eastAsia="Arial" w:hAnsi="Arial"/>
          <w:sz w:val="18"/>
          <w:szCs w:val="18"/>
          <w:color w:val="auto"/>
        </w:rPr>
      </w:pPr>
    </w:p>
    <w:p>
      <w:pPr>
        <w:ind w:right="160" w:firstLine="606"/>
        <w:spacing w:after="0" w:line="264" w:lineRule="auto"/>
        <w:tabs>
          <w:tab w:leader="none" w:pos="7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right="320" w:firstLine="606"/>
        <w:spacing w:after="0" w:line="342" w:lineRule="auto"/>
        <w:tabs>
          <w:tab w:leader="none" w:pos="7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right="260" w:firstLine="606"/>
        <w:spacing w:after="0" w:line="264" w:lineRule="auto"/>
        <w:tabs>
          <w:tab w:leader="none" w:pos="7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32"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600" w:right="320" w:firstLine="570"/>
        <w:spacing w:after="0" w:line="264" w:lineRule="auto"/>
        <w:tabs>
          <w:tab w:leader="none" w:pos="14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6" w:lineRule="exact"/>
        <w:rPr>
          <w:rFonts w:ascii="Arial" w:cs="Arial" w:eastAsia="Arial" w:hAnsi="Arial"/>
          <w:sz w:val="18"/>
          <w:szCs w:val="18"/>
          <w:color w:val="auto"/>
        </w:rPr>
      </w:pPr>
    </w:p>
    <w:p>
      <w:pPr>
        <w:ind w:left="600" w:right="380" w:firstLine="570"/>
        <w:spacing w:after="0" w:line="264" w:lineRule="auto"/>
        <w:tabs>
          <w:tab w:leader="none" w:pos="142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606"/>
        <w:spacing w:after="0" w:line="306" w:lineRule="auto"/>
        <w:tabs>
          <w:tab w:leader="none" w:pos="77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7"/>
          <w:szCs w:val="17"/>
          <w:color w:val="auto"/>
        </w:rPr>
      </w:pPr>
    </w:p>
    <w:p>
      <w:pPr>
        <w:ind w:left="600" w:right="520" w:firstLine="570"/>
        <w:spacing w:after="0" w:line="306" w:lineRule="auto"/>
        <w:tabs>
          <w:tab w:leader="none" w:pos="141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30,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  Raymond T. Betler</w:t>
            </w:r>
          </w:p>
        </w:tc>
      </w:tr>
      <w:tr>
        <w:trPr>
          <w:trHeight w:val="191"/>
        </w:trPr>
        <w:tc>
          <w:tcPr>
            <w:tcW w:w="74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8"/>
              </w:rPr>
              <w:t>Raymond T. Betler</w:t>
            </w:r>
          </w:p>
        </w:tc>
      </w:tr>
      <w:tr>
        <w:trPr>
          <w:trHeight w:val="247"/>
        </w:trPr>
        <w:tc>
          <w:tcPr>
            <w:tcW w:w="7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7"/>
              </w:rPr>
              <w:t>President and Chief Executive Officer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77" w:lineRule="exact"/>
        <w:rPr>
          <w:sz w:val="20"/>
          <w:szCs w:val="20"/>
          <w:color w:val="auto"/>
        </w:rPr>
      </w:pPr>
    </w:p>
    <w:p>
      <w:pPr>
        <w:ind w:left="780" w:hanging="17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71" w:lineRule="exact"/>
        <w:rPr>
          <w:rFonts w:ascii="Arial" w:cs="Arial" w:eastAsia="Arial" w:hAnsi="Arial"/>
          <w:sz w:val="18"/>
          <w:szCs w:val="18"/>
          <w:color w:val="auto"/>
        </w:rPr>
      </w:pPr>
    </w:p>
    <w:p>
      <w:pPr>
        <w:ind w:right="160" w:firstLine="606"/>
        <w:spacing w:after="0" w:line="264" w:lineRule="auto"/>
        <w:tabs>
          <w:tab w:leader="none" w:pos="7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right="320" w:firstLine="606"/>
        <w:spacing w:after="0" w:line="342" w:lineRule="auto"/>
        <w:tabs>
          <w:tab w:leader="none" w:pos="7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right="260" w:firstLine="606"/>
        <w:spacing w:after="0" w:line="264" w:lineRule="auto"/>
        <w:tabs>
          <w:tab w:leader="none" w:pos="7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32"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600" w:right="320" w:firstLine="570"/>
        <w:spacing w:after="0" w:line="264" w:lineRule="auto"/>
        <w:tabs>
          <w:tab w:leader="none" w:pos="14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6" w:lineRule="exact"/>
        <w:rPr>
          <w:rFonts w:ascii="Arial" w:cs="Arial" w:eastAsia="Arial" w:hAnsi="Arial"/>
          <w:sz w:val="18"/>
          <w:szCs w:val="18"/>
          <w:color w:val="auto"/>
        </w:rPr>
      </w:pPr>
    </w:p>
    <w:p>
      <w:pPr>
        <w:ind w:left="600" w:right="380" w:firstLine="570"/>
        <w:spacing w:after="0" w:line="264" w:lineRule="auto"/>
        <w:tabs>
          <w:tab w:leader="none" w:pos="142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606"/>
        <w:spacing w:after="0" w:line="306" w:lineRule="auto"/>
        <w:tabs>
          <w:tab w:leader="none" w:pos="77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7"/>
          <w:szCs w:val="17"/>
          <w:color w:val="auto"/>
        </w:rPr>
      </w:pPr>
    </w:p>
    <w:p>
      <w:pPr>
        <w:ind w:left="600" w:right="520" w:firstLine="570"/>
        <w:spacing w:after="0" w:line="306" w:lineRule="auto"/>
        <w:tabs>
          <w:tab w:leader="none" w:pos="141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30,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P</w:t>
            </w:r>
            <w:r>
              <w:rPr>
                <w:rFonts w:ascii="Arial" w:cs="Arial" w:eastAsia="Arial" w:hAnsi="Arial"/>
                <w:sz w:val="13"/>
                <w:szCs w:val="13"/>
                <w:color w:val="auto"/>
              </w:rPr>
              <w:t>ATRICK</w:t>
            </w:r>
            <w:r>
              <w:rPr>
                <w:rFonts w:ascii="Arial" w:cs="Arial" w:eastAsia="Arial" w:hAnsi="Arial"/>
                <w:sz w:val="18"/>
                <w:szCs w:val="18"/>
                <w:color w:val="auto"/>
              </w:rPr>
              <w:t xml:space="preserve"> D. D</w:t>
            </w:r>
            <w:r>
              <w:rPr>
                <w:rFonts w:ascii="Arial" w:cs="Arial" w:eastAsia="Arial" w:hAnsi="Arial"/>
                <w:sz w:val="13"/>
                <w:szCs w:val="13"/>
                <w:color w:val="auto"/>
              </w:rPr>
              <w:t>UGAN</w:t>
            </w:r>
          </w:p>
        </w:tc>
      </w:tr>
      <w:tr>
        <w:trPr>
          <w:trHeight w:val="191"/>
        </w:trPr>
        <w:tc>
          <w:tcPr>
            <w:tcW w:w="62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1"/>
              </w:rPr>
              <w:t>Patrick D. Dugan</w:t>
            </w:r>
          </w:p>
        </w:tc>
      </w:tr>
      <w:tr>
        <w:trPr>
          <w:trHeight w:val="247"/>
        </w:trPr>
        <w:tc>
          <w:tcPr>
            <w:tcW w:w="62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87"/>
              </w:rPr>
              <w:t>Senior Vice President Finance and Chief Financial Officer</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September 30, 2014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3"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2"/>
          <w:szCs w:val="12"/>
          <w:color w:val="auto"/>
        </w:rPr>
        <w:t>AYMOND</w:t>
      </w:r>
      <w:r>
        <w:rPr>
          <w:rFonts w:ascii="Arial" w:cs="Arial" w:eastAsia="Arial" w:hAnsi="Arial"/>
          <w:sz w:val="17"/>
          <w:szCs w:val="17"/>
          <w:color w:val="auto"/>
        </w:rPr>
        <w:t xml:space="preserve"> T. B</w:t>
      </w:r>
      <w:r>
        <w:rPr>
          <w:rFonts w:ascii="Arial" w:cs="Arial" w:eastAsia="Arial" w:hAnsi="Arial"/>
          <w:sz w:val="12"/>
          <w:szCs w:val="12"/>
          <w:color w:val="auto"/>
        </w:rPr>
        <w: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Raymond T. Betler</w:t>
      </w:r>
    </w:p>
    <w:p>
      <w:pPr>
        <w:spacing w:after="0" w:line="1"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30, 2014</w:t>
      </w:r>
    </w:p>
    <w:p>
      <w:pPr>
        <w:spacing w:after="0" w:line="243" w:lineRule="exact"/>
        <w:rPr>
          <w:sz w:val="20"/>
          <w:szCs w:val="20"/>
          <w:color w:val="auto"/>
        </w:rPr>
      </w:pPr>
    </w:p>
    <w:p>
      <w:pPr>
        <w:ind w:left="6860"/>
        <w:spacing w:after="0"/>
        <w:tabs>
          <w:tab w:leader="none" w:pos="840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2"/>
          <w:szCs w:val="12"/>
          <w:color w:val="auto"/>
        </w:rPr>
        <w:t>ATRICK</w:t>
      </w:r>
      <w:r>
        <w:rPr>
          <w:rFonts w:ascii="Arial" w:cs="Arial" w:eastAsia="Arial" w:hAnsi="Arial"/>
          <w:sz w:val="17"/>
          <w:szCs w:val="17"/>
          <w:color w:val="auto"/>
        </w:rPr>
        <w:t xml:space="preserve"> D. D</w:t>
      </w:r>
      <w:r>
        <w:rPr>
          <w:rFonts w:ascii="Arial" w:cs="Arial" w:eastAsia="Arial" w:hAnsi="Arial"/>
          <w:sz w:val="12"/>
          <w:szCs w:val="12"/>
          <w:color w:val="auto"/>
        </w:rPr>
        <w:t>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Patrick D. Dugan,</w:t>
      </w:r>
    </w:p>
    <w:p>
      <w:pPr>
        <w:jc w:val="center"/>
        <w:ind w:left="7380"/>
        <w:spacing w:after="0" w:line="224" w:lineRule="auto"/>
        <w:rPr>
          <w:sz w:val="20"/>
          <w:szCs w:val="20"/>
          <w:color w:val="auto"/>
        </w:rPr>
      </w:pPr>
      <w:r>
        <w:rPr>
          <w:rFonts w:ascii="Arial" w:cs="Arial" w:eastAsia="Arial" w:hAnsi="Arial"/>
          <w:sz w:val="14"/>
          <w:szCs w:val="14"/>
          <w:b w:val="1"/>
          <w:bCs w:val="1"/>
          <w:color w:val="auto"/>
        </w:rPr>
        <w:t>Senior Vice President Finance and Chief Financial Officer</w:t>
      </w:r>
    </w:p>
    <w:p>
      <w:pPr>
        <w:ind w:left="686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30,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emdash "/>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7"/>
    </w:lvl>
  </w:abstractNum>
  <w:abstractNum w:abstractNumId="5">
    <w:nsid w:val="12200854"/>
    <w:multiLevelType w:val="hybridMultilevel"/>
    <w:lvl w:ilvl="0">
      <w:lvlJc w:val="left"/>
      <w:lvlText w:val="\emdash "/>
      <w:numFmt w:val="bullet"/>
      <w:start w:val="1"/>
    </w:lvl>
  </w:abstractNum>
  <w:abstractNum w:abstractNumId="6">
    <w:nsid w:val="4DB127F8"/>
    <w:multiLevelType w:val="hybridMultilevel"/>
    <w:lvl w:ilvl="0">
      <w:lvlJc w:val="left"/>
      <w:lvlText w:val="\emdash "/>
      <w:numFmt w:val="bullet"/>
      <w:start w:val="1"/>
    </w:lvl>
  </w:abstractNum>
  <w:abstractNum w:abstractNumId="7">
    <w:nsid w:val="216231B"/>
    <w:multiLevelType w:val="hybridMultilevel"/>
    <w:lvl w:ilvl="0">
      <w:lvlJc w:val="left"/>
      <w:lvlText w:val="\emdash "/>
      <w:numFmt w:val="bullet"/>
      <w:start w:val="1"/>
    </w:lvl>
  </w:abstractNum>
  <w:abstractNum w:abstractNumId="8">
    <w:nsid w:val="1F16E9E8"/>
    <w:multiLevelType w:val="hybridMultilevel"/>
    <w:lvl w:ilvl="0">
      <w:lvlJc w:val="left"/>
      <w:lvlText w:val="\emdash "/>
      <w:numFmt w:val="bullet"/>
      <w:start w:val="1"/>
    </w:lvl>
  </w:abstractNum>
  <w:abstractNum w:abstractNumId="9">
    <w:nsid w:val="1190CDE7"/>
    <w:multiLevelType w:val="hybridMultilevel"/>
    <w:lvl w:ilvl="0">
      <w:lvlJc w:val="left"/>
      <w:lvlText w:val="\emdash "/>
      <w:numFmt w:val="bullet"/>
      <w:start w:val="1"/>
    </w:lvl>
  </w:abstractNum>
  <w:abstractNum w:abstractNumId="10">
    <w:nsid w:val="66EF438D"/>
    <w:multiLevelType w:val="hybridMultilevel"/>
    <w:lvl w:ilvl="0">
      <w:lvlJc w:val="left"/>
      <w:lvlText w:val="\emdash "/>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2019-12-06T11:37:09Z</dcterms:created>
  <dcterms:modified xsi:type="dcterms:W3CDTF">2019-12-06T11:37:09Z</dcterms:modified>
</cp:coreProperties>
</file>