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3"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210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Commission file number: 033-90866</w:t>
            </w:r>
          </w:p>
        </w:tc>
        <w:tc>
          <w:tcPr>
            <w:tcW w:w="2100" w:type="dxa"/>
            <w:vAlign w:val="bottom"/>
          </w:tcPr>
          <w:p>
            <w:pPr>
              <w:spacing w:after="0"/>
              <w:rPr>
                <w:sz w:val="23"/>
                <w:szCs w:val="23"/>
                <w:color w:val="auto"/>
              </w:rPr>
            </w:pPr>
          </w:p>
        </w:tc>
      </w:tr>
      <w:tr>
        <w:trPr>
          <w:trHeight w:val="240"/>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446"/>
        </w:trPr>
        <w:tc>
          <w:tcPr>
            <w:tcW w:w="9540" w:type="dxa"/>
            <w:vAlign w:val="bottom"/>
            <w:gridSpan w:val="3"/>
          </w:tcPr>
          <w:p>
            <w:pPr>
              <w:jc w:val="center"/>
              <w:ind w:left="910"/>
              <w:spacing w:after="0"/>
              <w:rPr>
                <w:sz w:val="20"/>
                <w:szCs w:val="20"/>
                <w:color w:val="auto"/>
              </w:rPr>
            </w:pPr>
            <w:r>
              <w:rPr>
                <w:rFonts w:ascii="Arial" w:cs="Arial" w:eastAsia="Arial" w:hAnsi="Arial"/>
                <w:sz w:val="38"/>
                <w:szCs w:val="38"/>
                <w:b w:val="1"/>
                <w:bCs w:val="1"/>
                <w:color w:val="auto"/>
              </w:rPr>
              <w:t>WESTINGHOUSE AIR BRAKE TECHNOLOGIES</w:t>
            </w:r>
          </w:p>
        </w:tc>
      </w:tr>
      <w:tr>
        <w:trPr>
          <w:trHeight w:val="457"/>
        </w:trPr>
        <w:tc>
          <w:tcPr>
            <w:tcW w:w="3280" w:type="dxa"/>
            <w:vAlign w:val="bottom"/>
          </w:tcPr>
          <w:p>
            <w:pPr>
              <w:spacing w:after="0"/>
              <w:rPr>
                <w:sz w:val="24"/>
                <w:szCs w:val="24"/>
                <w:color w:val="auto"/>
              </w:rPr>
            </w:pPr>
          </w:p>
        </w:tc>
        <w:tc>
          <w:tcPr>
            <w:tcW w:w="4160" w:type="dxa"/>
            <w:vAlign w:val="bottom"/>
          </w:tcPr>
          <w:p>
            <w:pPr>
              <w:jc w:val="center"/>
              <w:ind w:right="82"/>
              <w:spacing w:after="0"/>
              <w:rPr>
                <w:sz w:val="20"/>
                <w:szCs w:val="20"/>
                <w:color w:val="auto"/>
              </w:rPr>
            </w:pPr>
            <w:r>
              <w:rPr>
                <w:rFonts w:ascii="Arial" w:cs="Arial" w:eastAsia="Arial" w:hAnsi="Arial"/>
                <w:sz w:val="38"/>
                <w:szCs w:val="38"/>
                <w:b w:val="1"/>
                <w:bCs w:val="1"/>
                <w:color w:val="auto"/>
              </w:rPr>
              <w:t>CORPORATION</w:t>
            </w:r>
          </w:p>
        </w:tc>
        <w:tc>
          <w:tcPr>
            <w:tcW w:w="210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361"/>
        </w:trPr>
        <w:tc>
          <w:tcPr>
            <w:tcW w:w="3280" w:type="dxa"/>
            <w:vAlign w:val="bottom"/>
          </w:tcPr>
          <w:p>
            <w:pPr>
              <w:jc w:val="center"/>
              <w:ind w:left="1470"/>
              <w:spacing w:after="0"/>
              <w:rPr>
                <w:sz w:val="20"/>
                <w:szCs w:val="20"/>
                <w:color w:val="auto"/>
              </w:rPr>
            </w:pPr>
            <w:r>
              <w:rPr>
                <w:rFonts w:ascii="Arial" w:cs="Arial" w:eastAsia="Arial" w:hAnsi="Arial"/>
                <w:sz w:val="17"/>
                <w:szCs w:val="17"/>
                <w:b w:val="1"/>
                <w:bCs w:val="1"/>
                <w:color w:val="auto"/>
                <w:w w:val="91"/>
              </w:rPr>
              <w:t>Delaware</w:t>
            </w:r>
          </w:p>
        </w:tc>
        <w:tc>
          <w:tcPr>
            <w:tcW w:w="4160" w:type="dxa"/>
            <w:vAlign w:val="bottom"/>
          </w:tcPr>
          <w:p>
            <w:pPr>
              <w:spacing w:after="0"/>
              <w:rPr>
                <w:sz w:val="24"/>
                <w:szCs w:val="24"/>
                <w:color w:val="auto"/>
              </w:rPr>
            </w:pPr>
          </w:p>
        </w:tc>
        <w:tc>
          <w:tcPr>
            <w:tcW w:w="2100" w:type="dxa"/>
            <w:vAlign w:val="bottom"/>
          </w:tcPr>
          <w:p>
            <w:pPr>
              <w:jc w:val="right"/>
              <w:ind w:right="925"/>
              <w:spacing w:after="0"/>
              <w:rPr>
                <w:sz w:val="20"/>
                <w:szCs w:val="20"/>
                <w:color w:val="auto"/>
              </w:rPr>
            </w:pPr>
            <w:r>
              <w:rPr>
                <w:rFonts w:ascii="Arial" w:cs="Arial" w:eastAsia="Arial" w:hAnsi="Arial"/>
                <w:sz w:val="17"/>
                <w:szCs w:val="17"/>
                <w:b w:val="1"/>
                <w:bCs w:val="1"/>
                <w:color w:val="auto"/>
              </w:rPr>
              <w:t>25-1615902</w:t>
            </w:r>
          </w:p>
        </w:tc>
      </w:tr>
      <w:tr>
        <w:trPr>
          <w:trHeight w:val="194"/>
        </w:trPr>
        <w:tc>
          <w:tcPr>
            <w:tcW w:w="3280" w:type="dxa"/>
            <w:vAlign w:val="bottom"/>
          </w:tcPr>
          <w:p>
            <w:pPr>
              <w:jc w:val="center"/>
              <w:ind w:left="1490"/>
              <w:spacing w:after="0"/>
              <w:rPr>
                <w:sz w:val="20"/>
                <w:szCs w:val="20"/>
                <w:color w:val="auto"/>
              </w:rPr>
            </w:pPr>
            <w:r>
              <w:rPr>
                <w:rFonts w:ascii="Arial" w:cs="Arial" w:eastAsia="Arial" w:hAnsi="Arial"/>
                <w:sz w:val="14"/>
                <w:szCs w:val="14"/>
                <w:b w:val="1"/>
                <w:bCs w:val="1"/>
                <w:color w:val="auto"/>
                <w:w w:val="87"/>
              </w:rPr>
              <w:t>(State or other jurisdiction</w:t>
            </w:r>
          </w:p>
        </w:tc>
        <w:tc>
          <w:tcPr>
            <w:tcW w:w="4160" w:type="dxa"/>
            <w:vAlign w:val="bottom"/>
          </w:tcPr>
          <w:p>
            <w:pPr>
              <w:spacing w:after="0"/>
              <w:rPr>
                <w:sz w:val="16"/>
                <w:szCs w:val="16"/>
                <w:color w:val="auto"/>
              </w:rPr>
            </w:pP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7440" w:type="dxa"/>
            <w:vAlign w:val="bottom"/>
            <w:gridSpan w:val="2"/>
          </w:tcPr>
          <w:p>
            <w:pPr>
              <w:jc w:val="center"/>
              <w:ind w:right="2502"/>
              <w:spacing w:after="0"/>
              <w:rPr>
                <w:sz w:val="20"/>
                <w:szCs w:val="20"/>
                <w:color w:val="auto"/>
              </w:rPr>
            </w:pPr>
            <w:r>
              <w:rPr>
                <w:rFonts w:ascii="Arial" w:cs="Arial" w:eastAsia="Arial" w:hAnsi="Arial"/>
                <w:sz w:val="14"/>
                <w:szCs w:val="14"/>
                <w:b w:val="1"/>
                <w:bCs w:val="1"/>
                <w:color w:val="auto"/>
                <w:w w:val="88"/>
              </w:rPr>
              <w:t>of incorporation or organization)</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9"/>
              </w:rPr>
              <w:t>Identification No.)</w:t>
            </w:r>
          </w:p>
        </w:tc>
      </w:tr>
      <w:tr>
        <w:trPr>
          <w:trHeight w:val="355"/>
        </w:trPr>
        <w:tc>
          <w:tcPr>
            <w:tcW w:w="3280" w:type="dxa"/>
            <w:vAlign w:val="bottom"/>
          </w:tcPr>
          <w:p>
            <w:pPr>
              <w:jc w:val="center"/>
              <w:ind w:left="1490"/>
              <w:spacing w:after="0"/>
              <w:rPr>
                <w:sz w:val="20"/>
                <w:szCs w:val="20"/>
                <w:color w:val="auto"/>
              </w:rPr>
            </w:pPr>
            <w:r>
              <w:rPr>
                <w:rFonts w:ascii="Arial" w:cs="Arial" w:eastAsia="Arial" w:hAnsi="Arial"/>
                <w:sz w:val="17"/>
                <w:szCs w:val="17"/>
                <w:b w:val="1"/>
                <w:bCs w:val="1"/>
                <w:color w:val="auto"/>
                <w:w w:val="92"/>
              </w:rPr>
              <w:t>1001 Air Brake Avenue</w:t>
            </w:r>
          </w:p>
        </w:tc>
        <w:tc>
          <w:tcPr>
            <w:tcW w:w="4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6"/>
        </w:trPr>
        <w:tc>
          <w:tcPr>
            <w:tcW w:w="3280" w:type="dxa"/>
            <w:vAlign w:val="bottom"/>
          </w:tcPr>
          <w:p>
            <w:pPr>
              <w:jc w:val="center"/>
              <w:ind w:left="1490"/>
              <w:spacing w:after="0"/>
              <w:rPr>
                <w:sz w:val="20"/>
                <w:szCs w:val="20"/>
                <w:color w:val="auto"/>
              </w:rPr>
            </w:pPr>
            <w:r>
              <w:rPr>
                <w:rFonts w:ascii="Arial" w:cs="Arial" w:eastAsia="Arial" w:hAnsi="Arial"/>
                <w:sz w:val="17"/>
                <w:szCs w:val="17"/>
                <w:b w:val="1"/>
                <w:bCs w:val="1"/>
                <w:color w:val="auto"/>
                <w:w w:val="93"/>
              </w:rPr>
              <w:t>Wilmerding, PA</w:t>
            </w:r>
          </w:p>
        </w:tc>
        <w:tc>
          <w:tcPr>
            <w:tcW w:w="4160" w:type="dxa"/>
            <w:vAlign w:val="bottom"/>
          </w:tcPr>
          <w:p>
            <w:pPr>
              <w:spacing w:after="0"/>
              <w:rPr>
                <w:sz w:val="20"/>
                <w:szCs w:val="20"/>
                <w:color w:val="auto"/>
              </w:rPr>
            </w:pPr>
          </w:p>
        </w:tc>
        <w:tc>
          <w:tcPr>
            <w:tcW w:w="2100" w:type="dxa"/>
            <w:vAlign w:val="bottom"/>
          </w:tcPr>
          <w:p>
            <w:pPr>
              <w:jc w:val="right"/>
              <w:ind w:right="1125"/>
              <w:spacing w:after="0"/>
              <w:rPr>
                <w:sz w:val="20"/>
                <w:szCs w:val="20"/>
                <w:color w:val="auto"/>
              </w:rPr>
            </w:pPr>
            <w:r>
              <w:rPr>
                <w:rFonts w:ascii="Arial" w:cs="Arial" w:eastAsia="Arial" w:hAnsi="Arial"/>
                <w:sz w:val="17"/>
                <w:szCs w:val="17"/>
                <w:b w:val="1"/>
                <w:bCs w:val="1"/>
                <w:color w:val="auto"/>
              </w:rPr>
              <w:t>15148</w:t>
            </w:r>
          </w:p>
        </w:tc>
      </w:tr>
      <w:tr>
        <w:trPr>
          <w:trHeight w:val="215"/>
        </w:trPr>
        <w:tc>
          <w:tcPr>
            <w:tcW w:w="7440" w:type="dxa"/>
            <w:vAlign w:val="bottom"/>
            <w:gridSpan w:val="2"/>
          </w:tcPr>
          <w:p>
            <w:pPr>
              <w:jc w:val="center"/>
              <w:ind w:right="25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6"/>
              </w:rPr>
              <w:t>(Zip code)</w:t>
            </w:r>
          </w:p>
        </w:tc>
      </w:tr>
      <w:tr>
        <w:trPr>
          <w:trHeight w:val="212"/>
        </w:trPr>
        <w:tc>
          <w:tcPr>
            <w:tcW w:w="3280" w:type="dxa"/>
            <w:vAlign w:val="bottom"/>
          </w:tcPr>
          <w:p>
            <w:pPr>
              <w:spacing w:after="0"/>
              <w:rPr>
                <w:sz w:val="18"/>
                <w:szCs w:val="18"/>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412-825-1000</w:t>
            </w:r>
          </w:p>
        </w:tc>
        <w:tc>
          <w:tcPr>
            <w:tcW w:w="2100" w:type="dxa"/>
            <w:vAlign w:val="bottom"/>
          </w:tcPr>
          <w:p>
            <w:pPr>
              <w:spacing w:after="0"/>
              <w:rPr>
                <w:sz w:val="18"/>
                <w:szCs w:val="18"/>
                <w:color w:val="auto"/>
              </w:rPr>
            </w:pPr>
          </w:p>
        </w:tc>
      </w:tr>
      <w:tr>
        <w:trPr>
          <w:trHeight w:val="186"/>
        </w:trPr>
        <w:tc>
          <w:tcPr>
            <w:tcW w:w="3280" w:type="dxa"/>
            <w:vAlign w:val="bottom"/>
          </w:tcPr>
          <w:p>
            <w:pPr>
              <w:spacing w:after="0"/>
              <w:rPr>
                <w:sz w:val="16"/>
                <w:szCs w:val="16"/>
                <w:color w:val="auto"/>
              </w:rPr>
            </w:pPr>
          </w:p>
        </w:tc>
        <w:tc>
          <w:tcPr>
            <w:tcW w:w="416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246"/>
        </w:trPr>
        <w:tc>
          <w:tcPr>
            <w:tcW w:w="3280" w:type="dxa"/>
            <w:vAlign w:val="bottom"/>
          </w:tcPr>
          <w:p>
            <w:pPr>
              <w:spacing w:after="0"/>
              <w:rPr>
                <w:sz w:val="21"/>
                <w:szCs w:val="21"/>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6"/>
              </w:rPr>
              <w:t>N/A</w:t>
            </w:r>
          </w:p>
        </w:tc>
        <w:tc>
          <w:tcPr>
            <w:tcW w:w="2100" w:type="dxa"/>
            <w:vAlign w:val="bottom"/>
          </w:tcPr>
          <w:p>
            <w:pPr>
              <w:spacing w:after="0"/>
              <w:rPr>
                <w:sz w:val="21"/>
                <w:szCs w:val="21"/>
                <w:color w:val="auto"/>
              </w:rPr>
            </w:pPr>
          </w:p>
        </w:tc>
      </w:tr>
      <w:tr>
        <w:trPr>
          <w:trHeight w:val="170"/>
        </w:trPr>
        <w:tc>
          <w:tcPr>
            <w:tcW w:w="9540" w:type="dxa"/>
            <w:vAlign w:val="bottom"/>
            <w:gridSpan w:val="3"/>
          </w:tcPr>
          <w:p>
            <w:pPr>
              <w:jc w:val="center"/>
              <w:ind w:left="91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29"/>
        </w:trPr>
        <w:tc>
          <w:tcPr>
            <w:tcW w:w="3280" w:type="dxa"/>
            <w:vAlign w:val="bottom"/>
          </w:tcPr>
          <w:p>
            <w:pPr>
              <w:spacing w:after="0"/>
              <w:rPr>
                <w:sz w:val="19"/>
                <w:szCs w:val="19"/>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19"/>
                <w:szCs w:val="19"/>
                <w:color w:val="auto"/>
              </w:rPr>
            </w:pPr>
          </w:p>
        </w:tc>
      </w:tr>
    </w:tbl>
    <w:p>
      <w:pPr>
        <w:ind w:left="50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9"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700" w:type="dxa"/>
            <w:vAlign w:val="bottom"/>
          </w:tcPr>
          <w:p>
            <w:pPr>
              <w:ind w:left="400"/>
              <w:spacing w:after="0"/>
              <w:rPr>
                <w:sz w:val="20"/>
                <w:szCs w:val="20"/>
                <w:color w:val="auto"/>
              </w:rPr>
            </w:pPr>
            <w:r>
              <w:rPr>
                <w:rFonts w:ascii="Arial" w:cs="Arial" w:eastAsia="Arial" w:hAnsi="Arial"/>
                <w:sz w:val="15"/>
                <w:szCs w:val="15"/>
                <w:color w:val="auto"/>
              </w:rPr>
              <w:t>x</w:t>
            </w:r>
          </w:p>
        </w:tc>
        <w:tc>
          <w:tcPr>
            <w:tcW w:w="2240" w:type="dxa"/>
            <w:vAlign w:val="bottom"/>
          </w:tcPr>
          <w:p>
            <w:pPr>
              <w:ind w:left="16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ind w:left="160"/>
              <w:spacing w:after="0"/>
              <w:rPr>
                <w:sz w:val="20"/>
                <w:szCs w:val="20"/>
                <w:color w:val="auto"/>
              </w:rPr>
            </w:pPr>
            <w:r>
              <w:rPr>
                <w:rFonts w:ascii="Arial" w:cs="Arial" w:eastAsia="Arial" w:hAnsi="Arial"/>
                <w:sz w:val="15"/>
                <w:szCs w:val="15"/>
                <w:color w:val="auto"/>
              </w:rPr>
              <w:t>Non-accelerated filer</w:t>
            </w:r>
          </w:p>
        </w:tc>
        <w:tc>
          <w:tcPr>
            <w:tcW w:w="60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140"/>
              <w:spacing w:after="0"/>
              <w:rPr>
                <w:sz w:val="20"/>
                <w:szCs w:val="20"/>
                <w:color w:val="auto"/>
              </w:rPr>
            </w:pPr>
            <w:r>
              <w:rPr>
                <w:rFonts w:ascii="Arial" w:cs="Arial" w:eastAsia="Arial" w:hAnsi="Arial"/>
                <w:sz w:val="13"/>
                <w:szCs w:val="13"/>
                <w:color w:val="auto"/>
                <w:w w:val="89"/>
              </w:rPr>
              <w:t>(Do not check if smaller reporting company)</w:t>
            </w:r>
          </w:p>
        </w:tc>
        <w:tc>
          <w:tcPr>
            <w:tcW w:w="0" w:type="dxa"/>
            <w:vAlign w:val="bottom"/>
          </w:tcPr>
          <w:p>
            <w:pPr>
              <w:spacing w:after="0"/>
              <w:rPr>
                <w:sz w:val="1"/>
                <w:szCs w:val="1"/>
                <w:color w:val="auto"/>
              </w:rPr>
            </w:pPr>
          </w:p>
        </w:tc>
      </w:tr>
      <w:tr>
        <w:trPr>
          <w:trHeight w:val="243"/>
        </w:trPr>
        <w:tc>
          <w:tcPr>
            <w:tcW w:w="2080" w:type="dxa"/>
            <w:vAlign w:val="bottom"/>
            <w:vMerge w:val="restart"/>
          </w:tcPr>
          <w:p>
            <w:pPr>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40" w:type="dxa"/>
            <w:vAlign w:val="bottom"/>
            <w:vMerge w:val="restart"/>
          </w:tcPr>
          <w:p>
            <w:pPr>
              <w:ind w:left="16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80" w:firstLine="5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4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Outstanding at April 26, 2018</w:t>
            </w:r>
          </w:p>
        </w:tc>
      </w:tr>
      <w:tr>
        <w:trPr>
          <w:trHeight w:val="248"/>
        </w:trPr>
        <w:tc>
          <w:tcPr>
            <w:tcW w:w="5820" w:type="dxa"/>
            <w:vAlign w:val="bottom"/>
            <w:gridSpan w:val="2"/>
          </w:tcPr>
          <w:p>
            <w:pPr>
              <w:jc w:val="center"/>
              <w:ind w:right="200"/>
              <w:spacing w:after="0"/>
              <w:rPr>
                <w:sz w:val="20"/>
                <w:szCs w:val="20"/>
                <w:color w:val="auto"/>
              </w:rPr>
            </w:pPr>
            <w:r>
              <w:rPr>
                <w:rFonts w:ascii="Arial" w:cs="Arial" w:eastAsia="Arial" w:hAnsi="Arial"/>
                <w:sz w:val="15"/>
                <w:szCs w:val="15"/>
                <w:color w:val="auto"/>
                <w:w w:val="91"/>
              </w:rPr>
              <w:t>Common Stock, $.01 par value per share</w:t>
            </w:r>
          </w:p>
        </w:tc>
        <w:tc>
          <w:tcPr>
            <w:tcW w:w="5600" w:type="dxa"/>
            <w:vAlign w:val="bottom"/>
          </w:tcPr>
          <w:p>
            <w:pPr>
              <w:jc w:val="center"/>
              <w:spacing w:after="0"/>
              <w:rPr>
                <w:sz w:val="20"/>
                <w:szCs w:val="20"/>
                <w:color w:val="auto"/>
              </w:rPr>
            </w:pPr>
            <w:r>
              <w:rPr>
                <w:rFonts w:ascii="Arial" w:cs="Arial" w:eastAsia="Arial" w:hAnsi="Arial"/>
                <w:sz w:val="15"/>
                <w:szCs w:val="15"/>
                <w:color w:val="auto"/>
                <w:w w:val="90"/>
              </w:rPr>
              <w:t>96,282,234 shares</w:t>
            </w:r>
          </w:p>
        </w:tc>
      </w:tr>
      <w:tr>
        <w:trPr>
          <w:trHeight w:val="143"/>
        </w:trPr>
        <w:tc>
          <w:tcPr>
            <w:tcW w:w="5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2018</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1"/>
                <w:szCs w:val="2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 (Unaudited)</w:t>
              </w:r>
            </w:hyperlink>
          </w:p>
        </w:tc>
        <w:tc>
          <w:tcPr>
            <w:tcW w:w="7380" w:type="dxa"/>
            <w:vAlign w:val="bottom"/>
            <w:gridSpan w:val="9"/>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6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2018 and December 31, 2017</w:t>
              </w:r>
            </w:hyperlink>
          </w:p>
        </w:tc>
        <w:tc>
          <w:tcPr>
            <w:tcW w:w="362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Income for the three months ended March 31, 2018 and 2017</w:t>
              </w:r>
            </w:hyperlink>
          </w:p>
        </w:tc>
        <w:tc>
          <w:tcPr>
            <w:tcW w:w="5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ended March 31, 2018 and 2017</w:t>
              </w:r>
            </w:hyperlink>
          </w:p>
        </w:tc>
        <w:tc>
          <w:tcPr>
            <w:tcW w:w="202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72"/>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2018 and 2017</w:t>
              </w:r>
            </w:hyperlink>
          </w:p>
        </w:tc>
        <w:tc>
          <w:tcPr>
            <w:tcW w:w="5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920" w:type="dxa"/>
            <w:vAlign w:val="bottom"/>
          </w:tcPr>
          <w:p>
            <w:pPr>
              <w:spacing w:after="0"/>
              <w:rPr>
                <w:sz w:val="24"/>
                <w:szCs w:val="24"/>
                <w:color w:val="auto"/>
              </w:rPr>
            </w:pPr>
          </w:p>
        </w:tc>
        <w:tc>
          <w:tcPr>
            <w:tcW w:w="758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20" w:type="dxa"/>
            <w:vAlign w:val="bottom"/>
            <w:gridSpan w:val="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60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56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5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5560" w:type="dxa"/>
            <w:vAlign w:val="bottom"/>
            <w:gridSpan w:val="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1160" w:type="dxa"/>
            <w:vAlign w:val="bottom"/>
            <w:tcBorders>
              <w:top w:val="single" w:sz="8" w:color="0000EE"/>
            </w:tcBorders>
            <w:gridSpan w:val="4"/>
          </w:tcPr>
          <w:p>
            <w:pPr>
              <w:spacing w:after="0"/>
              <w:rPr>
                <w:sz w:val="24"/>
                <w:szCs w:val="24"/>
                <w:color w:val="auto"/>
              </w:rPr>
            </w:pPr>
          </w:p>
        </w:tc>
        <w:tc>
          <w:tcPr>
            <w:tcW w:w="814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37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Signatures</w:t>
              </w:r>
            </w:hyperlink>
          </w:p>
        </w:tc>
        <w:tc>
          <w:tcPr>
            <w:tcW w:w="91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507"/>
        </w:trPr>
        <w:tc>
          <w:tcPr>
            <w:tcW w:w="920" w:type="dxa"/>
            <w:vAlign w:val="bottom"/>
          </w:tcPr>
          <w:p>
            <w:pPr>
              <w:spacing w:after="0"/>
              <w:rPr>
                <w:sz w:val="24"/>
                <w:szCs w:val="24"/>
                <w:color w:val="auto"/>
              </w:rPr>
            </w:pPr>
          </w:p>
        </w:tc>
        <w:tc>
          <w:tcPr>
            <w:tcW w:w="628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3"/>
              </w:rPr>
              <w:t>Unaudited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2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 except shares and par value</w:t>
            </w:r>
          </w:p>
        </w:tc>
        <w:tc>
          <w:tcPr>
            <w:tcW w:w="6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1"/>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249,886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233,401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885,917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800,619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Unbilled accounts receivable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382,780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366,168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829,276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742,634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117,955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122,291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2,465,814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2,265,113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1,027,944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1,026,046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(454,543)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(452,074)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573,401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573,972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2,528,819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2,460,103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1,231,727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1,204,432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76,360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other assets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3,836,566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3,740,895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6,875,781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6,579,980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608,316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552,525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378,158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369,716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170,511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140,620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137,542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300,886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302,112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1,648,048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1,573,330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1,871,076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1,823,303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postretirement and pension benefits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105,556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103,734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182,780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175,902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15,521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63,141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3,887,552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3,751,448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 no shares issued</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Common stock, $0.01 par value; 200,000,000 shares authorized:</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132,349,534 shares issued and 96,227,365 and 96,034,352 outstanding</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March 31, 2018 and December 31, 2017, respectively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907,801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906,616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Treasury stock, at cost, 36,122,169 and 36,315,182 shares,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March 31, 2018 and December 31, 2017, respectively</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(824,157)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(827,379)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2,850,135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2,773,300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Westinghouse Air Brake Technologies Corporation shareholders' equity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2,969,118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2,808,868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2,988,229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2,828,532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6,875,781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6,579,980</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line="20" w:lineRule="exact"/>
              <w:rPr>
                <w:sz w:val="1"/>
                <w:szCs w:val="1"/>
                <w:color w:val="auto"/>
              </w:rPr>
            </w:pPr>
          </w:p>
        </w:tc>
        <w:tc>
          <w:tcPr>
            <w:tcW w:w="6040" w:type="dxa"/>
            <w:vAlign w:val="bottom"/>
            <w:vMerge w:val="restart"/>
          </w:tcPr>
          <w:p>
            <w:pPr>
              <w:ind w:left="84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6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36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368"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6"/>
              </w:rPr>
              <w:t>Unaudited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5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1,056,177</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(745,296)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(646,327)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310,881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269,707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(122,687)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(23,464)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(179,602)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(155,195)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131,279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114,512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(19,858)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113,581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99,465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87,457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72,004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66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88,366</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73,889</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95,810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95,243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96,371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95,991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80" w:top="36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93"/>
              </w:rPr>
              <w:t>Unaudited</w:t>
            </w:r>
          </w:p>
        </w:tc>
        <w:tc>
          <w:tcPr>
            <w:tcW w:w="1040" w:type="dxa"/>
            <w:vAlign w:val="bottom"/>
          </w:tcPr>
          <w:p>
            <w:pPr>
              <w:spacing w:after="0"/>
              <w:rPr>
                <w:sz w:val="16"/>
                <w:szCs w:val="16"/>
                <w:color w:val="auto"/>
              </w:rPr>
            </w:pPr>
          </w:p>
        </w:tc>
      </w:tr>
      <w:tr>
        <w:trPr>
          <w:trHeight w:val="165"/>
        </w:trPr>
        <w:tc>
          <w:tcPr>
            <w:tcW w:w="78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8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16"/>
                <w:szCs w:val="16"/>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4"/>
        </w:trPr>
        <w:tc>
          <w:tcPr>
            <w:tcW w:w="82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88,366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73,889</w:t>
            </w:r>
          </w:p>
        </w:tc>
      </w:tr>
      <w:tr>
        <w:trPr>
          <w:trHeight w:val="270"/>
        </w:trPr>
        <w:tc>
          <w:tcPr>
            <w:tcW w:w="8200" w:type="dxa"/>
            <w:vAlign w:val="bottom"/>
            <w:gridSpan w:val="2"/>
          </w:tcPr>
          <w:p>
            <w:pPr>
              <w:spacing w:after="0"/>
              <w:rPr>
                <w:sz w:val="20"/>
                <w:szCs w:val="20"/>
                <w:color w:val="auto"/>
              </w:rPr>
            </w:pPr>
            <w:r>
              <w:rPr>
                <w:rFonts w:ascii="Arial" w:cs="Arial" w:eastAsia="Arial" w:hAnsi="Arial"/>
                <w:sz w:val="18"/>
                <w:szCs w:val="18"/>
                <w:color w:val="auto"/>
              </w:rPr>
              <w:t>Foreign currency translation gain</w:t>
            </w: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77,967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49,395</w:t>
            </w:r>
          </w:p>
        </w:tc>
      </w:tr>
      <w:tr>
        <w:trPr>
          <w:trHeight w:val="270"/>
        </w:trPr>
        <w:tc>
          <w:tcPr>
            <w:tcW w:w="8200" w:type="dxa"/>
            <w:vAlign w:val="bottom"/>
            <w:gridSpan w:val="2"/>
          </w:tcPr>
          <w:p>
            <w:pPr>
              <w:spacing w:after="0"/>
              <w:rPr>
                <w:sz w:val="20"/>
                <w:szCs w:val="20"/>
                <w:color w:val="auto"/>
              </w:rPr>
            </w:pPr>
            <w:r>
              <w:rPr>
                <w:rFonts w:ascii="Arial" w:cs="Arial" w:eastAsia="Arial" w:hAnsi="Arial"/>
                <w:sz w:val="18"/>
                <w:szCs w:val="18"/>
                <w:color w:val="auto"/>
              </w:rPr>
              <w:t>Unrealized gain on derivative contracts</w:t>
            </w: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1,693</w:t>
            </w:r>
          </w:p>
        </w:tc>
      </w:tr>
      <w:tr>
        <w:trPr>
          <w:trHeight w:val="270"/>
        </w:trPr>
        <w:tc>
          <w:tcPr>
            <w:tcW w:w="8200" w:type="dxa"/>
            <w:vAlign w:val="bottom"/>
            <w:gridSpan w:val="2"/>
          </w:tcPr>
          <w:p>
            <w:pPr>
              <w:spacing w:after="0"/>
              <w:rPr>
                <w:sz w:val="20"/>
                <w:szCs w:val="20"/>
                <w:color w:val="auto"/>
              </w:rPr>
            </w:pPr>
            <w:r>
              <w:rPr>
                <w:rFonts w:ascii="Arial" w:cs="Arial" w:eastAsia="Arial" w:hAnsi="Arial"/>
                <w:sz w:val="18"/>
                <w:szCs w:val="18"/>
                <w:color w:val="auto"/>
              </w:rPr>
              <w:t>Unrealized loss on pension benefit plans and post-retirement benefit plans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(3,074)</w:t>
            </w:r>
          </w:p>
        </w:tc>
      </w:tr>
      <w:tr>
        <w:trPr>
          <w:trHeight w:val="27"/>
        </w:trPr>
        <w:tc>
          <w:tcPr>
            <w:tcW w:w="7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20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before tax</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79,603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48,014</w:t>
            </w:r>
          </w:p>
        </w:tc>
      </w:tr>
      <w:tr>
        <w:trPr>
          <w:trHeight w:val="270"/>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 related to components of</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20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20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79,008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47,953</w:t>
            </w:r>
          </w:p>
        </w:tc>
      </w:tr>
      <w:tr>
        <w:trPr>
          <w:trHeight w:val="27"/>
        </w:trPr>
        <w:tc>
          <w:tcPr>
            <w:tcW w:w="7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200" w:type="dxa"/>
            <w:vAlign w:val="bottom"/>
            <w:gridSpan w:val="2"/>
          </w:tcPr>
          <w:p>
            <w:pPr>
              <w:ind w:left="240"/>
              <w:spacing w:after="0"/>
              <w:rPr>
                <w:sz w:val="20"/>
                <w:szCs w:val="20"/>
                <w:color w:val="auto"/>
              </w:rPr>
            </w:pPr>
            <w:r>
              <w:rPr>
                <w:rFonts w:ascii="Arial" w:cs="Arial" w:eastAsia="Arial" w:hAnsi="Arial"/>
                <w:sz w:val="18"/>
                <w:szCs w:val="18"/>
                <w:color w:val="auto"/>
              </w:rPr>
              <w:t>Comprehensive income attributable to Wabtec shareholders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167,374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121,842</w:t>
            </w:r>
          </w:p>
        </w:tc>
      </w:tr>
      <w:tr>
        <w:trPr>
          <w:trHeight w:val="20"/>
        </w:trPr>
        <w:tc>
          <w:tcPr>
            <w:tcW w:w="7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80" w:top="364" w:right="339" w:bottom="1440" w:gutter="0" w:footer="0" w:header="0"/>
        </w:sectPr>
      </w:pPr>
    </w:p>
    <w:bookmarkStart w:id="5" w:name="page6"/>
    <w:bookmarkEnd w:id="5"/>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6"/>
              </w:rPr>
              <w:t>Unaudited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6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87,457</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72,004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27,854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25,229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5,696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(Gain) loss on disposal of property, plant and equipment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(96,481)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32,096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85,303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(24,252)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(63,349)</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(used for) operating activities</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24,200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(19,327)</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(800,081)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(819,124)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306,610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458,273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(266,347)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(482,591)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Cash dividends ($0.12 and $0.10 per share for the three months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ended March 31, 2018 and 2017, respectively)</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(9,572)</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21,640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Increase (Decrease) in cash</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(863,053)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233,401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1,143,232</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249,886</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280,179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364" w:right="23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180" w:firstLine="500"/>
        <w:spacing w:after="0" w:line="273" w:lineRule="auto"/>
        <w:rPr>
          <w:sz w:val="20"/>
          <w:szCs w:val="20"/>
          <w:color w:val="auto"/>
        </w:rPr>
      </w:pPr>
      <w:r>
        <w:rPr>
          <w:rFonts w:ascii="Arial" w:cs="Arial" w:eastAsia="Arial" w:hAnsi="Arial"/>
          <w:sz w:val="17"/>
          <w:szCs w:val="17"/>
          <w:color w:val="auto"/>
        </w:rPr>
        <w:t>Westinghouse Air Brake Technologies Corporation (“Wabtec” or the "Company") is one of the world’s largest providers of value-added, technology-based equipment, systems and services for the global passenger transit and freight rail industries. Our highly engineered products enhance safety, improve productivity and reduce maintenance costs for customers, can be found on most locomotives, freight cars, passenger transit cars and buses around the world many of our core products and services are essential in the safe and efficient operation of freight rail and passenger transit vehicles. Wabtec is a global company with operations in 31 countries and our products can be found in more than 100 countries throughout the world. In the first three months of 2018, approximately 65% of the Company’s revenues came from customers outside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operates on a four-four-five week accounting quarter, and the quarters end on or about March 31, June 30, September 30, and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1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2017. The December 31, 2017 information has been derived from the Company’s Annual Report on Form 10-K for the year ended December 31, 2017.</w:t>
      </w:r>
    </w:p>
    <w:p>
      <w:pPr>
        <w:spacing w:after="0" w:line="181" w:lineRule="exact"/>
        <w:rPr>
          <w:sz w:val="20"/>
          <w:szCs w:val="20"/>
          <w:color w:val="auto"/>
        </w:rPr>
      </w:pPr>
    </w:p>
    <w:p>
      <w:pPr>
        <w:jc w:val="both"/>
        <w:ind w:right="100" w:firstLine="50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On January 1, 2018, the Company adopted ASC 606 “Revenue from Contracts with Customers”. This new guidance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166" w:lineRule="exact"/>
        <w:rPr>
          <w:sz w:val="20"/>
          <w:szCs w:val="20"/>
          <w:color w:val="auto"/>
        </w:rPr>
      </w:pPr>
    </w:p>
    <w:p>
      <w:pPr>
        <w:jc w:val="both"/>
        <w:ind w:right="220" w:firstLine="500"/>
        <w:spacing w:after="0" w:line="312" w:lineRule="auto"/>
        <w:rPr>
          <w:sz w:val="20"/>
          <w:szCs w:val="20"/>
          <w:color w:val="auto"/>
        </w:rPr>
      </w:pPr>
      <w:r>
        <w:rPr>
          <w:rFonts w:ascii="Arial" w:cs="Arial" w:eastAsia="Arial" w:hAnsi="Arial"/>
          <w:sz w:val="16"/>
          <w:szCs w:val="16"/>
          <w:color w:val="auto"/>
        </w:rPr>
        <w:t>Approximately 75% of the Company’s revenues are derived from performance obligations that are satisfied at a point in time when control passes to the customer. The remaining revenues are earned over time. Generally, for performance obligations satisfied at a point in time control passes at the time of shipment in accordance with agreed upon delivery terms. This approach is consistent with our revenue recognition approach in prior years.</w:t>
      </w:r>
    </w:p>
    <w:p>
      <w:pPr>
        <w:spacing w:after="0" w:line="147" w:lineRule="exact"/>
        <w:rPr>
          <w:sz w:val="20"/>
          <w:szCs w:val="20"/>
          <w:color w:val="auto"/>
        </w:rPr>
      </w:pPr>
    </w:p>
    <w:p>
      <w:pPr>
        <w:ind w:right="200" w:firstLine="500"/>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This approach is consistent with our revenue recognition approach in prior years.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quarterly at a minimum and adjustments are reflected in the accounting period as such amounts are determined.</w:t>
      </w:r>
    </w:p>
    <w:p>
      <w:pPr>
        <w:spacing w:after="0" w:line="166" w:lineRule="exact"/>
        <w:rPr>
          <w:sz w:val="20"/>
          <w:szCs w:val="20"/>
          <w:color w:val="auto"/>
        </w:rPr>
      </w:pPr>
    </w:p>
    <w:p>
      <w:pPr>
        <w:ind w:right="240" w:firstLine="500"/>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assets are classified as current assets under the caption “Unbilled Accounts Receivable” on the consolidated balance sheet. The Company has elected to use the practical expedient and not consider unbilled amounts anticipated to be paid within one year as significant financing components.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right="100" w:firstLine="500"/>
        <w:spacing w:after="0" w:line="272"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Contract liabilities are classified as current liabilities under the caption “Customer Deposits” on the consolidated balance sheet.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$86.1 million and $94.0 million at March 31, 2018 and December 31, 2017, respectively. These provisions for estimated losses are classified as current liabilities and included within the caption “Other accrued liabilities” on the consolidated balance sheet.</w:t>
      </w:r>
    </w:p>
    <w:p>
      <w:pPr>
        <w:spacing w:after="0" w:line="178" w:lineRule="exact"/>
        <w:rPr>
          <w:sz w:val="20"/>
          <w:szCs w:val="20"/>
          <w:color w:val="auto"/>
        </w:rPr>
      </w:pPr>
    </w:p>
    <w:p>
      <w:pPr>
        <w:ind w:right="40" w:firstLine="500"/>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quarterly estimate-at-completion process where management reviews the progress of long term-projects. As part of this process, management reviews information including key contract matters, progress towards completion, identified risks and opportunities and any other information that could impact the Company’s estimates of revenue and costs. After completing this analysis, any quarterly adjustments to net sales, cost of goods sold, and the related impact to operating income are recognized as necessary in the period they become known.</w:t>
      </w:r>
    </w:p>
    <w:p>
      <w:pPr>
        <w:spacing w:after="0" w:line="179"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Generally, the Company’s revenue contains a single performance obligation for each distinct good. Pricing is defined in our contracts on a line item basis and includes an estimate of variable consideration when required by the terms of the individual customer contract. Types of variable consideration that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154" w:lineRule="exact"/>
        <w:rPr>
          <w:sz w:val="20"/>
          <w:szCs w:val="20"/>
          <w:color w:val="auto"/>
        </w:rPr>
      </w:pPr>
    </w:p>
    <w:p>
      <w:pPr>
        <w:jc w:val="both"/>
        <w:ind w:right="240" w:firstLine="500"/>
        <w:spacing w:after="0" w:line="342" w:lineRule="auto"/>
        <w:rPr>
          <w:sz w:val="20"/>
          <w:szCs w:val="20"/>
          <w:color w:val="auto"/>
        </w:rPr>
      </w:pPr>
      <w:r>
        <w:rPr>
          <w:rFonts w:ascii="Arial" w:cs="Arial" w:eastAsia="Arial" w:hAnsi="Arial"/>
          <w:sz w:val="16"/>
          <w:szCs w:val="16"/>
          <w:b w:val="1"/>
          <w:bCs w:val="1"/>
          <w:i w:val="1"/>
          <w:iCs w:val="1"/>
          <w:color w:val="auto"/>
        </w:rPr>
        <w:t xml:space="preserve">Pre-Production Costs </w:t>
      </w:r>
      <w:r>
        <w:rPr>
          <w:rFonts w:ascii="Arial" w:cs="Arial" w:eastAsia="Arial" w:hAnsi="Arial"/>
          <w:sz w:val="16"/>
          <w:szCs w:val="16"/>
          <w:color w:val="auto"/>
        </w:rPr>
        <w:t>Certain pre-production costs relating to long-term production and supply contracts have been deferred and will be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the contracts. Deferred pre-production costs were $17.9 million and $20.2 million at March 31, 2018 and December 31, 2017, respectively.</w:t>
      </w:r>
    </w:p>
    <w:p>
      <w:pPr>
        <w:spacing w:after="0" w:line="124"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170"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154"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its exposure due to changes in foreign currencies and interest rates. For further information regarding financial derivatives and hedging activities, refer to Footnotes 13 and 14.</w:t>
      </w:r>
    </w:p>
    <w:p>
      <w:pPr>
        <w:spacing w:after="0" w:line="181"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Assets and liabilities of foreign subsidiaries, except for the Company’s Mexican operations whose functional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178"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"Consolidation", the Company has classified noncontrolling interests as equity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balance sheets as of March 31, 2018 and December 31, 2017. Net income attributable to noncontrolling interests was a $0.9 million loss and a $1.9 million loss, for the three months ended March 31, 2018, and 2017, respectively. Other comprehensive income attributable to noncontrolling interests for the three months ended March 31, 2018 and 2017 was not material.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firstLine="500"/>
        <w:spacing w:after="0" w:line="288"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February 2018,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No. 2018-02, "Income Statement - Reporting Comprehensive Income (Topic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is effective for reporting periods beginning after December 15, 2018 and is to be applied retrospectively to each period in which the effect of the the Tax Act related to items remaining in AOCI are recognized or at the beginning of the period of adoption. Early adoption is permitted. The Company is currently evaluating the potential impact of adopting this guidance on its consolidated financial statements.</w:t>
      </w:r>
    </w:p>
    <w:p>
      <w:pPr>
        <w:spacing w:after="0" w:line="169" w:lineRule="exact"/>
        <w:rPr>
          <w:sz w:val="20"/>
          <w:szCs w:val="20"/>
          <w:color w:val="auto"/>
        </w:rPr>
      </w:pPr>
    </w:p>
    <w:p>
      <w:pPr>
        <w:ind w:right="120" w:firstLine="500"/>
        <w:spacing w:after="0" w:line="290"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2017.</w:t>
      </w:r>
    </w:p>
    <w:p>
      <w:pPr>
        <w:spacing w:after="0" w:line="166"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ASU is effective for public companies in the fiscal years beginning after December 15, 2018, and interim periods within those fiscal years. The Company is currently evaluating the potential impact of adopting this guidance on its consolidated financial statements.</w:t>
      </w:r>
    </w:p>
    <w:p>
      <w:pPr>
        <w:spacing w:after="0" w:line="188" w:lineRule="exact"/>
        <w:rPr>
          <w:sz w:val="20"/>
          <w:szCs w:val="20"/>
          <w:color w:val="auto"/>
        </w:rPr>
      </w:pPr>
    </w:p>
    <w:p>
      <w:pPr>
        <w:ind w:right="100" w:firstLine="500"/>
        <w:spacing w:after="0" w:line="272"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May 2014, the FASB issued ASU No. 2014-09, “Revenue from Contract with Customers.”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supersedes most of the previous revenue recognition requirements in U.S. GAAP and requires entities to recognize revenue at an 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The ASU became effective for public companies during interim and annual reporting periods beginning after December 15, 2017. The Company adopted this accounting standard update using the modified retrospective method. The impact of adopting the new standard was not material to the consolidated statement of income or the consolidated balance sheet.</w:t>
      </w:r>
    </w:p>
    <w:p>
      <w:pPr>
        <w:spacing w:after="0" w:line="178" w:lineRule="exact"/>
        <w:rPr>
          <w:sz w:val="20"/>
          <w:szCs w:val="20"/>
          <w:color w:val="auto"/>
        </w:rPr>
      </w:pPr>
    </w:p>
    <w:p>
      <w:pPr>
        <w:ind w:right="80" w:firstLine="500"/>
        <w:spacing w:after="0" w:line="269" w:lineRule="auto"/>
        <w:rPr>
          <w:sz w:val="20"/>
          <w:szCs w:val="20"/>
          <w:color w:val="auto"/>
        </w:rPr>
      </w:pPr>
      <w:r>
        <w:rPr>
          <w:rFonts w:ascii="Arial" w:cs="Arial" w:eastAsia="Arial" w:hAnsi="Arial"/>
          <w:sz w:val="17"/>
          <w:szCs w:val="17"/>
          <w:color w:val="auto"/>
        </w:rPr>
        <w:t>In March 2017, the FASB issued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 arising from services rendered by the pertinent employees during the period. The other components of net benefit costs are required to be presented in the income statement separately from the service cost component and outside income from operations. This update also allows only the service cost component to be eligible for capitalization when applicable. The ASU became effective for public companies during interim and annual reporting periods beginning after December 15, 2017. In accordance with this update, the Company began recognizing the interest expense component of net periodic benefit cost in interest expense in the income statement and the expected return on plan assets, net amortization/deferrals, and curtailments in other income (expense), net in the income statement. This update has been applied retrospectively for presentation of the service cost component and other components of net benefit costs in accordance with the ASU and the impact of adoption resulted in increases of $0.3 million, $2.2 million and $2.5 million to selling, general, and administrative expense, interest expense, net and other income, net, respectively, in the income statement for the three months ended March 31, 2017. Also, the capitalization of the service cost component of net benefit cost has been adopted prospectively in accordance with the ASU.</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60" w:firstLine="500"/>
        <w:spacing w:after="0" w:line="293" w:lineRule="auto"/>
        <w:rPr>
          <w:sz w:val="20"/>
          <w:szCs w:val="20"/>
          <w:color w:val="auto"/>
        </w:rPr>
      </w:pPr>
      <w:r>
        <w:rPr>
          <w:rFonts w:ascii="Arial" w:cs="Arial" w:eastAsia="Arial" w:hAnsi="Arial"/>
          <w:sz w:val="16"/>
          <w:szCs w:val="16"/>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ASU became effective for public companies during interim and annual reporting periods beginning after December 15, 2017. This update has been applied retrospectively and as a result restricted cash related to the acquisition of Faiveley is included in the change in cash for the three months ended March 31, 2017.</w:t>
      </w:r>
    </w:p>
    <w:p>
      <w:pPr>
        <w:spacing w:after="0" w:line="165"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circumstances from nonowner sources.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changes in accumulated other comprehensive income (loss) by component, net of tax, for the three months ended March 31, 2018 are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(54,070)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77,967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78,040</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77,967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79,008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83,030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34,016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income (loss) for the three months ended March 31, 2018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4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4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0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00" w:type="dxa"/>
            <w:vAlign w:val="bottom"/>
            <w:vMerge w:val="restart"/>
          </w:tcPr>
          <w:p>
            <w:pPr>
              <w:jc w:val="right"/>
              <w:ind w:right="109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March 31, 2017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(321,033)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(379,605)</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46,935</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47,953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(271,638)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(331,652)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Reclassifications out of accumulated other comprehensive loss for the three months ended March 31, 2017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w:t>
      </w:r>
    </w:p>
    <w:p>
      <w:pPr>
        <w:spacing w:after="0" w:line="117" w:lineRule="exact"/>
        <w:rPr>
          <w:sz w:val="20"/>
          <w:szCs w:val="20"/>
          <w:color w:val="auto"/>
        </w:rPr>
      </w:pPr>
    </w:p>
    <w:p>
      <w:pPr>
        <w:ind w:right="180" w:firstLine="500"/>
        <w:spacing w:after="0" w:line="273" w:lineRule="auto"/>
        <w:rPr>
          <w:sz w:val="20"/>
          <w:szCs w:val="20"/>
          <w:color w:val="auto"/>
        </w:rPr>
      </w:pPr>
      <w:r>
        <w:rPr>
          <w:rFonts w:ascii="Arial" w:cs="Arial" w:eastAsia="Arial" w:hAnsi="Arial"/>
          <w:sz w:val="17"/>
          <w:szCs w:val="17"/>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70" w:lineRule="exact"/>
        <w:rPr>
          <w:sz w:val="20"/>
          <w:szCs w:val="20"/>
          <w:color w:val="auto"/>
        </w:rPr>
      </w:pPr>
    </w:p>
    <w:p>
      <w:pPr>
        <w:ind w:left="980" w:right="2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980" w:right="560"/>
        <w:spacing w:after="0" w:line="357" w:lineRule="auto"/>
        <w:rPr>
          <w:sz w:val="20"/>
          <w:szCs w:val="20"/>
          <w:color w:val="auto"/>
        </w:rPr>
      </w:pPr>
      <w:r>
        <w:rPr>
          <w:rFonts w:ascii="Arial" w:cs="Arial" w:eastAsia="Arial" w:hAnsi="Arial"/>
          <w:sz w:val="17"/>
          <w:szCs w:val="17"/>
          <w:color w:val="auto"/>
        </w:rPr>
        <w:t>shares of Wabtec common stock per share of Faiveley Transport. The common stock portion of the consideration was subject to a cap on issuance of Wabtec common shares that was equivalent to the rates of cash and stock elected by the 51% owners.</w:t>
      </w:r>
    </w:p>
    <w:p>
      <w:pPr>
        <w:spacing w:after="0" w:line="13" w:lineRule="exact"/>
        <w:rPr>
          <w:sz w:val="20"/>
          <w:szCs w:val="20"/>
          <w:color w:val="auto"/>
        </w:rPr>
      </w:pPr>
    </w:p>
    <w:p>
      <w:pPr>
        <w:ind w:left="980" w:right="20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2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color w:val="auto"/>
        </w:rPr>
        <w:t>The purchase price paid for 100% ownership of Faiveley Transport was $1,507.0 million. The $744.7 million included as deposits in escrow on the consolidated balance sheet at December 31, 2016 was cash designated for use as consideration for the tender offers.</w:t>
      </w:r>
    </w:p>
    <w:p>
      <w:pPr>
        <w:spacing w:after="0" w:line="62"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preliminarily determined using the market price of Faiveley Transport’s publicly traded common stock multiplied by the number of publicly traded common shares outstanding at the acquisition date and is considered Level 1. The acquisition of the noncontrolling interest during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03" w:right="27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color w:val="auto"/>
        </w:rPr>
        <w:t>The following table summarizes the final fair values of the Faiveley Transport assets acquired and liabilities assumed: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w:t>
            </w:r>
          </w:p>
        </w:tc>
        <w:tc>
          <w:tcPr>
            <w:tcW w:w="9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Assets acquired</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178,318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439,631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205,649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70,930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148,746</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1,262,350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346,328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233,529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Patents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184,564</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assets acquired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3,071,246</w:t>
            </w:r>
          </w:p>
        </w:tc>
      </w:tr>
      <w:tr>
        <w:trPr>
          <w:trHeight w:val="270"/>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819,493</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409,899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335,039</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1,564,431</w:t>
            </w:r>
          </w:p>
        </w:tc>
      </w:tr>
      <w:tr>
        <w:trPr>
          <w:trHeight w:val="291"/>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1,506,815</w:t>
            </w:r>
          </w:p>
        </w:tc>
      </w:tr>
      <w:tr>
        <w:trPr>
          <w:trHeight w:val="20"/>
        </w:trPr>
        <w:tc>
          <w:tcPr>
            <w:tcW w:w="7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twelve months ended December 31, 2017, the estimated fair values for customer relationships and current</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liabilities were adjusted by $21.8 million and $65.3 million, respectively, for changes to initial estimates based on information that existed at the date of acquisition. Additionally, the estimated fair values for accounts receivable and current liabilities were adjusted by $2.8 million and $36.2 million, respectively, to correct errors in the preliminary estimated fair values of the Faiveley Transport assets acquired and liabilities assumed. Other noncurrent assets were adjusted by $30.0 million to record the deferred tax impact of these adjustments. As a result of these adjustments and other immaterial adjustments related to changes to initial estimates based on information that existed at the date of acquisition, goodwill increased by $74.1 million. Accounts receivable and current liabilities were adjusted by $64.3 million to correct an error in the preliminary estimated fair values of Faiveley Transport assets and liabilities assumed related to a factoring arrangement with recourse.</w:t>
      </w:r>
    </w:p>
    <w:p>
      <w:pPr>
        <w:spacing w:after="0" w:line="85" w:lineRule="exact"/>
        <w:rPr>
          <w:sz w:val="20"/>
          <w:szCs w:val="20"/>
          <w:color w:val="auto"/>
        </w:rPr>
      </w:pPr>
    </w:p>
    <w:p>
      <w:pPr>
        <w:ind w:right="240" w:firstLine="500"/>
        <w:spacing w:after="0" w:line="279" w:lineRule="auto"/>
        <w:rPr>
          <w:sz w:val="20"/>
          <w:szCs w:val="20"/>
          <w:color w:val="auto"/>
        </w:rPr>
      </w:pPr>
      <w:r>
        <w:rPr>
          <w:rFonts w:ascii="Arial" w:cs="Arial" w:eastAsia="Arial" w:hAnsi="Arial"/>
          <w:sz w:val="17"/>
          <w:szCs w:val="17"/>
          <w:color w:val="auto"/>
        </w:rPr>
        <w:t>Substantially all of the accounts receivable acquired are expected to be collectible. Included in current liabilities is $25.9 million of accrued compensation for acquired share-based stock plans that are obligated to be settled in cash. Contingent liabilities assumed as part of the transaction were not material. These contingent liabilities are related to environmental, legal and tax matters. Contingent liabilities are recorded at fair value in purchase accounting, aside from those pertaining to uncertainty in income taxes which are an exception to the fair value basis of accounting.</w:t>
      </w:r>
    </w:p>
    <w:p>
      <w:pPr>
        <w:spacing w:after="0" w:line="63"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the Company expects to achieve as a result of the acquisition. Purchased goodwill is not deductible for tax purposes. The goodwill allocated to the Freight segment is $72.0 million and the goodwill allocated to the Transit segment is $1,190.4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Freight Segment:</w:t>
      </w:r>
    </w:p>
    <w:p>
      <w:pPr>
        <w:spacing w:after="0" w:line="117" w:lineRule="exact"/>
        <w:rPr>
          <w:sz w:val="20"/>
          <w:szCs w:val="20"/>
          <w:color w:val="auto"/>
        </w:rPr>
      </w:pPr>
    </w:p>
    <w:p>
      <w:pPr>
        <w:ind w:left="980" w:right="1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4, 2017, the Company acquired Melett Limited ("Melett"), a leader in the design, manufacture, and supply of high-quality turbochargers and replacement parts to the turbocharger aftermarket, for a purchase price of approximately $74.0 million, net of cash acquired, resulting in preliminary goodwill of $28.8 million, none of which will be deductible for tax purposes.</w:t>
      </w:r>
    </w:p>
    <w:p>
      <w:pPr>
        <w:spacing w:after="0" w:line="73"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5, 2017, the Company acquired Thermal Transfer Corporation ("TTC"), a leading provider of heat transfer solutions for industrial applications, for a purchase price of approximately $32.5 million, net of cash acquired, resulting in preliminary goodwill of $14.1 million, all of which will be deductible for tax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3" w:name="page14"/>
    <w:bookmarkEnd w:id="13"/>
    <w:p>
      <w:pPr>
        <w:jc w:val="both"/>
        <w:ind w:left="980" w:right="20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13, 2017, the Company acquired Aero Transportation Products ("ATP"), a manufacturer of engineered covering systems for hopper freight cars, for a purchase price of approximately $65.3 million, net of cash acquired, resulting in goodwill of $29.0 million, all of which will be deductible for tax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Transit Segment:</w:t>
      </w:r>
    </w:p>
    <w:p>
      <w:pPr>
        <w:spacing w:after="0" w:line="117" w:lineRule="exact"/>
        <w:rPr>
          <w:sz w:val="20"/>
          <w:szCs w:val="20"/>
          <w:color w:val="auto"/>
        </w:rPr>
      </w:pPr>
    </w:p>
    <w:p>
      <w:pPr>
        <w:ind w:left="980" w:right="2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22, 2018, the Company acquired Annax GmbH ("Annax"), a leading supplier of public address and passenger information systems for transit vehicles, for a purchase price of approximately $28.7 million, net of cash acquired, resulting in preliminary goodwill of $14.5 million, none of which will be deductible for tax purposes.</w:t>
      </w:r>
    </w:p>
    <w:p>
      <w:pPr>
        <w:spacing w:after="0" w:line="73"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October 2, 2017, the Company acquired AM General Contract ("AM General"), a manufacturer of safety systems, mainly for transit rail cars, for a purchase price of approximately $10.4 million, net of cash acquired, resulting in preliminary goodwill of $12.9 million, none of which will be deductible for tax purposes.</w:t>
      </w:r>
    </w:p>
    <w:p>
      <w:pPr>
        <w:spacing w:after="0" w:line="18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acquisitions listed above include escrow deposits of $36.4 million, which act as security for indemnity and other claims in accordance with the purchase and related escrow agreements.</w:t>
      </w:r>
    </w:p>
    <w:p>
      <w:pPr>
        <w:spacing w:after="0" w:line="170" w:lineRule="exact"/>
        <w:rPr>
          <w:sz w:val="20"/>
          <w:szCs w:val="20"/>
          <w:color w:val="auto"/>
        </w:rPr>
      </w:pPr>
    </w:p>
    <w:p>
      <w:pPr>
        <w:ind w:right="300" w:firstLine="500"/>
        <w:spacing w:after="0" w:line="264" w:lineRule="auto"/>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date of the acquisition for Annax, Melett, AM General, and TTC. For the ATP acquisition, the following table summarizes the final fair value of the assets acquired and liabilities assumed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73025</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Annax</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Melett</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 General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TTC</w:t>
            </w:r>
          </w:p>
        </w:tc>
        <w:tc>
          <w:tcPr>
            <w:tcW w:w="140" w:type="dxa"/>
            <w:vAlign w:val="bottom"/>
          </w:tcPr>
          <w:p>
            <w:pPr>
              <w:spacing w:after="0"/>
              <w:rPr>
                <w:sz w:val="16"/>
                <w:szCs w:val="16"/>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99"/>
              </w:rPr>
              <w:t>ATP</w:t>
            </w:r>
          </w:p>
        </w:tc>
      </w:tr>
      <w:tr>
        <w:trPr>
          <w:trHeight w:val="39"/>
        </w:trPr>
        <w:tc>
          <w:tcPr>
            <w:tcW w:w="7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46"/>
        </w:trPr>
        <w:tc>
          <w:tcPr>
            <w:tcW w:w="7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9"/>
              </w:rPr>
              <w:t>March 22,</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December 4,</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April 5,</w:t>
            </w:r>
          </w:p>
        </w:tc>
        <w:tc>
          <w:tcPr>
            <w:tcW w:w="140" w:type="dxa"/>
            <w:vAlign w:val="bottom"/>
          </w:tcPr>
          <w:p>
            <w:pPr>
              <w:spacing w:after="0"/>
              <w:rPr>
                <w:sz w:val="12"/>
                <w:szCs w:val="12"/>
                <w:color w:val="auto"/>
              </w:rPr>
            </w:pPr>
          </w:p>
        </w:tc>
        <w:tc>
          <w:tcPr>
            <w:tcW w:w="88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9"/>
              </w:rPr>
              <w:t>March 13,</w:t>
            </w:r>
          </w:p>
        </w:tc>
      </w:tr>
      <w:tr>
        <w:trPr>
          <w:trHeight w:val="158"/>
        </w:trPr>
        <w:tc>
          <w:tcPr>
            <w:tcW w:w="57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3"/>
                <w:szCs w:val="13"/>
                <w:color w:val="auto"/>
              </w:rPr>
            </w:pPr>
          </w:p>
        </w:tc>
        <w:tc>
          <w:tcPr>
            <w:tcW w:w="9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6"/>
              </w:rPr>
              <w:t>2017</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34,037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35,258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11,666</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5,354</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28,801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14,095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29,034</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23,998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30,479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25,000</w:t>
            </w:r>
          </w:p>
        </w:tc>
      </w:tr>
      <w:tr>
        <w:trPr>
          <w:trHeight w:val="27"/>
        </w:trPr>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Total assets acquired</w:t>
            </w:r>
          </w:p>
        </w:tc>
        <w:tc>
          <w:tcPr>
            <w:tcW w:w="1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73,216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100,455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35,791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35,552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71,054</w:t>
            </w: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(5,800)</w:t>
            </w:r>
          </w:p>
        </w:tc>
      </w:tr>
      <w:tr>
        <w:trPr>
          <w:trHeight w:val="27"/>
        </w:trPr>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28,667</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73,956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32,511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65,254</w:t>
            </w:r>
          </w:p>
        </w:tc>
      </w:tr>
      <w:tr>
        <w:trPr>
          <w:trHeight w:val="20"/>
        </w:trPr>
        <w:tc>
          <w:tcPr>
            <w:tcW w:w="7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total goodwill and other intangible assets for acquisitions listed in the tables above was $203.3 million, of which $99.4 million and $103.9 million was related to goodwill and other intangible assets, respectively. Of the allocation of $103.9 million of total acquired other intangible assets, $31.9 million was assigned to trade names and $67.6 million was assigned to customer relationships. The trade names were determined to have indefinite useful lives, while the customer relationships’ average useful lives are 20 years.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225"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acquisitions listed above had occurred on January 1, 2017:</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4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Three Months Ended</w:t>
            </w: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3"/>
                <w:szCs w:val="13"/>
                <w:color w:val="auto"/>
              </w:rPr>
            </w:pPr>
          </w:p>
        </w:tc>
        <w:tc>
          <w:tcPr>
            <w:tcW w:w="146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March 31, 2017</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1,069,602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954,268</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312,817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280,966</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88,870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77,725</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As Reported</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0.77</w:t>
            </w:r>
          </w:p>
        </w:tc>
      </w:tr>
      <w:tr>
        <w:trPr>
          <w:trHeight w:val="270"/>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Pro forma</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0.81</w:t>
            </w:r>
          </w:p>
        </w:tc>
      </w:tr>
      <w:tr>
        <w:trPr>
          <w:trHeight w:val="486"/>
        </w:trPr>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80" w:type="dxa"/>
            <w:vAlign w:val="bottom"/>
          </w:tcPr>
          <w:p>
            <w:pPr>
              <w:jc w:val="right"/>
              <w:ind w:right="22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85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3"/>
                <w:szCs w:val="13"/>
                <w:color w:val="auto"/>
              </w:rPr>
            </w:pPr>
          </w:p>
        </w:tc>
        <w:tc>
          <w:tcPr>
            <w:tcW w:w="114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Raw materials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427,623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378,481</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182,370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167,390</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219,283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196,763</w:t>
            </w: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829,276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742,634</w:t>
            </w: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three months ended March 31, 2018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718,958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1,741,145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2,460,103</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14,482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28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42,894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44,296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730,298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1,798,521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2,528,819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firstLine="500"/>
        <w:spacing w:after="0" w:line="277" w:lineRule="auto"/>
        <w:rPr>
          <w:sz w:val="20"/>
          <w:szCs w:val="20"/>
          <w:color w:val="auto"/>
        </w:rPr>
      </w:pPr>
      <w:r>
        <w:rPr>
          <w:rFonts w:ascii="Arial" w:cs="Arial" w:eastAsia="Arial" w:hAnsi="Arial"/>
          <w:sz w:val="18"/>
          <w:szCs w:val="18"/>
          <w:color w:val="auto"/>
        </w:rPr>
        <w:t>As of March 31, 2018 and December 31, 2017, the Company’s trade names had a net carrying amount of $629.1 million and $603.4 million, respectively, and the Company believes these intangibles have indefinite lives.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Patents, non-compete and other intangibles, net of accumulated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amortization of $43,122 and $43,021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17,651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17,554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of $137,308 and $126,824</w:t>
            </w:r>
          </w:p>
        </w:tc>
        <w:tc>
          <w:tcPr>
            <w:tcW w:w="22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584,968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583,459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602,619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601,013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weighted average remaining useful life of patents, customer relationships and other intangibles were 10 years, 17 years and 15 years,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$10.4 million for the three months ended March 31, 2018, and $9.0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2017,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230"/>
        </w:trPr>
        <w:tc>
          <w:tcPr>
            <w:tcW w:w="5720" w:type="dxa"/>
            <w:vAlign w:val="bottom"/>
          </w:tcPr>
          <w:p>
            <w:pPr>
              <w:jc w:val="right"/>
              <w:ind w:right="4250"/>
              <w:spacing w:after="0"/>
              <w:rPr>
                <w:sz w:val="20"/>
                <w:szCs w:val="20"/>
                <w:color w:val="auto"/>
              </w:rPr>
            </w:pPr>
            <w:r>
              <w:rPr>
                <w:rFonts w:ascii="Arial" w:cs="Arial" w:eastAsia="Arial" w:hAnsi="Arial"/>
                <w:sz w:val="18"/>
                <w:szCs w:val="18"/>
                <w:color w:val="auto"/>
                <w:w w:val="88"/>
              </w:rPr>
              <w:t>Remainder of 2018</w:t>
            </w:r>
          </w:p>
        </w:tc>
        <w:tc>
          <w:tcPr>
            <w:tcW w:w="4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31,031</w:t>
            </w:r>
          </w:p>
        </w:tc>
      </w:tr>
      <w:tr>
        <w:trPr>
          <w:trHeight w:val="270"/>
        </w:trPr>
        <w:tc>
          <w:tcPr>
            <w:tcW w:w="5720" w:type="dxa"/>
            <w:vAlign w:val="bottom"/>
          </w:tcPr>
          <w:p>
            <w:pPr>
              <w:jc w:val="right"/>
              <w:ind w:right="5150"/>
              <w:spacing w:after="0"/>
              <w:rPr>
                <w:sz w:val="20"/>
                <w:szCs w:val="20"/>
                <w:color w:val="auto"/>
              </w:rPr>
            </w:pPr>
            <w:r>
              <w:rPr>
                <w:rFonts w:ascii="Arial" w:cs="Arial" w:eastAsia="Arial" w:hAnsi="Arial"/>
                <w:sz w:val="18"/>
                <w:szCs w:val="18"/>
                <w:color w:val="auto"/>
              </w:rPr>
              <w:t>2019</w:t>
            </w:r>
          </w:p>
        </w:tc>
        <w:tc>
          <w:tcPr>
            <w:tcW w:w="4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39,094</w:t>
            </w:r>
          </w:p>
        </w:tc>
      </w:tr>
      <w:tr>
        <w:trPr>
          <w:trHeight w:val="270"/>
        </w:trPr>
        <w:tc>
          <w:tcPr>
            <w:tcW w:w="5720" w:type="dxa"/>
            <w:vAlign w:val="bottom"/>
          </w:tcPr>
          <w:p>
            <w:pPr>
              <w:jc w:val="right"/>
              <w:ind w:right="5150"/>
              <w:spacing w:after="0"/>
              <w:rPr>
                <w:sz w:val="20"/>
                <w:szCs w:val="20"/>
                <w:color w:val="auto"/>
              </w:rPr>
            </w:pPr>
            <w:r>
              <w:rPr>
                <w:rFonts w:ascii="Arial" w:cs="Arial" w:eastAsia="Arial" w:hAnsi="Arial"/>
                <w:sz w:val="18"/>
                <w:szCs w:val="18"/>
                <w:color w:val="auto"/>
              </w:rPr>
              <w:t>2020</w:t>
            </w:r>
          </w:p>
        </w:tc>
        <w:tc>
          <w:tcPr>
            <w:tcW w:w="4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36,829</w:t>
            </w:r>
          </w:p>
        </w:tc>
      </w:tr>
      <w:tr>
        <w:trPr>
          <w:trHeight w:val="270"/>
        </w:trPr>
        <w:tc>
          <w:tcPr>
            <w:tcW w:w="5720" w:type="dxa"/>
            <w:vAlign w:val="bottom"/>
          </w:tcPr>
          <w:p>
            <w:pPr>
              <w:jc w:val="right"/>
              <w:ind w:right="5150"/>
              <w:spacing w:after="0"/>
              <w:rPr>
                <w:sz w:val="20"/>
                <w:szCs w:val="20"/>
                <w:color w:val="auto"/>
              </w:rPr>
            </w:pPr>
            <w:r>
              <w:rPr>
                <w:rFonts w:ascii="Arial" w:cs="Arial" w:eastAsia="Arial" w:hAnsi="Arial"/>
                <w:sz w:val="18"/>
                <w:szCs w:val="18"/>
                <w:color w:val="auto"/>
              </w:rPr>
              <w:t>2021</w:t>
            </w:r>
          </w:p>
        </w:tc>
        <w:tc>
          <w:tcPr>
            <w:tcW w:w="4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36,059</w:t>
            </w:r>
          </w:p>
        </w:tc>
      </w:tr>
      <w:tr>
        <w:trPr>
          <w:trHeight w:val="270"/>
        </w:trPr>
        <w:tc>
          <w:tcPr>
            <w:tcW w:w="5720" w:type="dxa"/>
            <w:vAlign w:val="bottom"/>
          </w:tcPr>
          <w:p>
            <w:pPr>
              <w:jc w:val="right"/>
              <w:ind w:right="5150"/>
              <w:spacing w:after="0"/>
              <w:rPr>
                <w:sz w:val="20"/>
                <w:szCs w:val="20"/>
                <w:color w:val="auto"/>
              </w:rPr>
            </w:pPr>
            <w:r>
              <w:rPr>
                <w:rFonts w:ascii="Arial" w:cs="Arial" w:eastAsia="Arial" w:hAnsi="Arial"/>
                <w:sz w:val="18"/>
                <w:szCs w:val="18"/>
                <w:color w:val="auto"/>
              </w:rPr>
              <w:t>2022</w:t>
            </w:r>
          </w:p>
        </w:tc>
        <w:tc>
          <w:tcPr>
            <w:tcW w:w="4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contract assets and contract liabilities for the three months ended March 31, 2018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w w:val="96"/>
              </w:rPr>
              <w:t>Contract Assets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Balance at beginning of year</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366,168</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Recognized in current year</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49,414</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Reclassified to accounts receivable</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(39,375)</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Foreign currency impact</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Balance at March 31, 2018</w:t>
            </w:r>
          </w:p>
        </w:tc>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382,780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84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Balance at beginning of year</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Recognized in current year</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Amounts in beginning balance reclassified to revenue</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(29,297)</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Current year amounts reclassified to revenue</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Foreign currency impact</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Balance at March 31, 2018</w:t>
            </w:r>
          </w:p>
        </w:tc>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464,291</w:t>
            </w:r>
          </w:p>
        </w:tc>
        <w:tc>
          <w:tcPr>
            <w:tcW w:w="0" w:type="dxa"/>
            <w:vAlign w:val="bottom"/>
          </w:tcPr>
          <w:p>
            <w:pPr>
              <w:spacing w:after="0"/>
              <w:rPr>
                <w:sz w:val="1"/>
                <w:szCs w:val="1"/>
                <w:color w:val="auto"/>
              </w:rPr>
            </w:pPr>
          </w:p>
        </w:tc>
      </w:tr>
      <w:tr>
        <w:trPr>
          <w:trHeight w:val="20"/>
        </w:trPr>
        <w:tc>
          <w:tcPr>
            <w:tcW w:w="4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840" w:type="dxa"/>
            <w:vAlign w:val="bottom"/>
            <w:gridSpan w:val="4"/>
            <w:vMerge w:val="continue"/>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800" w:type="dxa"/>
            <w:vAlign w:val="bottom"/>
            <w:gridSpan w:val="3"/>
          </w:tcPr>
          <w:p>
            <w:pPr>
              <w:ind w:left="460"/>
              <w:spacing w:after="0"/>
              <w:rPr>
                <w:sz w:val="20"/>
                <w:szCs w:val="20"/>
                <w:color w:val="auto"/>
              </w:rPr>
            </w:pPr>
            <w:r>
              <w:rPr>
                <w:rFonts w:ascii="Arial" w:cs="Arial" w:eastAsia="Arial" w:hAnsi="Arial"/>
                <w:sz w:val="18"/>
                <w:szCs w:val="18"/>
                <w:color w:val="auto"/>
              </w:rPr>
              <w:t>Long-term debt consisted of the following:</w:t>
            </w: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w w:val="86"/>
              </w:rPr>
              <w:t>In thousands</w:t>
            </w:r>
          </w:p>
        </w:tc>
        <w:tc>
          <w:tcPr>
            <w:tcW w:w="39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39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112"/>
              <w:spacing w:after="0" w:line="12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52"/>
              <w:spacing w:after="0" w:line="12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8"/>
        </w:trPr>
        <w:tc>
          <w:tcPr>
            <w:tcW w:w="4840" w:type="dxa"/>
            <w:vAlign w:val="bottom"/>
            <w:gridSpan w:val="4"/>
            <w:vMerge w:val="restart"/>
          </w:tcPr>
          <w:p>
            <w:pPr>
              <w:ind w:left="40"/>
              <w:spacing w:after="0"/>
              <w:rPr>
                <w:sz w:val="20"/>
                <w:szCs w:val="20"/>
                <w:color w:val="auto"/>
              </w:rPr>
            </w:pPr>
            <w:r>
              <w:rPr>
                <w:rFonts w:ascii="Arial" w:cs="Arial" w:eastAsia="Arial" w:hAnsi="Arial"/>
                <w:sz w:val="18"/>
                <w:szCs w:val="18"/>
                <w:color w:val="auto"/>
              </w:rPr>
              <w:t>3.45% Senior Notes, due 2026, net of unamortized debt</w:t>
            </w:r>
          </w:p>
        </w:tc>
        <w:tc>
          <w:tcPr>
            <w:tcW w:w="37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840" w:type="dxa"/>
            <w:vAlign w:val="bottom"/>
            <w:gridSpan w:val="4"/>
            <w:vMerge w:val="continue"/>
          </w:tcPr>
          <w:p>
            <w:pPr>
              <w:spacing w:after="0"/>
              <w:rPr>
                <w:sz w:val="18"/>
                <w:szCs w:val="18"/>
                <w:color w:val="auto"/>
              </w:rPr>
            </w:pP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issuance costs of $2,279 and $2,345</w:t>
            </w:r>
          </w:p>
        </w:tc>
        <w:tc>
          <w:tcPr>
            <w:tcW w:w="3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747,721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747,655</w:t>
            </w:r>
          </w:p>
        </w:tc>
        <w:tc>
          <w:tcPr>
            <w:tcW w:w="0" w:type="dxa"/>
            <w:vAlign w:val="bottom"/>
          </w:tcPr>
          <w:p>
            <w:pPr>
              <w:spacing w:after="0"/>
              <w:rPr>
                <w:sz w:val="1"/>
                <w:szCs w:val="1"/>
                <w:color w:val="auto"/>
              </w:rPr>
            </w:pPr>
          </w:p>
        </w:tc>
      </w:tr>
      <w:tr>
        <w:trPr>
          <w:trHeight w:val="256"/>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4.375% Senior Notes, due 2023, net of unamortized</w:t>
            </w:r>
          </w:p>
        </w:tc>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discount and debt issuance costs of $1,369 and $1,433</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248,631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248,567</w:t>
            </w:r>
          </w:p>
        </w:tc>
        <w:tc>
          <w:tcPr>
            <w:tcW w:w="0" w:type="dxa"/>
            <w:vAlign w:val="bottom"/>
          </w:tcPr>
          <w:p>
            <w:pPr>
              <w:spacing w:after="0"/>
              <w:rPr>
                <w:sz w:val="1"/>
                <w:szCs w:val="1"/>
                <w:color w:val="auto"/>
              </w:rPr>
            </w:pPr>
          </w:p>
        </w:tc>
      </w:tr>
      <w:tr>
        <w:trPr>
          <w:trHeight w:val="256"/>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Revolving Credit Facility, net of unamortized</w:t>
            </w:r>
          </w:p>
        </w:tc>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debt issuance costs of $2,122 and $2,451</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900,509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853,124</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Schuldschein Loan</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12,321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Other Borrowings</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10,565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70"/>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Capital Leases</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0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1,920,633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1,870,528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00" w:type="dxa"/>
            <w:vAlign w:val="bottom"/>
            <w:gridSpan w:val="3"/>
          </w:tcPr>
          <w:p>
            <w:pPr>
              <w:ind w:left="480"/>
              <w:spacing w:after="0"/>
              <w:rPr>
                <w:sz w:val="20"/>
                <w:szCs w:val="20"/>
                <w:color w:val="auto"/>
              </w:rPr>
            </w:pPr>
            <w:r>
              <w:rPr>
                <w:rFonts w:ascii="Arial" w:cs="Arial" w:eastAsia="Arial" w:hAnsi="Arial"/>
                <w:sz w:val="18"/>
                <w:szCs w:val="18"/>
                <w:color w:val="auto"/>
              </w:rPr>
              <w:t>Less - current portion</w:t>
            </w:r>
          </w:p>
        </w:tc>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49,557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800" w:type="dxa"/>
            <w:vAlign w:val="bottom"/>
            <w:gridSpan w:val="3"/>
          </w:tcPr>
          <w:p>
            <w:pPr>
              <w:ind w:left="480"/>
              <w:spacing w:after="0"/>
              <w:rPr>
                <w:sz w:val="20"/>
                <w:szCs w:val="20"/>
                <w:color w:val="auto"/>
              </w:rPr>
            </w:pPr>
            <w:r>
              <w:rPr>
                <w:rFonts w:ascii="Arial" w:cs="Arial" w:eastAsia="Arial" w:hAnsi="Arial"/>
                <w:sz w:val="18"/>
                <w:szCs w:val="18"/>
                <w:color w:val="auto"/>
              </w:rPr>
              <w:t>Long-term portion</w:t>
            </w:r>
          </w:p>
        </w:tc>
        <w:tc>
          <w:tcPr>
            <w:tcW w:w="3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1,871,076</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1,823,303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40" w:type="dxa"/>
            <w:vAlign w:val="bottom"/>
            <w:vMerge w:val="restart"/>
          </w:tcPr>
          <w:p>
            <w:pPr>
              <w:jc w:val="right"/>
              <w:ind w:right="269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7"/>
          <w:szCs w:val="17"/>
          <w:color w:val="auto"/>
        </w:rPr>
        <w:t>Wabtec's acquisition of the controlling stake of Faiveley Transport triggered the early repayment of a syndicated loan and the mandatory offer to</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investors to repay the U.S. and Schuldschein private placements. Both the syndicated loan and U.S. private placements were repaid in full in December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November 3, 2016,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6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63"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58" w:lineRule="exact"/>
        <w:rPr>
          <w:sz w:val="20"/>
          <w:szCs w:val="20"/>
          <w:color w:val="auto"/>
        </w:rPr>
      </w:pPr>
    </w:p>
    <w:p>
      <w:pPr>
        <w:ind w:right="120" w:firstLine="500"/>
        <w:spacing w:after="0" w:line="255" w:lineRule="auto"/>
        <w:rPr>
          <w:sz w:val="20"/>
          <w:szCs w:val="20"/>
          <w:color w:val="auto"/>
        </w:rPr>
      </w:pPr>
      <w:r>
        <w:rPr>
          <w:rFonts w:ascii="Arial" w:cs="Arial" w:eastAsia="Arial" w:hAnsi="Arial"/>
          <w:sz w:val="18"/>
          <w:szCs w:val="18"/>
          <w:color w:val="auto"/>
        </w:rPr>
        <w:t>On June 22, 2016, the Company amended and restated its existing revolving credit facility with a consortium of commercial banks. The “2016 Refinancing Credit Agreement” provides the Company with a $1.2 billion, five years revolving credit facility and a $400.0 million delayed draw term loan (the “Term Loan”). The Company incurred approximately $3.3 million of deferred financing costs related to the 2016 Refinancing Credit Agreement. The facility expires on June 22, 2021. The 2016 Refinancing Credit Agreement borrowings bear variable interest rates indexed as described below. At March 31, 2018, the Company had available bank borrowing capacity, net of $34.8 million of letters of credit, of approximately $622.5 million, subject to certain financial covenant restrictions.</w:t>
      </w:r>
    </w:p>
    <w:p>
      <w:pPr>
        <w:spacing w:after="0" w:line="85"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Term Loan was initially drawn on November 25, 2016. The Company incurred a 10 basis point commitment fee from June 22, 2016 until the initial draw.</w:t>
      </w:r>
    </w:p>
    <w:p>
      <w:pPr>
        <w:spacing w:after="0" w:line="62"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Under the 2016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EBITDA ratios. The initial Base Rate margin is 0 basis points and the Alternate Rate margin is 175 basis points.</w:t>
      </w:r>
    </w:p>
    <w:p>
      <w:pPr>
        <w:spacing w:after="0" w:line="81"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color w:val="auto"/>
        </w:rPr>
        <w:t>At March 31, 2018, the weighted average interest rate on the Company’s variable rate debt was 3.21%. On January 12, 2012, the Company entered into a forward starting interest rate swap agreement with a notional value of $150.0 million.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right="40"/>
        <w:spacing w:after="0" w:line="289" w:lineRule="auto"/>
        <w:rPr>
          <w:sz w:val="20"/>
          <w:szCs w:val="20"/>
          <w:color w:val="auto"/>
        </w:rPr>
      </w:pPr>
      <w:r>
        <w:rPr>
          <w:rFonts w:ascii="Arial" w:cs="Arial" w:eastAsia="Arial" w:hAnsi="Arial"/>
          <w:sz w:val="16"/>
          <w:szCs w:val="16"/>
          <w:color w:val="auto"/>
        </w:rPr>
        <w:t>effective date of the interest rate swap agreement was July 31, 2013, and the termination date was November 7, 2016. The impact of the interest rate swap agreement converted a portion of the Company’s outstanding debt from a variable rate to a fixed-rate borrowing. During the term of the interest rate swap agreement the interest rate on the notional value was fixed at 1.415% plus the Alternate Rate margin. On June 5, 2014, the Company entered into a forward starting interest rate swap agreement with a notional value of $150.0 million. The effective date of the interest rate swap agreement was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these agreements,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5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EBITDA ratio of 3.25. The Company is in compliance with the restrictions and covenants of the 2016 Refinancing Credit Agreement and does not expect that these measurements will limit the Company in executing its operating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Schuldschein Loan, Due 2024</w:t>
      </w:r>
    </w:p>
    <w:p>
      <w:pPr>
        <w:spacing w:after="0" w:line="117"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In conjunction with the acquisition of Faiveley Transport, Wabtec acquired $137.2 million of a Schuldschein private placement loan which was originally issued by Faiveley Transport on March 5, 2014 in Germany, in which approximately 20 international investors participated. This loan is denominated in euros. Subsequent to the acquisition of Faiveley Transport, the Company repaid $125.8 million of the outstanding Schuldshein loan. The remaining balance of $12.3 million as of March 31, 2018 matures on March 5, 2024 and bears a fixed rate of 4.00%.</w:t>
      </w:r>
    </w:p>
    <w:p>
      <w:pPr>
        <w:spacing w:after="0" w:line="17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Schuldschein loan is senior unsecured and ranks pari passu with all existing and future senior debt and senior to all existing and future subordinated indebtedness of the Company. The Schuldshein loan agreement contains covenants and undertakings which limit, among other things, the following: factoring of receivables, the incurrence of indebtedness, sale of assets, change of control, mergers and consolidations and incurrence of liens. At March 31, 2018, the Company is in compliance with the undertakings and covenants contained in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76" w:right="299" w:bottom="1440" w:gutter="0" w:footer="0" w:header="0"/>
        </w:sectPr>
      </w:pPr>
    </w:p>
    <w:bookmarkStart w:id="18" w:name="page19"/>
    <w:bookmarkEnd w:id="18"/>
    <w:p>
      <w:pPr>
        <w:ind w:right="874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80" w:firstLine="500"/>
        <w:spacing w:after="0" w:line="277" w:lineRule="auto"/>
        <w:rPr>
          <w:sz w:val="20"/>
          <w:szCs w:val="20"/>
          <w:color w:val="auto"/>
        </w:rPr>
      </w:pPr>
      <w:r>
        <w:rPr>
          <w:rFonts w:ascii="Arial" w:cs="Arial" w:eastAsia="Arial" w:hAnsi="Arial"/>
          <w:sz w:val="18"/>
          <w:szCs w:val="18"/>
          <w:color w:val="auto"/>
        </w:rPr>
        <w:t>The Company sponsors defined benefit pension plans that cover certain U.S., Canadian, German and United Kingdom employees and which provide benefits of stated amounts for each year of service of the employee.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the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7"/>
              </w:rPr>
              <w:t>U.S.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21"/>
                <w:szCs w:val="21"/>
                <w:color w:val="auto"/>
              </w:rPr>
            </w:pPr>
          </w:p>
        </w:tc>
        <w:tc>
          <w:tcPr>
            <w:tcW w:w="25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 except percentages</w:t>
            </w:r>
          </w:p>
        </w:tc>
        <w:tc>
          <w:tcPr>
            <w:tcW w:w="3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amortization/deferrals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Net periodic benefit cost (credit)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Assumptions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Discount Rate</w:t>
            </w:r>
          </w:p>
        </w:tc>
        <w:tc>
          <w:tcPr>
            <w:tcW w:w="28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Expected long-term rate of return</w:t>
            </w:r>
          </w:p>
        </w:tc>
        <w:tc>
          <w:tcPr>
            <w:tcW w:w="28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Rate of compensation increase</w:t>
            </w:r>
          </w:p>
        </w:tc>
        <w:tc>
          <w:tcPr>
            <w:tcW w:w="28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500"/>
        <w:spacing w:after="0" w:line="308" w:lineRule="auto"/>
        <w:rPr>
          <w:sz w:val="20"/>
          <w:szCs w:val="20"/>
          <w:color w:val="auto"/>
        </w:rPr>
      </w:pPr>
      <w:r>
        <w:rPr>
          <w:rFonts w:ascii="Arial" w:cs="Arial" w:eastAsia="Arial" w:hAnsi="Arial"/>
          <w:sz w:val="17"/>
          <w:szCs w:val="17"/>
          <w:color w:val="auto"/>
        </w:rPr>
        <w:t>The Company’s funding methods are based on governmental requirements and differ from those methods used to recognize pension expense. The Company expects to contribute $7.3 million and $0.0 million to the international and U.S. plans, respectively, during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Retirement Benefit Plans</w:t>
      </w:r>
    </w:p>
    <w:p>
      <w:pPr>
        <w:spacing w:after="0" w:line="121"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all post retirement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7"/>
              </w:rPr>
              <w:t>U.S.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21"/>
                <w:szCs w:val="21"/>
                <w:color w:val="auto"/>
              </w:rPr>
            </w:pPr>
          </w:p>
        </w:tc>
        <w:tc>
          <w:tcPr>
            <w:tcW w:w="25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 except percentages</w:t>
            </w:r>
          </w:p>
        </w:tc>
        <w:tc>
          <w:tcPr>
            <w:tcW w:w="36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amortization/deferrals</w:t>
            </w:r>
          </w:p>
        </w:tc>
        <w:tc>
          <w:tcPr>
            <w:tcW w:w="32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Net periodic benefit cost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486"/>
        </w:trPr>
        <w:tc>
          <w:tcPr>
            <w:tcW w:w="19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100" w:firstLine="500"/>
        <w:spacing w:after="0" w:line="297" w:lineRule="auto"/>
        <w:rPr>
          <w:sz w:val="20"/>
          <w:szCs w:val="20"/>
          <w:color w:val="auto"/>
        </w:rPr>
      </w:pPr>
      <w:r>
        <w:rPr>
          <w:rFonts w:ascii="Arial" w:cs="Arial" w:eastAsia="Arial" w:hAnsi="Arial"/>
          <w:sz w:val="16"/>
          <w:szCs w:val="16"/>
          <w:color w:val="auto"/>
        </w:rPr>
        <w:t>As of March 31, 2018,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provides a maximum of 3,800,000 shares for grants or awards, plus any shares which remain available under the 2000 Plan. The amendment and restatement of the 2011 Plan was approved by stockholders of Wabtec on May 10, 2017. The Company also maintains a 1995 Non-Employee Directors’ Fee and Stock Option Plan as amended and restated (“the Directors Plan”).</w:t>
      </w:r>
    </w:p>
    <w:p>
      <w:pPr>
        <w:spacing w:after="0" w:line="158"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Stock-based compensation expense was $5.7 million and $5.7 million for the three months ended March 31, 2018 and 2017, respectively. Included in stock-based compensation expense for the three months ended March 31, 2018 is $0.4 million of expense related to stock options, $0.7 million related to restricted stock, $1.5 million related to restricted stock units, $2.7 million related to incentive stock units and $0.4 million related to units issued for Directors’ fees. At March 31, 2018, unamortized compensation expense related to stock options, non-vested restricted shares and incentive stock units expected to vest totaled $46.2 million.</w:t>
      </w:r>
    </w:p>
    <w:p>
      <w:pPr>
        <w:spacing w:after="0" w:line="188"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on the date of grant. Under the 2011 Plan and the 2000 Plan, options become exercisable over a four-year vesting period and expire 10 years from the date of grant.</w:t>
      </w:r>
    </w:p>
    <w:p>
      <w:pPr>
        <w:spacing w:after="0" w:line="181"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three months ended March 31, 2018:</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983,512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40,137</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62,020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(154,418)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(12,866)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Outstanding at March 31, 2018</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878,248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30,791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Exercisable at March 31, 2018</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711,207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29,714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108"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43"/>
        </w:trPr>
        <w:tc>
          <w:tcPr>
            <w:tcW w:w="9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0.33%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2.70%</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Stock price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21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Plan and 2000 Plan, eligible employees are granted restricted stock that generally vests over four years from the date of grant. Under the Directors Plan, restricted stock units vest one year from the date of grant.</w:t>
      </w:r>
    </w:p>
    <w:p>
      <w:pPr>
        <w:spacing w:after="0" w:line="181"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In addition, the Company has issued incentive stock units to eligible employees that vest upon attainment of certain cumulative three-year performance goals. Based on the Company’s performance for each three-year period then ended,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ind w:right="140"/>
        <w:spacing w:after="0" w:line="272" w:lineRule="auto"/>
        <w:rPr>
          <w:sz w:val="20"/>
          <w:szCs w:val="20"/>
          <w:color w:val="auto"/>
        </w:rPr>
      </w:pPr>
      <w:r>
        <w:rPr>
          <w:rFonts w:ascii="Arial" w:cs="Arial" w:eastAsia="Arial" w:hAnsi="Arial"/>
          <w:sz w:val="17"/>
          <w:szCs w:val="17"/>
          <w:color w:val="auto"/>
        </w:rPr>
        <w:t>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March 31, 2018, the Company estimates that it will achieve 73%, 90% and 100% for the incentive stock awards expected to vest based on performance for the three-year periods ending December 31, 2018, 2019, and 2020, respectively, and has recorded incentive compensation expense accordingly. If our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78"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170" w:lineRule="exact"/>
        <w:rPr>
          <w:sz w:val="20"/>
          <w:szCs w:val="20"/>
          <w:color w:val="auto"/>
        </w:rPr>
      </w:pPr>
    </w:p>
    <w:p>
      <w:pPr>
        <w:ind w:right="500" w:firstLine="500"/>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the Directors Plan, and incentive stock units activity for the 2011 Plan and the 2000 Plan with related information for the three months ended March 31, 2018:</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399,000</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327,333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188,570</w:t>
            </w:r>
          </w:p>
        </w:tc>
        <w:tc>
          <w:tcPr>
            <w:tcW w:w="12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172,400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(104,405)</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(93,312)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26,056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(10,367)</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Outstanding at March 31, 2018</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472,798</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418,877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requiring a one-time transition tax on certain unrepatriated earnings of foreign subsidiaries that is payable over eight years (the "Transition Tax"), a reduction of the U.S. federal corporate tax rate from 35% to 21%, repeals the Domestic Manufacturing Deduction, a general elimination of U.S. federal income taxes on dividends from foreign subsidiaries, new provisions designed to tax global intangible low-taxed income ("GILTI"), tax certain deductible base erosion payments called base erosion and anti-abuse tax (“BEAT”), and new interest expense limitation provisions.</w:t>
      </w:r>
    </w:p>
    <w:p>
      <w:pPr>
        <w:spacing w:after="0" w:line="193"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In relation to the initial analysis of the impact of the all tax law changes at December 31, 2017, the Company recorded a net tax expense of $4.3 million. This includes a provisional expense for the U.S tax reform bill of $55.0 million, as well as a net benefit for the revaluation of deferred tax assets and liabilities of $50.7 million.</w:t>
      </w:r>
    </w:p>
    <w:p>
      <w:pPr>
        <w:spacing w:after="0" w:line="181"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The Company has not completed its accounting for the income tax effects of the Tax Act. Where the Company has been able to make reasonable estimates of the effects for which its analysis is not yet complete, the Company has recorded provisional amounts in accordance with SEC Staff Accounting Bulletin No. 118. 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Tax Act.</w:t>
      </w:r>
    </w:p>
    <w:p>
      <w:pPr>
        <w:spacing w:after="0" w:line="188"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Company's accounting for the following impacted areas of the Tax Act is incomplete. However, the Company was able to make reasonable estimates of certain effects and, therefore, has recorded provisional amounts as follows:</w:t>
      </w:r>
    </w:p>
    <w:p>
      <w:pPr>
        <w:spacing w:after="0" w:line="1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Revaluation of deferred tax assets and liabilities: The Tax Act reduces the U.S. federal corporate tax rate from 35% to 21% for tax years beginning after December 31, 2017. In addition, the Tax Act makes certain changes to the depreciation rules and implements new limits on the deductibility of certain executive compensation. The Company has evaluated these changes and has recorded a provisional benefit to net deferred taxes of $24.6 million at December 31, 2017. The Company is still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180"/>
        <w:spacing w:after="0" w:line="277" w:lineRule="auto"/>
        <w:rPr>
          <w:sz w:val="20"/>
          <w:szCs w:val="20"/>
          <w:color w:val="auto"/>
        </w:rPr>
      </w:pPr>
      <w:r>
        <w:rPr>
          <w:rFonts w:ascii="Arial" w:cs="Arial" w:eastAsia="Arial" w:hAnsi="Arial"/>
          <w:sz w:val="18"/>
          <w:szCs w:val="18"/>
          <w:color w:val="auto"/>
        </w:rPr>
        <w:t>completing its calculation of the impact of these changes on its deferred tax balances. No adjustment to this provision was made in the period ending March 31, 2018.</w:t>
      </w:r>
    </w:p>
    <w:p>
      <w:pPr>
        <w:spacing w:after="0" w:line="170"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Transition Tax on unrepatriated foreign earnings: The Transition Tax on unrepatriated foreign earnings is a tax on previously untaxed accumulated and current earnings and profits ("E&amp;P") of the Company's foreign subsidiaries. To determine the amount of the Transition Tax, the Company must determine, among other factors, the amount of post-1986 E&amp;P of its foreign subsidiaries, as well as the amount of non-U.S. income taxes paid on such earnings. The Company was able to make a reasonable estimate of the Transition Tax and has recorded a provisional Transition Tax expense of $51.8 million at December 31, 2017. The Company is continuing to gather additional information to more precisely compute the amount of the Transition Tax to complete its calculation of E&amp;P as well as the final determination of non-U.S. income taxes paid. No adjustment to this provision was made in the period ending March 31, 2018.</w:t>
      </w:r>
    </w:p>
    <w:p>
      <w:pPr>
        <w:spacing w:after="0" w:line="189" w:lineRule="exact"/>
        <w:rPr>
          <w:sz w:val="20"/>
          <w:szCs w:val="20"/>
          <w:color w:val="auto"/>
        </w:rPr>
      </w:pPr>
    </w:p>
    <w:p>
      <w:pPr>
        <w:ind w:right="160" w:firstLine="500"/>
        <w:spacing w:after="0" w:line="273" w:lineRule="auto"/>
        <w:rPr>
          <w:sz w:val="20"/>
          <w:szCs w:val="20"/>
          <w:color w:val="auto"/>
        </w:rPr>
      </w:pPr>
      <w:r>
        <w:rPr>
          <w:rFonts w:ascii="Arial" w:cs="Arial" w:eastAsia="Arial" w:hAnsi="Arial"/>
          <w:sz w:val="17"/>
          <w:szCs w:val="17"/>
          <w:color w:val="auto"/>
        </w:rPr>
        <w:t>Global intangible low taxed income: The Tax Act created a new requirement that certain income (i.e., GILTI) earned by foreign subsidiaries must be included currently in the gross income of the U.S. shareholder. Under U.S. GAAP, the Company is permitted to make an accounting policy election to either treat taxes due on future inclusions in U.S. taxable income related to GILTI as a current-period expense when incurred or to factor such amounts into the Company's measurement of its deferred taxes. The Company has made the election to treat taxes due on future inclusions related to GILTI as current period expense. The Company was able to make reasonable estimates to calculate a provision that is included in the current period expense. The Company will continue to evaluate and update this provision and the application of ASC 740.</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overall effective tax rate was 23.0% and 27.6% for the three months ended March 31, 2018 and 2017.</w:t>
      </w:r>
    </w:p>
    <w:p>
      <w:pPr>
        <w:spacing w:after="0" w:line="225"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As of March 31, 2018 and December 31, 2017, the liability for income taxes associated with uncertain tax positions was $6.9 million, of which $4.4 million, if recognized, would favorably affect the Company’s effective tax rate.</w:t>
      </w:r>
    </w:p>
    <w:p>
      <w:pPr>
        <w:spacing w:after="0" w:line="170"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As of March 31, 2018, the total accrued interest and penalties are $0.8 million and $0.1 million, respectively. As of December 31, 2017, the total accrued interest and penalties were $0.7 million and $0.1 million, respectively.</w:t>
      </w:r>
    </w:p>
    <w:p>
      <w:pPr>
        <w:spacing w:after="0" w:line="181"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$5.2 million may change within the next 12 months due to the expiration of statutory review periods and current examinations. With limited exceptions, the Company is no longer subject to examination by various U.S. and foreign taxing authorities for years before 2014.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63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6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88,366</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73,889</w:t>
            </w: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(11,531)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(9,572)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76,835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64,317</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76,604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64,124</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11,497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and diluted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88,101</w:t>
            </w:r>
          </w:p>
        </w:tc>
        <w:tc>
          <w:tcPr>
            <w:tcW w:w="120" w:type="dxa"/>
            <w:vAlign w:val="bottom"/>
          </w:tcPr>
          <w:p>
            <w:pPr>
              <w:spacing w:after="0"/>
              <w:rPr>
                <w:sz w:val="18"/>
                <w:szCs w:val="18"/>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73,666</w:t>
            </w:r>
          </w:p>
        </w:tc>
        <w:tc>
          <w:tcPr>
            <w:tcW w:w="0" w:type="dxa"/>
            <w:vAlign w:val="bottom"/>
          </w:tcPr>
          <w:p>
            <w:pPr>
              <w:spacing w:after="0"/>
              <w:rPr>
                <w:sz w:val="1"/>
                <w:szCs w:val="1"/>
                <w:color w:val="auto"/>
              </w:rPr>
            </w:pPr>
          </w:p>
        </w:tc>
      </w:tr>
      <w:tr>
        <w:trPr>
          <w:trHeight w:val="242"/>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95,810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95,243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common share -</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96,371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95,991</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95,810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95,243</w:t>
            </w:r>
          </w:p>
        </w:tc>
        <w:tc>
          <w:tcPr>
            <w:tcW w:w="0" w:type="dxa"/>
            <w:vAlign w:val="bottom"/>
          </w:tcPr>
          <w:p>
            <w:pPr>
              <w:spacing w:after="0"/>
              <w:rPr>
                <w:sz w:val="1"/>
                <w:szCs w:val="1"/>
                <w:color w:val="auto"/>
              </w:rPr>
            </w:pPr>
          </w:p>
        </w:tc>
      </w:tr>
      <w:tr>
        <w:trPr>
          <w:trHeight w:val="256"/>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96,091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95,544</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63" w:gutter="0" w:footer="0" w:header="0"/>
        </w:sectPr>
      </w:pPr>
    </w:p>
    <w:bookmarkStart w:id="22" w:name="page23"/>
    <w:bookmarkEnd w:id="22"/>
    <w:p>
      <w:pPr>
        <w:jc w:val="both"/>
        <w:ind w:right="160" w:firstLine="500"/>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100330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4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153,063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138,992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11,677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Foreign currency impact/other</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4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157,571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137,666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60" w:type="dxa"/>
            <w:vAlign w:val="bottom"/>
            <w:vMerge w:val="restart"/>
          </w:tcPr>
          <w:p>
            <w:pPr>
              <w:jc w:val="right"/>
              <w:ind w:right="2690"/>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229"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months ended March 31, 2018 and March 31, 2017, the amounts reclassified into income were not material.</w:t>
      </w:r>
    </w:p>
    <w:p>
      <w:pPr>
        <w:spacing w:after="0" w:line="165"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$0.2 million for the three months ended March 31, 2018. These contracts are scheduled to mature within one year.</w:t>
      </w:r>
    </w:p>
    <w:p>
      <w:pPr>
        <w:spacing w:after="0" w:line="15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March 31, 2018.</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7"/>
                <w:szCs w:val="17"/>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1,245.1</w:t>
            </w:r>
          </w:p>
        </w:tc>
      </w:tr>
      <w:tr>
        <w:trPr>
          <w:trHeight w:val="392"/>
        </w:trPr>
        <w:tc>
          <w:tcPr>
            <w:tcW w:w="70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2017.</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805.1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1,184.8</w:t>
            </w:r>
          </w:p>
        </w:tc>
      </w:tr>
      <w:tr>
        <w:trPr>
          <w:trHeight w:val="392"/>
        </w:trPr>
        <w:tc>
          <w:tcPr>
            <w:tcW w:w="70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uses interest rate swaps to manage interest rate exposures. The Company is exposed to interest rate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Refer to footnote 14 for further information on interest rate swaps.</w:t>
      </w:r>
    </w:p>
    <w:p>
      <w:pPr>
        <w:spacing w:after="0" w:line="202"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color w:val="auto"/>
        </w:rPr>
        <w:t>As of March 31, 2018, the Company has recorded a current liability of $0.5 million and an accumulated other comprehensive loss of $0.4 million, net of tax, related to these agreements</w:t>
      </w:r>
      <w:r>
        <w:rPr>
          <w:rFonts w:ascii="Arial" w:cs="Arial" w:eastAsia="Arial" w:hAnsi="Arial"/>
          <w:sz w:val="19"/>
          <w:szCs w:val="19"/>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360" w:firstLine="500"/>
        <w:spacing w:after="0" w:line="264"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absence of a principal market, the most advantageous market for the asset or liability and defines fair value based upon an exit price model.</w:t>
      </w:r>
    </w:p>
    <w:p>
      <w:pPr>
        <w:spacing w:after="0" w:line="225"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March 31, 2018, which are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center"/>
              <w:ind w:left="103"/>
              <w:spacing w:after="0"/>
              <w:rPr>
                <w:sz w:val="20"/>
                <w:szCs w:val="20"/>
                <w:color w:val="auto"/>
              </w:rPr>
            </w:pPr>
            <w:r>
              <w:rPr>
                <w:rFonts w:ascii="Arial" w:cs="Arial" w:eastAsia="Arial" w:hAnsi="Arial"/>
                <w:sz w:val="14"/>
                <w:szCs w:val="14"/>
                <w:b w:val="1"/>
                <w:bCs w:val="1"/>
                <w:color w:val="auto"/>
                <w:w w:val="94"/>
              </w:rPr>
              <w:t>Fair Value Measurements at March 31, 2018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128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9"/>
              </w:rPr>
              <w:t>Inputs</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9"/>
                <w:szCs w:val="9"/>
                <w:color w:val="auto"/>
              </w:rPr>
            </w:pPr>
          </w:p>
        </w:tc>
        <w:tc>
          <w:tcPr>
            <w:tcW w:w="13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6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2"/>
                <w:szCs w:val="22"/>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2017, which is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2"/>
              </w:rPr>
              <w:t>Fair Value Measurements at December 31, 2017 Using</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34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3"/>
                <w:szCs w:val="13"/>
                <w:color w:val="auto"/>
              </w:rPr>
            </w:pPr>
          </w:p>
        </w:tc>
        <w:tc>
          <w:tcPr>
            <w:tcW w:w="138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3"/>
                <w:szCs w:val="13"/>
                <w:color w:val="auto"/>
              </w:rPr>
            </w:pPr>
          </w:p>
        </w:tc>
        <w:tc>
          <w:tcPr>
            <w:tcW w:w="134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54"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March 31, 2018 and December 31, 2017.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March 31, 2018</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7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Carry</w:t>
            </w:r>
          </w:p>
        </w:tc>
        <w:tc>
          <w:tcPr>
            <w:tcW w:w="460" w:type="dxa"/>
            <w:vAlign w:val="bottom"/>
          </w:tcPr>
          <w:p>
            <w:pPr>
              <w:spacing w:after="0"/>
              <w:rPr>
                <w:sz w:val="13"/>
                <w:szCs w:val="13"/>
                <w:color w:val="auto"/>
              </w:rPr>
            </w:pPr>
          </w:p>
        </w:tc>
        <w:tc>
          <w:tcPr>
            <w:tcW w:w="10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1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w:t>
            </w:r>
          </w:p>
        </w:tc>
        <w:tc>
          <w:tcPr>
            <w:tcW w:w="320" w:type="dxa"/>
            <w:vAlign w:val="bottom"/>
          </w:tcPr>
          <w:p>
            <w:pPr>
              <w:spacing w:after="0"/>
              <w:rPr>
                <w:sz w:val="13"/>
                <w:szCs w:val="13"/>
                <w:color w:val="auto"/>
              </w:rPr>
            </w:pPr>
          </w:p>
        </w:tc>
        <w:tc>
          <w:tcPr>
            <w:tcW w:w="10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3"/>
                <w:szCs w:val="13"/>
                <w:color w:val="auto"/>
              </w:rPr>
            </w:pPr>
          </w:p>
        </w:tc>
        <w:tc>
          <w:tcPr>
            <w:tcW w:w="12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3"/>
                <w:szCs w:val="13"/>
                <w:color w:val="auto"/>
              </w:rPr>
            </w:pPr>
          </w:p>
        </w:tc>
        <w:tc>
          <w:tcPr>
            <w:tcW w:w="10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3"/>
                <w:szCs w:val="13"/>
                <w:color w:val="auto"/>
              </w:rPr>
            </w:pPr>
          </w:p>
        </w:tc>
        <w:tc>
          <w:tcPr>
            <w:tcW w:w="116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3"/>
                <w:szCs w:val="13"/>
                <w:color w:val="auto"/>
              </w:rPr>
            </w:pPr>
          </w:p>
        </w:tc>
        <w:tc>
          <w:tcPr>
            <w:tcW w:w="1040" w:type="dxa"/>
            <w:vAlign w:val="bottom"/>
          </w:tcPr>
          <w:p>
            <w:pPr>
              <w:jc w:val="right"/>
              <w:ind w:right="417"/>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Interest rate swap agreement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1,163</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4.375%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248,631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254,750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248,567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262,033</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3.45%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747,721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720,638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747,655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741,113</w:t>
            </w:r>
          </w:p>
        </w:tc>
      </w:tr>
    </w:tbl>
    <w:p>
      <w:pPr>
        <w:spacing w:after="0" w:line="22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2017, in Note 19 therein, filed on February 26, 2018. During the first three months of 2018, there were no material changes to the information described in the Form 10-K.</w:t>
      </w:r>
    </w:p>
    <w:p>
      <w:pPr>
        <w:spacing w:after="0" w:line="187" w:lineRule="exact"/>
        <w:rPr>
          <w:sz w:val="20"/>
          <w:szCs w:val="20"/>
          <w:color w:val="auto"/>
        </w:rPr>
      </w:pPr>
    </w:p>
    <w:p>
      <w:pPr>
        <w:ind w:right="180" w:firstLine="500"/>
        <w:spacing w:after="0" w:line="279" w:lineRule="auto"/>
        <w:rPr>
          <w:sz w:val="20"/>
          <w:szCs w:val="20"/>
          <w:color w:val="auto"/>
        </w:rPr>
      </w:pPr>
      <w:r>
        <w:rPr>
          <w:rFonts w:ascii="Arial" w:cs="Arial" w:eastAsia="Arial" w:hAnsi="Arial"/>
          <w:sz w:val="17"/>
          <w:szCs w:val="17"/>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2017, in Note 19 therein, filed on February 26, 2018. Except as described below, there have been no material changes to the information described in the Form 10-K.</w:t>
      </w:r>
    </w:p>
    <w:p>
      <w:pPr>
        <w:spacing w:after="0" w:line="171" w:lineRule="exact"/>
        <w:rPr>
          <w:sz w:val="20"/>
          <w:szCs w:val="20"/>
          <w:color w:val="auto"/>
        </w:rPr>
      </w:pPr>
    </w:p>
    <w:p>
      <w:pPr>
        <w:ind w:right="20" w:firstLine="500"/>
        <w:spacing w:after="0" w:line="254" w:lineRule="auto"/>
        <w:rPr>
          <w:sz w:val="20"/>
          <w:szCs w:val="20"/>
          <w:color w:val="auto"/>
        </w:rPr>
      </w:pPr>
      <w:r>
        <w:rPr>
          <w:rFonts w:ascii="Arial" w:cs="Arial" w:eastAsia="Arial" w:hAnsi="Arial"/>
          <w:sz w:val="18"/>
          <w:szCs w:val="18"/>
          <w:color w:val="auto"/>
        </w:rPr>
        <w:t>On April 21, 2016, Siemens Industry, Inc. filed a lawsuit against the Company in federal district court in Delaware alleging that the Company has infringed seven patents owned by Siemens, all of which relate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The US Patent &amp; Trademark Office has granted Inter-Parties Review proceedings on ten (10) of the patents asserted by Siemens to assess their validity; the hearings began in April 2018 and continue through November 2018. Additionally, Wabtec’s counterclaim alleging that Siemens has violated three (3) of Wabtec’s patents has been severed from the initial case and is now a separate case pending in federal district court in Delaware. Wabtec has filed a motion to obtain a preliminary injunction against Siemens in that case and a hearing is scheduled for July 3, 2018.</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Denver Transit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Denver Transit has alleged that the delay is due to Xorail's failure to achieve constant warning times for the crossings in accordance with the approval requirements imposed by the FRA and PUC; Xorail has denied Denver Transit's assertions. Denver Transit has also notified RTD that Denver Transit considers the constant warning approval requirements imposed by FRA and/or PUC to be a change in law, for which neither Denver Transit nor its subcontractors (including Xorail) would be liable. Xorail has worked with Denver Transit to modify its system to meet the FRA's and PUC's previously undefined approval requirements. On September 28, 2017, the FRA granted a 5 year approval of the modified wireless crossing system as currently implemented. On March 28, 2018, the PUC granted its approval of the modified wireless crossing system as currently implemented, consistent with the approval previously granted by the FRA. Denver Transit is now able to begin certification of the crossings and will eliminate the use of flaggers as the crossings are certified; this process is expected to take several months. No formal claim has been filed by Denver Transit.</w:t>
      </w:r>
    </w:p>
    <w:p>
      <w:pPr>
        <w:spacing w:after="0" w:line="47"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8"/>
          <w:szCs w:val="18"/>
          <w:color w:val="auto"/>
        </w:rPr>
        <w:t>On April 3, 2018 the United States Department of Justice entered into a proposed consent decree resolving allegations that the Company and Knorr-Bremse AG had maintained unlawful agreements not to compete for each other’s employees. The allegations also related to Faiveley Transport S.A. before it was acquired by the Company in November 2016. The proposed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consent decree is pending review and approval by the U.S. District Court for the District of Columbia. No monetary fines or penalties have been imposed on the Company. The Company elected to settle this matter with the Department of Justice to avoid the cost and distraction of litigation. Several putative class action lawsuits have been filed naming the Company and Knorr as defendants in connection with the allegations contained in the proposed consent decree. The lawsuits seek unspecified damages on behalf of employees of the Company (including Faiveley Transport) and Knorr allegedly caused by the defendants’ actions. The litigation is in its very early stages. The Company does not believe that it has diminished competition for talent in the marketplace and intends to contest these claims vigorously.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0"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4"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financial information for the three months ended March 31, 2018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379,554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676,623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1,056,177</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391,556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680,512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1,056,177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69,623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68,083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131,279</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(17,698)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69,623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68,083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113,581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40" w:type="dxa"/>
            <w:vAlign w:val="bottom"/>
            <w:gridSpan w:val="5"/>
          </w:tcPr>
          <w:p>
            <w:pPr>
              <w:ind w:left="620"/>
              <w:spacing w:after="0"/>
              <w:rPr>
                <w:sz w:val="20"/>
                <w:szCs w:val="20"/>
                <w:color w:val="auto"/>
              </w:rPr>
            </w:pPr>
            <w:r>
              <w:rPr>
                <w:rFonts w:ascii="Arial" w:cs="Arial" w:eastAsia="Arial" w:hAnsi="Arial"/>
                <w:sz w:val="18"/>
                <w:szCs w:val="18"/>
                <w:color w:val="auto"/>
                <w:w w:val="92"/>
              </w:rPr>
              <w:t>Segment financial information for the three months ended March 31, 2017 is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24"/>
                <w:szCs w:val="2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347,946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568,088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9,087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357,033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573,774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71,222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48,975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114,512</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71,222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48,975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99,465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Sales by product line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78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29"/>
        </w:trPr>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gridSpan w:val="2"/>
          </w:tcPr>
          <w:p>
            <w:pPr>
              <w:spacing w:after="0"/>
              <w:rPr>
                <w:sz w:val="20"/>
                <w:szCs w:val="20"/>
                <w:color w:val="auto"/>
              </w:rPr>
            </w:pPr>
            <w:r>
              <w:rPr>
                <w:rFonts w:ascii="Arial" w:cs="Arial" w:eastAsia="Arial" w:hAnsi="Arial"/>
                <w:sz w:val="18"/>
                <w:szCs w:val="18"/>
                <w:color w:val="auto"/>
              </w:rPr>
              <w:t>Specialty Products &amp; Electronics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386,548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315,067</w:t>
            </w:r>
          </w:p>
        </w:tc>
      </w:tr>
      <w:tr>
        <w:trPr>
          <w:trHeight w:val="270"/>
        </w:trPr>
        <w:tc>
          <w:tcPr>
            <w:tcW w:w="8460" w:type="dxa"/>
            <w:vAlign w:val="bottom"/>
            <w:gridSpan w:val="2"/>
          </w:tcPr>
          <w:p>
            <w:pPr>
              <w:spacing w:after="0"/>
              <w:rPr>
                <w:sz w:val="20"/>
                <w:szCs w:val="20"/>
                <w:color w:val="auto"/>
              </w:rPr>
            </w:pPr>
            <w:r>
              <w:rPr>
                <w:rFonts w:ascii="Arial" w:cs="Arial" w:eastAsia="Arial" w:hAnsi="Arial"/>
                <w:sz w:val="18"/>
                <w:szCs w:val="18"/>
                <w:color w:val="auto"/>
              </w:rPr>
              <w:t>Transit Products</w:t>
            </w:r>
          </w:p>
        </w:tc>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274,265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258,419</w:t>
            </w:r>
          </w:p>
        </w:tc>
      </w:tr>
      <w:tr>
        <w:trPr>
          <w:trHeight w:val="270"/>
        </w:trPr>
        <w:tc>
          <w:tcPr>
            <w:tcW w:w="8460" w:type="dxa"/>
            <w:vAlign w:val="bottom"/>
            <w:gridSpan w:val="2"/>
          </w:tcPr>
          <w:p>
            <w:pPr>
              <w:spacing w:after="0"/>
              <w:rPr>
                <w:sz w:val="20"/>
                <w:szCs w:val="20"/>
                <w:color w:val="auto"/>
              </w:rPr>
            </w:pPr>
            <w:r>
              <w:rPr>
                <w:rFonts w:ascii="Arial" w:cs="Arial" w:eastAsia="Arial" w:hAnsi="Arial"/>
                <w:sz w:val="18"/>
                <w:szCs w:val="18"/>
                <w:color w:val="auto"/>
              </w:rPr>
              <w:t>Brake Products</w:t>
            </w:r>
          </w:p>
        </w:tc>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215,618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180,459</w:t>
            </w:r>
          </w:p>
        </w:tc>
      </w:tr>
      <w:tr>
        <w:trPr>
          <w:trHeight w:val="270"/>
        </w:trPr>
        <w:tc>
          <w:tcPr>
            <w:tcW w:w="8460" w:type="dxa"/>
            <w:vAlign w:val="bottom"/>
            <w:gridSpan w:val="2"/>
          </w:tcPr>
          <w:p>
            <w:pPr>
              <w:spacing w:after="0"/>
              <w:rPr>
                <w:sz w:val="20"/>
                <w:szCs w:val="20"/>
                <w:color w:val="auto"/>
              </w:rPr>
            </w:pPr>
            <w:r>
              <w:rPr>
                <w:rFonts w:ascii="Arial" w:cs="Arial" w:eastAsia="Arial" w:hAnsi="Arial"/>
                <w:sz w:val="18"/>
                <w:szCs w:val="18"/>
                <w:color w:val="auto"/>
              </w:rPr>
              <w:t>Remanufacturing, Overhaul &amp; Build</w:t>
            </w:r>
          </w:p>
        </w:tc>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135,713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129,058</w:t>
            </w:r>
          </w:p>
        </w:tc>
      </w:tr>
      <w:tr>
        <w:trPr>
          <w:trHeight w:val="270"/>
        </w:trPr>
        <w:tc>
          <w:tcPr>
            <w:tcW w:w="8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44,033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33,031</w:t>
            </w:r>
          </w:p>
        </w:tc>
      </w:tr>
      <w:tr>
        <w:trPr>
          <w:trHeight w:val="27"/>
        </w:trPr>
        <w:tc>
          <w:tcPr>
            <w:tcW w:w="7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60" w:type="dxa"/>
            <w:vAlign w:val="bottom"/>
            <w:gridSpan w:val="2"/>
          </w:tcPr>
          <w:p>
            <w:pPr>
              <w:ind w:left="24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1,056,177</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916,034</w:t>
            </w:r>
          </w:p>
        </w:tc>
      </w:tr>
      <w:tr>
        <w:trPr>
          <w:trHeight w:val="20"/>
        </w:trPr>
        <w:tc>
          <w:tcPr>
            <w:tcW w:w="7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GUARANTOR SUBSIDIARIES FINANCIAL INFORMATION</w:t>
      </w:r>
    </w:p>
    <w:p>
      <w:pPr>
        <w:spacing w:after="0" w:line="121" w:lineRule="exact"/>
        <w:rPr>
          <w:sz w:val="20"/>
          <w:szCs w:val="20"/>
          <w:color w:val="auto"/>
        </w:rPr>
      </w:pPr>
    </w:p>
    <w:p>
      <w:pPr>
        <w:ind w:right="100" w:firstLine="500"/>
        <w:spacing w:after="0" w:line="302"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fully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March 31, 2018:</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12,708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235,088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249,886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93,175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280,184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895,338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1,268,697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124,032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149,409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555,835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829,276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109,542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117,955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233,174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436,837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1,795,803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2,465,814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47,898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136,904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388,599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573,401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544,313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1,959,231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2,528,819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6,702,613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2,599,111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(9,301,724)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30,245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248,356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953,126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1,231,727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17,165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58,560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76,020</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7,056,370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3,965,816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5,155,319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(9,301,724)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6,875,781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216,496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229,871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1,201,681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1,648,048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2,157,875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(2,045,578)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(112,297)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1,659,730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211,336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1,871,076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53,151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66,356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248,921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368,428</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4,087,252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(1,749,341)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1,549,641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3,887,552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2,969,118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5,716,834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3,584,890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(9,301,724)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2,969,118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20,788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19,111</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2,969,118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5,715,157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3,605,678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(9,301,724)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2,988,229</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7,056,370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3,965,816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5,155,319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(9,301,724)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6,875,781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8" w:name="page29"/>
    <w:bookmarkEnd w:id="28"/>
    <w:p>
      <w:pPr>
        <w:ind w:left="620"/>
        <w:spacing w:after="0"/>
        <w:rPr>
          <w:sz w:val="20"/>
          <w:szCs w:val="20"/>
          <w:color w:val="auto"/>
        </w:rPr>
      </w:pPr>
      <w:r>
        <w:rPr>
          <w:rFonts w:ascii="Arial" w:cs="Arial" w:eastAsia="Arial" w:hAnsi="Arial"/>
          <w:sz w:val="18"/>
          <w:szCs w:val="18"/>
          <w:color w:val="auto"/>
        </w:rPr>
        <w:t>Balance Sheet for December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227,666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233,401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77,046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237,360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852,381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1,166,787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137,972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483,725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742,634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116,642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122,291</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200,058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384,641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1,680,414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2,265,113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136,382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385,058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573,972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546,527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1,888,302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2,460,103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6,517,205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2,570,391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30,575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251,347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922,510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1,204,432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17,414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58,651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76,360</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3,889,583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4,934,935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196,827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217,176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1,159,327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1,573,330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2,121,546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(2,026,634)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1,661,771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161,518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1,823,303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67,824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232,945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354,815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4,034,190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(1,741,620)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1,458,878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3,751,448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5,632,665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3,454,931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2,808,868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19,664</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5,631,203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3,476,057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2,828,532</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3,889,583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4,934,935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Three Months Ended March 31,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161,301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301,706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641,663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(48,493)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1,056,177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(118,658)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(179,090)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(488,233)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40,685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(745,296)</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42,643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122,616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153,430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310,881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(35,627)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(37,327)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(106,648)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(179,602)</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85,289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46,782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131,279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(20,394)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(20,284)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2,586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106,698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28,720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(135,418)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102,049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113,841</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40,917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113,581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 benefit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(26,124)</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88,367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115,035</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27,281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87,457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909</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88,367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115,250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88,366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88,649</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115,250</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106,701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167,374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80" w:top="476" w:right="239" w:bottom="1440" w:gutter="0" w:footer="0" w:header="0"/>
        </w:sectPr>
      </w:pPr>
    </w:p>
    <w:bookmarkStart w:id="29" w:name="page30"/>
    <w:bookmarkEnd w:id="29"/>
    <w:p>
      <w:pPr>
        <w:ind w:left="620"/>
        <w:spacing w:after="0"/>
        <w:rPr>
          <w:sz w:val="20"/>
          <w:szCs w:val="20"/>
          <w:color w:val="auto"/>
        </w:rPr>
      </w:pPr>
      <w:r>
        <w:rPr>
          <w:rFonts w:ascii="Arial" w:cs="Arial" w:eastAsia="Arial" w:hAnsi="Arial"/>
          <w:sz w:val="18"/>
          <w:szCs w:val="18"/>
          <w:color w:val="auto"/>
        </w:rPr>
        <w:t>Income Statement for the Three Months Ended March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144,544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258,712</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544,388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(31,610)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916,034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(98,950)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(167,607)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(403,966)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(646,327)</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140,422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269,707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(24,463)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(100,861)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(155,195)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21,131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61,234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39,561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114,512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(14,966)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(19,858)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13,266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4,811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68,285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(80,227)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87,716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74,076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25,314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99,465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(27,461)</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73,551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73,935</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12,159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72,004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1,885</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73,551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73,935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14,044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73,889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74,407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73,935</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61,141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121,842</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Condensed Statement of Cash Flows for the Three Months Ended March 31,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(9,439)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50,789</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(9,342)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24,200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(43,865)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22,973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(49,808)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47,695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28,668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7,482</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16,485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227,666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233,401</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12,708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235,088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249,886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Condensed Statement of Cash Flows for the Three Months Ended March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(5,829)</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(26,096)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(745,827)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(819,124)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13,835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71,678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(39,473)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21,640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21,640</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(860,735)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(863,053)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1,131,214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1,143,232</w:t>
            </w:r>
          </w:p>
        </w:tc>
      </w:tr>
      <w:tr>
        <w:trPr>
          <w:trHeight w:val="250"/>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280,179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8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18.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Foreign currency (loss) gain</w:t>
            </w:r>
          </w:p>
        </w:tc>
        <w:tc>
          <w:tcPr>
            <w:tcW w:w="4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Expected return on pension assets/amortization</w:t>
            </w:r>
          </w:p>
        </w:tc>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Other miscellaneous (income) expense</w:t>
            </w:r>
          </w:p>
        </w:tc>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4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500" w:type="dxa"/>
            <w:vAlign w:val="bottom"/>
            <w:vMerge w:val="restart"/>
          </w:tcPr>
          <w:p>
            <w:pPr>
              <w:jc w:val="right"/>
              <w:ind w:right="3130"/>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2017, filed with the Securities and Exchange Commission on February 26,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color w:val="auto"/>
        </w:rPr>
        <w:t>Wabtec is one of the world’s largest providers of value-added, technology-based equipment, systems and services for the global passenger transit and freight rail industries. Our highly engineered products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31 countries and our products can be found in more than 100 countries throughout the world. In the three months ended March 31, 2018, approximately 65% of the Company’s revenues came from customers outside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100"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According to the 2016 edition of a market study by UNIFE, the Association of the European Rail Industry, the accessible global market for railway products and services was more than $100 billion, and was expected to grow at about 3.2% annually through 2021. The three largest geographic markets, which represented about 80% of the total accessible market, were Europe, North America and Asia Pacific. UNIFE projected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were rolling stock, services and infrastructure, which represented almost 90% of the accessible market. UNIFE projected spending on rolling stock to grow at an above-average rate due to increased investment in passenger transit vehicles. UNIFE estimated that the global installed base of locomotives was about 114,000 units, with about 32% in Asia Pacific, about 25% in North America and about 18% in Russia-CIS (Commonwealth of Independent States). Wabtec estimates that about 2,600 new locomotives were delivered worldwide in 2017, and it expects deliveries of about 2,700 in 2018. UNIFE estimated the global installed base of freight cars was about 5.5 million units, with about 37% in North America, about 26% in Russia-CIS and about 20% in Asia Pacific. Wabtec estimates that about 155,000 new freight cars were delivered worldwide in 2017, and it expects deliveries of about 148,000 in 2018. UNIFE estimated the global installed base of passenger transit vehicles to be about 569,000 units, with about 43% in Asia Pacific, about 32% in Europe and about 14% in Russia-CIS. Wabtec estimates that about 34,000 new passenger transit vehicles were ordered worldwide in 2017, and it expects orders of about 44,000 in 2018.</w:t>
      </w:r>
    </w:p>
    <w:p>
      <w:pPr>
        <w:spacing w:after="0" w:line="67"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Western European rail market to grow at about 3.6% annually,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2" w:name="page33"/>
    <w:bookmarkEnd w:id="32"/>
    <w:p>
      <w:pPr>
        <w:ind w:right="120"/>
        <w:spacing w:after="0" w:line="257" w:lineRule="auto"/>
        <w:rPr>
          <w:sz w:val="20"/>
          <w:szCs w:val="20"/>
          <w:color w:val="auto"/>
        </w:rPr>
      </w:pPr>
      <w:r>
        <w:rPr>
          <w:rFonts w:ascii="Arial" w:cs="Arial" w:eastAsia="Arial" w:hAnsi="Arial"/>
          <w:sz w:val="18"/>
          <w:szCs w:val="18"/>
          <w:color w:val="auto"/>
        </w:rPr>
        <w:t>led by investments in new rolling stock in France and Germany. Significant investments were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80"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a U.S. manufacturer. UNIFE expected the increased spending in India to offset decreased spending on very-high-speed rolling stock in China.</w:t>
      </w:r>
    </w:p>
    <w:p>
      <w:pPr>
        <w:spacing w:after="0" w:line="63"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2018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FAIVELEY TRANSPORT S.A.</w:t>
      </w:r>
    </w:p>
    <w:p>
      <w:pPr>
        <w:spacing w:after="0" w:line="121"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On November 30, 2016, the Company acquired majority ownership of Faiveley Transport under the terms of the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85" w:lineRule="exact"/>
        <w:rPr>
          <w:sz w:val="20"/>
          <w:szCs w:val="20"/>
          <w:color w:val="auto"/>
        </w:rPr>
      </w:pPr>
    </w:p>
    <w:p>
      <w:pPr>
        <w:ind w:left="980" w:right="24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3" w:name="page34"/>
    <w:bookmarkEnd w:id="33"/>
    <w:p>
      <w:pPr>
        <w:ind w:left="980" w:right="80"/>
        <w:spacing w:after="0" w:line="323" w:lineRule="auto"/>
        <w:rPr>
          <w:sz w:val="20"/>
          <w:szCs w:val="20"/>
          <w:color w:val="auto"/>
        </w:rPr>
      </w:pPr>
      <w:r>
        <w:rPr>
          <w:rFonts w:ascii="Arial" w:cs="Arial" w:eastAsia="Arial" w:hAnsi="Arial"/>
          <w:sz w:val="17"/>
          <w:szCs w:val="17"/>
          <w:color w:val="auto"/>
        </w:rPr>
        <w:t>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42" w:lineRule="exact"/>
        <w:rPr>
          <w:sz w:val="20"/>
          <w:szCs w:val="20"/>
          <w:color w:val="auto"/>
        </w:rPr>
      </w:pPr>
    </w:p>
    <w:p>
      <w:pPr>
        <w:ind w:left="980" w:right="10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12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289" w:lineRule="exact"/>
        <w:rPr>
          <w:sz w:val="20"/>
          <w:szCs w:val="20"/>
          <w:color w:val="auto"/>
        </w:rPr>
      </w:pPr>
    </w:p>
    <w:p>
      <w:pPr>
        <w:ind w:right="2240" w:firstLine="648"/>
        <w:spacing w:after="0" w:line="257"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purchase price paid for 100% ownership of Faiveley Transport was $1,507 million. The $744.7 million included as deposits in escrow on the consolidated balance sheet at December 31, 2016 was cash designated for use as consideration for the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503"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7"/>
          </w:tcPr>
          <w:p>
            <w:pPr>
              <w:jc w:val="center"/>
              <w:ind w:right="52"/>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1,056,177</w:t>
            </w:r>
          </w:p>
        </w:tc>
        <w:tc>
          <w:tcPr>
            <w:tcW w:w="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(745,296)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(646,327)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310,881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269,707</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(147,201)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(122,687)</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Engineering expenses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(22,049)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(23,464)</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Amortization expense</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(10,352)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(179,602)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Income from operations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131,279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114,512</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Interest expense, net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(20,284)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(19,858)</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2,586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Income from operations before income taxes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113,581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99,465</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(26,124)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87,457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72,004</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Net income attributable to Wabtec shareholders</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88,366</w:t>
            </w:r>
          </w:p>
        </w:tc>
        <w:tc>
          <w:tcPr>
            <w:tcW w:w="80" w:type="dxa"/>
            <w:vAlign w:val="bottom"/>
          </w:tcPr>
          <w:p>
            <w:pPr>
              <w:spacing w:after="0"/>
              <w:rPr>
                <w:sz w:val="22"/>
                <w:szCs w:val="2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73,889</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FIRST QUARTER 2018 COMPARED TO FIRST QUARTER 2017</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000" w:type="dxa"/>
            <w:vAlign w:val="bottom"/>
            <w:gridSpan w:val="3"/>
          </w:tcPr>
          <w:p>
            <w:pPr>
              <w:ind w:left="460"/>
              <w:spacing w:after="0"/>
              <w:rPr>
                <w:sz w:val="20"/>
                <w:szCs w:val="20"/>
                <w:color w:val="auto"/>
              </w:rPr>
            </w:pPr>
            <w:r>
              <w:rPr>
                <w:rFonts w:ascii="Arial" w:cs="Arial" w:eastAsia="Arial" w:hAnsi="Arial"/>
                <w:sz w:val="18"/>
                <w:szCs w:val="18"/>
                <w:color w:val="auto"/>
                <w:w w:val="99"/>
              </w:rPr>
              <w:t>The following table summarizes our results of operations for the periods indicated: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2"/>
          </w:tcPr>
          <w:p>
            <w:pPr>
              <w:jc w:val="right"/>
              <w:ind w:right="22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2"/>
              <w:spacing w:after="0" w:line="153"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58"/>
        </w:trPr>
        <w:tc>
          <w:tcPr>
            <w:tcW w:w="704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2"/>
              <w:spacing w:after="0" w:line="15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Freight Segment Sales</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379,554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347,946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Transit Segment Sales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676,623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568,088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1,056,177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916,034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131,279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114,512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Wabtec shareholders</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88,366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73,889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0020" w:type="dxa"/>
            <w:vAlign w:val="bottom"/>
            <w:gridSpan w:val="15"/>
          </w:tcPr>
          <w:p>
            <w:pPr>
              <w:ind w:left="460"/>
              <w:spacing w:after="0"/>
              <w:rPr>
                <w:sz w:val="20"/>
                <w:szCs w:val="20"/>
                <w:color w:val="auto"/>
              </w:rPr>
            </w:pPr>
            <w:r>
              <w:rPr>
                <w:rFonts w:ascii="Arial" w:cs="Arial" w:eastAsia="Arial" w:hAnsi="Arial"/>
                <w:sz w:val="18"/>
                <w:szCs w:val="18"/>
                <w:color w:val="auto"/>
                <w:w w:val="93"/>
              </w:rPr>
              <w:t>The following table shows the major components of the change in sales in the first quarter of 2018 from the first quarter of 2017: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Freight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4"/>
                <w:szCs w:val="14"/>
                <w:b w:val="1"/>
                <w:bCs w:val="1"/>
                <w:color w:val="auto"/>
              </w:rPr>
              <w:t>Transit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Segment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jc w:val="right"/>
              <w:ind w:right="520"/>
              <w:spacing w:after="0" w:line="158" w:lineRule="exact"/>
              <w:rPr>
                <w:sz w:val="20"/>
                <w:szCs w:val="20"/>
                <w:color w:val="auto"/>
              </w:rPr>
            </w:pPr>
            <w:r>
              <w:rPr>
                <w:rFonts w:ascii="Arial" w:cs="Arial" w:eastAsia="Arial" w:hAnsi="Arial"/>
                <w:sz w:val="14"/>
                <w:szCs w:val="14"/>
                <w:b w:val="1"/>
                <w:bCs w:val="1"/>
                <w:color w:val="auto"/>
                <w:w w:val="94"/>
              </w:rPr>
              <w:t>Segment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First Quarter 2017 Net Sales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347,946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568,088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Acquisitions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34,959</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i w:val="1"/>
                <w:iCs w:val="1"/>
                <w:color w:val="auto"/>
              </w:rPr>
              <w:t>Change in Sales by Product Line:</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Transit Products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(7,223)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Remanufacturing, Overhaul &amp; Build</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(8,831)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Brake Products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0" w:type="dxa"/>
            <w:vAlign w:val="bottom"/>
            <w:gridSpan w:val="3"/>
          </w:tcPr>
          <w:p>
            <w:pPr>
              <w:ind w:left="240"/>
              <w:spacing w:after="0"/>
              <w:rPr>
                <w:sz w:val="20"/>
                <w:szCs w:val="20"/>
                <w:color w:val="auto"/>
              </w:rPr>
            </w:pPr>
            <w:r>
              <w:rPr>
                <w:rFonts w:ascii="Arial" w:cs="Arial" w:eastAsia="Arial" w:hAnsi="Arial"/>
                <w:sz w:val="18"/>
                <w:szCs w:val="18"/>
                <w:color w:val="auto"/>
              </w:rPr>
              <w:t>Specialty Products &amp; Electronics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24,429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29,763</w:t>
            </w:r>
          </w:p>
        </w:tc>
        <w:tc>
          <w:tcPr>
            <w:tcW w:w="0" w:type="dxa"/>
            <w:vAlign w:val="bottom"/>
          </w:tcPr>
          <w:p>
            <w:pPr>
              <w:spacing w:after="0"/>
              <w:rPr>
                <w:sz w:val="1"/>
                <w:szCs w:val="1"/>
                <w:color w:val="auto"/>
              </w:rPr>
            </w:pPr>
          </w:p>
        </w:tc>
      </w:tr>
      <w:tr>
        <w:trPr>
          <w:trHeight w:val="270"/>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Foreign exchange</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63,962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70,306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4"/>
          </w:tcPr>
          <w:p>
            <w:pPr>
              <w:ind w:left="40"/>
              <w:spacing w:after="0"/>
              <w:rPr>
                <w:sz w:val="20"/>
                <w:szCs w:val="20"/>
                <w:color w:val="auto"/>
              </w:rPr>
            </w:pPr>
            <w:r>
              <w:rPr>
                <w:rFonts w:ascii="Arial" w:cs="Arial" w:eastAsia="Arial" w:hAnsi="Arial"/>
                <w:sz w:val="18"/>
                <w:szCs w:val="18"/>
                <w:color w:val="auto"/>
              </w:rPr>
              <w:t>First Quarter 2018 Net Sales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379,554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676,623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1,056,177</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ind w:left="56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5" w:name="page36"/>
    <w:bookmarkEnd w:id="35"/>
    <w:p>
      <w:pPr>
        <w:ind w:right="80" w:firstLine="500"/>
        <w:spacing w:after="0" w:line="259" w:lineRule="auto"/>
        <w:rPr>
          <w:sz w:val="20"/>
          <w:szCs w:val="20"/>
          <w:color w:val="auto"/>
        </w:rPr>
      </w:pPr>
      <w:r>
        <w:rPr>
          <w:rFonts w:ascii="Arial" w:cs="Arial" w:eastAsia="Arial" w:hAnsi="Arial"/>
          <w:sz w:val="18"/>
          <w:szCs w:val="18"/>
          <w:color w:val="auto"/>
        </w:rPr>
        <w:t>Net sales for the three months ended March 31, 2018 increased by $140.1 million, or 15.3%, to $1,056.2 million. The increase is primarily due to favorable foreign exchange of $70.3 million and sales from acquisitions of $35.0 million. Additionally, this total increase was aided by an organic increase of $29.8 million for Specialty Products and Electronics and a $12.7 million organic increase in Brake Products due to higher demand for transit original equipment rail products and original brakes for transit customers.</w:t>
      </w:r>
    </w:p>
    <w:p>
      <w:pPr>
        <w:spacing w:after="0" w:line="187" w:lineRule="exact"/>
        <w:rPr>
          <w:sz w:val="20"/>
          <w:szCs w:val="20"/>
          <w:color w:val="auto"/>
        </w:rPr>
      </w:pPr>
    </w:p>
    <w:p>
      <w:pPr>
        <w:ind w:right="120" w:firstLine="500"/>
        <w:spacing w:after="0" w:line="279" w:lineRule="auto"/>
        <w:rPr>
          <w:sz w:val="20"/>
          <w:szCs w:val="20"/>
          <w:color w:val="auto"/>
        </w:rPr>
      </w:pPr>
      <w:r>
        <w:rPr>
          <w:rFonts w:ascii="Arial" w:cs="Arial" w:eastAsia="Arial" w:hAnsi="Arial"/>
          <w:sz w:val="17"/>
          <w:szCs w:val="17"/>
          <w:color w:val="auto"/>
        </w:rPr>
        <w:t>Freight Segment sales increased by $31.6 million, or 9.1%, primarily due to acquisitions of $22.6 million. Additionally, Specialty Products and Electronics sales increased $5.3 million from increased demand for freight original equipment rail products, and Other product sales increased $6.8 million primarily due to increased spare parts demand. These gains were offset by a decrease of $8.8 million for Remanufacturing, Overhaul &amp; Build sales primarily due to the absence of a large locomotive rebuild contract. Favorable foreign exchange increased sales by $6.3 million.</w:t>
      </w:r>
    </w:p>
    <w:p>
      <w:pPr>
        <w:spacing w:after="0" w:line="171"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Transit Segment sales increased by $108.5 million, or 19.1%, primarily due to favorable foreign exchange of $64.0 million, $24.4 million for Specialty Products and Electronics due to increased demand for transit original electronic rail products, and $13.4 million for Brake Products due to increased demand for original brakes for transit customers. Acquisitions increased sales by $12.3 million.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March 31, 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12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31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42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295,350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439,368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52,892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94,111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85,248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142,956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13,608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15,969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Total cost of sales</w:t>
            </w:r>
          </w:p>
        </w:tc>
        <w:tc>
          <w:tcPr>
            <w:tcW w:w="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256,979</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488,317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745,296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20" w:type="dxa"/>
            <w:vAlign w:val="bottom"/>
          </w:tcPr>
          <w:p>
            <w:pPr>
              <w:spacing w:after="0"/>
              <w:rPr>
                <w:sz w:val="13"/>
                <w:szCs w:val="13"/>
                <w:color w:val="auto"/>
              </w:rPr>
            </w:pPr>
          </w:p>
        </w:tc>
        <w:tc>
          <w:tcPr>
            <w:tcW w:w="12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316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4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42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138,398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247,109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385,507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38,986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76,137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115,123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57,287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81,334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138,621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7,983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6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233,764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412,563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646,327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Cost of sales increased by $99.0 million to $745.3 million in the first quarter of 2018 compared to $646.3 million in the same period of 2017. In the first quarter of 2018, cost of sales as a percentage of sales was 70.5% compared to 70.6% in the same period of 2017. The decrease as a percentage of sales is primarily due to improved margin performance from prior year acquisitions.</w:t>
      </w:r>
    </w:p>
    <w:p>
      <w:pPr>
        <w:spacing w:after="0" w:line="181" w:lineRule="exact"/>
        <w:rPr>
          <w:sz w:val="20"/>
          <w:szCs w:val="20"/>
          <w:color w:val="auto"/>
        </w:rPr>
      </w:pPr>
    </w:p>
    <w:p>
      <w:pPr>
        <w:ind w:right="140" w:firstLine="500"/>
        <w:spacing w:after="0" w:line="342" w:lineRule="auto"/>
        <w:rPr>
          <w:sz w:val="20"/>
          <w:szCs w:val="20"/>
          <w:color w:val="auto"/>
        </w:rPr>
      </w:pPr>
      <w:r>
        <w:rPr>
          <w:rFonts w:ascii="Arial" w:cs="Arial" w:eastAsia="Arial" w:hAnsi="Arial"/>
          <w:sz w:val="16"/>
          <w:szCs w:val="16"/>
          <w:color w:val="auto"/>
        </w:rPr>
        <w:t>Freight Segment cost of sales increased 0.4% as a percentage of sales to 67.6% in 2018 compared to 67.2% for the same period in 2017. The increase is primarily related to a shift in sales to products and services which require higher labor content and increased warranty costs on electronic products.</w:t>
      </w:r>
    </w:p>
    <w:p>
      <w:pPr>
        <w:spacing w:after="0" w:line="124"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color w:val="auto"/>
        </w:rPr>
        <w:t>Transit Segment cost of sales decreased 0.4% as a percentage of sales to approximately 72.2% in the first quarter of 2018 from 72.6% for the same period of 2017. The decrease is primarily related to increased sales volume and improved margin performance from prior year acquisitions. In addition, the first quarter of 2017 contained $3.4 million of restructuring and integration costs.</w:t>
      </w:r>
    </w:p>
    <w:p>
      <w:pPr>
        <w:spacing w:after="0" w:line="181"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$11.7 million in the first quarter of 2018 compared to $5.8 million in the first quarter of 2017. The increase in warranty expense is primarily related to the increase in sales as well as increased cost on certain electronic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8"/>
        </w:trPr>
        <w:tc>
          <w:tcPr>
            <w:tcW w:w="5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147,201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122,687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22,049</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23,464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10,352</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9,044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179,602</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155,195</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Total operating expenses as a percentage of sales remained consistent at 17.0% of sales for the first quarters of 2018 and 2017. Selling, general, and administrative expenses increased $24.5 million, or 20.0%, primarily due to changes in foreign currency rates of $9.7 million and $4.9 million in incremental expense from acquisitions. Engineering expense decreased by $1.4 million, or 6.0%, due to timing of research and development expenses. Amortization expense increased $1.3 million due to amortization of intangibles associated with new acquisitions.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70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96"/>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52,952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42,787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120,223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106,377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179,602</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154,849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00"/>
        <w:spacing w:after="0" w:line="308" w:lineRule="auto"/>
        <w:rPr>
          <w:sz w:val="20"/>
          <w:szCs w:val="20"/>
          <w:color w:val="auto"/>
        </w:rPr>
      </w:pPr>
      <w:r>
        <w:rPr>
          <w:rFonts w:ascii="Arial" w:cs="Arial" w:eastAsia="Arial" w:hAnsi="Arial"/>
          <w:sz w:val="17"/>
          <w:szCs w:val="17"/>
          <w:color w:val="auto"/>
        </w:rPr>
        <w:t>Freight Segment operating expenses increased $10.2 million, or 23.8%, in 2018 and increased 170 basis points to 14.0% of sales. The increase is primarily attributable to increased sales volumes and incremental expenses from acquisitions of approximately $4.5 million.</w:t>
      </w:r>
    </w:p>
    <w:p>
      <w:pPr>
        <w:spacing w:after="0" w:line="147"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Transit Segment operating expenses increased $13.8 million, or 13.0%, in 2018 and decreased 90 basis points to 17.8% of sales. The increase in expense is primarily attributable to increased sales volumes while the improvement against sales is due to improved margin performance from prior year acquisitions. Included in the increase of expense is $0.5 million of incremental operating expenses attributable to acquisitions. In addition, the first quarter of 2017 included $2.0 million of restructuring and integration costs.</w:t>
      </w:r>
    </w:p>
    <w:p>
      <w:pPr>
        <w:spacing w:after="0" w:line="187"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$0.4 million in 2018 attributable to higher overall debt balances in 2018 than 2017,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acquisitions.</w:t>
      </w:r>
    </w:p>
    <w:p>
      <w:pPr>
        <w:spacing w:after="0" w:line="170" w:lineRule="exact"/>
        <w:rPr>
          <w:sz w:val="20"/>
          <w:szCs w:val="20"/>
          <w:color w:val="auto"/>
        </w:rPr>
      </w:pPr>
    </w:p>
    <w:p>
      <w:pPr>
        <w:ind w:right="64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income/(expense), net, totaled $2.6 million of income in 2018 compared to $4.8 million of income in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foreign currency gains in the prior year.</w:t>
      </w:r>
    </w:p>
    <w:p>
      <w:pPr>
        <w:spacing w:after="0" w:line="170" w:lineRule="exact"/>
        <w:rPr>
          <w:sz w:val="20"/>
          <w:szCs w:val="20"/>
          <w:color w:val="auto"/>
        </w:rPr>
      </w:pPr>
    </w:p>
    <w:p>
      <w:pPr>
        <w:ind w:right="20" w:firstLine="500"/>
        <w:spacing w:after="0" w:line="27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effective income tax rate was 23.0% and 27.6% for the first quarter of 2018 and 2017, respectively. On December 22, 2017,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enacted comprehensive tax legislation commonly referred to as the Tax Cuts and Jobs Act (the "Tax Act"). The U.S. tax reform bill lowered the Federal statutory tax rate from 35% to 21% beginning January 1, 2018. The decrease in the effective rate for the three months ended March 31, 2018 is primarily the result of the reduction of the US corporate income tax rate resulting from the U.S. tax reform bill.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Cash provided by (used for):</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24,200</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(819,124)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Increase/(decrease) in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16,485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(863,053)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00"/>
        <w:spacing w:after="0" w:line="29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three months of 2018, cash provided by operations was $24.2 million. In the first three months of 2017, cash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was $26.1 million. In comparison to the first three months of 2017, cash provided by operations for the comparable period in 2018 increased due to favorable working capital performance and higher net income of $15.5 million. The major components of working capital were as follows: a favorable change of $39.1 million in other assets and liabilities primarily due to reduced payments related to contract liabilities, accrued expenses, and a decrease in cash payments related to Faiveley acquisition costs during the first three months of 2017, a favorable change in accounts payable of $56.8 million due to the timing of payments to suppliers, and a favorable change in accounts receivable due to better collections from customers of $30.1 million. These favorable changes were partially offset by an unfavorable change in accrued liabilities and customer deposits of $86.8 million primarily due to the timing of cash receipts from customers for long term projects, and an unfavorable change in inventory of $18.6 million due to efforts to ramp up production in early 2018.</w:t>
      </w:r>
    </w:p>
    <w:p>
      <w:pPr>
        <w:spacing w:after="0" w:line="166"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three months of 2018 and 2017, cash used for investing activities was $43.9 million and $819.1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 components of the cash outflow in 2018 were $34.3 million in net cash paid for acquisitions and $17.5 million in additions to property, plant and equipment for investments in our facilities and manufacturing processes. This compares to $800.1 million in net cash paid for acquisitions and $19.3 million in property, plant, and equipment for investments in the first three months of 2017. Refer to Note 3 of the “Notes to Condensed Consolidated Financial Statements” for additional information on acquisitions.</w:t>
      </w:r>
    </w:p>
    <w:p>
      <w:pPr>
        <w:spacing w:after="0" w:line="188" w:lineRule="exact"/>
        <w:rPr>
          <w:sz w:val="20"/>
          <w:szCs w:val="20"/>
          <w:color w:val="auto"/>
        </w:rPr>
      </w:pPr>
    </w:p>
    <w:p>
      <w:pPr>
        <w:ind w:right="240" w:firstLine="50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three months of 2018, cash provided by financing activities was $28.7 million which included $306.6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the revolving credit facility, $266.3 million in repayments of debt and $11.5 million of dividend payments. In the first three months of 2017, cash used for financing activities was $39.5 million, which included $458.3 million in proceeds from the revolving credit facility, $482.6 million in repayments of debt on the revolving credit facility, $9.6 million of dividend payments, and $6.8 million related to payment of income tax withholding on share-based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November 2026</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3, 2016, the Company issued $750.0 million of Senior Notes due in 2026.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w:t>
      </w:r>
    </w:p>
    <w:p>
      <w:pPr>
        <w:spacing w:after="0" w:line="18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 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Faiveley Transport Tender Offer</w:t>
      </w:r>
    </w:p>
    <w:p>
      <w:pPr>
        <w:spacing w:after="0" w:line="333" w:lineRule="exact"/>
        <w:rPr>
          <w:sz w:val="20"/>
          <w:szCs w:val="20"/>
          <w:color w:val="auto"/>
        </w:rPr>
      </w:pPr>
    </w:p>
    <w:p>
      <w:pPr>
        <w:ind w:left="980" w:right="20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2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40" w:firstLine="500"/>
        <w:spacing w:after="0" w:line="297" w:lineRule="auto"/>
        <w:rPr>
          <w:sz w:val="20"/>
          <w:szCs w:val="20"/>
          <w:color w:val="auto"/>
        </w:rPr>
      </w:pPr>
      <w:r>
        <w:rPr>
          <w:rFonts w:ascii="Arial" w:cs="Arial" w:eastAsia="Arial" w:hAnsi="Arial"/>
          <w:sz w:val="16"/>
          <w:szCs w:val="16"/>
          <w:color w:val="auto"/>
        </w:rPr>
        <w:t>On February 8, 2016, the Board of Directors amended its stock repurchase authorization to $350 million of the Company’s outstanding shares. This new stock repurchase authorization supersedes the previous authorization of $350 million of which about $33.3 million remained. During the first three months of 2018, the Company did not repurchase any shares, leaving $137.8 million remaining under the authorization. The Company intends to purchase shares on the open market or in negotiated block trades from time to time depending on market conditions. No time limit was set for the completion of the programs which conforms to the requirements under the 2016 Refinancing Credit Agreement, as well as the senior notes currently outstanding.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Economic and industry conditions</w:t>
      </w:r>
    </w:p>
    <w:p>
      <w:pPr>
        <w:spacing w:after="0" w:line="117" w:lineRule="exact"/>
        <w:rPr>
          <w:sz w:val="20"/>
          <w:szCs w:val="20"/>
          <w:color w:val="auto"/>
        </w:rPr>
      </w:pPr>
    </w:p>
    <w:p>
      <w:pPr>
        <w:ind w:left="980" w:right="5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584" w:right="279" w:bottom="1440" w:gutter="0" w:footer="0" w:header="0"/>
        </w:sectPr>
      </w:pPr>
    </w:p>
    <w:bookmarkStart w:id="39" w:name="page40"/>
    <w:bookmarkEnd w:id="39"/>
    <w:p>
      <w:pPr>
        <w:ind w:left="500"/>
        <w:spacing w:after="0"/>
        <w:rPr>
          <w:sz w:val="20"/>
          <w:szCs w:val="20"/>
          <w:color w:val="auto"/>
        </w:rPr>
      </w:pPr>
      <w:r>
        <w:rPr>
          <w:rFonts w:ascii="Arial" w:cs="Arial" w:eastAsia="Arial" w:hAnsi="Arial"/>
          <w:sz w:val="18"/>
          <w:szCs w:val="18"/>
          <w:color w:val="auto"/>
        </w:rPr>
        <w:t>Operating factors</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Competitive factors</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Political/governmental factors</w:t>
      </w:r>
    </w:p>
    <w:p>
      <w:pPr>
        <w:spacing w:after="0" w:line="11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225" w:lineRule="exact"/>
        <w:rPr>
          <w:sz w:val="20"/>
          <w:szCs w:val="20"/>
          <w:color w:val="auto"/>
        </w:rPr>
      </w:pPr>
    </w:p>
    <w:p>
      <w:pPr>
        <w:jc w:val="both"/>
        <w:ind w:right="340" w:firstLine="500"/>
        <w:spacing w:after="0" w:line="312"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40" w:firstLine="500"/>
        <w:spacing w:after="0" w:line="302" w:lineRule="auto"/>
        <w:rPr>
          <w:sz w:val="20"/>
          <w:szCs w:val="20"/>
          <w:color w:val="auto"/>
        </w:rPr>
      </w:pPr>
      <w:r>
        <w:rPr>
          <w:rFonts w:ascii="Arial" w:cs="Arial" w:eastAsia="Arial" w:hAnsi="Arial"/>
          <w:sz w:val="16"/>
          <w:szCs w:val="16"/>
          <w:color w:val="auto"/>
        </w:rPr>
        <w:t>A summary of critical accounting policies is included in the Company’s Annual Report on Form 10-K for the year ended December 31, 2017. In particular, judgment is used in areas such as accounts receivable and the allowance for doubtful accounts, inventories, goodwill and indefinite-lived intangibles, warranty reserves, pensions and postretirement benefits, income taxes and revenue recognition. The Company's revenue recognition policy has been updated due to the adoption of ASU No. 2014-09. There have been no other significant changes in accounting policies since December 31, 2017.</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60" w:firstLine="500"/>
        <w:spacing w:after="0" w:line="276" w:lineRule="auto"/>
        <w:rPr>
          <w:sz w:val="20"/>
          <w:szCs w:val="20"/>
          <w:color w:val="auto"/>
        </w:rPr>
      </w:pPr>
      <w:r>
        <w:rPr>
          <w:rFonts w:ascii="Arial" w:cs="Arial" w:eastAsia="Arial" w:hAnsi="Arial"/>
          <w:sz w:val="17"/>
          <w:szCs w:val="17"/>
          <w:color w:val="auto"/>
        </w:rPr>
        <w:t>In the ordinary course of business, Wabtec is exposed to risks that increases in interest rates may adversely affect funding costs associated with its variable-rate debt. The Company’s variable rate debt represents 40% and 38% of total long-term debt at March 31, 2018 and December 31, 2017, respectively. To reduce the impact of interest rate changes on a portion of this variable-rate debt, the Company entered into forward interest rate swap agreements which convert a portion of the debt from variable to fixed-rate borrowings during the term of the swap contract. Refer to Note 7 – Long Term Debt of “Notes to Condensed Consolidated Financial Statements” for additional information regarding interest rate risk.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first three months of 2018, approximately 35% of Wabtec’s net sales were to customers in the United States, 10% in the United Kingdom, 6% in Canada, 6% in France, 6% in Germany, 5% in Italy, 4% in Mexico, 4% in India, 3% in China, 3% in Australia, and 18% in other international locations. To reduce the impact of changes in currency exchange rates,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1" w:name="page42"/>
    <w:bookmarkEnd w:id="41"/>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March 31, 2018.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9"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March 31, 2018, that has materially affected, or is reasonably likely to materially affect, Wabtec’s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364" w:right="4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Except as described below, there have been no material changes regarding the Company’s commitments and contingencies as described in Note 19 of the Company’s Annual Report on Form 10-K for the year ended December 31, 2017.</w:t>
      </w:r>
    </w:p>
    <w:p>
      <w:pPr>
        <w:spacing w:after="0" w:line="170" w:lineRule="exact"/>
        <w:rPr>
          <w:sz w:val="20"/>
          <w:szCs w:val="20"/>
          <w:color w:val="auto"/>
        </w:rPr>
      </w:pPr>
    </w:p>
    <w:p>
      <w:pPr>
        <w:ind w:right="20" w:firstLine="500"/>
        <w:spacing w:after="0" w:line="254" w:lineRule="auto"/>
        <w:rPr>
          <w:sz w:val="20"/>
          <w:szCs w:val="20"/>
          <w:color w:val="auto"/>
        </w:rPr>
      </w:pPr>
      <w:r>
        <w:rPr>
          <w:rFonts w:ascii="Arial" w:cs="Arial" w:eastAsia="Arial" w:hAnsi="Arial"/>
          <w:sz w:val="18"/>
          <w:szCs w:val="18"/>
          <w:color w:val="auto"/>
        </w:rPr>
        <w:t>On April 21, 2016, Siemens Industry, Inc. filed a lawsuit against the Company in federal district court in Delaware alleging that the Company has infringed seven patents owned by Siemens, all of which relate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The US Patent &amp; Trademark Office has granted Inter-Parties Review proceedings on ten (10) of the patents asserted by Siemens to assess their validity; the hearings began in April 2018 and continue through November 2018. Additionally, Wabtec’s counterclaim alleging that Siemens has violated three (3) of Wabtec’s patents has been severed from the initial case and is now a separate case pending in federal district court in Delaware. Wabtec has filed a motion to obtain a preliminary injunction against Siemens in that case and a hearing is scheduled for July 3, 2018.</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Denver Transit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Denver Transit has alleged that the delay is due to Xorail's failure to achieve constant warning times for the crossings in accordance with the approval requirements imposed by the FRA and PUC; Xorail has denied Denver Transit's assertions. Denver Transit has also notified RTD that Denver Transit considers the constant warning approval requirements imposed by FRA and/or PUC to be a change in law, for which neither Denver Transit nor its subcontractors (including Xorail) would be liable. Xorail has worked with Denver Transit to modify its system to meet the FRA's and PUC's previously undefined approval requirements. On September 28, 2017, the FRA granted a 5 year approval of the modified wireless crossing system as currently implemented. On March 28, 2018, the PUC granted its approval of the modified wireless crossing system as currently implemented, consistent with the approval previously granted by the FRA. Denver Transit is now able to begin certification of the crossings and will eliminate the use of flaggers as the crossings are certified; this process is expected to take several months. No formal claim has been filed by Denver Transit.</w:t>
      </w:r>
    </w:p>
    <w:p>
      <w:pPr>
        <w:spacing w:after="0" w:line="182" w:lineRule="exact"/>
        <w:rPr>
          <w:sz w:val="20"/>
          <w:szCs w:val="20"/>
          <w:color w:val="auto"/>
        </w:rPr>
      </w:pPr>
    </w:p>
    <w:p>
      <w:pPr>
        <w:ind w:firstLine="648"/>
        <w:spacing w:after="0" w:line="288" w:lineRule="auto"/>
        <w:rPr>
          <w:sz w:val="20"/>
          <w:szCs w:val="20"/>
          <w:color w:val="auto"/>
        </w:rPr>
      </w:pPr>
      <w:r>
        <w:rPr>
          <w:rFonts w:ascii="Arial" w:cs="Arial" w:eastAsia="Arial" w:hAnsi="Arial"/>
          <w:sz w:val="17"/>
          <w:szCs w:val="17"/>
          <w:color w:val="auto"/>
        </w:rPr>
        <w:t>On April 3, 2018 the United States Department of Justice entered into a proposed consent decree resolving allegations that the Company and Knorr-Bremse AG had maintained unlawful agreements not to compete for each other’s employees. The allegations also related to Faiveley Transport S.A. before it was acquired by the Company in November 2016. The proposed consent decree is pending review and approval by the U.S. District Court for the District of Columbia. No monetary fines or penalties have been imposed on the Company. The Company elected to settle this matter with the Department of Justice to avoid the cost and distraction of litigation. Several putative class action lawsuits have been filed naming the Company and Knorr as defendants in connection with the allegations contained in the proposed consent decree. The lawsuits seek unspecified damages on behalf of employees of the Company (including Faiveley Transport) and Knorr allegedly caused by the defendants’ actions. The litigation is in its very early stages. The Company does not believe that it has diminished competition for talent in the marketplace and intends to contest these claims vigorously.</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Price Paid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Programs (1)</w:t>
            </w:r>
          </w:p>
        </w:tc>
      </w:tr>
      <w:tr>
        <w:trPr>
          <w:trHeight w:val="27"/>
        </w:trPr>
        <w:tc>
          <w:tcPr>
            <w:tcW w:w="3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January 2018</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February 2018</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March 2018</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 quarter ended March 31, 2018</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2016 Refinancing Credit Agreement, as well as the senior notes currently outstanding.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59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Rule 13a-14(a) Certification of Chief Executive Officer.</w:t>
              </w:r>
            </w:hyperlink>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400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59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Section 1350 Certification of Chief Executive Officer and Chief Financial Officer.</w:t>
              </w:r>
            </w:hyperlink>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5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43"/>
        </w:trPr>
        <w:tc>
          <w:tcPr>
            <w:tcW w:w="1480" w:type="dxa"/>
            <w:vAlign w:val="bottom"/>
          </w:tcPr>
          <w:p>
            <w:pPr>
              <w:spacing w:after="0"/>
              <w:rPr>
                <w:sz w:val="24"/>
                <w:szCs w:val="24"/>
                <w:color w:val="auto"/>
              </w:rPr>
            </w:pPr>
          </w:p>
        </w:tc>
        <w:tc>
          <w:tcPr>
            <w:tcW w:w="5920" w:type="dxa"/>
            <w:vAlign w:val="bottom"/>
            <w:gridSpan w:val="3"/>
          </w:tcPr>
          <w:p>
            <w:pPr>
              <w:ind w:left="410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320"/>
          </w:cols>
          <w:pgMar w:left="240" w:top="364" w:right="339" w:bottom="1440" w:gutter="0" w:footer="0" w:header="0"/>
        </w:sectPr>
      </w:pPr>
    </w:p>
    <w:bookmarkStart w:id="44" w:name="page45"/>
    <w:bookmarkEnd w:id="44"/>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wp:posOffset>
            </wp:positionV>
            <wp:extent cx="2881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Chief Financial Officer</w:t>
      </w:r>
    </w:p>
    <w:p>
      <w:pPr>
        <w:spacing w:after="0" w:line="3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364" w:right="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140" w:firstLine="508"/>
        <w:spacing w:after="0" w:line="30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4,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/s/  RAYMOND T. BETLER</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Raymond T. Betler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140" w:firstLine="508"/>
        <w:spacing w:after="0" w:line="308"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4,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March 31, 2018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T. B</w:t>
            </w:r>
            <w:r>
              <w:rPr>
                <w:rFonts w:ascii="Arial" w:cs="Arial" w:eastAsia="Arial" w:hAnsi="Arial"/>
                <w:sz w:val="14"/>
                <w:szCs w:val="14"/>
                <w:color w:val="auto"/>
              </w:rPr>
              <w:t>ETLER</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Raymond T. Betler</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39"/>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May 4, 2018</w:t>
            </w:r>
          </w:p>
        </w:tc>
      </w:tr>
      <w:tr>
        <w:trPr>
          <w:trHeight w:val="554"/>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55"/>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May 4, 2018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2019-12-28T22:28:06Z</dcterms:created>
  <dcterms:modified xsi:type="dcterms:W3CDTF">2019-12-28T22:28:06Z</dcterms:modified>
</cp:coreProperties>
</file>