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23"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00" w:right="4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2100" w:type="dxa"/>
            <w:vAlign w:val="bottom"/>
          </w:tcPr>
          <w:p>
            <w:pPr>
              <w:spacing w:after="0"/>
              <w:rPr>
                <w:sz w:val="20"/>
                <w:szCs w:val="20"/>
                <w:color w:val="auto"/>
              </w:rPr>
            </w:pPr>
          </w:p>
        </w:tc>
      </w:tr>
      <w:tr>
        <w:trPr>
          <w:trHeight w:val="270"/>
        </w:trPr>
        <w:tc>
          <w:tcPr>
            <w:tcW w:w="3280" w:type="dxa"/>
            <w:vAlign w:val="bottom"/>
          </w:tcPr>
          <w:p>
            <w:pPr>
              <w:spacing w:after="0"/>
              <w:rPr>
                <w:sz w:val="23"/>
                <w:szCs w:val="23"/>
                <w:color w:val="auto"/>
              </w:rPr>
            </w:pPr>
          </w:p>
        </w:tc>
        <w:tc>
          <w:tcPr>
            <w:tcW w:w="4160" w:type="dxa"/>
            <w:vAlign w:val="bottom"/>
          </w:tcPr>
          <w:p>
            <w:pPr>
              <w:jc w:val="center"/>
              <w:ind w:right="80"/>
              <w:spacing w:after="0"/>
              <w:rPr>
                <w:sz w:val="20"/>
                <w:szCs w:val="20"/>
                <w:color w:val="auto"/>
              </w:rPr>
            </w:pPr>
            <w:r>
              <w:rPr>
                <w:rFonts w:ascii="Arial" w:cs="Arial" w:eastAsia="Arial" w:hAnsi="Arial"/>
                <w:sz w:val="18"/>
                <w:szCs w:val="18"/>
                <w:b w:val="1"/>
                <w:bCs w:val="1"/>
                <w:color w:val="auto"/>
                <w:w w:val="90"/>
              </w:rPr>
              <w:t>Commission file number: 033-90866</w:t>
            </w:r>
          </w:p>
        </w:tc>
        <w:tc>
          <w:tcPr>
            <w:tcW w:w="2100" w:type="dxa"/>
            <w:vAlign w:val="bottom"/>
          </w:tcPr>
          <w:p>
            <w:pPr>
              <w:spacing w:after="0"/>
              <w:rPr>
                <w:sz w:val="23"/>
                <w:szCs w:val="23"/>
                <w:color w:val="auto"/>
              </w:rPr>
            </w:pPr>
          </w:p>
        </w:tc>
      </w:tr>
      <w:tr>
        <w:trPr>
          <w:trHeight w:val="240"/>
        </w:trPr>
        <w:tc>
          <w:tcPr>
            <w:tcW w:w="3280" w:type="dxa"/>
            <w:vAlign w:val="bottom"/>
          </w:tcPr>
          <w:p>
            <w:pPr>
              <w:spacing w:after="0"/>
              <w:rPr>
                <w:sz w:val="20"/>
                <w:szCs w:val="20"/>
                <w:color w:val="auto"/>
              </w:rPr>
            </w:pPr>
          </w:p>
        </w:tc>
        <w:tc>
          <w:tcPr>
            <w:tcW w:w="4160" w:type="dxa"/>
            <w:vAlign w:val="bottom"/>
          </w:tcPr>
          <w:p>
            <w:pPr>
              <w:jc w:val="center"/>
              <w:ind w:right="60"/>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20"/>
                <w:szCs w:val="20"/>
                <w:color w:val="auto"/>
              </w:rPr>
            </w:pPr>
          </w:p>
        </w:tc>
      </w:tr>
      <w:tr>
        <w:trPr>
          <w:trHeight w:val="446"/>
        </w:trPr>
        <w:tc>
          <w:tcPr>
            <w:tcW w:w="9540" w:type="dxa"/>
            <w:vAlign w:val="bottom"/>
            <w:gridSpan w:val="3"/>
          </w:tcPr>
          <w:p>
            <w:pPr>
              <w:jc w:val="center"/>
              <w:ind w:left="908"/>
              <w:spacing w:after="0"/>
              <w:rPr>
                <w:sz w:val="20"/>
                <w:szCs w:val="20"/>
                <w:color w:val="auto"/>
              </w:rPr>
            </w:pPr>
            <w:r>
              <w:rPr>
                <w:rFonts w:ascii="Arial" w:cs="Arial" w:eastAsia="Arial" w:hAnsi="Arial"/>
                <w:sz w:val="38"/>
                <w:szCs w:val="38"/>
                <w:b w:val="1"/>
                <w:bCs w:val="1"/>
                <w:color w:val="auto"/>
              </w:rPr>
              <w:t>WESTINGHOUSE AIR BRAKE TECHNOLOGIES</w:t>
            </w:r>
          </w:p>
        </w:tc>
      </w:tr>
      <w:tr>
        <w:trPr>
          <w:trHeight w:val="457"/>
        </w:trPr>
        <w:tc>
          <w:tcPr>
            <w:tcW w:w="3280" w:type="dxa"/>
            <w:vAlign w:val="bottom"/>
          </w:tcPr>
          <w:p>
            <w:pPr>
              <w:spacing w:after="0"/>
              <w:rPr>
                <w:sz w:val="24"/>
                <w:szCs w:val="24"/>
                <w:color w:val="auto"/>
              </w:rPr>
            </w:pPr>
          </w:p>
        </w:tc>
        <w:tc>
          <w:tcPr>
            <w:tcW w:w="4160" w:type="dxa"/>
            <w:vAlign w:val="bottom"/>
          </w:tcPr>
          <w:p>
            <w:pPr>
              <w:jc w:val="center"/>
              <w:ind w:right="80"/>
              <w:spacing w:after="0"/>
              <w:rPr>
                <w:sz w:val="20"/>
                <w:szCs w:val="20"/>
                <w:color w:val="auto"/>
              </w:rPr>
            </w:pPr>
            <w:r>
              <w:rPr>
                <w:rFonts w:ascii="Arial" w:cs="Arial" w:eastAsia="Arial" w:hAnsi="Arial"/>
                <w:sz w:val="38"/>
                <w:szCs w:val="38"/>
                <w:b w:val="1"/>
                <w:bCs w:val="1"/>
                <w:color w:val="auto"/>
              </w:rPr>
              <w:t>CORPORATION</w:t>
            </w:r>
          </w:p>
        </w:tc>
        <w:tc>
          <w:tcPr>
            <w:tcW w:w="210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4160" w:type="dxa"/>
            <w:vAlign w:val="bottom"/>
          </w:tcPr>
          <w:p>
            <w:pPr>
              <w:jc w:val="center"/>
              <w:ind w:right="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160" w:type="dxa"/>
            <w:vAlign w:val="bottom"/>
          </w:tcPr>
          <w:p>
            <w:pPr>
              <w:jc w:val="center"/>
              <w:ind w:right="60"/>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20"/>
                <w:szCs w:val="20"/>
                <w:color w:val="auto"/>
              </w:rPr>
            </w:pPr>
          </w:p>
        </w:tc>
      </w:tr>
      <w:tr>
        <w:trPr>
          <w:trHeight w:val="361"/>
        </w:trPr>
        <w:tc>
          <w:tcPr>
            <w:tcW w:w="3280" w:type="dxa"/>
            <w:vAlign w:val="bottom"/>
          </w:tcPr>
          <w:p>
            <w:pPr>
              <w:jc w:val="center"/>
              <w:ind w:left="1468"/>
              <w:spacing w:after="0"/>
              <w:rPr>
                <w:sz w:val="20"/>
                <w:szCs w:val="20"/>
                <w:color w:val="auto"/>
              </w:rPr>
            </w:pPr>
            <w:r>
              <w:rPr>
                <w:rFonts w:ascii="Arial" w:cs="Arial" w:eastAsia="Arial" w:hAnsi="Arial"/>
                <w:sz w:val="17"/>
                <w:szCs w:val="17"/>
                <w:b w:val="1"/>
                <w:bCs w:val="1"/>
                <w:color w:val="auto"/>
                <w:w w:val="91"/>
              </w:rPr>
              <w:t>Delaware</w:t>
            </w:r>
          </w:p>
        </w:tc>
        <w:tc>
          <w:tcPr>
            <w:tcW w:w="4160" w:type="dxa"/>
            <w:vAlign w:val="bottom"/>
          </w:tcPr>
          <w:p>
            <w:pPr>
              <w:spacing w:after="0"/>
              <w:rPr>
                <w:sz w:val="24"/>
                <w:szCs w:val="24"/>
                <w:color w:val="auto"/>
              </w:rPr>
            </w:pPr>
          </w:p>
        </w:tc>
        <w:tc>
          <w:tcPr>
            <w:tcW w:w="2100" w:type="dxa"/>
            <w:vAlign w:val="bottom"/>
          </w:tcPr>
          <w:p>
            <w:pPr>
              <w:jc w:val="right"/>
              <w:ind w:right="925"/>
              <w:spacing w:after="0"/>
              <w:rPr>
                <w:sz w:val="20"/>
                <w:szCs w:val="20"/>
                <w:color w:val="auto"/>
              </w:rPr>
            </w:pPr>
            <w:r>
              <w:rPr>
                <w:rFonts w:ascii="Arial" w:cs="Arial" w:eastAsia="Arial" w:hAnsi="Arial"/>
                <w:sz w:val="17"/>
                <w:szCs w:val="17"/>
                <w:b w:val="1"/>
                <w:bCs w:val="1"/>
                <w:color w:val="auto"/>
              </w:rPr>
              <w:t>25-1615902</w:t>
            </w:r>
          </w:p>
        </w:tc>
      </w:tr>
      <w:tr>
        <w:trPr>
          <w:trHeight w:val="194"/>
        </w:trPr>
        <w:tc>
          <w:tcPr>
            <w:tcW w:w="3280" w:type="dxa"/>
            <w:vAlign w:val="bottom"/>
          </w:tcPr>
          <w:p>
            <w:pPr>
              <w:jc w:val="center"/>
              <w:ind w:left="1488"/>
              <w:spacing w:after="0"/>
              <w:rPr>
                <w:sz w:val="20"/>
                <w:szCs w:val="20"/>
                <w:color w:val="auto"/>
              </w:rPr>
            </w:pPr>
            <w:r>
              <w:rPr>
                <w:rFonts w:ascii="Arial" w:cs="Arial" w:eastAsia="Arial" w:hAnsi="Arial"/>
                <w:sz w:val="14"/>
                <w:szCs w:val="14"/>
                <w:b w:val="1"/>
                <w:bCs w:val="1"/>
                <w:color w:val="auto"/>
                <w:w w:val="87"/>
              </w:rPr>
              <w:t>(State or other jurisdiction</w:t>
            </w:r>
          </w:p>
        </w:tc>
        <w:tc>
          <w:tcPr>
            <w:tcW w:w="4160" w:type="dxa"/>
            <w:vAlign w:val="bottom"/>
          </w:tcPr>
          <w:p>
            <w:pPr>
              <w:spacing w:after="0"/>
              <w:rPr>
                <w:sz w:val="16"/>
                <w:szCs w:val="16"/>
                <w:color w:val="auto"/>
              </w:rPr>
            </w:pP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744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88"/>
              </w:rPr>
              <w:t>of incorporation or organization)</w:t>
            </w: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89"/>
              </w:rPr>
              <w:t>Identification No.)</w:t>
            </w:r>
          </w:p>
        </w:tc>
      </w:tr>
      <w:tr>
        <w:trPr>
          <w:trHeight w:val="355"/>
        </w:trPr>
        <w:tc>
          <w:tcPr>
            <w:tcW w:w="3280" w:type="dxa"/>
            <w:vAlign w:val="bottom"/>
          </w:tcPr>
          <w:p>
            <w:pPr>
              <w:jc w:val="center"/>
              <w:ind w:left="1488"/>
              <w:spacing w:after="0"/>
              <w:rPr>
                <w:sz w:val="20"/>
                <w:szCs w:val="20"/>
                <w:color w:val="auto"/>
              </w:rPr>
            </w:pPr>
            <w:r>
              <w:rPr>
                <w:rFonts w:ascii="Arial" w:cs="Arial" w:eastAsia="Arial" w:hAnsi="Arial"/>
                <w:sz w:val="17"/>
                <w:szCs w:val="17"/>
                <w:b w:val="1"/>
                <w:bCs w:val="1"/>
                <w:color w:val="auto"/>
                <w:w w:val="92"/>
              </w:rPr>
              <w:t>1001 Air Brake Avenue</w:t>
            </w:r>
          </w:p>
        </w:tc>
        <w:tc>
          <w:tcPr>
            <w:tcW w:w="4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6"/>
        </w:trPr>
        <w:tc>
          <w:tcPr>
            <w:tcW w:w="3280" w:type="dxa"/>
            <w:vAlign w:val="bottom"/>
          </w:tcPr>
          <w:p>
            <w:pPr>
              <w:jc w:val="center"/>
              <w:ind w:left="1488"/>
              <w:spacing w:after="0"/>
              <w:rPr>
                <w:sz w:val="20"/>
                <w:szCs w:val="20"/>
                <w:color w:val="auto"/>
              </w:rPr>
            </w:pPr>
            <w:r>
              <w:rPr>
                <w:rFonts w:ascii="Arial" w:cs="Arial" w:eastAsia="Arial" w:hAnsi="Arial"/>
                <w:sz w:val="17"/>
                <w:szCs w:val="17"/>
                <w:b w:val="1"/>
                <w:bCs w:val="1"/>
                <w:color w:val="auto"/>
                <w:w w:val="93"/>
              </w:rPr>
              <w:t>Wilmerding, PA</w:t>
            </w:r>
          </w:p>
        </w:tc>
        <w:tc>
          <w:tcPr>
            <w:tcW w:w="4160" w:type="dxa"/>
            <w:vAlign w:val="bottom"/>
          </w:tcPr>
          <w:p>
            <w:pPr>
              <w:spacing w:after="0"/>
              <w:rPr>
                <w:sz w:val="20"/>
                <w:szCs w:val="20"/>
                <w:color w:val="auto"/>
              </w:rPr>
            </w:pPr>
          </w:p>
        </w:tc>
        <w:tc>
          <w:tcPr>
            <w:tcW w:w="2100" w:type="dxa"/>
            <w:vAlign w:val="bottom"/>
          </w:tcPr>
          <w:p>
            <w:pPr>
              <w:jc w:val="right"/>
              <w:ind w:right="1125"/>
              <w:spacing w:after="0"/>
              <w:rPr>
                <w:sz w:val="20"/>
                <w:szCs w:val="20"/>
                <w:color w:val="auto"/>
              </w:rPr>
            </w:pPr>
            <w:r>
              <w:rPr>
                <w:rFonts w:ascii="Arial" w:cs="Arial" w:eastAsia="Arial" w:hAnsi="Arial"/>
                <w:sz w:val="17"/>
                <w:szCs w:val="17"/>
                <w:b w:val="1"/>
                <w:bCs w:val="1"/>
                <w:color w:val="auto"/>
              </w:rPr>
              <w:t>15148</w:t>
            </w:r>
          </w:p>
        </w:tc>
      </w:tr>
      <w:tr>
        <w:trPr>
          <w:trHeight w:val="215"/>
        </w:trPr>
        <w:tc>
          <w:tcPr>
            <w:tcW w:w="744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86"/>
              </w:rPr>
              <w:t>(Zip code)</w:t>
            </w:r>
          </w:p>
        </w:tc>
      </w:tr>
      <w:tr>
        <w:trPr>
          <w:trHeight w:val="212"/>
        </w:trPr>
        <w:tc>
          <w:tcPr>
            <w:tcW w:w="3280" w:type="dxa"/>
            <w:vAlign w:val="bottom"/>
          </w:tcPr>
          <w:p>
            <w:pPr>
              <w:spacing w:after="0"/>
              <w:rPr>
                <w:sz w:val="18"/>
                <w:szCs w:val="18"/>
                <w:color w:val="auto"/>
              </w:rPr>
            </w:pPr>
          </w:p>
        </w:tc>
        <w:tc>
          <w:tcPr>
            <w:tcW w:w="4160" w:type="dxa"/>
            <w:vAlign w:val="bottom"/>
          </w:tcPr>
          <w:p>
            <w:pPr>
              <w:jc w:val="center"/>
              <w:ind w:right="80"/>
              <w:spacing w:after="0"/>
              <w:rPr>
                <w:sz w:val="20"/>
                <w:szCs w:val="20"/>
                <w:color w:val="auto"/>
              </w:rPr>
            </w:pPr>
            <w:r>
              <w:rPr>
                <w:rFonts w:ascii="Arial" w:cs="Arial" w:eastAsia="Arial" w:hAnsi="Arial"/>
                <w:sz w:val="18"/>
                <w:szCs w:val="18"/>
                <w:b w:val="1"/>
                <w:bCs w:val="1"/>
                <w:color w:val="auto"/>
                <w:w w:val="90"/>
              </w:rPr>
              <w:t>412-825-1000</w:t>
            </w:r>
          </w:p>
        </w:tc>
        <w:tc>
          <w:tcPr>
            <w:tcW w:w="2100" w:type="dxa"/>
            <w:vAlign w:val="bottom"/>
          </w:tcPr>
          <w:p>
            <w:pPr>
              <w:spacing w:after="0"/>
              <w:rPr>
                <w:sz w:val="18"/>
                <w:szCs w:val="18"/>
                <w:color w:val="auto"/>
              </w:rPr>
            </w:pPr>
          </w:p>
        </w:tc>
      </w:tr>
      <w:tr>
        <w:trPr>
          <w:trHeight w:val="186"/>
        </w:trPr>
        <w:tc>
          <w:tcPr>
            <w:tcW w:w="3280" w:type="dxa"/>
            <w:vAlign w:val="bottom"/>
          </w:tcPr>
          <w:p>
            <w:pPr>
              <w:spacing w:after="0"/>
              <w:rPr>
                <w:sz w:val="16"/>
                <w:szCs w:val="16"/>
                <w:color w:val="auto"/>
              </w:rPr>
            </w:pPr>
          </w:p>
        </w:tc>
        <w:tc>
          <w:tcPr>
            <w:tcW w:w="416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100" w:type="dxa"/>
            <w:vAlign w:val="bottom"/>
          </w:tcPr>
          <w:p>
            <w:pPr>
              <w:spacing w:after="0"/>
              <w:rPr>
                <w:sz w:val="16"/>
                <w:szCs w:val="16"/>
                <w:color w:val="auto"/>
              </w:rPr>
            </w:pP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6"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9"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12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 w:type="dxa"/>
            <w:vAlign w:val="bottom"/>
            <w:vMerge w:val="restart"/>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2200" w:type="dxa"/>
            <w:vAlign w:val="bottom"/>
          </w:tcPr>
          <w:p>
            <w:pPr>
              <w:ind w:left="20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700" w:type="dxa"/>
            <w:vAlign w:val="bottom"/>
          </w:tcPr>
          <w:p>
            <w:pPr>
              <w:ind w:left="400"/>
              <w:spacing w:after="0"/>
              <w:rPr>
                <w:sz w:val="20"/>
                <w:szCs w:val="20"/>
                <w:color w:val="auto"/>
              </w:rPr>
            </w:pPr>
            <w:r>
              <w:rPr>
                <w:rFonts w:ascii="Arial" w:cs="Arial" w:eastAsia="Arial" w:hAnsi="Arial"/>
                <w:sz w:val="15"/>
                <w:szCs w:val="15"/>
                <w:color w:val="auto"/>
              </w:rPr>
              <w:t>x</w:t>
            </w:r>
          </w:p>
        </w:tc>
        <w:tc>
          <w:tcPr>
            <w:tcW w:w="2240" w:type="dxa"/>
            <w:vAlign w:val="bottom"/>
          </w:tcPr>
          <w:p>
            <w:pPr>
              <w:ind w:left="160"/>
              <w:spacing w:after="0"/>
              <w:rPr>
                <w:sz w:val="20"/>
                <w:szCs w:val="20"/>
                <w:color w:val="auto"/>
              </w:rPr>
            </w:pPr>
            <w:r>
              <w:rPr>
                <w:rFonts w:ascii="Arial" w:cs="Arial" w:eastAsia="Arial" w:hAnsi="Arial"/>
                <w:sz w:val="15"/>
                <w:szCs w:val="15"/>
                <w:color w:val="auto"/>
              </w:rPr>
              <w:t>Accelerated filer</w:t>
            </w:r>
          </w:p>
        </w:tc>
        <w:tc>
          <w:tcPr>
            <w:tcW w:w="680" w:type="dxa"/>
            <w:vAlign w:val="bottom"/>
            <w:vMerge w:val="continue"/>
          </w:tcPr>
          <w:p>
            <w:pPr>
              <w:spacing w:after="0"/>
              <w:rPr>
                <w:sz w:val="17"/>
                <w:szCs w:val="17"/>
                <w:color w:val="auto"/>
              </w:rPr>
            </w:pPr>
          </w:p>
        </w:tc>
        <w:tc>
          <w:tcPr>
            <w:tcW w:w="2200" w:type="dxa"/>
            <w:vAlign w:val="bottom"/>
          </w:tcPr>
          <w:p>
            <w:pPr>
              <w:ind w:left="160"/>
              <w:spacing w:after="0"/>
              <w:rPr>
                <w:sz w:val="20"/>
                <w:szCs w:val="20"/>
                <w:color w:val="auto"/>
              </w:rPr>
            </w:pPr>
            <w:r>
              <w:rPr>
                <w:rFonts w:ascii="Arial" w:cs="Arial" w:eastAsia="Arial" w:hAnsi="Arial"/>
                <w:sz w:val="15"/>
                <w:szCs w:val="15"/>
                <w:color w:val="auto"/>
              </w:rPr>
              <w:t>Non-accelerated filer</w:t>
            </w:r>
          </w:p>
        </w:tc>
        <w:tc>
          <w:tcPr>
            <w:tcW w:w="0" w:type="dxa"/>
            <w:vAlign w:val="bottom"/>
          </w:tcPr>
          <w:p>
            <w:pPr>
              <w:spacing w:after="0"/>
              <w:rPr>
                <w:sz w:val="1"/>
                <w:szCs w:val="1"/>
                <w:color w:val="auto"/>
              </w:rPr>
            </w:pPr>
          </w:p>
        </w:tc>
      </w:tr>
      <w:tr>
        <w:trPr>
          <w:trHeight w:val="243"/>
        </w:trPr>
        <w:tc>
          <w:tcPr>
            <w:tcW w:w="2080" w:type="dxa"/>
            <w:vAlign w:val="bottom"/>
            <w:vMerge w:val="restart"/>
          </w:tcPr>
          <w:p>
            <w:pPr>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2240" w:type="dxa"/>
            <w:vAlign w:val="bottom"/>
            <w:vMerge w:val="restart"/>
          </w:tcPr>
          <w:p>
            <w:pPr>
              <w:ind w:left="160"/>
              <w:spacing w:after="0"/>
              <w:rPr>
                <w:sz w:val="20"/>
                <w:szCs w:val="20"/>
                <w:color w:val="auto"/>
              </w:rPr>
            </w:pPr>
            <w:r>
              <w:rPr>
                <w:rFonts w:ascii="Arial" w:cs="Arial" w:eastAsia="Arial" w:hAnsi="Arial"/>
                <w:sz w:val="15"/>
                <w:szCs w:val="15"/>
                <w:color w:val="auto"/>
              </w:rPr>
              <w:t>Smaller reporting company</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280" w:firstLine="5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84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Indicate the number of shares outstanding of each of the issuer’s classes of common stock, as of the latest practicable date.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October 24, 2018</w:t>
            </w:r>
          </w:p>
        </w:tc>
      </w:tr>
      <w:tr>
        <w:trPr>
          <w:trHeight w:val="248"/>
        </w:trPr>
        <w:tc>
          <w:tcPr>
            <w:tcW w:w="5820" w:type="dxa"/>
            <w:vAlign w:val="bottom"/>
            <w:gridSpan w:val="2"/>
          </w:tcPr>
          <w:p>
            <w:pPr>
              <w:jc w:val="center"/>
              <w:ind w:right="200"/>
              <w:spacing w:after="0"/>
              <w:rPr>
                <w:sz w:val="20"/>
                <w:szCs w:val="20"/>
                <w:color w:val="auto"/>
              </w:rPr>
            </w:pPr>
            <w:r>
              <w:rPr>
                <w:rFonts w:ascii="Arial" w:cs="Arial" w:eastAsia="Arial" w:hAnsi="Arial"/>
                <w:sz w:val="15"/>
                <w:szCs w:val="15"/>
                <w:color w:val="auto"/>
                <w:w w:val="91"/>
              </w:rPr>
              <w:t>Common Stock, $.01 par value per share</w:t>
            </w:r>
          </w:p>
        </w:tc>
        <w:tc>
          <w:tcPr>
            <w:tcW w:w="5600" w:type="dxa"/>
            <w:vAlign w:val="bottom"/>
          </w:tcPr>
          <w:p>
            <w:pPr>
              <w:jc w:val="right"/>
              <w:ind w:right="2386"/>
              <w:spacing w:after="0"/>
              <w:rPr>
                <w:sz w:val="20"/>
                <w:szCs w:val="20"/>
                <w:color w:val="auto"/>
              </w:rPr>
            </w:pPr>
            <w:r>
              <w:rPr>
                <w:rFonts w:ascii="Arial" w:cs="Arial" w:eastAsia="Arial" w:hAnsi="Arial"/>
                <w:sz w:val="15"/>
                <w:szCs w:val="15"/>
                <w:color w:val="auto"/>
              </w:rPr>
              <w:t>96,614,946</w:t>
            </w:r>
          </w:p>
        </w:tc>
      </w:tr>
      <w:tr>
        <w:trPr>
          <w:trHeight w:val="143"/>
        </w:trPr>
        <w:tc>
          <w:tcPr>
            <w:tcW w:w="5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r>
      <w:tr>
        <w:trPr>
          <w:trHeight w:val="115"/>
        </w:trPr>
        <w:tc>
          <w:tcPr>
            <w:tcW w:w="5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2018</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43"/>
        </w:trPr>
        <w:tc>
          <w:tcPr>
            <w:tcW w:w="920" w:type="dxa"/>
            <w:vAlign w:val="bottom"/>
          </w:tcPr>
          <w:p>
            <w:pPr>
              <w:spacing w:after="0"/>
              <w:rPr>
                <w:sz w:val="21"/>
                <w:szCs w:val="21"/>
                <w:color w:val="auto"/>
              </w:rPr>
            </w:pP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21"/>
                <w:szCs w:val="2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 (Unaudited)</w:t>
              </w:r>
            </w:hyperlink>
          </w:p>
        </w:tc>
        <w:tc>
          <w:tcPr>
            <w:tcW w:w="7380" w:type="dxa"/>
            <w:vAlign w:val="bottom"/>
            <w:gridSpan w:val="9"/>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65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2018 and December 31, 2017</w:t>
              </w:r>
            </w:hyperlink>
          </w:p>
        </w:tc>
        <w:tc>
          <w:tcPr>
            <w:tcW w:w="332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Income for the three and nine months ended September 30, 2018 and 2017</w:t>
              </w:r>
            </w:hyperlink>
          </w:p>
        </w:tc>
        <w:tc>
          <w:tcPr>
            <w:tcW w:w="5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2018 and 2017</w:t>
              </w:r>
            </w:hyperlink>
          </w:p>
        </w:tc>
        <w:tc>
          <w:tcPr>
            <w:tcW w:w="48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372"/>
        </w:trPr>
        <w:tc>
          <w:tcPr>
            <w:tcW w:w="92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2018 and 2017</w:t>
              </w:r>
            </w:hyperlink>
          </w:p>
        </w:tc>
        <w:tc>
          <w:tcPr>
            <w:tcW w:w="2060" w:type="dxa"/>
            <w:vAlign w:val="bottom"/>
            <w:gridSpan w:val="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92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5600" w:type="dxa"/>
            <w:vAlign w:val="bottom"/>
            <w:gridSpan w:val="7"/>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5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5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5560" w:type="dxa"/>
            <w:vAlign w:val="bottom"/>
            <w:gridSpan w:val="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Exhibits</w:t>
              </w:r>
            </w:hyperlink>
          </w:p>
        </w:tc>
        <w:tc>
          <w:tcPr>
            <w:tcW w:w="1160" w:type="dxa"/>
            <w:vAlign w:val="bottom"/>
            <w:tcBorders>
              <w:top w:val="single" w:sz="8" w:color="0000EE"/>
            </w:tcBorders>
            <w:gridSpan w:val="4"/>
          </w:tcPr>
          <w:p>
            <w:pPr>
              <w:spacing w:after="0"/>
              <w:rPr>
                <w:sz w:val="24"/>
                <w:szCs w:val="24"/>
                <w:color w:val="auto"/>
              </w:rPr>
            </w:pPr>
          </w:p>
        </w:tc>
        <w:tc>
          <w:tcPr>
            <w:tcW w:w="814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37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0">
              <w:r>
                <w:rPr>
                  <w:rFonts w:ascii="Arial" w:cs="Arial" w:eastAsia="Arial" w:hAnsi="Arial"/>
                  <w:sz w:val="18"/>
                  <w:szCs w:val="18"/>
                  <w:color w:val="0000EE"/>
                  <w:w w:val="85"/>
                </w:rPr>
                <w:t>Signatures</w:t>
              </w:r>
            </w:hyperlink>
          </w:p>
        </w:tc>
        <w:tc>
          <w:tcPr>
            <w:tcW w:w="91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507"/>
        </w:trPr>
        <w:tc>
          <w:tcPr>
            <w:tcW w:w="920" w:type="dxa"/>
            <w:vAlign w:val="bottom"/>
          </w:tcPr>
          <w:p>
            <w:pPr>
              <w:spacing w:after="0"/>
              <w:rPr>
                <w:sz w:val="24"/>
                <w:szCs w:val="24"/>
                <w:color w:val="auto"/>
              </w:rPr>
            </w:pPr>
          </w:p>
        </w:tc>
        <w:tc>
          <w:tcPr>
            <w:tcW w:w="646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3"/>
              </w:rPr>
              <w:t>Unaudited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2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 except shares and par value</w:t>
            </w:r>
          </w:p>
        </w:tc>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1"/>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411,381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233,401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1,724,000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851,244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800,619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Unbilled accounts receivable</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389,277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366,168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866,205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742,634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111,441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122,291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4,353,548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2,265,113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1,026,184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1,026,046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(468,761)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(452,074)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557,423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573,972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2,412,554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2,460,103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intangibles, net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1,157,424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1,204,432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72,277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76,360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other assets</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3,642,255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3,740,895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8,553,226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6,579,980</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5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557,449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552,525</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374,104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369,716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165,190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136,449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137,542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47,038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47,225</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250,063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302,112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1,530,293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1,573,330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3,818,061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1,823,303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Reserve for postretirement and pension benefits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95,310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103,734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153,549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175,902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18,104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15,521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27,557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59,658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5,642,874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3,751,448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 (Note 16)</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Preferred stock, 1,000,000 shares authorized, no shares issued</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Common stock, $0.01 par value; 200,000,000 shares authorized:</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132,349,534 shares issued and 96,606,946 and 96,034,352 outstanding</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at September 30, 2018 and December 31, 2017, respectively</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916,768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906,616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Treasury stock, at cost, 35,742,588 and 36,315,182 shares,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at September 30, 2018 and December 31, 2017, respectively</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(816,327)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(827,379)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2,999,139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2,773,300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(205,733)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Westinghouse Air Brake Technologies Corporation shareholders' equity</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2,895,170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2,808,868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19,664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2,910,352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2,828,532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8,553,226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6,579,980</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line="20" w:lineRule="exact"/>
              <w:rPr>
                <w:sz w:val="1"/>
                <w:szCs w:val="1"/>
                <w:color w:val="auto"/>
              </w:rPr>
            </w:pPr>
          </w:p>
        </w:tc>
        <w:tc>
          <w:tcPr>
            <w:tcW w:w="6040" w:type="dxa"/>
            <w:vAlign w:val="bottom"/>
            <w:vMerge w:val="restart"/>
          </w:tcPr>
          <w:p>
            <w:pPr>
              <w:ind w:left="84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6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9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98"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93"/>
              </w:rPr>
              <w:t>Unaudited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 September 30,</w:t>
            </w: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4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9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1,077,814</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957,931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3,245,671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2,806,218</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(775,802)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(704,728)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(2,308,811)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(2,009,345)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253,203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936,860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796,873</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(146,839)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(118,183)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(465,197)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(368,788)</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(71,511)</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(27,039)</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(176,833)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(151,537)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(556,879)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(467,338)</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125,179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101,666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379,981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329,535</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(57,460)</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Income from operations before income taxes</w:t>
            </w:r>
          </w:p>
        </w:tc>
        <w:tc>
          <w:tcPr>
            <w:tcW w:w="1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102,667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81,185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310,022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277,379</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(64,776)</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86,069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68,439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256,797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212,603</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Less: Net loss (gain) attributable to noncontrolling interest</w:t>
            </w: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gridSpan w:val="2"/>
          </w:tcPr>
          <w:p>
            <w:pPr>
              <w:ind w:left="560"/>
              <w:spacing w:after="0"/>
              <w:rPr>
                <w:sz w:val="20"/>
                <w:szCs w:val="20"/>
                <w:color w:val="auto"/>
              </w:rPr>
            </w:pPr>
            <w:r>
              <w:rPr>
                <w:rFonts w:ascii="Arial" w:cs="Arial" w:eastAsia="Arial" w:hAnsi="Arial"/>
                <w:sz w:val="18"/>
                <w:szCs w:val="18"/>
                <w:color w:val="auto"/>
              </w:rPr>
              <w:t>Net income attributable to Wabtec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87,739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67,399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260,521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213,313</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96,208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95,709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95,935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95,163</w:t>
            </w:r>
          </w:p>
        </w:tc>
        <w:tc>
          <w:tcPr>
            <w:tcW w:w="0" w:type="dxa"/>
            <w:vAlign w:val="bottom"/>
          </w:tcPr>
          <w:p>
            <w:pPr>
              <w:spacing w:after="0"/>
              <w:rPr>
                <w:sz w:val="1"/>
                <w:szCs w:val="1"/>
                <w:color w:val="auto"/>
              </w:rPr>
            </w:pPr>
          </w:p>
        </w:tc>
      </w:tr>
      <w:tr>
        <w:trPr>
          <w:trHeight w:val="270"/>
        </w:trPr>
        <w:tc>
          <w:tcPr>
            <w:tcW w:w="5980" w:type="dxa"/>
            <w:vAlign w:val="bottom"/>
            <w:gridSpan w:val="2"/>
          </w:tcPr>
          <w:p>
            <w:pPr>
              <w:ind w:left="6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96,637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96,316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96,436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95,808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40" w:top="364" w:right="29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center"/>
              <w:ind w:left="695"/>
              <w:spacing w:after="0"/>
              <w:rPr>
                <w:sz w:val="20"/>
                <w:szCs w:val="20"/>
                <w:color w:val="auto"/>
              </w:rPr>
            </w:pPr>
            <w:r>
              <w:rPr>
                <w:rFonts w:ascii="Arial" w:cs="Arial" w:eastAsia="Arial" w:hAnsi="Arial"/>
                <w:sz w:val="14"/>
                <w:szCs w:val="14"/>
                <w:b w:val="1"/>
                <w:bCs w:val="1"/>
                <w:color w:val="auto"/>
                <w:w w:val="93"/>
              </w:rPr>
              <w:t>Unaudited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r>
      <w:tr>
        <w:trPr>
          <w:trHeight w:val="276"/>
        </w:trPr>
        <w:tc>
          <w:tcPr>
            <w:tcW w:w="7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24"/>
                <w:szCs w:val="24"/>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34"/>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87,739</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67,399</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260,521</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213,313</w:t>
            </w:r>
          </w:p>
        </w:tc>
      </w:tr>
      <w:tr>
        <w:trPr>
          <w:trHeight w:val="270"/>
        </w:trPr>
        <w:tc>
          <w:tcPr>
            <w:tcW w:w="5120" w:type="dxa"/>
            <w:vAlign w:val="bottom"/>
            <w:gridSpan w:val="2"/>
          </w:tcPr>
          <w:p>
            <w:pPr>
              <w:spacing w:after="0"/>
              <w:rPr>
                <w:sz w:val="20"/>
                <w:szCs w:val="20"/>
                <w:color w:val="auto"/>
              </w:rPr>
            </w:pPr>
            <w:r>
              <w:rPr>
                <w:rFonts w:ascii="Arial" w:cs="Arial" w:eastAsia="Arial" w:hAnsi="Arial"/>
                <w:sz w:val="18"/>
                <w:szCs w:val="18"/>
                <w:color w:val="auto"/>
              </w:rPr>
              <w:t>Foreign currency translation (loss) gain</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(44,253)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82,905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(159,064)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277,984</w:t>
            </w:r>
          </w:p>
        </w:tc>
      </w:tr>
      <w:tr>
        <w:trPr>
          <w:trHeight w:val="270"/>
        </w:trPr>
        <w:tc>
          <w:tcPr>
            <w:tcW w:w="5120" w:type="dxa"/>
            <w:vAlign w:val="bottom"/>
            <w:gridSpan w:val="2"/>
          </w:tcPr>
          <w:p>
            <w:pPr>
              <w:spacing w:after="0"/>
              <w:rPr>
                <w:sz w:val="20"/>
                <w:szCs w:val="20"/>
                <w:color w:val="auto"/>
              </w:rPr>
            </w:pPr>
            <w:r>
              <w:rPr>
                <w:rFonts w:ascii="Arial" w:cs="Arial" w:eastAsia="Arial" w:hAnsi="Arial"/>
                <w:sz w:val="18"/>
                <w:szCs w:val="18"/>
                <w:color w:val="auto"/>
              </w:rPr>
              <w:t>Unrealized (loss) gain on derivative contracts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18,400</w:t>
            </w:r>
          </w:p>
        </w:tc>
      </w:tr>
      <w:tr>
        <w:trPr>
          <w:trHeight w:val="256"/>
        </w:trPr>
        <w:tc>
          <w:tcPr>
            <w:tcW w:w="5120" w:type="dxa"/>
            <w:vAlign w:val="bottom"/>
            <w:gridSpan w:val="2"/>
          </w:tcPr>
          <w:p>
            <w:pPr>
              <w:spacing w:after="0"/>
              <w:rPr>
                <w:sz w:val="20"/>
                <w:szCs w:val="20"/>
                <w:color w:val="auto"/>
              </w:rPr>
            </w:pPr>
            <w:r>
              <w:rPr>
                <w:rFonts w:ascii="Arial" w:cs="Arial" w:eastAsia="Arial" w:hAnsi="Arial"/>
                <w:sz w:val="18"/>
                <w:szCs w:val="18"/>
                <w:color w:val="auto"/>
                <w:w w:val="95"/>
              </w:rPr>
              <w:t>Unrealized gain (loss) on pension benefit plans and post-retirement</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benefit plans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7"/>
        </w:trPr>
        <w:tc>
          <w:tcPr>
            <w:tcW w:w="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Other comprehensive (loss) income before tax</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97,953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(161,284)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293,367</w:t>
            </w:r>
          </w:p>
        </w:tc>
      </w:tr>
      <w:tr>
        <w:trPr>
          <w:trHeight w:val="270"/>
        </w:trPr>
        <w:tc>
          <w:tcPr>
            <w:tcW w:w="5120" w:type="dxa"/>
            <w:vAlign w:val="bottom"/>
            <w:gridSpan w:val="2"/>
          </w:tcPr>
          <w:p>
            <w:pPr>
              <w:spacing w:after="0"/>
              <w:rPr>
                <w:sz w:val="20"/>
                <w:szCs w:val="20"/>
                <w:color w:val="auto"/>
              </w:rPr>
            </w:pPr>
            <w:r>
              <w:rPr>
                <w:rFonts w:ascii="Arial" w:cs="Arial" w:eastAsia="Arial" w:hAnsi="Arial"/>
                <w:sz w:val="18"/>
                <w:szCs w:val="18"/>
                <w:color w:val="auto"/>
              </w:rPr>
              <w:t>Income tax expense related to components of</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(5,692)</w:t>
            </w:r>
          </w:p>
        </w:tc>
      </w:tr>
      <w:tr>
        <w:trPr>
          <w:trHeight w:val="27"/>
        </w:trPr>
        <w:tc>
          <w:tcPr>
            <w:tcW w:w="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92,620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(160,741)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287,675</w:t>
            </w:r>
          </w:p>
        </w:tc>
      </w:tr>
      <w:tr>
        <w:trPr>
          <w:trHeight w:val="27"/>
        </w:trPr>
        <w:tc>
          <w:tcPr>
            <w:tcW w:w="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Comprehensive income attributable to Wabtec shareholders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38,207</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160,019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99,780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500,988</w:t>
            </w:r>
          </w:p>
        </w:tc>
      </w:tr>
      <w:tr>
        <w:trPr>
          <w:trHeight w:val="20"/>
        </w:trPr>
        <w:tc>
          <w:tcPr>
            <w:tcW w:w="7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364" w:right="239" w:bottom="1440" w:gutter="0" w:footer="0" w:header="0"/>
        </w:sectPr>
      </w:pPr>
    </w:p>
    <w:bookmarkStart w:id="5" w:name="page6"/>
    <w:bookmarkEnd w:id="5"/>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6"/>
              </w:rPr>
              <w:t>Unaudited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00" w:type="dxa"/>
            <w:vAlign w:val="bottom"/>
          </w:tcPr>
          <w:p>
            <w:pPr>
              <w:spacing w:after="0"/>
              <w:rPr>
                <w:sz w:val="19"/>
                <w:szCs w:val="19"/>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64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100" w:type="dxa"/>
            <w:vAlign w:val="bottom"/>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256,797</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212,603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82,974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76,970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20,484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14,539</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Loss on disposal of property, plant and equipment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4,057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(100,212)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(60,246)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(125,523)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(53,365)</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4,194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(121,389)</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(43,770)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(35,942)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16,369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81,270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(77,332)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(89,562)</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38,038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26,511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(64,232)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(60,263)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9,139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(49,067)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(846,675)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(104,160)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(905,872)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3,490,185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883,473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Payments of debt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(1,466,626)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(918,919)</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exercise of stock options and other benefit plans</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 of income tax withholding on share-based compensation</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Cash dividends ($0.36 and $0.20 per share for the nine months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ended September 30, 2018 and 2017, respectively)</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(34,682)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(30,693)</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1,995,310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(70,049)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(27,208)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Increase (decrease) in cash</w:t>
            </w: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1,901,980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(915,152)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233,401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1,143,232</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2,135,381</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228,080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364" w:right="239" w:bottom="1440" w:gutter="0" w:footer="0" w:header="0"/>
        </w:sectPr>
      </w:pPr>
    </w:p>
    <w:bookmarkStart w:id="6" w:name="page7"/>
    <w:bookmarkEnd w:id="6"/>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140" w:firstLine="500"/>
        <w:spacing w:after="0" w:line="293" w:lineRule="auto"/>
        <w:rPr>
          <w:sz w:val="20"/>
          <w:szCs w:val="20"/>
          <w:color w:val="auto"/>
        </w:rPr>
      </w:pPr>
      <w:r>
        <w:rPr>
          <w:rFonts w:ascii="Arial" w:cs="Arial" w:eastAsia="Arial" w:hAnsi="Arial"/>
          <w:sz w:val="16"/>
          <w:szCs w:val="16"/>
          <w:color w:val="auto"/>
        </w:rPr>
        <w:t>Westinghouse Air Brake Technologies Corporation (“Wabtec” or the "Company") is one of the world’s largest providers of value-added, technology-based equipment, systems and services for the global passenger transit and freight rail industries. Our highly engineered products enhance safety, improve productivity and reduce maintenance costs for customers, can be found on most locomotives, freight cars, passenger transit cars and buses around the world, and many of our core products and services are essential in the safe and efficient operation of freight rail and passenger transit vehicles. Wabtec is a global company with operations in 31 countries and our products can be found in more than 100 countries throughout the world. In the first nine months of 2018, approximately 66% of the Company’s revenues came from customers outside the United States.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operates on a four-four-five week accounting quarter, and the quarters end on or about March 31, June 30, September 30, and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1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2017. The December 31, 2017 information has been derived from the Company’s Annual Report on Form 10-K for the year ended December 31, 2017.</w:t>
      </w:r>
    </w:p>
    <w:p>
      <w:pPr>
        <w:spacing w:after="0" w:line="181" w:lineRule="exact"/>
        <w:rPr>
          <w:sz w:val="20"/>
          <w:szCs w:val="20"/>
          <w:color w:val="auto"/>
        </w:rPr>
      </w:pPr>
    </w:p>
    <w:p>
      <w:pPr>
        <w:ind w:right="100" w:firstLine="500"/>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On January 1, 2018, the Company adopted ASC 606 “Revenue from Contracts with Customers”. This new guidance provides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166" w:lineRule="exact"/>
        <w:rPr>
          <w:sz w:val="20"/>
          <w:szCs w:val="20"/>
          <w:color w:val="auto"/>
        </w:rPr>
      </w:pPr>
    </w:p>
    <w:p>
      <w:pPr>
        <w:jc w:val="both"/>
        <w:ind w:right="220" w:firstLine="500"/>
        <w:spacing w:after="0" w:line="264" w:lineRule="auto"/>
        <w:rPr>
          <w:sz w:val="20"/>
          <w:szCs w:val="20"/>
          <w:color w:val="auto"/>
        </w:rPr>
      </w:pPr>
      <w:r>
        <w:rPr>
          <w:rFonts w:ascii="Arial" w:cs="Arial" w:eastAsia="Arial" w:hAnsi="Arial"/>
          <w:sz w:val="18"/>
          <w:szCs w:val="18"/>
          <w:color w:val="auto"/>
        </w:rPr>
        <w:t>Approximately 75% of the Company’s revenues are derived from performance obligations that are satisfied at a point in time when control passes to the customer which is generally at the time of shipment in accordance with agreed upon delivery terms. The remaining revenues are earned over time. This approach is consistent with our revenue recognition approach in prior years.</w:t>
      </w:r>
    </w:p>
    <w:p>
      <w:pPr>
        <w:spacing w:after="0" w:line="181" w:lineRule="exact"/>
        <w:rPr>
          <w:sz w:val="20"/>
          <w:szCs w:val="20"/>
          <w:color w:val="auto"/>
        </w:rPr>
      </w:pPr>
    </w:p>
    <w:p>
      <w:pPr>
        <w:ind w:right="200" w:firstLine="500"/>
        <w:spacing w:after="0" w:line="290" w:lineRule="auto"/>
        <w:rPr>
          <w:sz w:val="20"/>
          <w:szCs w:val="20"/>
          <w:color w:val="auto"/>
        </w:rPr>
      </w:pPr>
      <w:r>
        <w:rPr>
          <w:rFonts w:ascii="Arial" w:cs="Arial" w:eastAsia="Arial" w:hAnsi="Arial"/>
          <w:sz w:val="16"/>
          <w:szCs w:val="16"/>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This approach is consistent with our revenue recognition approach in prior years.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quarterly at a minimum and adjustments are reflected in the accounting period as such amounts are determined.</w:t>
      </w:r>
    </w:p>
    <w:p>
      <w:pPr>
        <w:spacing w:after="0" w:line="166" w:lineRule="exact"/>
        <w:rPr>
          <w:sz w:val="20"/>
          <w:szCs w:val="20"/>
          <w:color w:val="auto"/>
        </w:rPr>
      </w:pPr>
    </w:p>
    <w:p>
      <w:pPr>
        <w:ind w:right="240" w:firstLine="500"/>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assets are classified as current assets under the caption “Unbilled Accounts Receivable” on the consolidated balance sheet. The Company has elected to use the practical expedient and not consider unbilled amounts anticipated to be paid within one year as significant financing components.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right="100" w:firstLine="500"/>
        <w:spacing w:after="0" w:line="272"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These contract liabilities are classified as current liabilities under the caption “Customer Deposits” on the consolidated balance sheet. These contract liabilities are not considered a significant financing component because they are used to meet working capital demands that can be higher in the early stages of a contract and revenue associated with the contract liabilities is expected to be recognized within one year. Contract liabilities also include provisions for estimated losses from uncompleted contracts. Provisions for loss contracts were $66.5 million and $94.0 million at September 30, 2018 and December 31, 2017, respectively. These provisions for estimated losses are classified as current liabilities and included within the caption “Other accrued liabilities” on the consolidated balance sheet.</w:t>
      </w:r>
    </w:p>
    <w:p>
      <w:pPr>
        <w:spacing w:after="0" w:line="178" w:lineRule="exact"/>
        <w:rPr>
          <w:sz w:val="20"/>
          <w:szCs w:val="20"/>
          <w:color w:val="auto"/>
        </w:rPr>
      </w:pPr>
    </w:p>
    <w:p>
      <w:pPr>
        <w:ind w:right="40" w:firstLine="500"/>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quarterly estimate-at-completion process where management reviews the progress of long term-projects. As part of this process, management reviews information including key contract matters, progress towards completion, identified risks and opportunities and any other information that could impact the Company’s estimates of revenue and costs. After completing this analysis, any quarterly adjustments to net sales, cost of goods sold, and the related impact to operating income are recognized as necessary in the period they become known.</w:t>
      </w:r>
    </w:p>
    <w:p>
      <w:pPr>
        <w:spacing w:after="0" w:line="179"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Generally, the Company’s revenue contains a single performance obligation for each distinct good. Pricing is defined in our contracts on a line item basis and includes an estimate of variable consideration when required by the terms of the individual customer contract. Types of variable consideration that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154" w:lineRule="exact"/>
        <w:rPr>
          <w:sz w:val="20"/>
          <w:szCs w:val="20"/>
          <w:color w:val="auto"/>
        </w:rPr>
      </w:pPr>
    </w:p>
    <w:p>
      <w:pPr>
        <w:ind w:right="240" w:firstLine="500"/>
        <w:spacing w:after="0" w:line="264" w:lineRule="auto"/>
        <w:rPr>
          <w:sz w:val="20"/>
          <w:szCs w:val="20"/>
          <w:color w:val="auto"/>
        </w:rPr>
      </w:pPr>
      <w:r>
        <w:rPr>
          <w:rFonts w:ascii="Arial" w:cs="Arial" w:eastAsia="Arial" w:hAnsi="Arial"/>
          <w:sz w:val="18"/>
          <w:szCs w:val="18"/>
          <w:b w:val="1"/>
          <w:bCs w:val="1"/>
          <w:i w:val="1"/>
          <w:iCs w:val="1"/>
          <w:color w:val="auto"/>
        </w:rPr>
        <w:t xml:space="preserve">Pre-Production Costs </w:t>
      </w:r>
      <w:r>
        <w:rPr>
          <w:rFonts w:ascii="Arial" w:cs="Arial" w:eastAsia="Arial" w:hAnsi="Arial"/>
          <w:sz w:val="18"/>
          <w:szCs w:val="18"/>
          <w:color w:val="auto"/>
        </w:rPr>
        <w:t>Certain pre-production costs relating to long-term production and supply contracts have been deferred and will be recognized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life of the contracts. Deferred pre-production costs were $20.3 million and $20.2 million at September 30, 2018 and December 31, 2017, respectively.</w:t>
      </w:r>
    </w:p>
    <w:p>
      <w:pPr>
        <w:spacing w:after="0" w:line="181"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Refer to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Accounting Pronouncements below.</w:t>
      </w:r>
    </w:p>
    <w:p>
      <w:pPr>
        <w:spacing w:after="0" w:line="170"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154" w:lineRule="exact"/>
        <w:rPr>
          <w:sz w:val="20"/>
          <w:szCs w:val="20"/>
          <w:color w:val="auto"/>
        </w:rPr>
      </w:pPr>
    </w:p>
    <w:p>
      <w:pPr>
        <w:ind w:right="160" w:firstLine="500"/>
        <w:spacing w:after="0" w:line="264"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mitigate the impact of changes in foreign currencies and interest rates. For further information regarding financial derivatives and hedging activities, refer to Footnotes 14 and 15.</w:t>
      </w:r>
    </w:p>
    <w:p>
      <w:pPr>
        <w:spacing w:after="0" w:line="181"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Assets and liabilities of foreign subsidiaries, except for the Company’s Mexican operations whose functional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U.S. Dollar,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178" w:lineRule="exact"/>
        <w:rPr>
          <w:sz w:val="20"/>
          <w:szCs w:val="20"/>
          <w:color w:val="auto"/>
        </w:rPr>
      </w:pPr>
    </w:p>
    <w:p>
      <w:pPr>
        <w:ind w:right="280" w:firstLine="500"/>
        <w:spacing w:after="0" w:line="259"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"Consolidation", the Company has classified noncontrolling interests as equity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balance sheets as of September 30, 2018 and December 31, 2017. Net income attributable to noncontrolling interests was a loss of $1.7 million and income of $1.0 million, for the three months ended September 30, 2018 and 2017, respectively. Net income attributable to noncontrolling interests was a loss of $3.7 million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t>$0.7 million, for the nine months ended September 30, 2018 and 2017, respectively. Other comprehensive income attributable to noncontrolling interests for the three and nine months ended September 30, 2018 and 2017 was not material.</w:t>
      </w:r>
    </w:p>
    <w:p>
      <w:pPr>
        <w:spacing w:after="0" w:line="170" w:lineRule="exact"/>
        <w:rPr>
          <w:sz w:val="20"/>
          <w:szCs w:val="20"/>
          <w:color w:val="auto"/>
        </w:rPr>
      </w:pPr>
    </w:p>
    <w:p>
      <w:pPr>
        <w:ind w:firstLine="500"/>
        <w:spacing w:after="0" w:line="288"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In February 2018, the Financial Accounting Standards Board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Update ("ASU") No. 2018-02, "Income Statement - Reporting Comprehensive Income (Topic 220): Reclassification of Certain Tax Effects from Accumulated Other Comprehensive Income". The amendments in this update address certain stranded income tax effects in accumulated other comprehensive income ("AOCI") resulting from the Tax Cuts and Jobs Act (the "Tax Act"). Current guidance requires the effect of a change in tax laws or rates on deferred tax balances to be reported in income from continuing operations in the accounting period that includes the period of enactment, even if the related income tax effects were originally charged or credited directly to AOCI. The amount of the reclassification would include the effect of the change in the U.S. federal corporate income tax rate on the gross deferred tax amounts and related valuation allowances, if any, at the date of the enactment of the Tax Act related to items in AOCI. The updated guidance is effective for reporting periods beginning after December 15, 2018 and is to be applied retrospectively to each period in which the effect of the Tax Act related to items remaining in AOCI are recognized or at the beginning of the period of adoption. Early adoption is permitted. The Company is currently evaluating the potential impact of adopting this guidance on its consolidated financial statements.</w:t>
      </w:r>
    </w:p>
    <w:p>
      <w:pPr>
        <w:spacing w:after="0" w:line="169" w:lineRule="exact"/>
        <w:rPr>
          <w:sz w:val="20"/>
          <w:szCs w:val="20"/>
          <w:color w:val="auto"/>
        </w:rPr>
      </w:pPr>
    </w:p>
    <w:p>
      <w:pPr>
        <w:ind w:right="120" w:firstLine="500"/>
        <w:spacing w:after="0" w:line="289" w:lineRule="auto"/>
        <w:rPr>
          <w:sz w:val="20"/>
          <w:szCs w:val="20"/>
          <w:color w:val="auto"/>
        </w:rPr>
      </w:pPr>
      <w:r>
        <w:rPr>
          <w:rFonts w:ascii="Arial" w:cs="Arial" w:eastAsia="Arial" w:hAnsi="Arial"/>
          <w:sz w:val="16"/>
          <w:szCs w:val="16"/>
          <w:color w:val="auto"/>
        </w:rPr>
        <w:t>In January 2017, the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This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substantially greater than the carrying value as of the Company's last quantitative goodwill impairment test, which was performed as of October 1, 2017. The Company is currently evaluating the potential impact of adopting this guidance on its consolidated financial statements.</w:t>
      </w:r>
    </w:p>
    <w:p>
      <w:pPr>
        <w:spacing w:after="0" w:line="167" w:lineRule="exact"/>
        <w:rPr>
          <w:sz w:val="20"/>
          <w:szCs w:val="20"/>
          <w:color w:val="auto"/>
        </w:rPr>
      </w:pPr>
    </w:p>
    <w:p>
      <w:pPr>
        <w:ind w:right="80" w:firstLine="500"/>
        <w:spacing w:after="0" w:line="269" w:lineRule="auto"/>
        <w:rPr>
          <w:sz w:val="20"/>
          <w:szCs w:val="20"/>
          <w:color w:val="auto"/>
        </w:rPr>
      </w:pPr>
      <w:r>
        <w:rPr>
          <w:rFonts w:ascii="Arial" w:cs="Arial" w:eastAsia="Arial" w:hAnsi="Arial"/>
          <w:sz w:val="17"/>
          <w:szCs w:val="17"/>
          <w:color w:val="auto"/>
        </w:rPr>
        <w:t>In February 2016, the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The guidance requires enhanced disclosures regarding the amount, timing, and uncertainty of cash flows arising from leases that will be effective for interim and annual periods beginning after December 15, 2018, with early adoption permitted. The Company expects to adopt the requirements of the new standard effective January 1, 2019. The FASB recently proposed a transition alternative, which would allow for the application of the guidance at beginning of the period in which it is adopted, rather than requiring the adjustment of prior comparative periods. The Company plans to adopt this transition alternative. The Company plans to elect the practical expedient which does not require the capitalization of leases with terms of 12 months or less, and does not plan to elect the practical expedient which allows hindsight to be used to determine the term of a lease. The Company has evaluated its lease portfolio and is assessing the impact to the consolidated financial statements. The Company is in the process of implementing processes and information technology tools to assist in its ongoing lease data collection and analysis and evaluating its accounting policies and internal controls that would be impacted by the new guidance, to ensure readiness for adoption in the first quarter of 2019.</w:t>
      </w:r>
    </w:p>
    <w:p>
      <w:pPr>
        <w:spacing w:after="0" w:line="180" w:lineRule="exact"/>
        <w:rPr>
          <w:sz w:val="20"/>
          <w:szCs w:val="20"/>
          <w:color w:val="auto"/>
        </w:rPr>
      </w:pPr>
    </w:p>
    <w:p>
      <w:pPr>
        <w:ind w:right="100" w:firstLine="500"/>
        <w:spacing w:after="0" w:line="272" w:lineRule="auto"/>
        <w:rPr>
          <w:sz w:val="20"/>
          <w:szCs w:val="20"/>
          <w:color w:val="auto"/>
        </w:rPr>
      </w:pPr>
      <w:r>
        <w:rPr>
          <w:rFonts w:ascii="Arial" w:cs="Arial" w:eastAsia="Arial" w:hAnsi="Arial"/>
          <w:sz w:val="17"/>
          <w:szCs w:val="17"/>
          <w:b w:val="1"/>
          <w:bCs w:val="1"/>
          <w:i w:val="1"/>
          <w:iCs w:val="1"/>
          <w:color w:val="auto"/>
        </w:rPr>
        <w:t xml:space="preserve">Recently Adopted Accounting Pronouncements </w:t>
      </w:r>
      <w:r>
        <w:rPr>
          <w:rFonts w:ascii="Arial" w:cs="Arial" w:eastAsia="Arial" w:hAnsi="Arial"/>
          <w:sz w:val="17"/>
          <w:szCs w:val="17"/>
          <w:color w:val="auto"/>
        </w:rPr>
        <w:t>In May 2014, the FASB issued ASU No. 2014-09, “Revenue from Contract with Customers.”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supersedes most of the previous revenue recognition requirements in U.S. GAAP and requires entities to recognize revenue at an amount that reflects the consideration to which the Company expects to be entitled in exchange for transferring goods or services to a customer. The new standard also requires significantly expanded disclosures regarding the qualitative and quantitative information of an entity’s nature, amount, timing and uncertainty of revenue and cash flows arising from contracts with customers. This ASU became effective for public companies during interim and annual reporting periods beginning after December 15, 2017. The Company adopted this accounting standard update using the modified retrospective method. The impact of adopting the new standard was not material to the consolidated statement of income or the consolidated balance sheet.</w:t>
      </w:r>
    </w:p>
    <w:p>
      <w:pPr>
        <w:spacing w:after="0" w:line="178" w:lineRule="exact"/>
        <w:rPr>
          <w:sz w:val="20"/>
          <w:szCs w:val="20"/>
          <w:color w:val="auto"/>
        </w:rPr>
      </w:pPr>
    </w:p>
    <w:p>
      <w:pPr>
        <w:ind w:right="300" w:firstLine="500"/>
        <w:spacing w:after="0" w:line="259" w:lineRule="auto"/>
        <w:rPr>
          <w:sz w:val="20"/>
          <w:szCs w:val="20"/>
          <w:color w:val="auto"/>
        </w:rPr>
      </w:pPr>
      <w:r>
        <w:rPr>
          <w:rFonts w:ascii="Arial" w:cs="Arial" w:eastAsia="Arial" w:hAnsi="Arial"/>
          <w:sz w:val="18"/>
          <w:szCs w:val="18"/>
          <w:color w:val="auto"/>
        </w:rPr>
        <w:t>In March 2017, the FASB issued ASU No. 2017-07, "Compensation - Retirement Benefits (Topic 715): Improving the Presentation of Net Periodic Pension Cost and Net Periodic Postretirement Benefit Cost". The amendments in this update require the service cost component of net benefit costs to be reported in the same line item or items as other compensation costs arising from services rendered by the pertinent employees during the period. The other components of net benefit costs are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40"/>
        <w:spacing w:after="0" w:line="288" w:lineRule="auto"/>
        <w:rPr>
          <w:sz w:val="20"/>
          <w:szCs w:val="20"/>
          <w:color w:val="auto"/>
        </w:rPr>
      </w:pPr>
      <w:r>
        <w:rPr>
          <w:rFonts w:ascii="Arial" w:cs="Arial" w:eastAsia="Arial" w:hAnsi="Arial"/>
          <w:sz w:val="16"/>
          <w:szCs w:val="16"/>
          <w:color w:val="auto"/>
        </w:rPr>
        <w:t>required to be presented in the income statement separately from the service cost component and outside income from operations. This update also allows only the service cost component to be eligible for capitalization when applicable. This ASU became effective for public companies during interim and annual reporting periods beginning after December 15, 2017. In accordance with this update, the Company began recognizing the interest expense component of net periodic benefit cost in interest expense in the income statement and the expected return on plan assets, net amortization/deferrals, and curtailments in other income (expense), net in the income statement. This update has been applied retrospectively for presentation of the service cost component and other components of net benefit costs in accordance with this ASU and the impact of adoption resulted in increases of $0.3 million, $2.2 million and $2.5 million to selling, general, and administrative expense, interest expense, net and other income, net, respectively, in the income statement for the three months ended September 30, 2017. The impact of adoption resulted in increases of $1.0 million, $6.5 million and $7.5 million to selling, general, and administrative expense, interest expense, net and other income, net, respectively, in the income statement for the nine months ended September 30, 2017. Also, the capitalization of the service cost component of net benefit cost has been adopted prospectively in accordance with this ASU.</w:t>
      </w:r>
    </w:p>
    <w:p>
      <w:pPr>
        <w:spacing w:after="0" w:line="169" w:lineRule="exact"/>
        <w:rPr>
          <w:sz w:val="20"/>
          <w:szCs w:val="20"/>
          <w:color w:val="auto"/>
        </w:rPr>
      </w:pPr>
    </w:p>
    <w:p>
      <w:pPr>
        <w:ind w:right="60" w:firstLine="500"/>
        <w:spacing w:after="0" w:line="293" w:lineRule="auto"/>
        <w:rPr>
          <w:sz w:val="20"/>
          <w:szCs w:val="20"/>
          <w:color w:val="auto"/>
        </w:rPr>
      </w:pPr>
      <w:r>
        <w:rPr>
          <w:rFonts w:ascii="Arial" w:cs="Arial" w:eastAsia="Arial" w:hAnsi="Arial"/>
          <w:sz w:val="16"/>
          <w:szCs w:val="16"/>
          <w:color w:val="auto"/>
        </w:rPr>
        <w:t>In November 2016, the FASB issued ASU No. 2016-18, "Statement of Cash Flows (Topic 230): Restricted Cash". The amendments in this update require a statement of cash flows to explain the change during the period in total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This ASU became effective for public companies during interim and annual reporting periods beginning after December 15, 2017. This update has been applied retrospectively and as a result restricted cash related to the acquisition of Faiveley Transport is included in the change in cash for the nine months ended September 30, 2017.</w:t>
      </w:r>
    </w:p>
    <w:p>
      <w:pPr>
        <w:spacing w:after="0" w:line="165"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circumstances from nonowner sources.</w:t>
      </w:r>
    </w:p>
    <w:p>
      <w:pPr>
        <w:spacing w:after="0" w:line="170" w:lineRule="exact"/>
        <w:rPr>
          <w:sz w:val="20"/>
          <w:szCs w:val="20"/>
          <w:color w:val="auto"/>
        </w:rPr>
      </w:pPr>
    </w:p>
    <w:p>
      <w:pPr>
        <w:ind w:right="540" w:firstLine="500"/>
        <w:spacing w:after="0" w:line="277" w:lineRule="auto"/>
        <w:rPr>
          <w:sz w:val="20"/>
          <w:szCs w:val="20"/>
          <w:color w:val="auto"/>
        </w:rPr>
      </w:pPr>
      <w:r>
        <w:rPr>
          <w:rFonts w:ascii="Arial" w:cs="Arial" w:eastAsia="Arial" w:hAnsi="Arial"/>
          <w:sz w:val="18"/>
          <w:szCs w:val="18"/>
          <w:color w:val="auto"/>
        </w:rPr>
        <w:t>The changes in accumulated other comprehensive income (loss) by component, net of tax, for the nine months ended September 30, 2018 are as follows: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(54,070)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(159,064)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(166,613)</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Amounts reclassified from accumulated other</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(loss) income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(159,064)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(160,741)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(154,001)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6"/>
          <w:szCs w:val="16"/>
          <w:color w:val="auto"/>
        </w:rPr>
        <w:t>Reclassifications out of accumulated other comprehensive income (loss) for the three months ended September 30, 2018 are as follows:</w:t>
      </w:r>
    </w:p>
    <w:p>
      <w:pPr>
        <w:sectPr>
          <w:pgSz w:w="11900" w:h="16838" w:orient="portrait"/>
          <w:cols w:equalWidth="0" w:num="1">
            <w:col w:w="11360"/>
          </w:cols>
          <w:pgMar w:left="280" w:top="584" w:right="25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In thousands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jc w:val="center"/>
              <w:ind w:right="288"/>
              <w:spacing w:after="0"/>
              <w:rPr>
                <w:sz w:val="20"/>
                <w:szCs w:val="20"/>
                <w:color w:val="auto"/>
              </w:rPr>
            </w:pPr>
            <w:r>
              <w:rPr>
                <w:rFonts w:ascii="Arial" w:cs="Arial" w:eastAsia="Arial" w:hAnsi="Arial"/>
                <w:sz w:val="14"/>
                <w:szCs w:val="14"/>
                <w:b w:val="1"/>
                <w:bCs w:val="1"/>
                <w:color w:val="auto"/>
                <w:w w:val="93"/>
              </w:rPr>
              <w:t>Amount reclassified from</w:t>
            </w:r>
          </w:p>
        </w:tc>
        <w:tc>
          <w:tcPr>
            <w:tcW w:w="188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Affected line item in the</w:t>
            </w:r>
          </w:p>
        </w:tc>
      </w:tr>
      <w:tr>
        <w:trPr>
          <w:trHeight w:val="149"/>
        </w:trPr>
        <w:tc>
          <w:tcPr>
            <w:tcW w:w="194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8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86"/>
        </w:trPr>
        <w:tc>
          <w:tcPr>
            <w:tcW w:w="1940" w:type="dxa"/>
            <w:vAlign w:val="bottom"/>
          </w:tcPr>
          <w:p>
            <w:pPr>
              <w:jc w:val="center"/>
              <w:ind w:right="288"/>
              <w:spacing w:after="0"/>
              <w:rPr>
                <w:sz w:val="20"/>
                <w:szCs w:val="20"/>
                <w:color w:val="auto"/>
              </w:rPr>
            </w:pPr>
            <w:r>
              <w:rPr>
                <w:rFonts w:ascii="Arial" w:cs="Arial" w:eastAsia="Arial" w:hAnsi="Arial"/>
                <w:sz w:val="14"/>
                <w:szCs w:val="14"/>
                <w:b w:val="1"/>
                <w:bCs w:val="1"/>
                <w:color w:val="auto"/>
                <w:w w:val="88"/>
              </w:rPr>
              <w:t>comprehensive income</w:t>
            </w:r>
          </w:p>
        </w:tc>
        <w:tc>
          <w:tcPr>
            <w:tcW w:w="188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Statements of 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7620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6520" w:space="720"/>
            <w:col w:w="4120"/>
          </w:cols>
          <w:pgMar w:left="280" w:top="584" w:right="259" w:bottom="1440" w:gutter="0" w:footer="0" w:header="0"/>
          <w:type w:val="continuous"/>
        </w:sectPr>
      </w:pPr>
    </w:p>
    <w:p>
      <w:pPr>
        <w:spacing w:after="0"/>
        <w:rPr>
          <w:sz w:val="20"/>
          <w:szCs w:val="20"/>
          <w:color w:val="auto"/>
        </w:rPr>
      </w:pPr>
      <w:r>
        <w:rPr>
          <w:rFonts w:ascii="Arial" w:cs="Arial" w:eastAsia="Arial" w:hAnsi="Arial"/>
          <w:sz w:val="17"/>
          <w:szCs w:val="17"/>
          <w:color w:val="auto"/>
        </w:rPr>
        <w:t>Amortization of defined pension and post retirement items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initial net obligation and prior service cost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Amortization of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Derivative contracts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Realized gain on derivative contracts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0"/>
        </w:trPr>
        <w:tc>
          <w:tcPr>
            <w:tcW w:w="8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1,093</w:t>
            </w:r>
          </w:p>
        </w:tc>
      </w:tr>
      <w:tr>
        <w:trPr>
          <w:trHeight w:val="27"/>
        </w:trPr>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718</w:t>
            </w:r>
          </w:p>
        </w:tc>
      </w:tr>
      <w:tr>
        <w:trPr>
          <w:trHeight w:val="270"/>
        </w:trPr>
        <w:tc>
          <w:tcPr>
            <w:tcW w:w="8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520</w:t>
            </w:r>
          </w:p>
        </w:tc>
      </w:tr>
      <w:tr>
        <w:trPr>
          <w:trHeight w:val="27"/>
        </w:trPr>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91"/>
        </w:trPr>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4,915</w:t>
            </w:r>
          </w:p>
        </w:tc>
      </w:tr>
      <w:tr>
        <w:trPr>
          <w:trHeight w:val="270"/>
        </w:trPr>
        <w:tc>
          <w:tcPr>
            <w:tcW w:w="8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7"/>
        </w:trPr>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3,735</w:t>
            </w:r>
          </w:p>
        </w:tc>
      </w:tr>
      <w:tr>
        <w:trPr>
          <w:trHeight w:val="27"/>
        </w:trPr>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77" w:lineRule="exact"/>
        <w:rPr>
          <w:sz w:val="20"/>
          <w:szCs w:val="20"/>
          <w:color w:val="auto"/>
        </w:rPr>
      </w:pPr>
    </w:p>
    <w:p>
      <w:pPr>
        <w:sectPr>
          <w:pgSz w:w="11900" w:h="16838" w:orient="portrait"/>
          <w:cols w:equalWidth="0" w:num="3">
            <w:col w:w="6220" w:space="720"/>
            <w:col w:w="2180" w:space="120"/>
            <w:col w:w="2120"/>
          </w:cols>
          <w:pgMar w:left="280" w:top="584" w:right="259" w:bottom="1440" w:gutter="0" w:footer="0" w:header="0"/>
          <w:type w:val="continuous"/>
        </w:sectPr>
      </w:pP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accumulated other comprehensive income (loss) for the nine months ended September 30, 2018 are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5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3"/>
                <w:szCs w:val="13"/>
                <w:color w:val="auto"/>
              </w:rPr>
            </w:pPr>
          </w:p>
        </w:tc>
        <w:tc>
          <w:tcPr>
            <w:tcW w:w="2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40" w:type="dxa"/>
            <w:vAlign w:val="bottom"/>
            <w:gridSpan w:val="2"/>
            <w:vMerge w:val="continue"/>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Amortization of initial net obligation and prior service cost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7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1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04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Realized gain on derivative contracts</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vMerge w:val="restart"/>
          </w:tcPr>
          <w:p>
            <w:pPr>
              <w:jc w:val="right"/>
              <w:ind w:right="97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84" w:right="259" w:bottom="1440" w:gutter="0" w:footer="0" w:header="0"/>
          <w:type w:val="continuous"/>
        </w:sectPr>
      </w:pPr>
    </w:p>
    <w:bookmarkStart w:id="11" w:name="page12"/>
    <w:bookmarkEnd w:id="11"/>
    <w:p>
      <w:pPr>
        <w:ind w:left="46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September 30, 2017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Pension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post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 plans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(321,033)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(55,615)</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(379,605)</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277,984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11,424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284,693</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277,984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12,630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287,675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9,673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Reclassifications out of accumulated other comprehensive loss for the three months ended September 30,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Realized gain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80" w:top="584"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Reclassifications out of accumulated other comprehensive loss for the nine months ended September 30, 2017 are as follows: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68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3"/>
                <w:szCs w:val="13"/>
                <w:color w:val="auto"/>
              </w:rPr>
            </w:pPr>
          </w:p>
        </w:tc>
        <w:tc>
          <w:tcPr>
            <w:tcW w:w="194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3"/>
                <w:szCs w:val="13"/>
                <w:color w:val="auto"/>
              </w:rPr>
            </w:pPr>
          </w:p>
        </w:tc>
        <w:tc>
          <w:tcPr>
            <w:tcW w:w="2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8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70"/>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8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gridSpan w:val="2"/>
          </w:tcPr>
          <w:p>
            <w:pPr>
              <w:spacing w:after="0"/>
              <w:rPr>
                <w:sz w:val="20"/>
                <w:szCs w:val="20"/>
                <w:color w:val="auto"/>
              </w:rPr>
            </w:pPr>
            <w:r>
              <w:rPr>
                <w:rFonts w:ascii="Arial" w:cs="Arial" w:eastAsia="Arial" w:hAnsi="Arial"/>
                <w:sz w:val="18"/>
                <w:szCs w:val="18"/>
                <w:color w:val="auto"/>
              </w:rPr>
              <w:t>Realized gain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PROPOSED MERGER WITH GE TRANSPORTATION</w:t>
      </w:r>
    </w:p>
    <w:p>
      <w:pPr>
        <w:spacing w:after="0" w:line="12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On May 20, 2018, the Company entered into an Agreement and Plan of Merger (the “Merger Agreement”) with General Electric Company (“GE”), Transportation Systems Holdings Inc. (“SpinCo”), which is a newly formed wholly owned subsidiary of GE, and Wabtec US Rail Holdings, Inc. (“Merger Sub”), which is a newly formed wholly owned subsidiary of the Company. In addition, on May 20, 2018, GE, SpinCo, the Company and Wabtec US Rail Holdings, Inc. (“Direct Sale Purchaser”), entered into the Separation, Distribution and Sale Agreement (the “Separation Agreement”). Together, the Merger Agreement and the Separation Agreement provide for the combination of the Company and GE’s realigned transportation business (“GE Transportation”) through a modified Reverse Morris Trust transaction structure. The transactions contemplated by the Merger Agreement and the Separation Agreement (the “Transactions”) have been approved by the Boards of Directors of both the Company and GE.</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connection with the separation of GE Transportation from the remaining business of GE, GE will conduct an internal reorganization in which the assets and liabilities of GE Transportation will be segregated from the assets and liabilities of GE’s remaining business to prepare for the Transactions. Following this internal reorganization, certain assets of GE Transportation will be sold to Direct Sale Purchaser for a cash payment of $2.9 billion (the "Direct Sale"), and Direct Sale Purchaser will assume certain liabilities of GE Transportation in connection with this purchase. Thereafter, GE will transfer the remaining business and operations of GE Transportation (the “SpinCo Business”) to SpinCo and its subsidiaries (to the extent not already held by SpinCo and its subsidiaries) (the “SpinCo Transfer”), and SpinCo will issue to GE additional shares of SpinCo common stock. Following this issuance of additional SpinCo common stock to GE, GE will hold all of the outstanding SpinCo common stock.</w:t>
      </w:r>
    </w:p>
    <w:p>
      <w:pPr>
        <w:spacing w:after="0" w:line="178"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Following the Direct Sale and the SpinCo Transfer and based on market conditions, GE will distribute certain of the shares of SpinCo’s common stock to GE’s stockholders by way of a spin-off or a split-off transaction (the “Distribution”), as determined in GE’s discretion.</w:t>
      </w:r>
    </w:p>
    <w:p>
      <w:pPr>
        <w:spacing w:after="0" w:line="147"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In a spin-off, all GE stockholders would receive a pro rata number of shares of SpinCo common stock. In a split-off, GE would offer its stockholders the option to exchange all or a portion of their shares of GE common stock for shares of SpinCo common stock in an exchange offer, resulting in a reduction in GE’s outstanding shares. If the exchange offer is undertaken and consummated but the exchange offer is not fully subscribed because less than all shares of SpinCo common stock available for distribution by GE are exchanged, the remaining shares of SpinCo common stock available for distribution by GE would be distributed on a pro rata basis to GE stockholders whose shares of GE common stock remain outstanding after the consummation of the exchange offer.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8" w:right="259" w:bottom="1440" w:gutter="0" w:footer="0" w:header="0"/>
        </w:sectPr>
      </w:pPr>
    </w:p>
    <w:bookmarkStart w:id="13" w:name="page14"/>
    <w:bookmarkEnd w:id="13"/>
    <w:p>
      <w:pPr>
        <w:ind w:right="300" w:firstLine="648"/>
        <w:spacing w:after="0" w:line="279" w:lineRule="auto"/>
        <w:rPr>
          <w:sz w:val="20"/>
          <w:szCs w:val="20"/>
          <w:color w:val="auto"/>
        </w:rPr>
      </w:pPr>
      <w:r>
        <w:rPr>
          <w:rFonts w:ascii="Arial" w:cs="Arial" w:eastAsia="Arial" w:hAnsi="Arial"/>
          <w:sz w:val="17"/>
          <w:szCs w:val="17"/>
          <w:color w:val="auto"/>
        </w:rPr>
        <w:t>Immediately after the Distribution and on the closing date of the merger, Merger Sub will merge with and into SpinCo, whereby the separate corporate existence of Merger Sub will cease and SpinCo will continue as the surviving company and a wholly owned subsidiary of the Company. In the Merger, subject to adjustment in accordance with the Merger Agreement, each share of SpinCo common stock will be converted into the right to receive a number of shares of the Company’s common stock based on the exchange ratio set forth in the Merger Agreement.</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consummation of the Merger and calculated based on Wabtec's outstanding common stock immediately prior to the Merger on a fully-diluted, as-converted and as-exercised basis, 50.1% of the outstanding shares of the Company’s common stock would be held collectively by GE and pre-Merger holders of GE common stock (with approximately 9.9% of the outstanding shares of the Company’s common stock expected to be held by GE) and 49.9% of the outstanding shares of the Company’s common stock would be held by pre-Merger stockholders of the Company. Pursuant to certain agreements to be entered into in connection with the Transactions, GE will be obligated to sell a number of its shares of the Company’s common stock within two years of the date of the Distribution and, subject to limited exceptions, to sell all of its shares of the Company’s common stock within three years of the closing date of the Merger.</w:t>
      </w:r>
    </w:p>
    <w:p>
      <w:pPr>
        <w:spacing w:after="0" w:line="18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Subject to adjustment under certain circumstances as set forth in the Merger Agreement, the Company will issue the requisite shares of the Company’s common stock in the Merger. Based upon the reported closing sale price of $95.43 per share for the Company’s common stock on the NYSE on October 12, 2018, the total value of the shares of the Company’s common stock to be issued by the Company in the merger would be approximately $9,398 million and the cash to be received by GE in the transactions, including in respect of the Direct Sale, would be approximately $3,370 million. The actual value of the Company’s common stock to be issued in the Merger will depend on the market price of shares of the Company’s common stock at the time of the Merger.</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September 14, 2018, Wabtec completed a public offering and sale of (i) $500 million aggregate principal amount of floating rate senior notes, (ii) $750 million aggregate principal amount of 2024 Senior Notes and (iii) $1.25 billion aggregate principal amount of 2028 Senior Notes. The Company intends to use the net proceeds from the offering and sale of these notes combined with the proceeds from a $400 million delayed draw term loan that was entered into on June 8, 2018 to finance the Direct Sale. Wabtec used a portion of the proceeds from the September 14, 2018 notes to pay debt associated with its revolving credit facility. The remaining proceeds are classified as Restricted Cash on the consolidated balance sheet, as the Company intends to use these cash amounts to finance the Direct Sale. Refer to Footnote 8 for further information regarding debt.</w:t>
      </w:r>
    </w:p>
    <w:p>
      <w:pPr>
        <w:spacing w:after="0" w:line="17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After the Merger, the Company will own and operate the SpinCo Business and the assets acquired in the Direct Sale. It is anticipated that SpinCo, which will be the Company’s wholly owned subsidiary, will hold the SpinCo Business and Direct Sale Purchaser, which will also be the Company’s wholly owned subsidiary, will hold the assets purchased and the liabilities assumed in connection with the Direct Sale. Together, SpinCo and Direct Sale Purchaser will own and operate post-Transaction GE Transportation. The Company will also continue its current businesses. All shares of the Company’s common stock, including those issued in the Merger, will be listed on the NYSE under the Company’s current trading symbol “WAB.”</w:t>
      </w:r>
    </w:p>
    <w:p>
      <w:pPr>
        <w:spacing w:after="0" w:line="15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the date of the Distribution, GE or its subsidiaries and SpinCo or the subsidiaries of GE that GE will contribute to SpinCo pursuant to the Separation Agreement will enter into additional agreements relating to, among other things, intellectual property, employee matters, tax matters, research and development, co-location services and transition services.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value of the total consideration to be delivered by the Company in the Transactions would be approximately $12.8 billion based on the Company’s reported closing stock price on the NYSE on October 12, 2018; however, the final purchase price will depend on the market price of shares of the Company’s common stock at the time of the Merger. The transaction is expected to close by early 2019, subject to customary closing conditions, including certain approvals by the Company’s shareholders and regulatory approvals.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Faiveley Transport</w:t>
      </w:r>
    </w:p>
    <w:p>
      <w:pPr>
        <w:spacing w:after="0" w:line="117" w:lineRule="exact"/>
        <w:rPr>
          <w:sz w:val="20"/>
          <w:szCs w:val="20"/>
          <w:color w:val="auto"/>
        </w:rPr>
      </w:pPr>
    </w:p>
    <w:p>
      <w:pPr>
        <w:ind w:right="160" w:firstLine="500"/>
        <w:spacing w:after="0" w:line="273" w:lineRule="auto"/>
        <w:rPr>
          <w:sz w:val="20"/>
          <w:szCs w:val="20"/>
          <w:color w:val="auto"/>
        </w:rPr>
      </w:pPr>
      <w:r>
        <w:rPr>
          <w:rFonts w:ascii="Arial" w:cs="Arial" w:eastAsia="Arial" w:hAnsi="Arial"/>
          <w:sz w:val="17"/>
          <w:szCs w:val="17"/>
          <w:color w:val="auto"/>
        </w:rPr>
        <w:t>On November 30, 2016, the Company acquired majority ownership of Faiveley Transport S.A.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p>
      <w:pPr>
        <w:ind w:left="980" w:hanging="324"/>
        <w:spacing w:after="0" w:line="25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89" w:lineRule="exact"/>
        <w:rPr>
          <w:rFonts w:ascii="Arial" w:cs="Arial" w:eastAsia="Arial" w:hAnsi="Arial"/>
          <w:sz w:val="18"/>
          <w:szCs w:val="18"/>
          <w:color w:val="auto"/>
        </w:rPr>
      </w:pPr>
    </w:p>
    <w:p>
      <w:pPr>
        <w:ind w:left="980" w:right="22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4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79" w:lineRule="exact"/>
        <w:rPr>
          <w:sz w:val="20"/>
          <w:szCs w:val="20"/>
          <w:color w:val="auto"/>
        </w:rPr>
      </w:pPr>
    </w:p>
    <w:p>
      <w:pPr>
        <w:ind w:right="300" w:firstLine="500"/>
        <w:spacing w:after="0" w:line="277" w:lineRule="auto"/>
        <w:rPr>
          <w:sz w:val="20"/>
          <w:szCs w:val="20"/>
          <w:color w:val="auto"/>
        </w:rPr>
      </w:pPr>
      <w:r>
        <w:rPr>
          <w:rFonts w:ascii="Arial" w:cs="Arial" w:eastAsia="Arial" w:hAnsi="Arial"/>
          <w:sz w:val="18"/>
          <w:szCs w:val="18"/>
          <w:color w:val="auto"/>
        </w:rPr>
        <w:t>The purchase price paid for 100% ownership of Faiveley Transport was $1,507.0 million. The $744.7 million included as deposits in escrow on the consolidated balance sheet at December 31, 2016 was cash designated for use as consideration for the tender offers.</w:t>
      </w:r>
    </w:p>
    <w:p>
      <w:pPr>
        <w:spacing w:after="0" w:line="62" w:lineRule="exact"/>
        <w:rPr>
          <w:sz w:val="20"/>
          <w:szCs w:val="20"/>
          <w:color w:val="auto"/>
        </w:rPr>
      </w:pPr>
    </w:p>
    <w:p>
      <w:pPr>
        <w:ind w:right="20" w:firstLine="500"/>
        <w:spacing w:after="0" w:line="272"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The fair value measurements were primarily based on significant inputs that are not observable in the market and are considered Level 3. The December 31, 2016 consolidated balance sheet includes the assets and liabilities of Faiveley Transport, which have been measured at fair value. The fair value of the noncontrolling interest was preliminarily determined using the market price of Faiveley Transport’s publicly traded common stock multiplied by the number of publicly traded common shares outstanding at the acquisition date and is considered Level 1. The acquisition of the noncontrolling interest during the three months ended March 31, 2017 resulted in a $8.9 million increase to additional paid-in capital on the consolidated balance sheet which represents the difference in consideration paid to acquire the noncontrolling interest and the carrying value of noncontrolling interest at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76" w:right="25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color w:val="auto"/>
        </w:rPr>
        <w:t>The following table summarizes the final fair values of the Faiveley Transport assets acquired and liabilities assumed:</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w:t>
            </w:r>
          </w:p>
        </w:tc>
        <w:tc>
          <w:tcPr>
            <w:tcW w:w="9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6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Assets acquired</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178,318</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439,631</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205,649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70,930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148,746</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1,262,350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Trade names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346,328</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233,529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Patents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184,564</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assets acquired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3,071,246</w:t>
            </w:r>
          </w:p>
        </w:tc>
      </w:tr>
      <w:tr>
        <w:trPr>
          <w:trHeight w:val="270"/>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Liabilities assumed</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819,493</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409,899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335,039</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liabilities assumed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1,564,431</w:t>
            </w:r>
          </w:p>
        </w:tc>
      </w:tr>
      <w:tr>
        <w:trPr>
          <w:trHeight w:val="291"/>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1,506,815</w:t>
            </w:r>
          </w:p>
        </w:tc>
      </w:tr>
      <w:tr>
        <w:trPr>
          <w:trHeight w:val="20"/>
        </w:trPr>
        <w:tc>
          <w:tcPr>
            <w:tcW w:w="7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twelve months ended December 31, 2017, the estimated fair values for customer relationships and current</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liabilities were adjusted by $21.8 million and $65.3 million, respectively, for changes to initial estimates based on information that existed at the date of acquisition. Additionally, the estimated fair values for accounts receivable and current liabilities were adjusted by $2.8 million and $36.2 million, respectively, to correct errors in the preliminary estimated fair values of the Faiveley Transport assets acquired and liabilities assumed. Other noncurrent assets were adjusted by $30.0 million to record the deferred tax impact of these adjustments. As a result of these adjustments and other immaterial adjustments related to changes to initial estimates based on information that existed at the date of acquisition, goodwill increased by $74.1 million. Accounts receivable and current liabilities were adjusted by $64.3 million to correct an error in the preliminary estimated fair values of Faiveley Transport assets and liabilities assumed related to a factoring arrangement with recourse.</w:t>
      </w:r>
    </w:p>
    <w:p>
      <w:pPr>
        <w:spacing w:after="0" w:line="85"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color w:val="auto"/>
        </w:rPr>
        <w:t>Included in current liabilities is $25.9 million of accrued compensation for acquired share-based stock plans that are obligated to be settled in cash. Contingent liabilities assumed as part of the transaction were not material. These contingent liabilities are related to environmental, legal and tax matters. Contingent liabilities are recorded at fair value in purchase accounting, aside from those pertaining to uncertainty in income taxes which are an exception to the fair value basis of accounting.</w:t>
      </w:r>
    </w:p>
    <w:p>
      <w:pPr>
        <w:spacing w:after="0" w:line="79"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the Company expects to achieve as a result of the acquisition. Purchased goodwill is not deductible for tax purposes. The goodwill allocated to the Freight segment is $72.0 million and the goodwill allocated to the Transit segment is $1,190.4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Freight Segment:</w:t>
      </w:r>
    </w:p>
    <w:p>
      <w:pPr>
        <w:spacing w:after="0" w:line="117" w:lineRule="exact"/>
        <w:rPr>
          <w:sz w:val="20"/>
          <w:szCs w:val="20"/>
          <w:color w:val="auto"/>
        </w:rPr>
      </w:pPr>
    </w:p>
    <w:p>
      <w:pPr>
        <w:ind w:left="980" w:right="16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4, 2017, the Company acquired Melett Limited ("Melett"), a leader in the design, manufacture, and supply of high-quality turbochargers and replacement parts to the turbocharger aftermarket, for a purchase price of approximately $71.9 million, net of cash acquired, resulting in preliminary goodwill of $25.7 million, none of which will be deductible for tax purposes.</w:t>
      </w:r>
    </w:p>
    <w:p>
      <w:pPr>
        <w:spacing w:after="0" w:line="73"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5, 2017, the Company acquired Thermal Transfer Corporation ("TTC"), a leading provider of heat transfer solutions for industrial applications, for a purchase price of approximately $32.5 million, net of cash acquired, resulting in goodwill of $14.1 million, all of which will be deductible for tax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jc w:val="both"/>
        <w:ind w:left="980" w:right="20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13, 2017, the Company acquired Aero Transportation Products ("ATP"), a manufacturer of engineered covering systems for hopper freight cars, for a purchase price of approximately $65.3 million, net of cash acquired, resulting in goodwill of $29.0 million, all of which will be deductible for tax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Transit Segment:</w:t>
      </w:r>
    </w:p>
    <w:p>
      <w:pPr>
        <w:spacing w:after="0" w:line="117" w:lineRule="exact"/>
        <w:rPr>
          <w:sz w:val="20"/>
          <w:szCs w:val="20"/>
          <w:color w:val="auto"/>
        </w:rPr>
      </w:pPr>
    </w:p>
    <w:p>
      <w:pPr>
        <w:ind w:left="980" w:right="2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22, 2018, the Company acquired Annax GmbH ("Annax"), a leading supplier of public address and passenger information systems for transit vehicles, for a purchase price of approximately $28.7 million, net of cash acquired, resulting in preliminary goodwill of $14.3 million, none of which will be deductible for tax purposes.</w:t>
      </w:r>
    </w:p>
    <w:p>
      <w:pPr>
        <w:spacing w:after="0" w:line="73"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2, 2017, the Company acquired AM General Contract ("AM General"), a manufacturer of safety systems, mainly for transit rail cars, for a purchase price of approximately $10.4 million, net of cash acquired, resulting in preliminary goodwill of $12.9 million, none of which will be deductible for tax purposes.</w:t>
      </w:r>
    </w:p>
    <w:p>
      <w:pPr>
        <w:spacing w:after="0" w:line="18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acquisitions listed above include escrow deposits of $30.2 million, which act as security for indemnity and other claims in accordance with the purchase and related escrow agreements.</w:t>
      </w:r>
    </w:p>
    <w:p>
      <w:pPr>
        <w:spacing w:after="0" w:line="170" w:lineRule="exact"/>
        <w:rPr>
          <w:sz w:val="20"/>
          <w:szCs w:val="20"/>
          <w:color w:val="auto"/>
        </w:rPr>
      </w:pPr>
    </w:p>
    <w:p>
      <w:pPr>
        <w:jc w:val="both"/>
        <w:ind w:right="220" w:firstLine="500"/>
        <w:spacing w:after="0" w:line="264" w:lineRule="auto"/>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at the date of the acquisition for Annax, Melett and AM General. For the ATP and TTC acquisitions, the following table summarizes the final fair value of the assets acquired and liabilities assumed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73025</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Annax</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Melett</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 General</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TTC</w:t>
            </w:r>
          </w:p>
        </w:tc>
        <w:tc>
          <w:tcPr>
            <w:tcW w:w="140" w:type="dxa"/>
            <w:vAlign w:val="bottom"/>
          </w:tcPr>
          <w:p>
            <w:pPr>
              <w:spacing w:after="0"/>
              <w:rPr>
                <w:sz w:val="16"/>
                <w:szCs w:val="16"/>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99"/>
              </w:rPr>
              <w:t>ATP</w:t>
            </w:r>
          </w:p>
        </w:tc>
      </w:tr>
      <w:tr>
        <w:trPr>
          <w:trHeight w:val="39"/>
        </w:trPr>
        <w:tc>
          <w:tcPr>
            <w:tcW w:w="7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46"/>
        </w:trPr>
        <w:tc>
          <w:tcPr>
            <w:tcW w:w="7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9"/>
              </w:rPr>
              <w:t>March 22,</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December 4,</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April 5,</w:t>
            </w:r>
          </w:p>
        </w:tc>
        <w:tc>
          <w:tcPr>
            <w:tcW w:w="140" w:type="dxa"/>
            <w:vAlign w:val="bottom"/>
          </w:tcPr>
          <w:p>
            <w:pPr>
              <w:spacing w:after="0"/>
              <w:rPr>
                <w:sz w:val="12"/>
                <w:szCs w:val="12"/>
                <w:color w:val="auto"/>
              </w:rPr>
            </w:pPr>
          </w:p>
        </w:tc>
        <w:tc>
          <w:tcPr>
            <w:tcW w:w="88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9"/>
              </w:rPr>
              <w:t>March 13,</w:t>
            </w:r>
          </w:p>
        </w:tc>
      </w:tr>
      <w:tr>
        <w:trPr>
          <w:trHeight w:val="158"/>
        </w:trPr>
        <w:tc>
          <w:tcPr>
            <w:tcW w:w="57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3"/>
                <w:szCs w:val="13"/>
                <w:color w:val="auto"/>
              </w:rPr>
            </w:pPr>
          </w:p>
        </w:tc>
        <w:tc>
          <w:tcPr>
            <w:tcW w:w="9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6"/>
              </w:rPr>
              <w:t>2017</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34,036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35,258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11,666</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Property, plant &amp; equipment</w:t>
            </w:r>
          </w:p>
        </w:tc>
        <w:tc>
          <w:tcPr>
            <w:tcW w:w="1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5,354</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14,301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25,732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14,095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29,034</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23,998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30,479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12,300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25,000</w:t>
            </w:r>
          </w:p>
        </w:tc>
      </w:tr>
      <w:tr>
        <w:trPr>
          <w:trHeight w:val="27"/>
        </w:trPr>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Total assets acquired</w:t>
            </w:r>
          </w:p>
        </w:tc>
        <w:tc>
          <w:tcPr>
            <w:tcW w:w="1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73,009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97,386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35,791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35,552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71,054</w:t>
            </w:r>
          </w:p>
        </w:tc>
      </w:tr>
      <w:tr>
        <w:trPr>
          <w:trHeight w:val="270"/>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Total liabilities assumed</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(5,800)</w:t>
            </w:r>
          </w:p>
        </w:tc>
      </w:tr>
      <w:tr>
        <w:trPr>
          <w:trHeight w:val="27"/>
        </w:trPr>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28,664</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71,893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10,416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32,511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65,254</w:t>
            </w:r>
          </w:p>
        </w:tc>
      </w:tr>
      <w:tr>
        <w:trPr>
          <w:trHeight w:val="20"/>
        </w:trPr>
        <w:tc>
          <w:tcPr>
            <w:tcW w:w="7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500"/>
        <w:spacing w:after="0" w:line="264" w:lineRule="auto"/>
        <w:rPr>
          <w:sz w:val="20"/>
          <w:szCs w:val="20"/>
          <w:color w:val="auto"/>
        </w:rPr>
      </w:pPr>
      <w:r>
        <w:rPr>
          <w:rFonts w:ascii="Arial" w:cs="Arial" w:eastAsia="Arial" w:hAnsi="Arial"/>
          <w:sz w:val="18"/>
          <w:szCs w:val="18"/>
          <w:color w:val="auto"/>
        </w:rPr>
        <w:t>Of the allocation of $103.9 million of total acquired other intangible assets, $31.9 million was assigned to trade names and $67.6 million was assigned to customer relationships. The trade names were determined to have indefinite useful lives, while the customer relationships’ average useful lives are 20 years.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225" w:lineRule="exact"/>
        <w:rPr>
          <w:sz w:val="20"/>
          <w:szCs w:val="20"/>
          <w:color w:val="auto"/>
        </w:rPr>
      </w:pPr>
    </w:p>
    <w:p>
      <w:pPr>
        <w:ind w:right="660" w:firstLine="500"/>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acquisitions listed above had occurred on January 1, 2017:</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Three Months</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Nine Months Ended</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1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Ended</w:t>
            </w:r>
          </w:p>
        </w:tc>
        <w:tc>
          <w:tcPr>
            <w:tcW w:w="14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2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14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September 30, 2018</w:t>
            </w:r>
          </w:p>
        </w:tc>
        <w:tc>
          <w:tcPr>
            <w:tcW w:w="13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September 30, 2017</w:t>
            </w:r>
          </w:p>
        </w:tc>
        <w:tc>
          <w:tcPr>
            <w:tcW w:w="14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w w:val="97"/>
              </w:rPr>
              <w:t>September 30, 2018</w:t>
            </w:r>
          </w:p>
        </w:tc>
        <w:tc>
          <w:tcPr>
            <w:tcW w:w="13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2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1,077,814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986,323</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3,259,096</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2,899,691</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302,012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262,362</w:t>
            </w:r>
          </w:p>
        </w:tc>
        <w:tc>
          <w:tcPr>
            <w:tcW w:w="36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938,796</w:t>
            </w:r>
          </w:p>
        </w:tc>
        <w:tc>
          <w:tcPr>
            <w:tcW w:w="3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825,685</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16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87,739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70,530</w:t>
            </w:r>
          </w:p>
        </w:tc>
        <w:tc>
          <w:tcPr>
            <w:tcW w:w="36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261,025</w:t>
            </w:r>
          </w:p>
        </w:tc>
        <w:tc>
          <w:tcPr>
            <w:tcW w:w="3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223,383</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As Reported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0.70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0"/>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Pro forma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0.73</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r>
      <w:tr>
        <w:trPr>
          <w:trHeight w:val="158"/>
        </w:trPr>
        <w:tc>
          <w:tcPr>
            <w:tcW w:w="85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3"/>
                <w:szCs w:val="13"/>
                <w:color w:val="auto"/>
              </w:rPr>
            </w:pPr>
          </w:p>
        </w:tc>
        <w:tc>
          <w:tcPr>
            <w:tcW w:w="120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Raw materials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465,925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378,481</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Work-in-progress</w:t>
            </w:r>
          </w:p>
        </w:tc>
        <w:tc>
          <w:tcPr>
            <w:tcW w:w="16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173,624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167,390</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226,656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196,763</w:t>
            </w: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866,205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742,634</w:t>
            </w: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nine months ended September 30, 2018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718,958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1,741,145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2,460,103</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5,252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13,707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18,959</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Foreign currency impact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(66,508)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716,500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1,696,054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2,412,554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00"/>
        <w:spacing w:after="0" w:line="277" w:lineRule="auto"/>
        <w:rPr>
          <w:sz w:val="20"/>
          <w:szCs w:val="20"/>
          <w:color w:val="auto"/>
        </w:rPr>
      </w:pPr>
      <w:r>
        <w:rPr>
          <w:rFonts w:ascii="Arial" w:cs="Arial" w:eastAsia="Arial" w:hAnsi="Arial"/>
          <w:sz w:val="18"/>
          <w:szCs w:val="18"/>
          <w:color w:val="auto"/>
        </w:rPr>
        <w:t>As of September 30, 2018, and December 31, 2017, the Company’s trade names had a net carrying amount of $599.5 million and $603.4 million, respectively, and the Company believes these intangibles have indefinite lives.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Patents, non-compete and other intangibles, net of accumulated</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amortization of $42,928 and $43,021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15,192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17,554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relationships, net of accumulated amortization</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of $151,007 and $126,824</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542,780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583,459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557,972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601,013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00"/>
        <w:spacing w:after="0" w:line="264" w:lineRule="auto"/>
        <w:rPr>
          <w:sz w:val="20"/>
          <w:szCs w:val="20"/>
          <w:color w:val="auto"/>
        </w:rPr>
      </w:pPr>
      <w:r>
        <w:rPr>
          <w:rFonts w:ascii="Arial" w:cs="Arial" w:eastAsia="Arial" w:hAnsi="Arial"/>
          <w:sz w:val="18"/>
          <w:szCs w:val="18"/>
          <w:color w:val="auto"/>
        </w:rPr>
        <w:t>The weighted average remaining useful life of patents, customer relationships and other intangibles are 10 years, 16 years and 14 years, respectively. Amortization expense for intangible assets was $9.9 million and $30.1 million for the three and nine months ended September 30, 2018, and $8.6 million and $27.0 million for the three and nine months ended September 30, 2017, respectively.</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160" w:type="dxa"/>
            <w:vAlign w:val="bottom"/>
          </w:tcPr>
          <w:p>
            <w:pPr>
              <w:jc w:val="right"/>
              <w:ind w:right="1770"/>
              <w:spacing w:after="0"/>
              <w:rPr>
                <w:sz w:val="20"/>
                <w:szCs w:val="20"/>
                <w:color w:val="auto"/>
              </w:rPr>
            </w:pPr>
            <w:r>
              <w:rPr>
                <w:rFonts w:ascii="Arial" w:cs="Arial" w:eastAsia="Arial" w:hAnsi="Arial"/>
                <w:sz w:val="18"/>
                <w:szCs w:val="18"/>
                <w:color w:val="auto"/>
                <w:w w:val="97"/>
              </w:rPr>
              <w:t>Amortization expense for the five succeeding years is estimated to be as follows:</w:t>
            </w:r>
          </w:p>
        </w:tc>
        <w:tc>
          <w:tcPr>
            <w:tcW w:w="2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8160" w:type="dxa"/>
            <w:vAlign w:val="bottom"/>
          </w:tcPr>
          <w:p>
            <w:pPr>
              <w:jc w:val="right"/>
              <w:ind w:right="6690"/>
              <w:spacing w:after="0"/>
              <w:rPr>
                <w:sz w:val="20"/>
                <w:szCs w:val="20"/>
                <w:color w:val="auto"/>
              </w:rPr>
            </w:pPr>
            <w:r>
              <w:rPr>
                <w:rFonts w:ascii="Arial" w:cs="Arial" w:eastAsia="Arial" w:hAnsi="Arial"/>
                <w:sz w:val="18"/>
                <w:szCs w:val="18"/>
                <w:color w:val="auto"/>
                <w:w w:val="88"/>
              </w:rPr>
              <w:t>Remainder of 2018</w:t>
            </w:r>
          </w:p>
        </w:tc>
        <w:tc>
          <w:tcPr>
            <w:tcW w:w="2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10,460</w:t>
            </w:r>
          </w:p>
        </w:tc>
      </w:tr>
      <w:tr>
        <w:trPr>
          <w:trHeight w:val="270"/>
        </w:trPr>
        <w:tc>
          <w:tcPr>
            <w:tcW w:w="8160" w:type="dxa"/>
            <w:vAlign w:val="bottom"/>
          </w:tcPr>
          <w:p>
            <w:pPr>
              <w:jc w:val="right"/>
              <w:ind w:right="7590"/>
              <w:spacing w:after="0"/>
              <w:rPr>
                <w:sz w:val="20"/>
                <w:szCs w:val="20"/>
                <w:color w:val="auto"/>
              </w:rPr>
            </w:pPr>
            <w:r>
              <w:rPr>
                <w:rFonts w:ascii="Arial" w:cs="Arial" w:eastAsia="Arial" w:hAnsi="Arial"/>
                <w:sz w:val="18"/>
                <w:szCs w:val="18"/>
                <w:color w:val="auto"/>
              </w:rPr>
              <w:t>2019</w:t>
            </w:r>
          </w:p>
        </w:tc>
        <w:tc>
          <w:tcPr>
            <w:tcW w:w="2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38,335</w:t>
            </w:r>
          </w:p>
        </w:tc>
      </w:tr>
      <w:tr>
        <w:trPr>
          <w:trHeight w:val="270"/>
        </w:trPr>
        <w:tc>
          <w:tcPr>
            <w:tcW w:w="8160" w:type="dxa"/>
            <w:vAlign w:val="bottom"/>
          </w:tcPr>
          <w:p>
            <w:pPr>
              <w:jc w:val="right"/>
              <w:ind w:right="7590"/>
              <w:spacing w:after="0"/>
              <w:rPr>
                <w:sz w:val="20"/>
                <w:szCs w:val="20"/>
                <w:color w:val="auto"/>
              </w:rPr>
            </w:pPr>
            <w:r>
              <w:rPr>
                <w:rFonts w:ascii="Arial" w:cs="Arial" w:eastAsia="Arial" w:hAnsi="Arial"/>
                <w:sz w:val="18"/>
                <w:szCs w:val="18"/>
                <w:color w:val="auto"/>
              </w:rPr>
              <w:t>2020</w:t>
            </w:r>
          </w:p>
        </w:tc>
        <w:tc>
          <w:tcPr>
            <w:tcW w:w="2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36,099</w:t>
            </w:r>
          </w:p>
        </w:tc>
      </w:tr>
      <w:tr>
        <w:trPr>
          <w:trHeight w:val="270"/>
        </w:trPr>
        <w:tc>
          <w:tcPr>
            <w:tcW w:w="8160" w:type="dxa"/>
            <w:vAlign w:val="bottom"/>
          </w:tcPr>
          <w:p>
            <w:pPr>
              <w:jc w:val="right"/>
              <w:ind w:right="7590"/>
              <w:spacing w:after="0"/>
              <w:rPr>
                <w:sz w:val="20"/>
                <w:szCs w:val="20"/>
                <w:color w:val="auto"/>
              </w:rPr>
            </w:pPr>
            <w:r>
              <w:rPr>
                <w:rFonts w:ascii="Arial" w:cs="Arial" w:eastAsia="Arial" w:hAnsi="Arial"/>
                <w:sz w:val="18"/>
                <w:szCs w:val="18"/>
                <w:color w:val="auto"/>
              </w:rPr>
              <w:t>2021</w:t>
            </w:r>
          </w:p>
        </w:tc>
        <w:tc>
          <w:tcPr>
            <w:tcW w:w="2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35,608</w:t>
            </w:r>
          </w:p>
        </w:tc>
      </w:tr>
      <w:tr>
        <w:trPr>
          <w:trHeight w:val="270"/>
        </w:trPr>
        <w:tc>
          <w:tcPr>
            <w:tcW w:w="8160" w:type="dxa"/>
            <w:vAlign w:val="bottom"/>
          </w:tcPr>
          <w:p>
            <w:pPr>
              <w:jc w:val="right"/>
              <w:ind w:right="7590"/>
              <w:spacing w:after="0"/>
              <w:rPr>
                <w:sz w:val="20"/>
                <w:szCs w:val="20"/>
                <w:color w:val="auto"/>
              </w:rPr>
            </w:pPr>
            <w:r>
              <w:rPr>
                <w:rFonts w:ascii="Arial" w:cs="Arial" w:eastAsia="Arial" w:hAnsi="Arial"/>
                <w:sz w:val="18"/>
                <w:szCs w:val="18"/>
                <w:color w:val="auto"/>
              </w:rPr>
              <w:t>2022</w:t>
            </w:r>
          </w:p>
        </w:tc>
        <w:tc>
          <w:tcPr>
            <w:tcW w:w="2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35,320</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CONTRACT ASSETS AND CONTRACT LIABILITIES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ind w:left="500"/>
        <w:spacing w:after="0"/>
        <w:rPr>
          <w:sz w:val="20"/>
          <w:szCs w:val="20"/>
          <w:color w:val="auto"/>
        </w:rPr>
      </w:pPr>
      <w:r>
        <w:rPr>
          <w:rFonts w:ascii="Arial" w:cs="Arial" w:eastAsia="Arial" w:hAnsi="Arial"/>
          <w:sz w:val="18"/>
          <w:szCs w:val="18"/>
          <w:color w:val="auto"/>
        </w:rPr>
        <w:t>The change in the carrying amount of contract assets and contract liabilities for the nine months ended September 30, 2018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w w:val="96"/>
              </w:rPr>
              <w:t>Contract Assets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Balance at beginning of year</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366,168</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Recognized in current year</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328,438</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Reclassified to accounts receivable</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(296,459)</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Foreign currency impact</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2018</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389,277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58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Balance at beginning of year</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Recognized in current year</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151,706</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Amounts in beginning balance reclassified to revenue</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(142,718)</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Current year amounts reclassified to revenue</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(17,931)</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Foreign currency impact</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2018</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440,576</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5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540" w:type="dxa"/>
            <w:vAlign w:val="bottom"/>
            <w:gridSpan w:val="3"/>
          </w:tcPr>
          <w:p>
            <w:pPr>
              <w:ind w:left="460"/>
              <w:spacing w:after="0"/>
              <w:rPr>
                <w:sz w:val="20"/>
                <w:szCs w:val="20"/>
                <w:color w:val="auto"/>
              </w:rPr>
            </w:pPr>
            <w:r>
              <w:rPr>
                <w:rFonts w:ascii="Arial" w:cs="Arial" w:eastAsia="Arial" w:hAnsi="Arial"/>
                <w:sz w:val="18"/>
                <w:szCs w:val="18"/>
                <w:color w:val="auto"/>
              </w:rPr>
              <w:t>Long-term debt consisted of the following:</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w w:val="86"/>
              </w:rPr>
              <w:t>In thousands</w:t>
            </w: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7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12"/>
              <w:spacing w:after="0" w:line="12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451"/>
              <w:spacing w:after="0" w:line="12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8"/>
        </w:trPr>
        <w:tc>
          <w:tcPr>
            <w:tcW w:w="8580" w:type="dxa"/>
            <w:vAlign w:val="bottom"/>
            <w:gridSpan w:val="4"/>
            <w:vMerge w:val="restart"/>
          </w:tcPr>
          <w:p>
            <w:pPr>
              <w:ind w:left="40"/>
              <w:spacing w:after="0"/>
              <w:rPr>
                <w:sz w:val="20"/>
                <w:szCs w:val="20"/>
                <w:color w:val="auto"/>
              </w:rPr>
            </w:pPr>
            <w:r>
              <w:rPr>
                <w:rFonts w:ascii="Arial" w:cs="Arial" w:eastAsia="Arial" w:hAnsi="Arial"/>
                <w:sz w:val="18"/>
                <w:szCs w:val="18"/>
                <w:color w:val="auto"/>
              </w:rPr>
              <w:t>Floating Senior Notes, due 2021, net of unamortized debt</w:t>
            </w: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5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issuance costs of $3,505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496,495</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4.150% Senior Notes, due 2024, net of unamortized debt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issuance costs of $7,384</w:t>
            </w: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742,616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4.700% Senior Notes, due 2028, net of unamortized debt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issuance costs of $10,583</w:t>
            </w: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1,239,417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3.45% Senior Notes, due 2026, net of unamortized debt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issuance costs of $1,775 and $2,345</w:t>
            </w: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748,225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747,655</w:t>
            </w:r>
          </w:p>
        </w:tc>
        <w:tc>
          <w:tcPr>
            <w:tcW w:w="0" w:type="dxa"/>
            <w:vAlign w:val="bottom"/>
          </w:tcPr>
          <w:p>
            <w:pPr>
              <w:spacing w:after="0"/>
              <w:rPr>
                <w:sz w:val="1"/>
                <w:szCs w:val="1"/>
                <w:color w:val="auto"/>
              </w:rPr>
            </w:pPr>
          </w:p>
        </w:tc>
      </w:tr>
      <w:tr>
        <w:trPr>
          <w:trHeight w:val="256"/>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4.375% Senior Notes, due 2023, net of unamortized</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discount and debt issuance costs of $1,241 and $1,433</w:t>
            </w: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248,759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248,567</w:t>
            </w:r>
          </w:p>
        </w:tc>
        <w:tc>
          <w:tcPr>
            <w:tcW w:w="0" w:type="dxa"/>
            <w:vAlign w:val="bottom"/>
          </w:tcPr>
          <w:p>
            <w:pPr>
              <w:spacing w:after="0"/>
              <w:rPr>
                <w:sz w:val="1"/>
                <w:szCs w:val="1"/>
                <w:color w:val="auto"/>
              </w:rPr>
            </w:pPr>
          </w:p>
        </w:tc>
      </w:tr>
      <w:tr>
        <w:trPr>
          <w:trHeight w:val="256"/>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Revolving Credit Facility, net of unamortized</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debt issuance costs of $3,412 and $2,451</w:t>
            </w: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346,588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853,124</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Schuldschein Loan</w:t>
            </w:r>
          </w:p>
        </w:tc>
        <w:tc>
          <w:tcPr>
            <w:tcW w:w="16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11,601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29,721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Capital Leases</w:t>
            </w:r>
          </w:p>
        </w:tc>
        <w:tc>
          <w:tcPr>
            <w:tcW w:w="16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3,865,099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1,870,528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gridSpan w:val="3"/>
          </w:tcPr>
          <w:p>
            <w:pPr>
              <w:ind w:left="480"/>
              <w:spacing w:after="0"/>
              <w:rPr>
                <w:sz w:val="20"/>
                <w:szCs w:val="20"/>
                <w:color w:val="auto"/>
              </w:rPr>
            </w:pPr>
            <w:r>
              <w:rPr>
                <w:rFonts w:ascii="Arial" w:cs="Arial" w:eastAsia="Arial" w:hAnsi="Arial"/>
                <w:sz w:val="18"/>
                <w:szCs w:val="18"/>
                <w:color w:val="auto"/>
              </w:rPr>
              <w:t>Less - current portion</w:t>
            </w:r>
          </w:p>
        </w:tc>
        <w:tc>
          <w:tcPr>
            <w:tcW w:w="16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47,038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47,225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gridSpan w:val="3"/>
          </w:tcPr>
          <w:p>
            <w:pPr>
              <w:ind w:left="480"/>
              <w:spacing w:after="0"/>
              <w:rPr>
                <w:sz w:val="20"/>
                <w:szCs w:val="20"/>
                <w:color w:val="auto"/>
              </w:rPr>
            </w:pPr>
            <w:r>
              <w:rPr>
                <w:rFonts w:ascii="Arial" w:cs="Arial" w:eastAsia="Arial" w:hAnsi="Arial"/>
                <w:sz w:val="18"/>
                <w:szCs w:val="18"/>
                <w:color w:val="auto"/>
              </w:rPr>
              <w:t>Long-term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3,818,061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1,823,303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2018 the Company issued $2.5 billion of senior notes with three different maturities.</w:t>
      </w:r>
    </w:p>
    <w:p>
      <w:pPr>
        <w:spacing w:after="0" w:line="225" w:lineRule="exact"/>
        <w:rPr>
          <w:sz w:val="20"/>
          <w:szCs w:val="20"/>
          <w:color w:val="auto"/>
        </w:rPr>
      </w:pPr>
    </w:p>
    <w:p>
      <w:pPr>
        <w:ind w:left="660" w:right="20" w:hanging="328"/>
        <w:spacing w:after="0" w:line="297"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Notes, which are non-callable for one year, were issued at 100% of face value. Interest on the Floating Rate Notes accrues at a floating rate per annum equal to three-month Libor plus 105 basis points. The interest rate for the Floating Rate Notes for the initial interest period will be the three-month Libor plus 105 basis points determined on September 12, 2018 and is payable quarterly on December 15, March 15, June 15, and September 15 of each year. The Company incurred $3.5 million of deferred financing costs related to the issuance of the Floating Rate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19" w:name="page20"/>
    <w:bookmarkEnd w:id="19"/>
    <w:p>
      <w:pPr>
        <w:jc w:val="both"/>
        <w:ind w:left="660" w:right="240" w:hanging="328"/>
        <w:spacing w:after="0" w:line="312" w:lineRule="auto"/>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4.150% Senior Notes due 2024</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$750.0 million of 4.150% Senior Notes due 2024 (the "2024 Notes"). The 2024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99.805% of face value. Interest on the 2024 Notes accrues at a rate of 4.150% per annum and is payable semi-annually on March 15 and September 15 of each year. The Company incurred $7.4 million of deferred financing costs related to the issuance of the 2024 Notes.</w:t>
      </w:r>
    </w:p>
    <w:p>
      <w:pPr>
        <w:spacing w:after="0" w:line="146" w:lineRule="exact"/>
        <w:rPr>
          <w:rFonts w:ascii="Arial" w:cs="Arial" w:eastAsia="Arial" w:hAnsi="Arial"/>
          <w:sz w:val="16"/>
          <w:szCs w:val="16"/>
          <w:i w:val="1"/>
          <w:iCs w:val="1"/>
          <w:color w:val="auto"/>
        </w:rPr>
      </w:pPr>
    </w:p>
    <w:p>
      <w:pPr>
        <w:ind w:left="660" w:right="100" w:hanging="328"/>
        <w:spacing w:after="0" w:line="259"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4.700% Senior Notes Due 2028</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issued $1,250.0 million of 4.700% Senior Notes due 2028 (the "2028 Notes" and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Notes and 2024 Notes, the "Senior Notes"). The 2028 Notes were issued at 99.889% of face value. Interest on the 2028 Notes accrues at a rate of 4.700% per annum and is payable semi-annually on March 15 and September 15 of each year. The Company incurred $10.6 million of deferred financing costs related to the issuance of the 2028 Notes.</w:t>
      </w:r>
    </w:p>
    <w:p>
      <w:pPr>
        <w:spacing w:after="0" w:line="79"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net proceeds from the issuance and sale of the Senior Notes will be used to finance the cash portion of the GE Transportation acquisition. The principal balances are due in full at maturity. The Senior Notes are senior unsecured obligations of the Company and rank pari passu with all existing and future senior debt and senior to all existing and future subordinated indebtedness of the Company. The indenture under which the Senior Notes were issued contains covenants and restrictions which limit among other things, the following: the incurrence of indebtedness, payment of dividends and certain distributions, sales of assets, change in control, mergers and consolidations and the incurrence of liens.</w:t>
      </w:r>
    </w:p>
    <w:p>
      <w:pPr>
        <w:spacing w:after="0" w:line="7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Company will be required to redeem the Senior Notes, in whole, on August 20, 2019 at a special mandatory redemption price equal to 101% of the aggregate principal amount of the Senior Notes, plus accrued and unpaid interest from the last date on which interest was paid if:</w:t>
      </w:r>
    </w:p>
    <w:p>
      <w:pPr>
        <w:spacing w:after="0" w:line="3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closing of the Transactions has not occurred by 5:00 p.m., New York City time, on August 20, 2019;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Merger Agreement and the Separation Agreement are terminated at any time prior to August 20, 2019.</w:t>
      </w:r>
    </w:p>
    <w:p>
      <w:pPr>
        <w:spacing w:after="0" w:line="14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Additionally, the interest rate payable on each series of Senior Notes will be subject to adjustments from time to time if either Moody's, S&amp;P, or Fitch ceases to rate the Senior Notes of the applicable series or fails to make a rating of the Senior Notes of such series publicly available. Upon a downgrade in rating by either agency, the interest rates of corresponding Senior Notes would increase between 0.25% and 1.00% to current stated rate.</w:t>
      </w:r>
    </w:p>
    <w:p>
      <w:pPr>
        <w:spacing w:after="0" w:line="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Senior Notes were issued and expects that these restrictions and covenants will not be any type of limiting factor in executing our operating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November 3, 2016, the Company issued $750.0 million of 3.45% Senior Notes due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8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6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In August 2013, the Company issued $250.0 million of 4.375% Senior Notes due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right="40"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6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Refinancing Credit Agreement</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June 8, 2018, the Company entered into a credit agreement (the “2018 Refinancing Credit Agreement”), which replaced the Company’s then-existing “2016 Refinancing Credit Agreement.” As part of the 2018 Refinancing Credit Agreement, the Company entered into (i) a $1.2 billion revolving credit facility (the “Revolving Credit Facility”), which replaced the Company’s revolving credit facility under the 2016 Refinancing Credit Agreement, and includes a letter of credit sub-facility of up to $450.0 million and a swing line sub-facility of $75.0 million, (ii) a $350.0 million term loan (the “Refinancing Term Loan”), which refinanced the term loan under the 2016 Refinancing Credit Agreement, and (iii) a new $400.0 million delayed draw term loan (the “Delayed Draw Term Loan”). The 2018 Refinancing Credit Agreement also provided for a bridge loan facility (the “Bridge Loan Facility”) in an amount not to exceed $2.5 billion, such facility to become effective at the Company’s request. Commitments in respect of the Bridge Loan Facility were terminated upon the issuance and sale of the Senior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September 30, 2018, the Company had available bank borrowing capacity, net of $29.7 million of letters of credit, of approximately $1,170.3 million subject to certain financial covenant restrictions.</w:t>
      </w:r>
    </w:p>
    <w:p>
      <w:pPr>
        <w:spacing w:after="0" w:line="173" w:lineRule="exact"/>
        <w:rPr>
          <w:sz w:val="20"/>
          <w:szCs w:val="20"/>
          <w:color w:val="auto"/>
        </w:rPr>
      </w:pPr>
    </w:p>
    <w:p>
      <w:pPr>
        <w:ind w:right="180" w:firstLine="486"/>
        <w:spacing w:after="0" w:line="286" w:lineRule="auto"/>
        <w:rPr>
          <w:sz w:val="20"/>
          <w:szCs w:val="20"/>
          <w:color w:val="auto"/>
        </w:rPr>
      </w:pPr>
      <w:r>
        <w:rPr>
          <w:rFonts w:ascii="Arial" w:cs="Arial" w:eastAsia="Arial" w:hAnsi="Arial"/>
          <w:sz w:val="16"/>
          <w:szCs w:val="16"/>
          <w:color w:val="auto"/>
        </w:rPr>
        <w:t>The Revolving Credit Facility matures on June 8, 2023 and is unsecured. The Refinancing Term Loan matures on June 8, 2021 and is unsecured. The Delayed Draw Term Loan matures on the third anniversary of the date on which it is borrowed and is unsecured.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1.000% and 1.875% for LIBOR/CDOR-based borrowings and 0.0% and 0.875% for Alternate Base Rate based borrowings. The obligations of the Company under the 2018 Refinancing Credit Agreement have been guaranteed by certain of the Company’s subsidiaries.</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65" w:lineRule="exact"/>
        <w:rPr>
          <w:sz w:val="20"/>
          <w:szCs w:val="20"/>
          <w:color w:val="auto"/>
        </w:rPr>
      </w:pPr>
    </w:p>
    <w:p>
      <w:pPr>
        <w:ind w:right="20" w:firstLine="500"/>
        <w:spacing w:after="0" w:line="291" w:lineRule="auto"/>
        <w:rPr>
          <w:sz w:val="20"/>
          <w:szCs w:val="20"/>
          <w:color w:val="auto"/>
        </w:rPr>
      </w:pPr>
      <w:r>
        <w:rPr>
          <w:rFonts w:ascii="Arial" w:cs="Arial" w:eastAsia="Arial" w:hAnsi="Arial"/>
          <w:sz w:val="16"/>
          <w:szCs w:val="16"/>
          <w:color w:val="auto"/>
        </w:rPr>
        <w:t>At September 30, 2018, the weighted average interest rate on the Company’s variable rate debt was 3.49%. On June 5, 2014, the Company entered into a forward starting interest rate swap agreement with a notional value of $150.0 million. The effective date of the interest rate swap agreement was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As for this agreement, the Company is exposed to credit risk in the event of nonperformance by the counterparties. However, since only the cash interest payments are exchanged, exposure is significantly less than the notional amount. The counterparties are large financial institutions with excellent credit ratings and history of performance. The Company currently believes the risk of nonperformance is negligible.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58" w:lineRule="exact"/>
        <w:rPr>
          <w:sz w:val="20"/>
          <w:szCs w:val="20"/>
          <w:color w:val="auto"/>
        </w:rPr>
      </w:pPr>
    </w:p>
    <w:p>
      <w:pPr>
        <w:jc w:val="both"/>
        <w:ind w:right="220" w:firstLine="500"/>
        <w:spacing w:after="0" w:line="279" w:lineRule="auto"/>
        <w:rPr>
          <w:sz w:val="20"/>
          <w:szCs w:val="20"/>
          <w:color w:val="auto"/>
        </w:rPr>
      </w:pPr>
      <w:r>
        <w:rPr>
          <w:rFonts w:ascii="Arial" w:cs="Arial" w:eastAsia="Arial" w:hAnsi="Arial"/>
          <w:sz w:val="17"/>
          <w:szCs w:val="17"/>
          <w:color w:val="auto"/>
        </w:rPr>
        <w:t>On June 22, 2016, the Company amended and restated its then existing revolving credit facility with a consortium of commercial banks. The “2016 Refinancing Credit Agreement” provided the Company with a $1.2 billion, five years revolving credit facility and a $400.0 million delayed draw term loan (the “Term Loan”). The Company incurred approximately $3.3 million of deferred financing costs related to the 2016 Refinancing Credit Agreement. The 2016 Refinancing Credit Agreement borrowings bore variable interest rates indexed as described below.</w:t>
      </w:r>
    </w:p>
    <w:p>
      <w:pPr>
        <w:spacing w:after="0" w:line="63"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The Term Loan was initially drawn on November 25, 2016. The Company incurred a 10 basis point commitment fee from June 22, 2016 until the initial draw.</w:t>
      </w:r>
    </w:p>
    <w:p>
      <w:pPr>
        <w:spacing w:after="0" w:line="62"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 per annum, the PNC, N.A. prime rate or the Daily LIBOR Rate plus 100 basis points, plus a margin that ranges from 0 to 75 basis points. The Alternate Rate was based on the quoted rates specific to the applicable currency, plus a margin that ranges from 75 to 175 basis points. Both the Base Rate and Alternate Rate margins were dependent on the Company’s consolidated total indebtedness to EBITDA ratios. The initial Base Rate margin was 0 basis points and the Alternate Rate margin was 175 basis points.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Schuldschein Loan, Due 2024</w:t>
      </w:r>
    </w:p>
    <w:p>
      <w:pPr>
        <w:spacing w:after="0" w:line="117"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In conjunction with the acquisition of Faiveley Transport, Wabtec acquired $137.2 million of a Schuldschein private placement loan which was originally issued by Faiveley Transport on March 5, 2014 in Germany, in which approximately 20 international investors participated. This loan is denominated in euros. Subsequent to the acquisition of Faiveley Transport, the Company repaid $125.8 million of the outstanding Schuldshein loan. The remaining balance of $11.6 million as of September 30, 2018 matures on March 5, 2024 and bears a fixed rate of 4.00%.</w:t>
      </w:r>
    </w:p>
    <w:p>
      <w:pPr>
        <w:spacing w:after="0" w:line="17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Schuldschein loan is senior unsecured and ranks pari passu with all existing and future senior debt and senior to all existing and future subordinated indebtedness of the Company. The Schuldshein loan agreement contains covenants and undertakings which limit, among other things, the following: factoring of receivables, the incurrence of indebtedness, sale of assets, change of control, mergers and consolidations and incurrence of liens. At September 30, 2018, the Company is in compliance with the undertakings and covenants contained in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30" w:right="259" w:bottom="1440" w:gutter="0" w:footer="0" w:header="0"/>
        </w:sectPr>
      </w:pPr>
    </w:p>
    <w:bookmarkStart w:id="22" w:name="page23"/>
    <w:bookmarkEnd w:id="22"/>
    <w:p>
      <w:pPr>
        <w:ind w:right="874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180" w:firstLine="500"/>
        <w:spacing w:after="0" w:line="277" w:lineRule="auto"/>
        <w:rPr>
          <w:sz w:val="20"/>
          <w:szCs w:val="20"/>
          <w:color w:val="auto"/>
        </w:rPr>
      </w:pPr>
      <w:r>
        <w:rPr>
          <w:rFonts w:ascii="Arial" w:cs="Arial" w:eastAsia="Arial" w:hAnsi="Arial"/>
          <w:sz w:val="18"/>
          <w:szCs w:val="18"/>
          <w:color w:val="auto"/>
        </w:rPr>
        <w:t>The Company sponsors defined benefit pension plans that cover certain U.S., Canadian, German and United Kingdom employees and which provide benefits of stated amounts for each year of service of the employee.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December 31 measurement date for the plans.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information regarding the Company’s defined benefit pension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114935</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center"/>
              <w:ind w:right="250"/>
              <w:spacing w:after="0"/>
              <w:rPr>
                <w:sz w:val="20"/>
                <w:szCs w:val="20"/>
                <w:color w:val="auto"/>
              </w:rPr>
            </w:pPr>
            <w:r>
              <w:rPr>
                <w:rFonts w:ascii="Arial" w:cs="Arial" w:eastAsia="Arial" w:hAnsi="Arial"/>
                <w:sz w:val="14"/>
                <w:szCs w:val="14"/>
                <w:b w:val="1"/>
                <w:bCs w:val="1"/>
                <w:color w:val="auto"/>
                <w:w w:val="95"/>
              </w:rPr>
              <w:t>U.S.</w:t>
            </w: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637"/>
              <w:spacing w:after="0"/>
              <w:rPr>
                <w:sz w:val="20"/>
                <w:szCs w:val="20"/>
                <w:color w:val="auto"/>
              </w:rPr>
            </w:pPr>
            <w:r>
              <w:rPr>
                <w:rFonts w:ascii="Arial" w:cs="Arial" w:eastAsia="Arial" w:hAnsi="Arial"/>
                <w:sz w:val="14"/>
                <w:szCs w:val="14"/>
                <w:b w:val="1"/>
                <w:bCs w:val="1"/>
                <w:color w:val="auto"/>
                <w:w w:val="97"/>
              </w:rPr>
              <w:t>International</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90"/>
              </w:rPr>
              <w:t>In thousands, except percentages</w:t>
            </w:r>
          </w:p>
        </w:tc>
        <w:tc>
          <w:tcPr>
            <w:tcW w:w="36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80" w:type="dxa"/>
            <w:vAlign w:val="bottom"/>
            <w:gridSpan w:val="4"/>
            <w:vMerge w:val="restart"/>
          </w:tcPr>
          <w:p>
            <w:pPr>
              <w:jc w:val="center"/>
              <w:ind w:right="3720"/>
              <w:spacing w:after="0"/>
              <w:rPr>
                <w:sz w:val="20"/>
                <w:szCs w:val="20"/>
                <w:color w:val="auto"/>
              </w:rPr>
            </w:pPr>
            <w:r>
              <w:rPr>
                <w:rFonts w:ascii="Arial" w:cs="Arial" w:eastAsia="Arial" w:hAnsi="Arial"/>
                <w:sz w:val="18"/>
                <w:szCs w:val="18"/>
                <w:b w:val="1"/>
                <w:bCs w:val="1"/>
                <w:color w:val="auto"/>
                <w:w w:val="88"/>
              </w:rPr>
              <w:t>Net periodic benefit cost</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3"/>
          </w:tcPr>
          <w:p>
            <w:pPr>
              <w:ind w:left="220"/>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640" w:type="dxa"/>
            <w:vAlign w:val="bottom"/>
            <w:gridSpan w:val="5"/>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3"/>
                <w:szCs w:val="23"/>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23"/>
                <w:szCs w:val="23"/>
                <w:color w:val="auto"/>
              </w:rPr>
            </w:pPr>
          </w:p>
        </w:tc>
        <w:tc>
          <w:tcPr>
            <w:tcW w:w="56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3"/>
          </w:tcPr>
          <w:p>
            <w:pPr>
              <w:ind w:left="2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3"/>
          </w:tcPr>
          <w:p>
            <w:pPr>
              <w:ind w:left="22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3"/>
          </w:tcPr>
          <w:p>
            <w:pPr>
              <w:ind w:left="220"/>
              <w:spacing w:after="0"/>
              <w:rPr>
                <w:sz w:val="20"/>
                <w:szCs w:val="20"/>
                <w:color w:val="auto"/>
              </w:rPr>
            </w:pPr>
            <w:r>
              <w:rPr>
                <w:rFonts w:ascii="Arial" w:cs="Arial" w:eastAsia="Arial" w:hAnsi="Arial"/>
                <w:sz w:val="18"/>
                <w:szCs w:val="18"/>
                <w:color w:val="auto"/>
              </w:rPr>
              <w:t>Net amortization/deferrals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3"/>
          </w:tcPr>
          <w:p>
            <w:pPr>
              <w:ind w:left="460"/>
              <w:spacing w:after="0"/>
              <w:rPr>
                <w:sz w:val="20"/>
                <w:szCs w:val="20"/>
                <w:color w:val="auto"/>
              </w:rPr>
            </w:pPr>
            <w:r>
              <w:rPr>
                <w:rFonts w:ascii="Arial" w:cs="Arial" w:eastAsia="Arial" w:hAnsi="Arial"/>
                <w:sz w:val="18"/>
                <w:szCs w:val="18"/>
                <w:color w:val="auto"/>
              </w:rPr>
              <w:t>Net periodic benefit cost (credit)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auto"/>
            </w:tcBorders>
            <w:gridSpan w:val="2"/>
          </w:tcPr>
          <w:p>
            <w:pPr>
              <w:spacing w:after="0"/>
              <w:rPr>
                <w:sz w:val="22"/>
                <w:szCs w:val="22"/>
                <w:color w:val="auto"/>
              </w:rPr>
            </w:pPr>
          </w:p>
        </w:tc>
        <w:tc>
          <w:tcPr>
            <w:tcW w:w="120" w:type="dxa"/>
            <w:vAlign w:val="bottom"/>
            <w:gridSpan w:val="2"/>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5"/>
          </w:tcPr>
          <w:p>
            <w:pPr>
              <w:jc w:val="center"/>
              <w:ind w:right="290"/>
              <w:spacing w:after="0"/>
              <w:rPr>
                <w:sz w:val="20"/>
                <w:szCs w:val="20"/>
                <w:color w:val="auto"/>
              </w:rPr>
            </w:pPr>
            <w:r>
              <w:rPr>
                <w:rFonts w:ascii="Arial" w:cs="Arial" w:eastAsia="Arial" w:hAnsi="Arial"/>
                <w:sz w:val="14"/>
                <w:szCs w:val="14"/>
                <w:b w:val="1"/>
                <w:bCs w:val="1"/>
                <w:color w:val="auto"/>
                <w:w w:val="95"/>
              </w:rPr>
              <w:t>U.S.</w:t>
            </w:r>
          </w:p>
        </w:tc>
        <w:tc>
          <w:tcPr>
            <w:tcW w:w="9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5"/>
          </w:tcPr>
          <w:p>
            <w:pPr>
              <w:jc w:val="center"/>
              <w:ind w:left="577"/>
              <w:spacing w:after="0"/>
              <w:rPr>
                <w:sz w:val="20"/>
                <w:szCs w:val="20"/>
                <w:color w:val="auto"/>
              </w:rPr>
            </w:pPr>
            <w:r>
              <w:rPr>
                <w:rFonts w:ascii="Arial" w:cs="Arial" w:eastAsia="Arial" w:hAnsi="Arial"/>
                <w:sz w:val="14"/>
                <w:szCs w:val="14"/>
                <w:b w:val="1"/>
                <w:bCs w:val="1"/>
                <w:color w:val="auto"/>
                <w:w w:val="95"/>
              </w:rPr>
              <w:t>International</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8"/>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7"/>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57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0"/>
              </w:rPr>
              <w:t>In thousands, except percentages</w:t>
            </w: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80" w:type="dxa"/>
            <w:vAlign w:val="bottom"/>
            <w:gridSpan w:val="4"/>
            <w:vMerge w:val="restart"/>
          </w:tcPr>
          <w:p>
            <w:pPr>
              <w:jc w:val="center"/>
              <w:ind w:right="3660"/>
              <w:spacing w:after="0"/>
              <w:rPr>
                <w:sz w:val="20"/>
                <w:szCs w:val="20"/>
                <w:color w:val="auto"/>
              </w:rPr>
            </w:pPr>
            <w:r>
              <w:rPr>
                <w:rFonts w:ascii="Arial" w:cs="Arial" w:eastAsia="Arial" w:hAnsi="Arial"/>
                <w:sz w:val="18"/>
                <w:szCs w:val="18"/>
                <w:b w:val="1"/>
                <w:bCs w:val="1"/>
                <w:color w:val="auto"/>
                <w:w w:val="89"/>
              </w:rPr>
              <w:t>Net periodic benefit cost</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640" w:type="dxa"/>
            <w:vAlign w:val="bottom"/>
            <w:gridSpan w:val="5"/>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23"/>
                <w:szCs w:val="23"/>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2,073</w:t>
            </w:r>
          </w:p>
        </w:tc>
        <w:tc>
          <w:tcPr>
            <w:tcW w:w="20" w:type="dxa"/>
            <w:vAlign w:val="bottom"/>
          </w:tcPr>
          <w:p>
            <w:pPr>
              <w:spacing w:after="0"/>
              <w:rPr>
                <w:sz w:val="23"/>
                <w:szCs w:val="23"/>
                <w:color w:val="auto"/>
              </w:rPr>
            </w:pPr>
          </w:p>
        </w:tc>
        <w:tc>
          <w:tcPr>
            <w:tcW w:w="56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1,068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5,502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5,031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(10,398)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Net amortization/deferrals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1,662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3"/>
          </w:tcPr>
          <w:p>
            <w:pPr>
              <w:ind w:left="500"/>
              <w:spacing w:after="0"/>
              <w:rPr>
                <w:sz w:val="20"/>
                <w:szCs w:val="20"/>
                <w:color w:val="auto"/>
              </w:rPr>
            </w:pPr>
            <w:r>
              <w:rPr>
                <w:rFonts w:ascii="Arial" w:cs="Arial" w:eastAsia="Arial" w:hAnsi="Arial"/>
                <w:sz w:val="18"/>
                <w:szCs w:val="18"/>
                <w:color w:val="auto"/>
              </w:rPr>
              <w:t>Net periodic benefit cost (credit)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654</w:t>
            </w:r>
          </w:p>
        </w:tc>
        <w:tc>
          <w:tcPr>
            <w:tcW w:w="640" w:type="dxa"/>
            <w:vAlign w:val="bottom"/>
            <w:gridSpan w:val="5"/>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771</w:t>
            </w:r>
          </w:p>
        </w:tc>
        <w:tc>
          <w:tcPr>
            <w:tcW w:w="40" w:type="dxa"/>
            <w:vAlign w:val="bottom"/>
          </w:tcPr>
          <w:p>
            <w:pPr>
              <w:spacing w:after="0"/>
              <w:rPr>
                <w:sz w:val="22"/>
                <w:szCs w:val="22"/>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22"/>
                <w:szCs w:val="22"/>
                <w:color w:val="auto"/>
              </w:rPr>
            </w:pPr>
          </w:p>
        </w:tc>
        <w:tc>
          <w:tcPr>
            <w:tcW w:w="56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Assumptions</w:t>
            </w:r>
          </w:p>
        </w:tc>
        <w:tc>
          <w:tcPr>
            <w:tcW w:w="2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4480" w:type="dxa"/>
            <w:vAlign w:val="bottom"/>
          </w:tcPr>
          <w:p>
            <w:pPr>
              <w:ind w:left="260"/>
              <w:spacing w:after="0"/>
              <w:rPr>
                <w:sz w:val="20"/>
                <w:szCs w:val="20"/>
                <w:color w:val="auto"/>
              </w:rPr>
            </w:pPr>
            <w:r>
              <w:rPr>
                <w:rFonts w:ascii="Arial" w:cs="Arial" w:eastAsia="Arial" w:hAnsi="Arial"/>
                <w:sz w:val="18"/>
                <w:szCs w:val="18"/>
                <w:color w:val="auto"/>
              </w:rPr>
              <w:t>Discount Rate</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3.56%</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3.95%</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2.40%</w:t>
            </w: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0"/>
        </w:trPr>
        <w:tc>
          <w:tcPr>
            <w:tcW w:w="4480" w:type="dxa"/>
            <w:vAlign w:val="bottom"/>
          </w:tcPr>
          <w:p>
            <w:pPr>
              <w:ind w:left="260"/>
              <w:spacing w:after="0"/>
              <w:rPr>
                <w:sz w:val="20"/>
                <w:szCs w:val="20"/>
                <w:color w:val="auto"/>
              </w:rPr>
            </w:pPr>
            <w:r>
              <w:rPr>
                <w:rFonts w:ascii="Arial" w:cs="Arial" w:eastAsia="Arial" w:hAnsi="Arial"/>
                <w:sz w:val="18"/>
                <w:szCs w:val="18"/>
                <w:color w:val="auto"/>
              </w:rPr>
              <w:t>Expected long-term rate of return</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5.15%</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4.95%</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5.10%</w:t>
            </w: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0"/>
        </w:trPr>
        <w:tc>
          <w:tcPr>
            <w:tcW w:w="4480" w:type="dxa"/>
            <w:vAlign w:val="bottom"/>
          </w:tcPr>
          <w:p>
            <w:pPr>
              <w:ind w:left="260"/>
              <w:spacing w:after="0"/>
              <w:rPr>
                <w:sz w:val="20"/>
                <w:szCs w:val="20"/>
                <w:color w:val="auto"/>
              </w:rPr>
            </w:pPr>
            <w:r>
              <w:rPr>
                <w:rFonts w:ascii="Arial" w:cs="Arial" w:eastAsia="Arial" w:hAnsi="Arial"/>
                <w:sz w:val="18"/>
                <w:szCs w:val="18"/>
                <w:color w:val="auto"/>
              </w:rPr>
              <w:t>Rate of compensation increase</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3.00%</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3.00%</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2.60%</w:t>
            </w: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r>
    </w:tbl>
    <w:p>
      <w:pPr>
        <w:spacing w:after="0" w:line="229" w:lineRule="exact"/>
        <w:rPr>
          <w:sz w:val="20"/>
          <w:szCs w:val="20"/>
          <w:color w:val="auto"/>
        </w:rPr>
      </w:pPr>
    </w:p>
    <w:p>
      <w:pPr>
        <w:jc w:val="both"/>
        <w:ind w:right="80" w:firstLine="500"/>
        <w:spacing w:after="0" w:line="342" w:lineRule="auto"/>
        <w:rPr>
          <w:sz w:val="20"/>
          <w:szCs w:val="20"/>
          <w:color w:val="auto"/>
        </w:rPr>
      </w:pPr>
      <w:r>
        <w:rPr>
          <w:rFonts w:ascii="Arial" w:cs="Arial" w:eastAsia="Arial" w:hAnsi="Arial"/>
          <w:sz w:val="16"/>
          <w:szCs w:val="16"/>
          <w:color w:val="auto"/>
        </w:rPr>
        <w:t>The Company’s funding methods are based on governmental requirements and differ from those methods used to recognize pension expense. The Company expects to contribute $7.3 million to the international plans during 2018. The company does not expect to contribute to the U.S. plans during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Retirement Benefit Plans</w:t>
      </w:r>
    </w:p>
    <w:p>
      <w:pPr>
        <w:spacing w:after="0" w:line="121"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December 31 measurement date for all post retirement plans.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ind w:left="500"/>
        <w:spacing w:after="0"/>
        <w:rPr>
          <w:sz w:val="20"/>
          <w:szCs w:val="20"/>
          <w:color w:val="auto"/>
        </w:rPr>
      </w:pPr>
      <w:r>
        <w:rPr>
          <w:rFonts w:ascii="Arial" w:cs="Arial" w:eastAsia="Arial" w:hAnsi="Arial"/>
          <w:sz w:val="16"/>
          <w:szCs w:val="16"/>
          <w:color w:val="auto"/>
        </w:rPr>
        <w:t>The following tables provide information regarding the Company’s postretirement benefit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114935</wp:posOffset>
            </wp:positionV>
            <wp:extent cx="368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In thousands, except percentages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periodic benefit cost</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amortization/deferrals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periodic benefit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4"/>
          <w:szCs w:val="14"/>
          <w:i w:val="1"/>
          <w:iCs w:val="1"/>
          <w:u w:val="single" w:color="auto"/>
          <w:color w:val="auto"/>
        </w:rPr>
        <w:t>In thousands, except percentages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periodic benefit cost</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amortization/deferrals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periodic benefit cost</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Assumptions</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Discount Rate</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STOCK-BASED COMPENSATION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638"/>
              <w:spacing w:after="0"/>
              <w:rPr>
                <w:sz w:val="20"/>
                <w:szCs w:val="20"/>
                <w:color w:val="auto"/>
              </w:rPr>
            </w:pPr>
            <w:r>
              <w:rPr>
                <w:rFonts w:ascii="Arial" w:cs="Arial" w:eastAsia="Arial" w:hAnsi="Arial"/>
                <w:sz w:val="14"/>
                <w:szCs w:val="14"/>
                <w:b w:val="1"/>
                <w:bCs w:val="1"/>
                <w:color w:val="auto"/>
                <w:w w:val="97"/>
              </w:rPr>
              <w:t>International</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50"/>
        </w:trPr>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217"/>
        </w:trPr>
        <w:tc>
          <w:tcPr>
            <w:tcW w:w="220" w:type="dxa"/>
            <w:vAlign w:val="bottom"/>
          </w:tcPr>
          <w:p>
            <w:pPr>
              <w:spacing w:after="0"/>
              <w:rPr>
                <w:sz w:val="18"/>
                <w:szCs w:val="18"/>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r>
      <w:tr>
        <w:trPr>
          <w:trHeight w:val="53"/>
        </w:trPr>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507"/>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5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r>
      <w:tr>
        <w:trPr>
          <w:trHeight w:val="270"/>
        </w:trPr>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5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2"/>
        </w:trPr>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5"/>
              </w:rPr>
              <w:t>U.S.</w:t>
            </w:r>
          </w:p>
        </w:tc>
        <w:tc>
          <w:tcPr>
            <w:tcW w:w="9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5"/>
          </w:tcPr>
          <w:p>
            <w:pPr>
              <w:jc w:val="center"/>
              <w:ind w:left="578"/>
              <w:spacing w:after="0"/>
              <w:rPr>
                <w:sz w:val="20"/>
                <w:szCs w:val="20"/>
                <w:color w:val="auto"/>
              </w:rPr>
            </w:pPr>
            <w:r>
              <w:rPr>
                <w:rFonts w:ascii="Arial" w:cs="Arial" w:eastAsia="Arial" w:hAnsi="Arial"/>
                <w:sz w:val="14"/>
                <w:szCs w:val="14"/>
                <w:b w:val="1"/>
                <w:bCs w:val="1"/>
                <w:color w:val="auto"/>
                <w:w w:val="95"/>
              </w:rPr>
              <w:t>International</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52"/>
        </w:trPr>
        <w:tc>
          <w:tcPr>
            <w:tcW w:w="220" w:type="dxa"/>
            <w:vAlign w:val="bottom"/>
          </w:tcPr>
          <w:p>
            <w:pPr>
              <w:spacing w:after="0"/>
              <w:rPr>
                <w:sz w:val="13"/>
                <w:szCs w:val="13"/>
                <w:color w:val="auto"/>
              </w:rPr>
            </w:pPr>
          </w:p>
        </w:tc>
        <w:tc>
          <w:tcPr>
            <w:tcW w:w="2640" w:type="dxa"/>
            <w:vAlign w:val="bottom"/>
            <w:gridSpan w:val="8"/>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7"/>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57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220" w:type="dxa"/>
            <w:vAlign w:val="bottom"/>
          </w:tcPr>
          <w:p>
            <w:pPr>
              <w:spacing w:after="0"/>
              <w:rPr>
                <w:sz w:val="18"/>
                <w:szCs w:val="18"/>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r>
      <w:tr>
        <w:trPr>
          <w:trHeight w:val="53"/>
        </w:trPr>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gridSpan w:val="2"/>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507"/>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r>
      <w:tr>
        <w:trPr>
          <w:trHeight w:val="270"/>
        </w:trPr>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64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0"/>
                <w:szCs w:val="20"/>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0"/>
                <w:szCs w:val="20"/>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24"/>
                <w:szCs w:val="24"/>
                <w:color w:val="auto"/>
              </w:rPr>
            </w:pPr>
          </w:p>
        </w:tc>
      </w:tr>
    </w:tbl>
    <w:p>
      <w:pPr>
        <w:spacing w:after="0" w:line="661" w:lineRule="exact"/>
        <w:rPr>
          <w:sz w:val="20"/>
          <w:szCs w:val="20"/>
          <w:color w:val="auto"/>
        </w:rPr>
      </w:pPr>
    </w:p>
    <w:p>
      <w:pPr>
        <w:sectPr>
          <w:pgSz w:w="11900" w:h="16838" w:orient="portrait"/>
          <w:cols w:equalWidth="0" w:num="2">
            <w:col w:w="4900" w:space="720"/>
            <w:col w:w="5800"/>
          </w:cols>
          <w:pgMar w:left="240" w:top="584" w:right="239" w:bottom="1440" w:gutter="0" w:footer="0" w:header="0"/>
          <w:type w:val="continuous"/>
        </w:sectPr>
      </w:pPr>
    </w:p>
    <w:p>
      <w:pPr>
        <w:ind w:right="40" w:firstLine="500"/>
        <w:spacing w:after="0" w:line="297" w:lineRule="auto"/>
        <w:rPr>
          <w:sz w:val="20"/>
          <w:szCs w:val="20"/>
          <w:color w:val="auto"/>
        </w:rPr>
      </w:pPr>
      <w:r>
        <w:rPr>
          <w:rFonts w:ascii="Arial" w:cs="Arial" w:eastAsia="Arial" w:hAnsi="Arial"/>
          <w:sz w:val="16"/>
          <w:szCs w:val="16"/>
          <w:color w:val="auto"/>
        </w:rPr>
        <w:t>As of September 30, 2018,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provides a maximum of 3,800,000 shares for grants or awards, plus any shares which remain available under the 2000 Plan. The amendment and restatement of the 2011 Plan was approved by stockholders of Wabtec on May 10, 2017. The Company also maintains a 1995 Non-Employee Directors’ Fee and Stock Option Plan as amended and restated (“the Directors Plan”).</w:t>
      </w:r>
    </w:p>
    <w:p>
      <w:pPr>
        <w:spacing w:after="0" w:line="158"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Stock-based compensation expense was $6.4 million and $2.6 million for the three months ended September 30, 2018 and 2017, respectively. Included in stock-based compensation expense for the three months ended September 30, 2018 is $0.4 million of expense related to stock options, $2.3 million related to restricted stock, $2.3 million related to restricted stock units, $1.2 million related to incentive stock units and $0.2 million related to units issued for Directors' fees.</w:t>
      </w:r>
    </w:p>
    <w:p>
      <w:pPr>
        <w:spacing w:after="0" w:line="187"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Stock-based compensation expense was $20.5 million and $14.5 million for the nine months ended September 30, 2018 and 2017, respectively. Included in stock-based compensation expense for the nine months ended September 30, 2018 is $1.2 million of expense related to stock options, $5.0 million related to restricted stock, $7.0 million related to restricted stock units, $6.4 million related to incentive stock units and $0.9 million related to units issued for Directors’ fees. At September 30, 2018, unamortized compensation expense related to stock options, non-vested restricted shares and incentive stock units expected to vest totaled $35.4 million.</w:t>
      </w:r>
    </w:p>
    <w:p>
      <w:pPr>
        <w:spacing w:after="0" w:line="188"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 Wabtec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price on the date of grant. Under the 2011 Plan and the 2000 Plan, options become exercisable over a four-year vesting period and expire 10 years from the date of grant.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type w:val="continuous"/>
        </w:sectPr>
      </w:pPr>
    </w:p>
    <w:bookmarkStart w:id="24" w:name="page25"/>
    <w:bookmarkEnd w:id="24"/>
    <w:p>
      <w:pPr>
        <w:ind w:right="200" w:firstLine="500"/>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nine months ended September 30, 2018:</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983,512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40,137</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82,580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(574,303)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46,520</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(16,471)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475,318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22,997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Exercisable at September 30, 2018</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291,169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16,051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108"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886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43"/>
        </w:trPr>
        <w:tc>
          <w:tcPr>
            <w:tcW w:w="9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0.31%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2.78%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Stock price 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23.9%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U.S. Treasury bond rates for the expected life of the option.</w:t>
      </w:r>
    </w:p>
    <w:p>
      <w:pPr>
        <w:spacing w:after="0" w:line="21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Plan and 2000 Plan, eligible employees are granted restricted stock that generally vests over four years from the date of grant. Under the Directors Plan, restricted stock units vest one year from the date of grant.</w:t>
      </w:r>
    </w:p>
    <w:p>
      <w:pPr>
        <w:spacing w:after="0" w:line="181"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September 30, 2018, the Company estimates that it will achieve 71%, 81% and 91% of the goals for the incentive stock awards expected to vest based on performance for the three-year periods ending December 31, 2018, 2019, and 2020, respectively, and has recorded incentive compensation expense accordingly. If our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182"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500" w:firstLine="500"/>
        <w:spacing w:after="0" w:line="342" w:lineRule="auto"/>
        <w:rPr>
          <w:sz w:val="20"/>
          <w:szCs w:val="20"/>
          <w:color w:val="auto"/>
        </w:rPr>
      </w:pPr>
      <w:r>
        <w:rPr>
          <w:rFonts w:ascii="Arial" w:cs="Arial" w:eastAsia="Arial" w:hAnsi="Arial"/>
          <w:sz w:val="16"/>
          <w:szCs w:val="16"/>
          <w:color w:val="auto"/>
        </w:rPr>
        <w:t>The following table summarizes the restricted stock activity and related information for the 2011 Plan, the 2000 Plan and the Directors Plan, and incentive stock units activity for the 2011 Plan and the 2000 Plan with related information for the nine months ended September 30, 2018:</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399,000</w:t>
            </w: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327,333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223,990</w:t>
            </w:r>
          </w:p>
        </w:tc>
        <w:tc>
          <w:tcPr>
            <w:tcW w:w="120" w:type="dxa"/>
            <w:vAlign w:val="bottom"/>
          </w:tcPr>
          <w:p>
            <w:pPr>
              <w:spacing w:after="0"/>
              <w:rPr>
                <w:sz w:val="23"/>
                <w:szCs w:val="23"/>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175,100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(143,327)</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(93,312)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Adjustment for incentive stock awards expected to vest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(28,643)</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451,020</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379,412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Company is responsible for filing consolidated U.S.,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181"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Act. The Tax Act makes broad and complex changes to the U.S. tax code, including, but not limited to requiring a one-time transition tax on certain unrepatriated earnings of foreign subsidiaries that is payable over eight years (the "Transition Tax"), a reduction of the U.S. federal corporate tax rate from 35% to 21%, repeals the Domestic Manufacturing Deduction, a general elimination of U.S. federal income taxes on dividends from foreign subsidiaries, new provisions designed to tax global intangible low-taxed income ("GILTI"), tax certain deductible base erosion payments called base erosion and anti-abuse tax (“BEAT”), and new interest expense limitation provisions.</w:t>
      </w:r>
    </w:p>
    <w:p>
      <w:pPr>
        <w:spacing w:after="0" w:line="19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relation to the initial analysis of the impact of the all tax law changes at December 31, 2017, the Company recorded a net tax expense of $4.3 million. This included a provisional expense for the U.S tax reform bill of $55.0 million, as well as a net benefit for the revaluation of deferred tax assets and liabilities of $50.7 million.</w:t>
      </w:r>
    </w:p>
    <w:p>
      <w:pPr>
        <w:spacing w:after="0" w:line="18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the current quarter, the Company has revised its accounting for the income tax effects of the Tax Act. The Company has adjusted the provisional amounts previously recorded in accordance with SEC Staff Accounting Bulletin No. 118. As such, the Company has included the following tax provisions in its financial statements as of September 30, 2018:</w:t>
      </w:r>
    </w:p>
    <w:p>
      <w:pPr>
        <w:spacing w:after="0" w:line="181"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Revaluation of deferred tax assets and liabilities: The Tax Act reduces the U.S. federal corporate tax rate from 35% to 21% for tax years beginning after December 31, 2017. In addition, the Tax Act makes certain changes to the depreciation rules and implements new limits on the deductibility of certain executive compensation. The Company evaluated these changes and recorded a provisional benefit to net deferred taxes of $24.6 million at December 31, 2017. As a result of the completion of its 2017 U.S. corporate tax return in the three months ended September 30, 2018, the Company has adjusted its US deferred tax balances which has resulted in a current period benefit of $3.2 million. The Company has revised its calculation of the impact of these changes on its deferred tax balances. As of September 30, 2018, the Company has reviewed its analysis of the impact of the Tax Act on the deductibility of certain executive compensation. As a result, no further adjustments were made as of September 30, 2018.</w:t>
      </w:r>
    </w:p>
    <w:p>
      <w:pPr>
        <w:spacing w:after="0" w:line="16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Transition Tax on unrepatriated foreign earnings: The Transition Tax on unrepatriated foreign earnings is a tax on previously untaxed accumulated and current earnings and profits ("E&amp;P") of the Company's foreign subsidiaries. To determine the amount of the Transition Tax, the Company must determine, among other factors, the amount of post-1986 E&amp;P of its foreign subsidiaries, as well as the amount of non-U.S. income taxes paid on such earnings. The Company was able to make a reasonable estimate of the Transition Tax and recorded a provisional Transition Tax expense of $51.8 million at December 31, 2017. As of September 30, 2018, the Company has revised its calculation of the Transition Tax which resulted in a benefit of $3.3 million and $13.4 million for the three and nine months ended September 30, 2018.</w:t>
      </w:r>
    </w:p>
    <w:p>
      <w:pPr>
        <w:spacing w:after="0" w:line="193"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Company's accounting for the following impacted areas of the Tax Act is incomplete. However, the Company was able to make reasonable estimates of certain effects and, therefore, has recorded provisional amounts as follows:</w:t>
      </w:r>
    </w:p>
    <w:p>
      <w:pPr>
        <w:spacing w:after="0" w:line="170"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Global intangible low taxed income: The Tax Act created a new requirement that certain income (i.e., GILTI) earned by foreign subsidiaries must be included currently in the gross income of the U.S. shareholder. Under U.S. GAAP, the Company is permitted to make an accounting policy election to either treat taxes due on future inclusions in U.S. taxable income related to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right="220"/>
        <w:spacing w:after="0" w:line="259" w:lineRule="auto"/>
        <w:rPr>
          <w:sz w:val="20"/>
          <w:szCs w:val="20"/>
          <w:color w:val="auto"/>
        </w:rPr>
      </w:pPr>
      <w:r>
        <w:rPr>
          <w:rFonts w:ascii="Arial" w:cs="Arial" w:eastAsia="Arial" w:hAnsi="Arial"/>
          <w:sz w:val="18"/>
          <w:szCs w:val="18"/>
          <w:color w:val="auto"/>
        </w:rPr>
        <w:t>GILTI as a current-period expense when incurred or to factor such amounts into the Company's measurement of its deferred taxes. The Company has made the election to treat taxes due on future inclusions related to GILTI as current period expense. The Company was able to make reasonable estimates to calculate a provision that is included in the current period expense. The Company will continue to evaluate and update this provision and the application of ASC 740.</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overall effective income tax rate was 16.2% and 17.2% for the three and nine months ended September 30, 2018, respectively, and 15.7%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23.4% for the three and nine months ended September 30, 2017, respectively. The increase in the effective tax for the three months ended September 30,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due to a deferred tax net benefit recorded in the prior three month period ended September 30, 2017. The decrease in the effective tax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2018 is due to the tax benefits related to the Tax Act as discussed above, a higher earnings mix in lower tax jurisdictions and the release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uncertain tax positions due to the expiration of statutes.</w:t>
      </w:r>
    </w:p>
    <w:p>
      <w:pPr>
        <w:spacing w:after="0" w:line="103"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During the current three month period ending September 30, 2018, certain statutes have expired related to uncertain tax positions that were previously recorded resulting in a $2.4 million reduction to the liability for uncertain tax positions, $1.1 million of which favorably affected the Company’s effective tax rate. As of September 30, 2018, the liability for income taxes associated with uncertain tax positions was $4.5 million, of which $3.3 million, if recognized, would favorably affect the Company’s effective tax rate. As of December 31, 2017, the liability for income taxes associated with uncertain tax positions was $6.9 million, of which $4.4 million, if recognized, would favorably affect the Company’s effective tax rate.</w:t>
      </w:r>
    </w:p>
    <w:p>
      <w:pPr>
        <w:spacing w:after="0" w:line="17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includes interest and penalties related to uncertain tax positions in income tax expense. During the current three month period ending September 30, 2018, certain statutes have expired related to uncertain tax positions that were previously recorded. The net reduction in accrued interest expense related to these positions totaled $0.3 million which favorably affected the Company’s effective tax rate. As of September 30, 2018, the total accrued interest and penalties are $0.6 million and $0.1 million, respectively. As of December 31, 2017, the total accrued interest and penalties were $0.7 million and $0.1 million, respectively.</w:t>
      </w:r>
    </w:p>
    <w:p>
      <w:pPr>
        <w:spacing w:after="0" w:line="80" w:lineRule="exact"/>
        <w:rPr>
          <w:sz w:val="20"/>
          <w:szCs w:val="20"/>
          <w:color w:val="auto"/>
        </w:rPr>
      </w:pPr>
    </w:p>
    <w:p>
      <w:pPr>
        <w:ind w:right="140" w:firstLine="500"/>
        <w:spacing w:after="0" w:line="264"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$4.5 million may change within the next 12 months due to the expiration of statutory review periods and current examinations. With limited exceptions, the Company is no longer subject to examination by various U.S. and foreign taxing authorities for years before 2014.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76"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20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Numerator</w:t>
            </w:r>
          </w:p>
        </w:tc>
        <w:tc>
          <w:tcPr>
            <w:tcW w:w="298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vMerge w:val="continue"/>
          </w:tcPr>
          <w:p>
            <w:pPr>
              <w:spacing w:after="0"/>
              <w:rPr>
                <w:sz w:val="20"/>
                <w:szCs w:val="20"/>
                <w:color w:val="auto"/>
              </w:rPr>
            </w:pPr>
          </w:p>
        </w:tc>
        <w:tc>
          <w:tcPr>
            <w:tcW w:w="2980" w:type="dxa"/>
            <w:vAlign w:val="bottom"/>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share - net income attributable</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to Wabtec shareholders</w:t>
            </w:r>
          </w:p>
        </w:tc>
        <w:tc>
          <w:tcPr>
            <w:tcW w:w="3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87,739</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67,399</w:t>
            </w:r>
          </w:p>
        </w:tc>
        <w:tc>
          <w:tcPr>
            <w:tcW w:w="0" w:type="dxa"/>
            <w:vAlign w:val="bottom"/>
          </w:tcPr>
          <w:p>
            <w:pPr>
              <w:spacing w:after="0"/>
              <w:rPr>
                <w:sz w:val="1"/>
                <w:szCs w:val="1"/>
                <w:color w:val="auto"/>
              </w:rPr>
            </w:pP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and non-vested restricted stock</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(11,586)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76,153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55,881</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75,925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55,713</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11,552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and diluted earnings per</w:t>
            </w: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3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3"/>
              <w:spacing w:after="0"/>
              <w:rPr>
                <w:sz w:val="20"/>
                <w:szCs w:val="20"/>
                <w:color w:val="auto"/>
              </w:rPr>
            </w:pPr>
            <w:r>
              <w:rPr>
                <w:rFonts w:ascii="Arial" w:cs="Arial" w:eastAsia="Arial" w:hAnsi="Arial"/>
                <w:sz w:val="18"/>
                <w:szCs w:val="18"/>
                <w:color w:val="auto"/>
              </w:rPr>
              <w:t>87,477</w:t>
            </w:r>
          </w:p>
        </w:tc>
        <w:tc>
          <w:tcPr>
            <w:tcW w:w="120" w:type="dxa"/>
            <w:vAlign w:val="bottom"/>
          </w:tcPr>
          <w:p>
            <w:pPr>
              <w:spacing w:after="0"/>
              <w:rPr>
                <w:sz w:val="18"/>
                <w:szCs w:val="18"/>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91"/>
              <w:spacing w:after="0"/>
              <w:rPr>
                <w:sz w:val="20"/>
                <w:szCs w:val="20"/>
                <w:color w:val="auto"/>
              </w:rPr>
            </w:pPr>
            <w:r>
              <w:rPr>
                <w:rFonts w:ascii="Arial" w:cs="Arial" w:eastAsia="Arial" w:hAnsi="Arial"/>
                <w:sz w:val="18"/>
                <w:szCs w:val="18"/>
                <w:color w:val="auto"/>
              </w:rPr>
              <w:t>67,198</w:t>
            </w:r>
          </w:p>
        </w:tc>
        <w:tc>
          <w:tcPr>
            <w:tcW w:w="0" w:type="dxa"/>
            <w:vAlign w:val="bottom"/>
          </w:tcPr>
          <w:p>
            <w:pPr>
              <w:spacing w:after="0"/>
              <w:rPr>
                <w:sz w:val="1"/>
                <w:szCs w:val="1"/>
                <w:color w:val="auto"/>
              </w:rPr>
            </w:pPr>
          </w:p>
        </w:tc>
      </w:tr>
      <w:tr>
        <w:trPr>
          <w:trHeight w:val="237"/>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70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gridSpan w:val="2"/>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Denominator for basic earnings per common</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96,208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95,709</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common share -</w:t>
            </w: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gridSpan w:val="2"/>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20" w:type="dxa"/>
            <w:vAlign w:val="bottom"/>
            <w:gridSpan w:val="2"/>
          </w:tcPr>
          <w:p>
            <w:pPr>
              <w:ind w:left="240"/>
              <w:spacing w:after="0"/>
              <w:rPr>
                <w:sz w:val="20"/>
                <w:szCs w:val="20"/>
                <w:color w:val="auto"/>
              </w:rPr>
            </w:pPr>
            <w:r>
              <w:rPr>
                <w:rFonts w:ascii="Arial" w:cs="Arial" w:eastAsia="Arial" w:hAnsi="Arial"/>
                <w:sz w:val="18"/>
                <w:szCs w:val="18"/>
                <w:color w:val="auto"/>
                <w:w w:val="99"/>
              </w:rPr>
              <w:t>adjusted weighted average shares and assumed conversion</w:t>
            </w:r>
          </w:p>
        </w:tc>
        <w:tc>
          <w:tcPr>
            <w:tcW w:w="3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96,637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96,316</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20" w:type="dxa"/>
            <w:vAlign w:val="bottom"/>
            <w:gridSpan w:val="2"/>
            <w:vMerge w:val="continue"/>
          </w:tcPr>
          <w:p>
            <w:pPr>
              <w:spacing w:after="0"/>
              <w:rPr>
                <w:sz w:val="16"/>
                <w:szCs w:val="16"/>
                <w:color w:val="auto"/>
              </w:rPr>
            </w:pPr>
          </w:p>
        </w:tc>
        <w:tc>
          <w:tcPr>
            <w:tcW w:w="3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Basic</w:t>
            </w:r>
          </w:p>
        </w:tc>
        <w:tc>
          <w:tcPr>
            <w:tcW w:w="3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405"/>
        </w:trPr>
        <w:tc>
          <w:tcPr>
            <w:tcW w:w="502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3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96,208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95,709</w:t>
            </w:r>
          </w:p>
        </w:tc>
        <w:tc>
          <w:tcPr>
            <w:tcW w:w="0" w:type="dxa"/>
            <w:vAlign w:val="bottom"/>
          </w:tcPr>
          <w:p>
            <w:pPr>
              <w:spacing w:after="0"/>
              <w:rPr>
                <w:sz w:val="1"/>
                <w:szCs w:val="1"/>
                <w:color w:val="auto"/>
              </w:rPr>
            </w:pPr>
          </w:p>
        </w:tc>
      </w:tr>
      <w:tr>
        <w:trPr>
          <w:trHeight w:val="256"/>
        </w:trPr>
        <w:tc>
          <w:tcPr>
            <w:tcW w:w="502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 and</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96,495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95,983</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918"/>
        </w:trPr>
        <w:tc>
          <w:tcPr>
            <w:tcW w:w="2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360" w:type="dxa"/>
            <w:vAlign w:val="bottom"/>
          </w:tcPr>
          <w:p>
            <w:pPr>
              <w:jc w:val="right"/>
              <w:ind w:right="253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8" w:name="page29"/>
    <w:bookmarkEnd w:id="28"/>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1"/>
              </w:rPr>
              <w:t>In thousands, except per share data</w:t>
            </w:r>
          </w:p>
        </w:tc>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3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4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share - net income attributable</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gridSpan w:val="2"/>
          </w:tcPr>
          <w:p>
            <w:pPr>
              <w:ind w:left="260"/>
              <w:spacing w:after="0"/>
              <w:rPr>
                <w:sz w:val="20"/>
                <w:szCs w:val="20"/>
                <w:color w:val="auto"/>
              </w:rPr>
            </w:pPr>
            <w:r>
              <w:rPr>
                <w:rFonts w:ascii="Arial" w:cs="Arial" w:eastAsia="Arial" w:hAnsi="Arial"/>
                <w:sz w:val="18"/>
                <w:szCs w:val="18"/>
                <w:color w:val="auto"/>
              </w:rPr>
              <w:t>to Wabtec shareholders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260,521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213,313</w:t>
            </w:r>
          </w:p>
        </w:tc>
        <w:tc>
          <w:tcPr>
            <w:tcW w:w="0" w:type="dxa"/>
            <w:vAlign w:val="bottom"/>
          </w:tcPr>
          <w:p>
            <w:pPr>
              <w:spacing w:after="0"/>
              <w:rPr>
                <w:sz w:val="1"/>
                <w:szCs w:val="1"/>
                <w:color w:val="auto"/>
              </w:rPr>
            </w:pPr>
          </w:p>
        </w:tc>
      </w:tr>
      <w:tr>
        <w:trPr>
          <w:trHeight w:val="256"/>
        </w:trPr>
        <w:tc>
          <w:tcPr>
            <w:tcW w:w="834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and non-vested restricted stock</w:t>
            </w:r>
          </w:p>
        </w:tc>
        <w:tc>
          <w:tcPr>
            <w:tcW w:w="2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(34,682)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(30,693)</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26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225,839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182,620</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225,161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181,524</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26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34,579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30,508</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and diluted earnings per</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gridSpan w:val="2"/>
            <w:vMerge w:val="continue"/>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259,740</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1"/>
              <w:spacing w:after="0"/>
              <w:rPr>
                <w:sz w:val="20"/>
                <w:szCs w:val="20"/>
                <w:color w:val="auto"/>
              </w:rPr>
            </w:pPr>
            <w:r>
              <w:rPr>
                <w:rFonts w:ascii="Arial" w:cs="Arial" w:eastAsia="Arial" w:hAnsi="Arial"/>
                <w:sz w:val="18"/>
                <w:szCs w:val="18"/>
                <w:color w:val="auto"/>
              </w:rPr>
              <w:t>212,032</w:t>
            </w:r>
          </w:p>
        </w:tc>
        <w:tc>
          <w:tcPr>
            <w:tcW w:w="0" w:type="dxa"/>
            <w:vAlign w:val="bottom"/>
          </w:tcPr>
          <w:p>
            <w:pPr>
              <w:spacing w:after="0"/>
              <w:rPr>
                <w:sz w:val="1"/>
                <w:szCs w:val="1"/>
                <w:color w:val="auto"/>
              </w:rPr>
            </w:pPr>
          </w:p>
        </w:tc>
      </w:tr>
      <w:tr>
        <w:trPr>
          <w:trHeight w:val="242"/>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2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40" w:type="dxa"/>
            <w:vAlign w:val="bottom"/>
            <w:gridSpan w:val="2"/>
          </w:tcPr>
          <w:p>
            <w:pPr>
              <w:spacing w:after="0"/>
              <w:rPr>
                <w:sz w:val="20"/>
                <w:szCs w:val="20"/>
                <w:color w:val="auto"/>
              </w:rPr>
            </w:pPr>
            <w:r>
              <w:rPr>
                <w:rFonts w:ascii="Arial" w:cs="Arial" w:eastAsia="Arial" w:hAnsi="Arial"/>
                <w:sz w:val="18"/>
                <w:szCs w:val="18"/>
                <w:color w:val="auto"/>
              </w:rPr>
              <w:t>Denominator for basic earnings per common</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w:t>
            </w:r>
          </w:p>
        </w:tc>
        <w:tc>
          <w:tcPr>
            <w:tcW w:w="26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95,935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95,163</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34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26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common share -</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340" w:type="dxa"/>
            <w:vAlign w:val="bottom"/>
            <w:gridSpan w:val="2"/>
          </w:tcPr>
          <w:p>
            <w:pPr>
              <w:ind w:left="260"/>
              <w:spacing w:after="0"/>
              <w:rPr>
                <w:sz w:val="20"/>
                <w:szCs w:val="20"/>
                <w:color w:val="auto"/>
              </w:rPr>
            </w:pPr>
            <w:r>
              <w:rPr>
                <w:rFonts w:ascii="Arial" w:cs="Arial" w:eastAsia="Arial" w:hAnsi="Arial"/>
                <w:sz w:val="18"/>
                <w:szCs w:val="18"/>
                <w:color w:val="auto"/>
              </w:rPr>
              <w:t>adjusted weighted average shares and assumed conversion</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96,436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95,808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shareholders per common share</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405"/>
        </w:trPr>
        <w:tc>
          <w:tcPr>
            <w:tcW w:w="834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2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95,935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95,163</w:t>
            </w:r>
          </w:p>
        </w:tc>
        <w:tc>
          <w:tcPr>
            <w:tcW w:w="0" w:type="dxa"/>
            <w:vAlign w:val="bottom"/>
          </w:tcPr>
          <w:p>
            <w:pPr>
              <w:spacing w:after="0"/>
              <w:rPr>
                <w:sz w:val="1"/>
                <w:szCs w:val="1"/>
                <w:color w:val="auto"/>
              </w:rPr>
            </w:pPr>
          </w:p>
        </w:tc>
      </w:tr>
      <w:tr>
        <w:trPr>
          <w:trHeight w:val="256"/>
        </w:trPr>
        <w:tc>
          <w:tcPr>
            <w:tcW w:w="834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 and</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260" w:type="dxa"/>
            <w:vAlign w:val="bottom"/>
          </w:tcPr>
          <w:p>
            <w:pPr>
              <w:spacing w:after="0"/>
              <w:rPr>
                <w:sz w:val="20"/>
                <w:szCs w:val="20"/>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96,221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95,740</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60" w:firstLine="500"/>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100330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4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153,063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138,992</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Warranty expense</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45,691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(33,492)</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Foreign currency impact/other</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4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154,553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148,764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60" w:type="dxa"/>
            <w:vAlign w:val="bottom"/>
            <w:vMerge w:val="restart"/>
          </w:tcPr>
          <w:p>
            <w:pPr>
              <w:jc w:val="right"/>
              <w:ind w:right="2690"/>
              <w:spacing w:after="0"/>
              <w:rPr>
                <w:sz w:val="20"/>
                <w:szCs w:val="20"/>
                <w:color w:val="auto"/>
              </w:rPr>
            </w:pPr>
            <w:r>
              <w:rPr>
                <w:rFonts w:ascii="Arial" w:cs="Arial" w:eastAsia="Arial" w:hAnsi="Arial"/>
                <w:sz w:val="18"/>
                <w:szCs w:val="18"/>
                <w:color w:val="auto"/>
              </w:rPr>
              <w:t>29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14. DERIVATIVE FINANCIAL INSTRUMENTS AND HEDGING</w:t>
      </w:r>
    </w:p>
    <w:p>
      <w:pPr>
        <w:spacing w:after="0" w:line="229" w:lineRule="exact"/>
        <w:rPr>
          <w:sz w:val="20"/>
          <w:szCs w:val="20"/>
          <w:color w:val="auto"/>
        </w:rPr>
      </w:pPr>
    </w:p>
    <w:p>
      <w:pPr>
        <w:ind w:right="20" w:firstLine="500"/>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Hedging </w:t>
      </w:r>
      <w:r>
        <w:rPr>
          <w:rFonts w:ascii="Arial" w:cs="Arial" w:eastAsia="Arial" w:hAnsi="Arial"/>
          <w:sz w:val="16"/>
          <w:szCs w:val="16"/>
          <w:color w:val="auto"/>
        </w:rPr>
        <w:t>The Company uses forward contracts to mitigate its foreign currency exchange rate exposure due to forecasted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 and losses is deferred as a component of accumulated other comprehensive income and is recognized in earnings at the time the hedged item affects earnings, in the same line item as the underlying hedged item. The contracts are scheduled to mature within two years. For the three and nine months ended September 30, 2018 and September 30, 2017, the amounts reclassified into income were not material.</w:t>
      </w:r>
    </w:p>
    <w:p>
      <w:pPr>
        <w:spacing w:after="0" w:line="165"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gain related to these contracts was $4.7 million for the three months ended September 30, 2018. These contracts are scheduled to mature within one year.</w:t>
      </w:r>
    </w:p>
    <w:p>
      <w:pPr>
        <w:spacing w:after="0" w:line="154"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September 30, 2018.</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Designated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Non-Designated</w:t>
            </w:r>
          </w:p>
        </w:tc>
        <w:tc>
          <w:tcPr>
            <w:tcW w:w="300" w:type="dxa"/>
            <w:vAlign w:val="bottom"/>
          </w:tcPr>
          <w:p>
            <w:pPr>
              <w:spacing w:after="0"/>
              <w:rPr>
                <w:sz w:val="17"/>
                <w:szCs w:val="17"/>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6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787.0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796.0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1,583.0</w:t>
            </w:r>
          </w:p>
        </w:tc>
      </w:tr>
      <w:tr>
        <w:trPr>
          <w:trHeight w:val="392"/>
        </w:trPr>
        <w:tc>
          <w:tcPr>
            <w:tcW w:w="70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2017.</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Designated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Non-Designated</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6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805.1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1,184.8</w:t>
            </w:r>
          </w:p>
        </w:tc>
      </w:tr>
      <w:tr>
        <w:trPr>
          <w:trHeight w:val="392"/>
        </w:trPr>
        <w:tc>
          <w:tcPr>
            <w:tcW w:w="70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Interest Rate Hedging </w:t>
      </w:r>
      <w:r>
        <w:rPr>
          <w:rFonts w:ascii="Arial" w:cs="Arial" w:eastAsia="Arial" w:hAnsi="Arial"/>
          <w:sz w:val="18"/>
          <w:szCs w:val="18"/>
          <w:color w:val="auto"/>
        </w:rPr>
        <w:t>The Company uses interest rate swaps to manage interest rate exposures. The Company is exposed to interest rate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regard to existing floating rate debt. Primary exposure includes the London Interbank Offered Rates (LIBOR). Derivatives used to hedge risk associated with changes in the fair value of certain variable-rate debt are primarily designated as fair value hedges. Consequently, changes in the fair value of these derivatives, along with changes in the fair value of debt obligations are recognized in current period earnings. Refer to footnote 15 for further information on interest rate swaps.</w:t>
      </w:r>
    </w:p>
    <w:p>
      <w:pPr>
        <w:spacing w:after="0" w:line="202" w:lineRule="exact"/>
        <w:rPr>
          <w:sz w:val="20"/>
          <w:szCs w:val="20"/>
          <w:color w:val="auto"/>
        </w:rPr>
      </w:pPr>
    </w:p>
    <w:p>
      <w:pPr>
        <w:ind w:right="100" w:firstLine="486"/>
        <w:spacing w:after="0" w:line="282" w:lineRule="auto"/>
        <w:rPr>
          <w:sz w:val="20"/>
          <w:szCs w:val="20"/>
          <w:color w:val="auto"/>
        </w:rPr>
      </w:pPr>
      <w:r>
        <w:rPr>
          <w:rFonts w:ascii="Arial" w:cs="Arial" w:eastAsia="Arial" w:hAnsi="Arial"/>
          <w:sz w:val="18"/>
          <w:szCs w:val="18"/>
          <w:color w:val="auto"/>
        </w:rPr>
        <w:t>As of September 30, 2018, the Company has recorded a current liability of $0.1 million and an accumulated other comprehensive loss of $0.1 million, net of tax, related to these agreements</w:t>
      </w:r>
      <w:r>
        <w:rPr>
          <w:rFonts w:ascii="Arial" w:cs="Arial" w:eastAsia="Arial" w:hAnsi="Arial"/>
          <w:sz w:val="19"/>
          <w:szCs w:val="19"/>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 AND FAIR VALUE OF FINANCIAL INSTRUMENTS</w:t>
      </w:r>
    </w:p>
    <w:p>
      <w:pPr>
        <w:spacing w:after="0" w:line="121" w:lineRule="exact"/>
        <w:rPr>
          <w:sz w:val="20"/>
          <w:szCs w:val="20"/>
          <w:color w:val="auto"/>
        </w:rPr>
      </w:pPr>
    </w:p>
    <w:p>
      <w:pPr>
        <w:ind w:right="360" w:firstLine="500"/>
        <w:spacing w:after="0" w:line="277"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ind w:right="580"/>
        <w:spacing w:after="0" w:line="308" w:lineRule="auto"/>
        <w:rPr>
          <w:sz w:val="20"/>
          <w:szCs w:val="20"/>
          <w:color w:val="auto"/>
        </w:rPr>
      </w:pPr>
      <w:r>
        <w:rPr>
          <w:rFonts w:ascii="Arial" w:cs="Arial" w:eastAsia="Arial" w:hAnsi="Arial"/>
          <w:sz w:val="17"/>
          <w:szCs w:val="17"/>
          <w:color w:val="auto"/>
        </w:rPr>
        <w:t>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47"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b w:val="1"/>
          <w:bCs w:val="1"/>
          <w:i w:val="1"/>
          <w:i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193"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September 30, 2018, which are included in other current liabilities on the Condensed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center"/>
              <w:ind w:left="103"/>
              <w:spacing w:after="0"/>
              <w:rPr>
                <w:sz w:val="20"/>
                <w:szCs w:val="20"/>
                <w:color w:val="auto"/>
              </w:rPr>
            </w:pPr>
            <w:r>
              <w:rPr>
                <w:rFonts w:ascii="Arial" w:cs="Arial" w:eastAsia="Arial" w:hAnsi="Arial"/>
                <w:sz w:val="14"/>
                <w:szCs w:val="14"/>
                <w:b w:val="1"/>
                <w:bCs w:val="1"/>
                <w:color w:val="auto"/>
                <w:w w:val="92"/>
              </w:rPr>
              <w:t>Fair Value Measurements at September 30, 2018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128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Arial" w:cs="Arial" w:eastAsia="Arial" w:hAnsi="Arial"/>
                <w:sz w:val="14"/>
                <w:szCs w:val="14"/>
                <w:b w:val="1"/>
                <w:bCs w:val="1"/>
                <w:color w:val="auto"/>
                <w:w w:val="99"/>
              </w:rPr>
              <w:t>Inputs</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9"/>
                <w:szCs w:val="9"/>
                <w:color w:val="auto"/>
              </w:rPr>
            </w:pPr>
          </w:p>
        </w:tc>
        <w:tc>
          <w:tcPr>
            <w:tcW w:w="13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6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280" w:type="dxa"/>
            <w:vAlign w:val="bottom"/>
          </w:tcPr>
          <w:p>
            <w:pPr>
              <w:jc w:val="right"/>
              <w:ind w:right="10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280" w:type="dxa"/>
            <w:vAlign w:val="bottom"/>
          </w:tcPr>
          <w:p>
            <w:pPr>
              <w:jc w:val="right"/>
              <w:ind w:right="10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December 31, 2017, which is included in other current liabilities on the Condensed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jc w:val="center"/>
              <w:ind w:right="62"/>
              <w:spacing w:after="0"/>
              <w:rPr>
                <w:sz w:val="20"/>
                <w:szCs w:val="20"/>
                <w:color w:val="auto"/>
              </w:rPr>
            </w:pPr>
            <w:r>
              <w:rPr>
                <w:rFonts w:ascii="Arial" w:cs="Arial" w:eastAsia="Arial" w:hAnsi="Arial"/>
                <w:sz w:val="14"/>
                <w:szCs w:val="14"/>
                <w:b w:val="1"/>
                <w:bCs w:val="1"/>
                <w:color w:val="auto"/>
                <w:w w:val="92"/>
              </w:rPr>
              <w:t>Fair Value Measurements at December 31, 2017 Using</w:t>
            </w: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340" w:type="dxa"/>
            <w:vAlign w:val="bottom"/>
          </w:tcPr>
          <w:p>
            <w:pPr>
              <w:jc w:val="center"/>
              <w:ind w:right="16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58"/>
        </w:trPr>
        <w:tc>
          <w:tcPr>
            <w:tcW w:w="46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3"/>
                <w:szCs w:val="13"/>
                <w:color w:val="auto"/>
              </w:rPr>
            </w:pPr>
          </w:p>
        </w:tc>
        <w:tc>
          <w:tcPr>
            <w:tcW w:w="138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3"/>
                <w:szCs w:val="13"/>
                <w:color w:val="auto"/>
              </w:rPr>
            </w:pPr>
          </w:p>
        </w:tc>
        <w:tc>
          <w:tcPr>
            <w:tcW w:w="134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color w:val="auto"/>
        </w:rPr>
        <w:t>To reduce the impact of interest rate changes on a portion of its variable-rate debt, the Company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154"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87" w:lineRule="exact"/>
        <w:rPr>
          <w:sz w:val="20"/>
          <w:szCs w:val="20"/>
          <w:color w:val="auto"/>
        </w:rPr>
      </w:pPr>
    </w:p>
    <w:p>
      <w:pPr>
        <w:ind w:right="20" w:firstLine="500"/>
        <w:spacing w:after="0" w:line="271" w:lineRule="auto"/>
        <w:rPr>
          <w:sz w:val="20"/>
          <w:szCs w:val="20"/>
          <w:color w:val="auto"/>
        </w:rPr>
      </w:pPr>
      <w:r>
        <w:rPr>
          <w:rFonts w:ascii="Arial" w:cs="Arial" w:eastAsia="Arial" w:hAnsi="Arial"/>
          <w:sz w:val="17"/>
          <w:szCs w:val="17"/>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September 30, 2018 and December 31, 2017. The Company’s defined benefit pension plan assets consist primarily of equity security funds, debt security funds and temporary cash and cash equivalent investments. Generally, all plan assets are considered Level 2 based on the fair value valuation hierarchy.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1" w:name="page32"/>
    <w:bookmarkEnd w:id="31"/>
    <w:p>
      <w:pPr>
        <w:ind w:left="50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7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1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04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Fair</w:t>
            </w: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3"/>
                <w:szCs w:val="13"/>
                <w:color w:val="auto"/>
              </w:rPr>
            </w:pPr>
          </w:p>
        </w:tc>
        <w:tc>
          <w:tcPr>
            <w:tcW w:w="104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Value</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Interest rate swap agreement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1,163</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4.375% Senior Notes</w:t>
            </w:r>
          </w:p>
        </w:tc>
        <w:tc>
          <w:tcPr>
            <w:tcW w:w="26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248,759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254,408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248,567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262,033</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3.45% Senior Notes</w:t>
            </w:r>
          </w:p>
        </w:tc>
        <w:tc>
          <w:tcPr>
            <w:tcW w:w="26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748,225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687,698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747,655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741,113</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Floating Rate Notes 2021</w:t>
            </w:r>
          </w:p>
        </w:tc>
        <w:tc>
          <w:tcPr>
            <w:tcW w:w="26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496,495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501,065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4.15% Senior Notes</w:t>
            </w:r>
          </w:p>
        </w:tc>
        <w:tc>
          <w:tcPr>
            <w:tcW w:w="26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742,616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745,350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4.7% Senior Notes</w:t>
            </w:r>
          </w:p>
        </w:tc>
        <w:tc>
          <w:tcPr>
            <w:tcW w:w="26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1,239,417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1,232,300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fair value of the Company’s interest rate swap agreements and the 2013 and 2016 Notes were based on dealer quotes and represent the estimated amount the Company would pay to the counterparty to terminate the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2017, in Note 19 therein, filed on February 26, 2018. During the first nine months of 2018, there were no material changes to the information described in the Form 10-K.</w:t>
      </w:r>
    </w:p>
    <w:p>
      <w:pPr>
        <w:spacing w:after="0" w:line="187" w:lineRule="exact"/>
        <w:rPr>
          <w:sz w:val="20"/>
          <w:szCs w:val="20"/>
          <w:color w:val="auto"/>
        </w:rPr>
      </w:pPr>
    </w:p>
    <w:p>
      <w:pPr>
        <w:ind w:right="180" w:firstLine="500"/>
        <w:spacing w:after="0" w:line="279" w:lineRule="auto"/>
        <w:rPr>
          <w:sz w:val="20"/>
          <w:szCs w:val="20"/>
          <w:color w:val="auto"/>
        </w:rPr>
      </w:pPr>
      <w:r>
        <w:rPr>
          <w:rFonts w:ascii="Arial" w:cs="Arial" w:eastAsia="Arial" w:hAnsi="Arial"/>
          <w:sz w:val="17"/>
          <w:szCs w:val="17"/>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2017, in Note 19 therein, filed on February 26, 2018. Except as described below, there have been no material changes to the information described in the Form 10-K.</w:t>
      </w:r>
    </w:p>
    <w:p>
      <w:pPr>
        <w:spacing w:after="0" w:line="171" w:lineRule="exact"/>
        <w:rPr>
          <w:sz w:val="20"/>
          <w:szCs w:val="20"/>
          <w:color w:val="auto"/>
        </w:rPr>
      </w:pPr>
    </w:p>
    <w:p>
      <w:pPr>
        <w:ind w:right="20" w:firstLine="500"/>
        <w:spacing w:after="0" w:line="291"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has infringed seven patents owned by Siemens, all of which relate to Positive Train Control technology. On November 2, 2016, Siemens amended its complaint to add six additional patents they also claim are infringed by the Company’s Positive Train Control Products. The Company has filed Answers, and asserted counterclaims, in response to Siemens’ complaints. Additionally, after filings by the Company, the US Patent &amp; Trademark Office has granted Inter-Parties Review proceedings on ten (10) of the patents asserted by Siemens to contest their validity; the hearings began in April 2018 and will continue through November 2018. As of October 24, 2018, the USPTO has issued a decision in only one of the IPR hearings, finding the Siemens patent claims at issue in that hearing to be invalid. Despite the pendency of the remaining IPR proceedings, a trial is scheduled for January 19, 2019 on Siemens’ infringement claims.</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Wabtec’s counterclaims alleging that Siemens has violated three (3) of Wabtec’s patents have been severed from the initial case and are now a separate case pending in federal district court in Delaware. On August 1, 2018, Wabtec’s motion for a preliminary injunction against Siemens was denied after a hearing. On July 19, 2018, Siemens moved to amend its pleadings in this case to add new counterclaims alleging violations of federal antitrust and state trade practices laws; Siemens’ motion to amend was granted on October 3, 2018. Wabtec will file responsive pleadings and/or motions.</w:t>
      </w:r>
    </w:p>
    <w:p>
      <w:pPr>
        <w:spacing w:after="0" w:line="15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(“Denver Transit”)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Denver Transit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Denver Transit has alleged that the delay is due to Xorail's failure to achieve constant warning times for the crossings in accordance with the approval requirements imposed by the FRA and PUC. Xorail has denied Denver Transit's assertions, asserting that its system satisfied the contractual requirements. No formal claim has been filed against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right="20"/>
        <w:spacing w:after="0" w:line="293" w:lineRule="auto"/>
        <w:rPr>
          <w:sz w:val="20"/>
          <w:szCs w:val="20"/>
          <w:color w:val="auto"/>
        </w:rPr>
      </w:pPr>
      <w:r>
        <w:rPr>
          <w:rFonts w:ascii="Arial" w:cs="Arial" w:eastAsia="Arial" w:hAnsi="Arial"/>
          <w:sz w:val="16"/>
          <w:szCs w:val="16"/>
          <w:color w:val="auto"/>
        </w:rPr>
        <w:t>Xorail by Denver Transit. Xorail has worked with Denver Transit to modify its system to meet the FRA's and PUC's previously undefined approval requirements. On September 28, 2017, the FRA granted a five year approval of the modified wireless crossing system as currently implemented. On March 28, 2018, the PUC granted its approval of the modified wireless crossing system as currently implemented, consistent with the approval previously granted by the FRA. In August 2018, Denver Transit completed the process of certifying the crossings and eliminating the use of flaggers. On September 21, 2018, DTC filed a complaint against RTD in Colorado state court for breach of contract related to non-payments and the costs for the flaggers, asserting a change-in-law arising from the FRA/PUC’s new certification requirements. The complaint generally supports Xorail’s position and does not name or implicate Xorail.</w:t>
      </w:r>
    </w:p>
    <w:p>
      <w:pPr>
        <w:spacing w:after="0" w:line="178" w:lineRule="exact"/>
        <w:rPr>
          <w:sz w:val="20"/>
          <w:szCs w:val="20"/>
          <w:color w:val="auto"/>
        </w:rPr>
      </w:pPr>
    </w:p>
    <w:p>
      <w:pPr>
        <w:ind w:right="20" w:firstLine="648"/>
        <w:spacing w:after="0" w:line="306" w:lineRule="auto"/>
        <w:rPr>
          <w:sz w:val="20"/>
          <w:szCs w:val="20"/>
          <w:color w:val="auto"/>
        </w:rPr>
      </w:pPr>
      <w:r>
        <w:rPr>
          <w:rFonts w:ascii="Arial" w:cs="Arial" w:eastAsia="Arial" w:hAnsi="Arial"/>
          <w:sz w:val="16"/>
          <w:szCs w:val="16"/>
          <w:color w:val="auto"/>
        </w:rPr>
        <w:t>On April 3, 2018, the United States Department of Justice entered into a proposed consent decree resolving allegations that the Company and Knorr-Bremse AG had maintained unlawful agreements not to compete for each other’s employees. The allegations also related to Faiveley Transport before it was acquired by the Company in November 2016. The proposed consent decree is pending review and approval by the U.S. District Court for the District of Columbia. No monetary fines or penalties have been imposed on the Company. The Company elected to settle this matter with the Department of Justice to avoid the cost and distraction of litigation. As of July 16, 2018, putative class action lawsuits have been filed in several different federal district courts naming the Company and Knorr as defendants in connection with the allegations contained in the proposed consent decree. The lawsuits seek unspecified damages on behalf of employees of the Company (including Faiveley Transport) and Knorr allegedly caused by the defendants’ actions. A federal Multi-District Litigation (MDL) Panel decided that cases will be consolidated and heard in the Western District of Pennsylvania. As of October 15, 2018, a total of at least 30 plaintiffs have filed class action claims relating to the alleged conspiracy. The litigation is in its very early stages and the Company does not believe that it has diminished competition for talent in the marketplace and intends to contest these claims vigorously.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2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0" w:lineRule="exact"/>
        <w:rPr>
          <w:sz w:val="20"/>
          <w:szCs w:val="20"/>
          <w:color w:val="auto"/>
        </w:rPr>
      </w:pPr>
    </w:p>
    <w:p>
      <w:pPr>
        <w:ind w:right="60" w:firstLine="500"/>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180"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184"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ind w:left="620"/>
        <w:spacing w:after="0"/>
        <w:rPr>
          <w:sz w:val="20"/>
          <w:szCs w:val="20"/>
          <w:color w:val="auto"/>
        </w:rPr>
      </w:pPr>
      <w:r>
        <w:rPr>
          <w:rFonts w:ascii="Arial" w:cs="Arial" w:eastAsia="Arial" w:hAnsi="Arial"/>
          <w:sz w:val="18"/>
          <w:szCs w:val="18"/>
          <w:color w:val="auto"/>
        </w:rPr>
        <w:t>Segment financial information for the three months ended September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Freight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Transit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391,577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686,237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1,077,814</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13,510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4,738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Total sales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405,087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690,975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1,077,814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79,420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60,735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125,179</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79,420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60,735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102,667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20" w:type="dxa"/>
            <w:vAlign w:val="bottom"/>
            <w:gridSpan w:val="12"/>
          </w:tcPr>
          <w:p>
            <w:pPr>
              <w:ind w:left="620"/>
              <w:spacing w:after="0"/>
              <w:rPr>
                <w:sz w:val="20"/>
                <w:szCs w:val="20"/>
                <w:color w:val="auto"/>
              </w:rPr>
            </w:pPr>
            <w:r>
              <w:rPr>
                <w:rFonts w:ascii="Arial" w:cs="Arial" w:eastAsia="Arial" w:hAnsi="Arial"/>
                <w:sz w:val="18"/>
                <w:szCs w:val="18"/>
                <w:color w:val="auto"/>
              </w:rPr>
              <w:t>Segment financial information for the three months ended September 30, 2017 is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Freight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Transit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340,185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617,746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957,931</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8,376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4,494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Total sales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348,561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622,240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957,931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61,424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47,358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101,666</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(20,481)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(20,481)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61,424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47,358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81,185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40" w:type="dxa"/>
            <w:vAlign w:val="bottom"/>
            <w:gridSpan w:val="9"/>
          </w:tcPr>
          <w:p>
            <w:pPr>
              <w:ind w:left="620"/>
              <w:spacing w:after="0"/>
              <w:rPr>
                <w:sz w:val="20"/>
                <w:szCs w:val="20"/>
                <w:color w:val="auto"/>
              </w:rPr>
            </w:pPr>
            <w:r>
              <w:rPr>
                <w:rFonts w:ascii="Arial" w:cs="Arial" w:eastAsia="Arial" w:hAnsi="Arial"/>
                <w:sz w:val="18"/>
                <w:szCs w:val="18"/>
                <w:color w:val="auto"/>
                <w:w w:val="90"/>
              </w:rPr>
              <w:t>Segment financial information for the nine months ended September 30, 2018 is as follows:</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Freight Segment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Transit Segment</w:t>
            </w:r>
          </w:p>
        </w:tc>
        <w:tc>
          <w:tcPr>
            <w:tcW w:w="20" w:type="dxa"/>
            <w:vAlign w:val="bottom"/>
          </w:tcPr>
          <w:p>
            <w:pPr>
              <w:spacing w:after="0"/>
              <w:rPr>
                <w:sz w:val="24"/>
                <w:szCs w:val="24"/>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Corporate Activities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and Elimination</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1,183,389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2,062,282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3,245,671</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44,211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11,611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500"/>
              <w:spacing w:after="0"/>
              <w:rPr>
                <w:sz w:val="20"/>
                <w:szCs w:val="20"/>
                <w:color w:val="auto"/>
              </w:rPr>
            </w:pPr>
            <w:r>
              <w:rPr>
                <w:rFonts w:ascii="Arial" w:cs="Arial" w:eastAsia="Arial" w:hAnsi="Arial"/>
                <w:sz w:val="18"/>
                <w:szCs w:val="18"/>
                <w:color w:val="auto"/>
              </w:rPr>
              <w:t>Total sales</w:t>
            </w:r>
          </w:p>
        </w:tc>
        <w:tc>
          <w:tcPr>
            <w:tcW w:w="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1,227,600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2,073,893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(55,822)</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3,245,671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233,390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186,794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(40,203)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379,981</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(69,959)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(69,959)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500"/>
              <w:spacing w:after="0"/>
              <w:rPr>
                <w:sz w:val="20"/>
                <w:szCs w:val="20"/>
                <w:color w:val="auto"/>
              </w:rPr>
            </w:pPr>
            <w:r>
              <w:rPr>
                <w:rFonts w:ascii="Arial" w:cs="Arial" w:eastAsia="Arial" w:hAnsi="Arial"/>
                <w:sz w:val="18"/>
                <w:szCs w:val="18"/>
                <w:color w:val="auto"/>
              </w:rPr>
              <w:t>Income (loss) from operations before income taxes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233,390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186,794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(110,162)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310,022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Segment financial information for the nine months ended September 30,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Freight Segment</w:t>
            </w:r>
          </w:p>
        </w:tc>
        <w:tc>
          <w:tcPr>
            <w:tcW w:w="14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Transit Segment</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Corporate Activities</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and Elimination</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1,032,959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1,773,259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2,806,218</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140" w:type="dxa"/>
            <w:vAlign w:val="bottom"/>
          </w:tcPr>
          <w:p>
            <w:pPr>
              <w:spacing w:after="0"/>
              <w:rPr>
                <w:sz w:val="23"/>
                <w:szCs w:val="23"/>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27,602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Total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1,060,561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1,789,512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2,806,218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195,811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155,383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(21,659)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329,535</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(52,156)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Income (loss) from operations before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195,811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155,383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277,379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60"/>
          </w:cols>
          <w:pgMar w:left="280" w:top="584" w:right="259" w:bottom="1440" w:gutter="0" w:footer="0" w:header="0"/>
          <w:type w:val="continuous"/>
        </w:sectPr>
      </w:pPr>
    </w:p>
    <w:bookmarkStart w:id="34" w:name="page35"/>
    <w:bookmarkEnd w:id="34"/>
    <w:p>
      <w:pPr>
        <w:ind w:left="620"/>
        <w:spacing w:after="0"/>
        <w:rPr>
          <w:sz w:val="20"/>
          <w:szCs w:val="20"/>
          <w:color w:val="auto"/>
        </w:rPr>
      </w:pPr>
      <w:r>
        <w:rPr>
          <w:rFonts w:ascii="Arial" w:cs="Arial" w:eastAsia="Arial" w:hAnsi="Arial"/>
          <w:sz w:val="18"/>
          <w:szCs w:val="18"/>
          <w:color w:val="auto"/>
        </w:rPr>
        <w:t>Sales by product line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Specialty Products &amp; Electronics</w:t>
            </w:r>
          </w:p>
        </w:tc>
        <w:tc>
          <w:tcPr>
            <w:tcW w:w="4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408,806</w:t>
            </w:r>
          </w:p>
        </w:tc>
        <w:tc>
          <w:tcPr>
            <w:tcW w:w="60" w:type="dxa"/>
            <w:vAlign w:val="bottom"/>
          </w:tcPr>
          <w:p>
            <w:pPr>
              <w:spacing w:after="0"/>
              <w:rPr>
                <w:sz w:val="20"/>
                <w:szCs w:val="20"/>
                <w:color w:val="auto"/>
              </w:rPr>
            </w:pPr>
          </w:p>
        </w:tc>
        <w:tc>
          <w:tcPr>
            <w:tcW w:w="5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335,143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Transit Products</w:t>
            </w:r>
          </w:p>
        </w:tc>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258,419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276,913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Brake Products</w:t>
            </w:r>
          </w:p>
        </w:tc>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222,152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177,165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Remanufacturing, Overhaul &amp; Build</w:t>
            </w:r>
          </w:p>
        </w:tc>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134,726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132,018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w:t>
            </w:r>
          </w:p>
        </w:tc>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53,711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36,692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Total sales</w:t>
            </w:r>
          </w:p>
        </w:tc>
        <w:tc>
          <w:tcPr>
            <w:tcW w:w="4380" w:type="dxa"/>
            <w:vAlign w:val="bottom"/>
            <w:gridSpan w:val="2"/>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1,077,814</w:t>
            </w:r>
          </w:p>
        </w:tc>
        <w:tc>
          <w:tcPr>
            <w:tcW w:w="6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957,931</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7"/>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40" w:type="dxa"/>
            <w:vAlign w:val="bottom"/>
            <w:gridSpan w:val="4"/>
          </w:tcPr>
          <w:p>
            <w:pPr>
              <w:spacing w:after="0"/>
              <w:rPr>
                <w:sz w:val="20"/>
                <w:szCs w:val="20"/>
                <w:color w:val="auto"/>
              </w:rPr>
            </w:pPr>
            <w:r>
              <w:rPr>
                <w:rFonts w:ascii="Arial" w:cs="Arial" w:eastAsia="Arial" w:hAnsi="Arial"/>
                <w:sz w:val="18"/>
                <w:szCs w:val="18"/>
                <w:color w:val="auto"/>
              </w:rPr>
              <w:t>Specialty Products &amp; Electronics</w:t>
            </w:r>
          </w:p>
        </w:tc>
        <w:tc>
          <w:tcPr>
            <w:tcW w:w="46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1,229,753</w:t>
            </w:r>
          </w:p>
        </w:tc>
        <w:tc>
          <w:tcPr>
            <w:tcW w:w="60" w:type="dxa"/>
            <w:vAlign w:val="bottom"/>
          </w:tcPr>
          <w:p>
            <w:pPr>
              <w:spacing w:after="0"/>
              <w:rPr>
                <w:sz w:val="20"/>
                <w:szCs w:val="20"/>
                <w:color w:val="auto"/>
              </w:rPr>
            </w:pPr>
          </w:p>
        </w:tc>
        <w:tc>
          <w:tcPr>
            <w:tcW w:w="5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975,006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40" w:type="dxa"/>
            <w:vAlign w:val="bottom"/>
            <w:gridSpan w:val="4"/>
          </w:tcPr>
          <w:p>
            <w:pPr>
              <w:spacing w:after="0"/>
              <w:rPr>
                <w:sz w:val="20"/>
                <w:szCs w:val="20"/>
                <w:color w:val="auto"/>
              </w:rPr>
            </w:pPr>
            <w:r>
              <w:rPr>
                <w:rFonts w:ascii="Arial" w:cs="Arial" w:eastAsia="Arial" w:hAnsi="Arial"/>
                <w:sz w:val="18"/>
                <w:szCs w:val="18"/>
                <w:color w:val="auto"/>
              </w:rPr>
              <w:t>Transit Products</w:t>
            </w:r>
          </w:p>
        </w:tc>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814,823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789,096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40" w:type="dxa"/>
            <w:vAlign w:val="bottom"/>
            <w:gridSpan w:val="4"/>
          </w:tcPr>
          <w:p>
            <w:pPr>
              <w:spacing w:after="0"/>
              <w:rPr>
                <w:sz w:val="20"/>
                <w:szCs w:val="20"/>
                <w:color w:val="auto"/>
              </w:rPr>
            </w:pPr>
            <w:r>
              <w:rPr>
                <w:rFonts w:ascii="Arial" w:cs="Arial" w:eastAsia="Arial" w:hAnsi="Arial"/>
                <w:sz w:val="18"/>
                <w:szCs w:val="18"/>
                <w:color w:val="auto"/>
              </w:rPr>
              <w:t>Brake Products</w:t>
            </w:r>
          </w:p>
        </w:tc>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655,350</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550,181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40" w:type="dxa"/>
            <w:vAlign w:val="bottom"/>
            <w:gridSpan w:val="4"/>
          </w:tcPr>
          <w:p>
            <w:pPr>
              <w:spacing w:after="0"/>
              <w:rPr>
                <w:sz w:val="20"/>
                <w:szCs w:val="20"/>
                <w:color w:val="auto"/>
              </w:rPr>
            </w:pPr>
            <w:r>
              <w:rPr>
                <w:rFonts w:ascii="Arial" w:cs="Arial" w:eastAsia="Arial" w:hAnsi="Arial"/>
                <w:sz w:val="18"/>
                <w:szCs w:val="18"/>
                <w:color w:val="auto"/>
              </w:rPr>
              <w:t>Remanufacturing, Overhaul &amp; Build</w:t>
            </w:r>
          </w:p>
        </w:tc>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397,626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387,634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40" w:type="dxa"/>
            <w:vAlign w:val="bottom"/>
            <w:gridSpan w:val="4"/>
          </w:tcPr>
          <w:p>
            <w:pPr>
              <w:spacing w:after="0"/>
              <w:rPr>
                <w:sz w:val="20"/>
                <w:szCs w:val="20"/>
                <w:color w:val="auto"/>
              </w:rPr>
            </w:pPr>
            <w:r>
              <w:rPr>
                <w:rFonts w:ascii="Arial" w:cs="Arial" w:eastAsia="Arial" w:hAnsi="Arial"/>
                <w:sz w:val="18"/>
                <w:szCs w:val="18"/>
                <w:color w:val="auto"/>
              </w:rPr>
              <w:t>Other</w:t>
            </w:r>
          </w:p>
        </w:tc>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148,119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104,301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Total sales</w:t>
            </w:r>
          </w:p>
        </w:tc>
        <w:tc>
          <w:tcPr>
            <w:tcW w:w="46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3,245,671</w:t>
            </w:r>
          </w:p>
        </w:tc>
        <w:tc>
          <w:tcPr>
            <w:tcW w:w="60" w:type="dxa"/>
            <w:vAlign w:val="bottom"/>
          </w:tcPr>
          <w:p>
            <w:pPr>
              <w:spacing w:after="0"/>
              <w:rPr>
                <w:sz w:val="22"/>
                <w:szCs w:val="22"/>
                <w:color w:val="auto"/>
              </w:rPr>
            </w:pPr>
          </w:p>
        </w:tc>
        <w:tc>
          <w:tcPr>
            <w:tcW w:w="5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2,806,218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320" w:type="dxa"/>
            <w:vAlign w:val="bottom"/>
            <w:vMerge w:val="restart"/>
          </w:tcPr>
          <w:p>
            <w:pPr>
              <w:jc w:val="right"/>
              <w:ind w:right="2610"/>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368"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18. GUARANTOR SUBSIDIARIES FINANCIAL INFORMATION</w:t>
      </w:r>
    </w:p>
    <w:p>
      <w:pPr>
        <w:spacing w:after="0" w:line="121"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The obligations of the Company under the 2018 Refinancing Credit Agreement have been guaranteed by certain of the Company’s subsidiaries. Each guarantor is 100% owned by the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September 30, 2018:</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1,760,805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374,503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2,135,381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117,117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70,128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1,053,276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1,240,521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147,208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63,186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655,811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866,205</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(14,278)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124,783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111,441</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2,010,852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134,323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2,208,373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4,353,548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49,355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24,847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483,221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557,423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283,241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2,104,038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2,412,554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6,686,158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2,745,446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(9,431,604)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29,585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79,169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1,048,670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1,157,424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20,595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(33,748)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85,430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72,277</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8,821,820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3,233,278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5,929,732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(9,431,604)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8,553,226</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198,264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89,160</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1,242,869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1,530,293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1,909,286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(1,402,141)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(507,145)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3,804,601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13,460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3,818,061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14,499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11,601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268,420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294,520</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5,926,650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(1,301,380)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1,017,604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5,642,874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2,895,170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4,534,658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4,896,946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(9,431,604)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2,895,170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15,182</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2,895,170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4,534,658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4,912,128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(9,431,604)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2,910,352</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8,821,820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3,233,278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5,929,732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(9,431,604)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8,553,226</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ind w:left="620"/>
        <w:spacing w:after="0"/>
        <w:rPr>
          <w:sz w:val="20"/>
          <w:szCs w:val="20"/>
          <w:color w:val="auto"/>
        </w:rPr>
      </w:pPr>
      <w:r>
        <w:rPr>
          <w:rFonts w:ascii="Arial" w:cs="Arial" w:eastAsia="Arial" w:hAnsi="Arial"/>
          <w:sz w:val="18"/>
          <w:szCs w:val="18"/>
          <w:color w:val="auto"/>
        </w:rPr>
        <w:t>Balance Sheet for December 31,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231,843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233,401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77,046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59,166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1,030,575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1,166,787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120,937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46,626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575,071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742,634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120,586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122,291</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200,058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106,980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1,958,075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2,265,113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26,492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494,948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573,972</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283,242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2,151,587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2,460,103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6,517,205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2,440,665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30,575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81,037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1,092,820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1,204,432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17,414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(23,892)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82,838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76,360</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6,843,058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2,914,524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5,780,268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196,827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77,284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1,299,219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1,573,330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2,121,546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(1,307,410)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(814,136)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1,661,771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161,518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1,823,303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20,594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280,175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354,815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4,034,190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(1,209,518)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926,776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3,751,448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2,808,868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4,124,042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4,833,828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2,808,868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19,664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19,664</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2,808,868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4,124,042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4,853,492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2,828,532</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6,843,058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2,914,524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5,780,268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Statement for the Three Months Ended September 30,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169,445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118,516</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850,250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(60,397)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1,077,814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(122,946)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(75,021)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(612,073)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34,238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(775,802)</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46,499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43,495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238,177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302,012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(37,090)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(124,997)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(176,833)</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 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9,409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28,749</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113,180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(26,159)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125,179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(23,012)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(23,713)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97,128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91,758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(188,886)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82,046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123,720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111,946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(215,045)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102,667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5,693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(16,598)</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87,739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123,718</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89,657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(215,045)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86,069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1,670</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87,739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123,718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91,327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(215,045)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87,739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87,867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123,718</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41,667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(215,045)</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38,207</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80" w:top="476" w:right="239" w:bottom="1440" w:gutter="0" w:footer="0" w:header="0"/>
        </w:sectPr>
      </w:pPr>
    </w:p>
    <w:bookmarkStart w:id="37" w:name="page38"/>
    <w:bookmarkEnd w:id="37"/>
    <w:p>
      <w:pPr>
        <w:ind w:left="620"/>
        <w:spacing w:after="0"/>
        <w:rPr>
          <w:sz w:val="20"/>
          <w:szCs w:val="20"/>
          <w:color w:val="auto"/>
        </w:rPr>
      </w:pPr>
      <w:r>
        <w:rPr>
          <w:rFonts w:ascii="Arial" w:cs="Arial" w:eastAsia="Arial" w:hAnsi="Arial"/>
          <w:sz w:val="18"/>
          <w:szCs w:val="18"/>
          <w:color w:val="auto"/>
        </w:rPr>
        <w:t>Income Statement for the Three Months Ended September 30,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134,905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89,881</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761,566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(28,421)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957,931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(111,774)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(53,692)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(554,819)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15,557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(704,728)</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36,189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206,747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253,203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3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(22,886)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(115,937)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(151,537)</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23,475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90,810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(12,864)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101,666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3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(20,295)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(20,038)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3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80,874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64,820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(145,694)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62,344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91,106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86,293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(158,558)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81,185</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(12,746)</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67,400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91,106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68,491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(158,558)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68,439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3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(1,040)</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67,400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91,106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67,451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(158,558)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67,399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66,815</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91,106</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160,656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(158,558)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160,019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5"/>
        </w:trPr>
        <w:tc>
          <w:tcPr>
            <w:tcW w:w="5540" w:type="dxa"/>
            <w:vAlign w:val="bottom"/>
            <w:gridSpan w:val="3"/>
          </w:tcPr>
          <w:p>
            <w:pPr>
              <w:ind w:left="620"/>
              <w:spacing w:after="0"/>
              <w:rPr>
                <w:sz w:val="20"/>
                <w:szCs w:val="20"/>
                <w:color w:val="auto"/>
              </w:rPr>
            </w:pPr>
            <w:r>
              <w:rPr>
                <w:rFonts w:ascii="Arial" w:cs="Arial" w:eastAsia="Arial" w:hAnsi="Arial"/>
                <w:sz w:val="18"/>
                <w:szCs w:val="18"/>
                <w:color w:val="auto"/>
                <w:w w:val="91"/>
              </w:rPr>
              <w:t>Income Statement for the Nine Months Ended September 30, 2018:</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3"/>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499,172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374,599</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2,550,843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(178,943)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3,245,671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(364,523)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(236,699)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(1,812,660)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105,071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(2,308,811)</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134,649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137,900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738,183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(73,872)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936,860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3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(122,497)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(40,687)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(393,695)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(556,879)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12,152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97,213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344,488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(73,872)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379,981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3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(75,140)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9,291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(75,917)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7,733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5,958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3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330,978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304,227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(635,205)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275,723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410,053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333,323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(709,077)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310,022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(15,202)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(38,021)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(53,225)</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260,521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410,051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295,302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(709,077)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256,797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3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3,724</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260,521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410,051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299,026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(709,077)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260,521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261,156</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410,051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137,650</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(709,077)</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99,780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80" w:top="476" w:right="239" w:bottom="1440" w:gutter="0" w:footer="0" w:header="0"/>
        </w:sectPr>
      </w:pPr>
    </w:p>
    <w:bookmarkStart w:id="38" w:name="page39"/>
    <w:bookmarkEnd w:id="38"/>
    <w:p>
      <w:pPr>
        <w:ind w:left="620"/>
        <w:spacing w:after="0"/>
        <w:rPr>
          <w:sz w:val="20"/>
          <w:szCs w:val="20"/>
          <w:color w:val="auto"/>
        </w:rPr>
      </w:pPr>
      <w:r>
        <w:rPr>
          <w:rFonts w:ascii="Arial" w:cs="Arial" w:eastAsia="Arial" w:hAnsi="Arial"/>
          <w:sz w:val="18"/>
          <w:szCs w:val="18"/>
          <w:color w:val="auto"/>
        </w:rPr>
        <w:t>Income Statement for the Nine Months Ended September 30,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417,156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288,312</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2,186,541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(85,791)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2,806,218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(311,037)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(177,593)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(1,580,101)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59,386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(2,009,345)</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106,119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110,719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606,440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796,873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(80,478)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(37,783)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(349,077)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(467,338)</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25,641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72,936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257,363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(26,405)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329,535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(55,783)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8,041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(57,460)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5,304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246,103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182,066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(428,169)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222,824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262,814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246,315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(454,574)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277,379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(64,776)</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213,313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262,814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191,050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(454,574)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212,603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710</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213,313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262,814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191,760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(454,574)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213,313</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214,483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262,814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478,265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(454,574)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500,988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5"/>
        </w:trPr>
        <w:tc>
          <w:tcPr>
            <w:tcW w:w="7780" w:type="dxa"/>
            <w:vAlign w:val="bottom"/>
            <w:gridSpan w:val="8"/>
          </w:tcPr>
          <w:p>
            <w:pPr>
              <w:ind w:left="620"/>
              <w:spacing w:after="0"/>
              <w:rPr>
                <w:sz w:val="20"/>
                <w:szCs w:val="20"/>
                <w:color w:val="auto"/>
              </w:rPr>
            </w:pPr>
            <w:r>
              <w:rPr>
                <w:rFonts w:ascii="Arial" w:cs="Arial" w:eastAsia="Arial" w:hAnsi="Arial"/>
                <w:sz w:val="18"/>
                <w:szCs w:val="18"/>
                <w:color w:val="auto"/>
              </w:rPr>
              <w:t>Condensed Statement of Cash Flows for the Nine Months Ended September 30, 2018: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3"/>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(111,120)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95,503</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127,527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(73,872)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38,038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(12,498)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(90,359)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(104,160)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1,883,490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(94,752)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132,700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73,872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1,995,310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(27,208)</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1,759,872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142,660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1,901,980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231,843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233,401</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1,760,805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374,503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2,135,381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Condensed Statement of Cash Flows for the Nine Months Ended September 30,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(38,959)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101,597</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(9,722)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(26,405)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26,511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(12,591)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(890,923)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(905,872)</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52,077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(99,615)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26,405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(70,049)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34,258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34,258</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(915,303)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(915,152)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1,139,484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1,143,232</w:t>
            </w:r>
          </w:p>
        </w:tc>
      </w:tr>
      <w:tr>
        <w:trPr>
          <w:trHeight w:val="250"/>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224,181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228,080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80" w:top="4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19.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are as follows:</w:t>
      </w:r>
    </w:p>
    <w:p>
      <w:pPr>
        <w:spacing w:after="0" w:line="15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spacing w:after="0"/>
              <w:rPr>
                <w:sz w:val="20"/>
                <w:szCs w:val="20"/>
                <w:color w:val="auto"/>
              </w:rPr>
            </w:pPr>
            <w:r>
              <w:rPr>
                <w:rFonts w:ascii="Arial" w:cs="Arial" w:eastAsia="Arial" w:hAnsi="Arial"/>
                <w:sz w:val="18"/>
                <w:szCs w:val="18"/>
                <w:color w:val="auto"/>
              </w:rPr>
              <w:t>Foreign currency (loss)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70"/>
        </w:trPr>
        <w:tc>
          <w:tcPr>
            <w:tcW w:w="436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0"/>
        </w:trPr>
        <w:tc>
          <w:tcPr>
            <w:tcW w:w="4360" w:type="dxa"/>
            <w:vAlign w:val="bottom"/>
            <w:gridSpan w:val="2"/>
          </w:tcPr>
          <w:p>
            <w:pPr>
              <w:spacing w:after="0"/>
              <w:rPr>
                <w:sz w:val="20"/>
                <w:szCs w:val="20"/>
                <w:color w:val="auto"/>
              </w:rPr>
            </w:pPr>
            <w:r>
              <w:rPr>
                <w:rFonts w:ascii="Arial" w:cs="Arial" w:eastAsia="Arial" w:hAnsi="Arial"/>
                <w:sz w:val="18"/>
                <w:szCs w:val="18"/>
                <w:color w:val="auto"/>
              </w:rPr>
              <w:t>Expected return on pension assets/amortization</w:t>
            </w: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70"/>
        </w:trPr>
        <w:tc>
          <w:tcPr>
            <w:tcW w:w="4360" w:type="dxa"/>
            <w:vAlign w:val="bottom"/>
            <w:gridSpan w:val="2"/>
          </w:tcPr>
          <w:p>
            <w:pPr>
              <w:spacing w:after="0"/>
              <w:rPr>
                <w:sz w:val="20"/>
                <w:szCs w:val="20"/>
                <w:color w:val="auto"/>
              </w:rPr>
            </w:pPr>
            <w:r>
              <w:rPr>
                <w:rFonts w:ascii="Arial" w:cs="Arial" w:eastAsia="Arial" w:hAnsi="Arial"/>
                <w:sz w:val="18"/>
                <w:szCs w:val="18"/>
                <w:color w:val="auto"/>
              </w:rPr>
              <w:t>Other miscellaneous income</w:t>
            </w: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vMerge w:val="restart"/>
          </w:tcPr>
          <w:p>
            <w:pPr>
              <w:jc w:val="right"/>
              <w:ind w:right="170"/>
              <w:spacing w:after="0"/>
              <w:rPr>
                <w:sz w:val="20"/>
                <w:szCs w:val="20"/>
                <w:color w:val="auto"/>
              </w:rPr>
            </w:pPr>
            <w:r>
              <w:rPr>
                <w:rFonts w:ascii="Arial" w:cs="Arial" w:eastAsia="Arial" w:hAnsi="Arial"/>
                <w:sz w:val="18"/>
                <w:szCs w:val="18"/>
                <w:color w:val="auto"/>
              </w:rPr>
              <w:t>40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364" w:right="45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2017, filed with the Securities and Exchange Commission on February 26,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color w:val="auto"/>
        </w:rPr>
        <w:t>Wabtec is one of the world’s largest providers of value-added, technology-based equipment, systems and services for the global passenger transit and freight rail industries. Our highly engineered products enhance safety, improve productivity and reduce maintenance costs for customers, can be found on most locomotives, freight cars, passenger transit cars and buses around the world, and many of our core products and services are essential in the safe and efficient operation of freight rail and passenger transit vehicles. Wabtec is a global company with operations in 31 countries and our products can be found in more than 100 countries throughout the world. In the nine months ended September 30, 2018, approximately 66% of the Company’s revenues came from customers outside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8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8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100" w:lineRule="exact"/>
        <w:rPr>
          <w:sz w:val="20"/>
          <w:szCs w:val="20"/>
          <w:color w:val="auto"/>
        </w:rPr>
      </w:pPr>
    </w:p>
    <w:p>
      <w:pPr>
        <w:ind w:firstLine="500"/>
        <w:spacing w:after="0" w:line="286" w:lineRule="auto"/>
        <w:rPr>
          <w:sz w:val="20"/>
          <w:szCs w:val="20"/>
          <w:color w:val="auto"/>
        </w:rPr>
      </w:pPr>
      <w:r>
        <w:rPr>
          <w:rFonts w:ascii="Arial" w:cs="Arial" w:eastAsia="Arial" w:hAnsi="Arial"/>
          <w:sz w:val="16"/>
          <w:szCs w:val="16"/>
          <w:color w:val="auto"/>
        </w:rPr>
        <w:t>According to the 2016 edition of a market study by UNIFE, the Association of the European Rail Industry, the accessible global market for railway products and services was more than $100 billion and was expected to grow at about 3.2% annually through 2021. The three largest geographic markets, which represented about 80% of the total accessible market, were Europe, North America and Asia Pacific. UNIFE projected above-average growth in Asia Pacific and Europe due to overall economic growth and trends such as urbanization and increasing mobility, deregulation, investments in new technologies, energy and environmental issues, and increasing government support. The largest product segments of the market were rolling stock, services and infrastructure, which represented almost 90% of the accessible market. UNIFE projected spending on rolling stock to grow at an above-average rate due to increased investment in passenger transit vehicles. UNIFE estimated that the global installed base of locomotives was about 114,000 units, with about 32% in Asia Pacific, about 25% in North America and about 18% in Russia-CIS (Commonwealth of Independent States). Wabtec estimates that about 2,500 new locomotives were delivered worldwide in 2017, and it expects deliveries of about 2,400 in 2018. UNIFE estimated the global installed base of freight cars was about 5.5 million units, with about 37% in North America, about 26% in Russia-CIS and about 20% in Asia Pacific. Wabtec estimates that about 165,000 new freight cars were delivered worldwide in 2017, and it expects deliveries of about 175,000 in 2018. UNIFE estimated the global installed base of passenger transit vehicles to be about 569,000 units, with about 43% in Asia Pacific, about 32% in Europe and about 14% in Russia-CIS. Wabtec estimates that about 28,000 new passenger transit vehicles were ordered worldwide in 2017, and it expects orders of about 34,000 in 2018.</w:t>
      </w:r>
    </w:p>
    <w:p>
      <w:pPr>
        <w:spacing w:after="0" w:line="67"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Western European rail market to grow at about 3.6% annually,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ind w:right="120"/>
        <w:spacing w:after="0" w:line="257" w:lineRule="auto"/>
        <w:rPr>
          <w:sz w:val="20"/>
          <w:szCs w:val="20"/>
          <w:color w:val="auto"/>
        </w:rPr>
      </w:pPr>
      <w:r>
        <w:rPr>
          <w:rFonts w:ascii="Arial" w:cs="Arial" w:eastAsia="Arial" w:hAnsi="Arial"/>
          <w:sz w:val="18"/>
          <w:szCs w:val="18"/>
          <w:color w:val="auto"/>
        </w:rPr>
        <w:t>led by investments in new rolling stock in France and Germany. Significant investments were also expected in Turkey, the largest market in Eastern Europe.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80" w:lineRule="exact"/>
        <w:rPr>
          <w:sz w:val="20"/>
          <w:szCs w:val="20"/>
          <w:color w:val="auto"/>
        </w:rPr>
      </w:pPr>
    </w:p>
    <w:p>
      <w:pPr>
        <w:ind w:firstLine="500"/>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40" w:firstLine="500"/>
        <w:spacing w:after="0" w:line="279"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a U.S. manufacturer. UNIFE expected the increased spending in India to offset decreased spending on very-high-speed rolling stock in China.</w:t>
      </w:r>
    </w:p>
    <w:p>
      <w:pPr>
        <w:spacing w:after="0" w:line="63" w:lineRule="exact"/>
        <w:rPr>
          <w:sz w:val="20"/>
          <w:szCs w:val="20"/>
          <w:color w:val="auto"/>
        </w:rPr>
      </w:pPr>
    </w:p>
    <w:p>
      <w:pPr>
        <w:ind w:right="80" w:firstLine="500"/>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1.4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2018 and beyond, general global economic and market conditions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 WITH GE TRANSPORTATION</w:t>
      </w:r>
    </w:p>
    <w:p>
      <w:pPr>
        <w:spacing w:after="0" w:line="12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May 20, 2018, the Company entered into an Agreement and Plan of Merger (the “Merger Agreement”) with General Electric Company (“GE”), Transportation Systems Holdings Inc. (“SpinCo”), which is a newly formed wholly owned subsidiary of GE, and Wabtec US Rail Holdings, Inc. (“Merger Sub”), which is a newly formed wholly owned subsidiary of the Company. In addition, on May 20, 2018, GE, SpinCo, the Company and Wabtec US Rail Holdings, Inc. (“Direct Sale Purchaser”), entered into the Separation, Distribution and Sale Agreement (the “Separation Agreement”). Together, the Merger Agreement and the Separation Agreement provide for the combination of the Company and GE’s realigned transportation business (“GE Transportation”) through a modified Reverse Morris Trust transaction structure. The transactions contemplated by the Merger Agreement and the Separation Agreement (the “Transactions”) have been approved by the Boards of Directors of both the Company and 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42" w:name="page43"/>
    <w:bookmarkEnd w:id="42"/>
    <w:p>
      <w:pPr>
        <w:ind w:firstLine="648"/>
        <w:spacing w:after="0" w:line="272" w:lineRule="auto"/>
        <w:rPr>
          <w:sz w:val="20"/>
          <w:szCs w:val="20"/>
          <w:color w:val="auto"/>
        </w:rPr>
      </w:pPr>
      <w:r>
        <w:rPr>
          <w:rFonts w:ascii="Arial" w:cs="Arial" w:eastAsia="Arial" w:hAnsi="Arial"/>
          <w:sz w:val="17"/>
          <w:szCs w:val="17"/>
          <w:color w:val="auto"/>
        </w:rPr>
        <w:t>In connection with the separation of GE Transportation from the remaining business of GE, GE will conduct an internal reorganization in which the assets and liabilities of GE Transportation will be segregated from the assets and liabilities of GE’s remaining business to prepare for the Transactions. Following this internal reorganization, certain assets of GE Transportation will be sold to Direct Sale Purchaser for a cash payment of $2.9 billion (the "Direct Sale"), and Direct Sale Purchaser will assume certain liabilities of GE Transportation in connection with this purchase. Thereafter, GE will transfer the remaining business and operations of GE Transportation (the “SpinCo Business”) to SpinCo and its subsidiaries (to the extent not already held by SpinCo and its subsidiaries) (the “SpinCo Transfer”), and SpinCo will issue to GE additional shares of SpinCo common stock. Following this issuance of additional SpinCo common stock to GE, GE will hold all of the outstanding SpinCo common stock.</w:t>
      </w:r>
    </w:p>
    <w:p>
      <w:pPr>
        <w:spacing w:after="0" w:line="178"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Following the Direct Sale and the SpinCo Transfer and based on market conditions, GE will distribute certain of the shares of SpinCo’s common stock to GE’s stockholders by way of a spin-off or a split-off transaction (the “Distribution”), as determined in GE’s discretion.</w:t>
      </w:r>
    </w:p>
    <w:p>
      <w:pPr>
        <w:spacing w:after="0" w:line="147"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In a spin-off, all GE stockholders would receive a pro rata number of shares of SpinCo common stock. In a split-off, GE would offer its stockholders the option to exchange all or a portion of their shares of GE common stock for shares of SpinCo common stock in an exchange offer, resulting in a reduction in GE’s outstanding shares. If the exchange offer is undertaken and consummated but the exchange offer is not fully subscribed because less than all shares of SpinCo common stock available for distribution by GE are exchanged, the remaining shares of SpinCo common stock available for distribution by GE would be distributed on a pro rata basis to GE stockholders whose shares of GE common stock remain outstanding after the consummation of the exchange offer.</w:t>
      </w:r>
    </w:p>
    <w:p>
      <w:pPr>
        <w:spacing w:after="0" w:line="15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Immediately after the Distribution and on the closing date of the merger, Merger Sub will merge with and into SpinCo, whereby the separate corporate existence of Merger Sub will cease and SpinCo will continue as the surviving company and a wholly owned subsidiary of the Company. In the Merger, subject to adjustment in accordance with the Merger Agreement, each share of SpinCo common stock will be converted into the right to receive a number of shares of the Company’s common stock based on the exchange ratio set forth in the Merger Agreement.</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consummation of the Merger and calculated based on Wabtec's outstanding common stock immediately prior to the Merger on a fully-diluted, as-converted and as-exercised basis, 50.1% of the outstanding shares of the Company’s common stock would be held collectively by GE and pre-Merger holders of GE common stock (with approximately 9.9% of the outstanding shares of the Company’s common stock expected to be held by GE) and 49.9% of the outstanding shares of the Company’s common stock would be held by pre-Merger stockholders of the Company. Pursuant to certain agreements to be entered into in connection with the Transactions, GE will be obligated to sell a number of its shares of the Company’s common stock within two years of the date of the Distribution and, subject to limited exceptions, to sell all of its shares of the Company’s common stock within three years of the closing date of the Merger.</w:t>
      </w:r>
    </w:p>
    <w:p>
      <w:pPr>
        <w:spacing w:after="0" w:line="18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Subject to adjustment under certain circumstances as set forth in the Merger Agreement, the Company will issue the requisite shares of the Company’s common stock in the Merger. Based upon the reported closing sale price of $95.43 per share for the Company’s common stock on the NYSE on October 12, 2018, the total value of the shares of the Company’s common stock to be issued by the Company in the merger would be approximately $9,398 million and the cash to be received by GE in the transactions, including in respect of the Direct Sale, would be approximately $3,370 million. The actual value of the Company’s common stock to be issued in the Merger will depend on the market price of shares of the Company’s common stock at the time of the Merger.</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September 14, 2018, Wabtec completed a public offering and sale of (i) $500 million aggregate principal amount of floating rate senior notes, (ii) $750 million aggregate principal amount of 2024 Senior Notes and (iii) $1.25 billion aggregate principal amount of 2028 Senior Notes. The Company intends to use the net proceeds from the offering and sale of these notes combined with the proceeds from a $400 million delayed draw term loan that was entered into on June 8, 2018 to finance the Direct Sale. Wabtec used a portion of the proceeds from the September 14, 2018 notes to pay debt associated with its revolving credit facility. The remaining proceeds are classified as Restricted Cash on the consolidated balance sheet, as the Company intends to use these cash amounts to finance the Direct Sale. Refer to Footnote 8 for further information regarding debt.</w:t>
      </w:r>
    </w:p>
    <w:p>
      <w:pPr>
        <w:spacing w:after="0" w:line="178"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After the Merger, the Company will own and operate the SpinCo Business and the assets acquired in the Direct Sale. It is anticipated that SpinCo, which will be the Company’s wholly owned subsidiary, will hold the SpinCo Business and Direct Sale Purchaser, which will also be the Company’s wholly owned subsidiary, will hold the assets purchased and the liabilities assumed in connection with the Direct Sale. Together, SpinCo and Direct Sale Purchaser will own and operate post-Transaction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3" w:name="page44"/>
    <w:bookmarkEnd w:id="43"/>
    <w:p>
      <w:pPr>
        <w:ind w:right="60"/>
        <w:spacing w:after="0" w:line="277" w:lineRule="auto"/>
        <w:rPr>
          <w:sz w:val="20"/>
          <w:szCs w:val="20"/>
          <w:color w:val="auto"/>
        </w:rPr>
      </w:pPr>
      <w:r>
        <w:rPr>
          <w:rFonts w:ascii="Arial" w:cs="Arial" w:eastAsia="Arial" w:hAnsi="Arial"/>
          <w:sz w:val="18"/>
          <w:szCs w:val="18"/>
          <w:color w:val="auto"/>
        </w:rPr>
        <w:t>GE Transportation. The Company will also continue its current businesses. All shares of the Company’s common stock, including those issued in the Merger, will be listed on the NYSE under the Company’s current trading symbol “WAB.”</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the date of the Distribution, GE or its subsidiaries and SpinCo or the subsidiaries of GE that GE will contribute to SpinCo pursuant to the Separation Agreement will enter into additional agreements relating to, among other things, intellectual property, employee matters, tax matters, research and development, co-location services and transition services.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value of the total consideration to be delivered by the Company in the Transactions would be approximately $12.8 billion based on the Company’s reported closing stock price on the NYSE on October 12, 2018; however, the final purchase price will depend on the market price of shares of the Company’s common stock at the time of the Merger. The transaction is expected to close by early 2019, subject to customary closing conditions, including certain approvals by the Company’s shareholders and regulatory approvals.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FAIVELEY TRANSPORT S.A.</w:t>
      </w:r>
    </w:p>
    <w:p>
      <w:pPr>
        <w:spacing w:after="0" w:line="121"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On November 30, 2016, the Company acquired majority ownership of Faiveley Transport under the terms of the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85" w:lineRule="exact"/>
        <w:rPr>
          <w:sz w:val="20"/>
          <w:szCs w:val="20"/>
          <w:color w:val="auto"/>
        </w:rPr>
      </w:pPr>
    </w:p>
    <w:p>
      <w:pPr>
        <w:ind w:left="980" w:hanging="324"/>
        <w:spacing w:after="0" w:line="25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89" w:lineRule="exact"/>
        <w:rPr>
          <w:rFonts w:ascii="Arial" w:cs="Arial" w:eastAsia="Arial" w:hAnsi="Arial"/>
          <w:sz w:val="18"/>
          <w:szCs w:val="18"/>
          <w:color w:val="auto"/>
        </w:rPr>
      </w:pPr>
    </w:p>
    <w:p>
      <w:pPr>
        <w:ind w:left="980" w:right="22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4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289" w:lineRule="exact"/>
        <w:rPr>
          <w:sz w:val="20"/>
          <w:szCs w:val="20"/>
          <w:color w:val="auto"/>
        </w:rPr>
      </w:pPr>
    </w:p>
    <w:p>
      <w:pPr>
        <w:ind w:right="2360" w:firstLine="648"/>
        <w:spacing w:after="0" w:line="257"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purchase price paid for 100% ownership of Faiveley Transport was $1,507 million. The $744.7 million included as deposits in escrow on the consolidated balance sheet at December 31, 2016 was cash designated for use as consideration for the tender offers.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4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29"/>
        </w:trPr>
        <w:tc>
          <w:tcPr>
            <w:tcW w:w="53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r>
      <w:tr>
        <w:trPr>
          <w:trHeight w:val="21"/>
        </w:trPr>
        <w:tc>
          <w:tcPr>
            <w:tcW w:w="5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1,077,814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957,931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3,245,671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2,806,218</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(775,802)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(704,728)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(2,308,811)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(2,009,345)</w:t>
            </w:r>
          </w:p>
        </w:tc>
      </w:tr>
      <w:tr>
        <w:trPr>
          <w:trHeight w:val="27"/>
        </w:trPr>
        <w:tc>
          <w:tcPr>
            <w:tcW w:w="5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253,203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936,860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796,873</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(146,839)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(465,197)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(368,788)</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(71,511)</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(27,039)</w:t>
            </w:r>
          </w:p>
        </w:tc>
      </w:tr>
      <w:tr>
        <w:trPr>
          <w:trHeight w:val="27"/>
        </w:trPr>
        <w:tc>
          <w:tcPr>
            <w:tcW w:w="5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(176,833)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(151,537)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(556,879)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(467,338)</w:t>
            </w:r>
          </w:p>
        </w:tc>
      </w:tr>
      <w:tr>
        <w:trPr>
          <w:trHeight w:val="27"/>
        </w:trPr>
        <w:tc>
          <w:tcPr>
            <w:tcW w:w="5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125,179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101,666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379,981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329,535</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(57,460)</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5,304</w:t>
            </w:r>
          </w:p>
        </w:tc>
      </w:tr>
      <w:tr>
        <w:trPr>
          <w:trHeight w:val="27"/>
        </w:trPr>
        <w:tc>
          <w:tcPr>
            <w:tcW w:w="5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Income from operations before income taxes</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102,667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310,022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277,379</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(64,776)</w:t>
            </w:r>
          </w:p>
        </w:tc>
      </w:tr>
      <w:tr>
        <w:trPr>
          <w:trHeight w:val="27"/>
        </w:trPr>
        <w:tc>
          <w:tcPr>
            <w:tcW w:w="5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86,069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68,439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256,797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212,603</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Less: Net loss (gain) attributable to noncontrolling interest</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710</w:t>
            </w:r>
          </w:p>
        </w:tc>
      </w:tr>
      <w:tr>
        <w:trPr>
          <w:trHeight w:val="27"/>
        </w:trPr>
        <w:tc>
          <w:tcPr>
            <w:tcW w:w="5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Wabtec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87,739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67,399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260,521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213,313</w:t>
            </w: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COMPARED TO THIRD QUARTER 2017</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393"/>
              <w:spacing w:after="0" w:line="158"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Freight Segment Sales</w:t>
            </w:r>
          </w:p>
        </w:tc>
        <w:tc>
          <w:tcPr>
            <w:tcW w:w="2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391,577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340,185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Transit Segment Sales</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686,237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617,746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Net sales</w:t>
            </w: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1,077,814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957,931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125,179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101,666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500" w:type="dxa"/>
            <w:vAlign w:val="bottom"/>
          </w:tcPr>
          <w:p>
            <w:pPr>
              <w:spacing w:after="0"/>
              <w:rPr>
                <w:sz w:val="22"/>
                <w:szCs w:val="22"/>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87,739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67,399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40" w:type="dxa"/>
            <w:vAlign w:val="bottom"/>
            <w:gridSpan w:val="13"/>
          </w:tcPr>
          <w:p>
            <w:pPr>
              <w:ind w:left="460"/>
              <w:spacing w:after="0"/>
              <w:rPr>
                <w:sz w:val="20"/>
                <w:szCs w:val="20"/>
                <w:color w:val="auto"/>
              </w:rPr>
            </w:pPr>
            <w:r>
              <w:rPr>
                <w:rFonts w:ascii="Arial" w:cs="Arial" w:eastAsia="Arial" w:hAnsi="Arial"/>
                <w:sz w:val="18"/>
                <w:szCs w:val="18"/>
                <w:color w:val="auto"/>
                <w:w w:val="91"/>
              </w:rPr>
              <w:t>The following table shows the major components of the change in sales in the third quarter of 2018 from the third quarter of 2017: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Freight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Transit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Segment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ind w:left="140"/>
              <w:spacing w:after="0" w:line="158" w:lineRule="exact"/>
              <w:rPr>
                <w:sz w:val="20"/>
                <w:szCs w:val="20"/>
                <w:color w:val="auto"/>
              </w:rPr>
            </w:pPr>
            <w:r>
              <w:rPr>
                <w:rFonts w:ascii="Arial" w:cs="Arial" w:eastAsia="Arial" w:hAnsi="Arial"/>
                <w:sz w:val="14"/>
                <w:szCs w:val="14"/>
                <w:b w:val="1"/>
                <w:bCs w:val="1"/>
                <w:color w:val="auto"/>
              </w:rPr>
              <w:t>Segment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Third Quarter 2017 Net Sales</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340,185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617,746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957,931</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21,244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32,217</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Change in Sales by Product Line:</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Specialty Products &amp; Electronics</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25,584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21,240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46,824</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Transit Products</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24,466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24,466</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Brake Products</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8,913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Remanufacturing, Overhaul &amp; Build</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(4,128)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18,196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18,883</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(5,593)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(14,092)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(19,685)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Third Quarter 2018 Net Sales</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391,577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686,237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1,077,814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00" w:type="dxa"/>
            <w:vAlign w:val="bottom"/>
            <w:vMerge w:val="restart"/>
          </w:tcPr>
          <w:p>
            <w:pPr>
              <w:jc w:val="right"/>
              <w:ind w:right="115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5" w:name="page46"/>
    <w:bookmarkEnd w:id="45"/>
    <w:p>
      <w:pPr>
        <w:ind w:right="160" w:firstLine="500"/>
        <w:spacing w:after="0" w:line="297" w:lineRule="auto"/>
        <w:rPr>
          <w:sz w:val="20"/>
          <w:szCs w:val="20"/>
          <w:color w:val="auto"/>
        </w:rPr>
      </w:pPr>
      <w:r>
        <w:rPr>
          <w:rFonts w:ascii="Arial" w:cs="Arial" w:eastAsia="Arial" w:hAnsi="Arial"/>
          <w:sz w:val="16"/>
          <w:szCs w:val="16"/>
          <w:color w:val="auto"/>
        </w:rPr>
        <w:t>Net sales for the three months ended September 30, 2018 increased by $119.9 million, or 12.5%, to $1,077.8 million. The increase is primarily due to an organic increase of $46.8 million for Specialty Products and Electronics from higher demand for freight and transit original equipment rail products and train control and signaling products and services, a $24.5 million increase for Transit Products due to higher demand for transit original equipment rail products, and a $18.9 million organic increase for Other Products due to increased spare parts demand resulting from an increase in freight rail traffic. Additionally, sales from acquisitions increased sales by $32.2 million while unfavorable foreign exchange decreased sales by $19.7 million.</w:t>
      </w:r>
    </w:p>
    <w:p>
      <w:pPr>
        <w:spacing w:after="0" w:line="158"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Freight Segment sales increased by $51.4 million, or 15.1%, mostly from an organic increase of $25.6 million for Specialty Products and Electronics due to higher demand for freight original equipment rail products and train control and signaling products and services. Additionally, Other Products sales increased $18.2 million from increased spare parts demand resulting from an increase in rail traffic, and sales from acquisitions increased sales $11.0 million. Unfavorable foreign exchange rates decreased sales by $5.6 million.</w:t>
      </w:r>
    </w:p>
    <w:p>
      <w:pPr>
        <w:spacing w:after="0" w:line="187" w:lineRule="exact"/>
        <w:rPr>
          <w:sz w:val="20"/>
          <w:szCs w:val="20"/>
          <w:color w:val="auto"/>
        </w:rPr>
      </w:pPr>
    </w:p>
    <w:p>
      <w:pPr>
        <w:jc w:val="both"/>
        <w:ind w:right="340" w:firstLine="500"/>
        <w:spacing w:after="0" w:line="312" w:lineRule="auto"/>
        <w:rPr>
          <w:sz w:val="20"/>
          <w:szCs w:val="20"/>
          <w:color w:val="auto"/>
        </w:rPr>
      </w:pPr>
      <w:r>
        <w:rPr>
          <w:rFonts w:ascii="Arial" w:cs="Arial" w:eastAsia="Arial" w:hAnsi="Arial"/>
          <w:sz w:val="16"/>
          <w:szCs w:val="16"/>
          <w:color w:val="auto"/>
        </w:rPr>
        <w:t>Transit Segment sales increased by $68.5 million, or 11.1%, primarily due to $24.5 million for Transit Products from increased demand for transit original equipment rail products, $21.2 million for Specialty Products and Electronics from increased demand for train control and signaling products and services and $21.2 million from sales related to acquisitions. These gains were partially offset by unfavorable foreign exchange rates of $14.1 million.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8"/>
              </w:rPr>
              <w:t>Three Months Ended September 30, 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3"/>
                <w:szCs w:val="13"/>
                <w:color w:val="auto"/>
              </w:rPr>
            </w:pPr>
          </w:p>
        </w:tc>
        <w:tc>
          <w:tcPr>
            <w:tcW w:w="11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0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8"/>
        </w:trPr>
        <w:tc>
          <w:tcPr>
            <w:tcW w:w="318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42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80" w:type="dxa"/>
            <w:vAlign w:val="bottom"/>
            <w:gridSpan w:val="4"/>
          </w:tcPr>
          <w:p>
            <w:pPr>
              <w:spacing w:after="0"/>
              <w:rPr>
                <w:sz w:val="20"/>
                <w:szCs w:val="20"/>
                <w:color w:val="auto"/>
              </w:rPr>
            </w:pPr>
            <w:r>
              <w:rPr>
                <w:rFonts w:ascii="Arial" w:cs="Arial" w:eastAsia="Arial" w:hAnsi="Arial"/>
                <w:sz w:val="18"/>
                <w:szCs w:val="18"/>
                <w:color w:val="auto"/>
              </w:rPr>
              <w:t>Material</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118,838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286,990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405,828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Arial" w:cs="Arial" w:eastAsia="Arial" w:hAnsi="Arial"/>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73,234</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122,564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195,798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Arial" w:cs="Arial" w:eastAsia="Arial" w:hAnsi="Arial"/>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67,492</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97,344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164,836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Arial" w:cs="Arial" w:eastAsia="Arial" w:hAnsi="Arial"/>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7,657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261,247</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514,555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775,802</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8"/>
              </w:rPr>
              <w:t>Three Months Ended September 30, 2017</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40" w:type="dxa"/>
            <w:vAlign w:val="bottom"/>
          </w:tcPr>
          <w:p>
            <w:pPr>
              <w:spacing w:after="0"/>
              <w:rPr>
                <w:sz w:val="13"/>
                <w:szCs w:val="13"/>
                <w:color w:val="auto"/>
              </w:rPr>
            </w:pPr>
          </w:p>
        </w:tc>
        <w:tc>
          <w:tcPr>
            <w:tcW w:w="11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0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3180" w:type="dxa"/>
            <w:vAlign w:val="bottom"/>
            <w:gridSpan w:val="4"/>
          </w:tcPr>
          <w:p>
            <w:pPr>
              <w:ind w:left="2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24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42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80" w:type="dxa"/>
            <w:vAlign w:val="bottom"/>
            <w:gridSpan w:val="4"/>
          </w:tcPr>
          <w:p>
            <w:pPr>
              <w:ind w:left="20"/>
              <w:spacing w:after="0"/>
              <w:rPr>
                <w:sz w:val="20"/>
                <w:szCs w:val="20"/>
                <w:color w:val="auto"/>
              </w:rPr>
            </w:pPr>
            <w:r>
              <w:rPr>
                <w:rFonts w:ascii="Arial" w:cs="Arial" w:eastAsia="Arial" w:hAnsi="Arial"/>
                <w:sz w:val="18"/>
                <w:szCs w:val="18"/>
                <w:color w:val="auto"/>
              </w:rPr>
              <w:t>Material</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129,912</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283,376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413,288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Arial" w:cs="Arial" w:eastAsia="Arial" w:hAnsi="Arial"/>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48,473</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81,828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130,301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Arial" w:cs="Arial" w:eastAsia="Arial" w:hAnsi="Arial"/>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54,712</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90,508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145,220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Arial" w:cs="Arial" w:eastAsia="Arial" w:hAnsi="Arial"/>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13,288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15,918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3"/>
          </w:tcPr>
          <w:p>
            <w:pPr>
              <w:ind w:left="260"/>
              <w:spacing w:after="0"/>
              <w:rPr>
                <w:sz w:val="20"/>
                <w:szCs w:val="20"/>
                <w:color w:val="auto"/>
              </w:rPr>
            </w:pPr>
            <w:r>
              <w:rPr>
                <w:rFonts w:ascii="Arial" w:cs="Arial" w:eastAsia="Arial" w:hAnsi="Arial"/>
                <w:sz w:val="18"/>
                <w:szCs w:val="18"/>
                <w:color w:val="auto"/>
              </w:rPr>
              <w:t>Total cost of sales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235,727</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2"/>
                <w:szCs w:val="22"/>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469,000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704,727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Cost of sales increased by $71.1 million to $775.8 million in the third quarter of 2018 compared to $704.7 million in the same period of 2017. In the third quarter of 2018, cost of sales as a percentage of sales was 72.1% compared to 73.6% in the same period of 2017. The decrease is primarily related to increased sales for train control and signaling products and services which resulted in a more favorable product sales mix. In addition, the 2017 results include $20.4 million of project adjustments which did not recur in 2018.</w:t>
      </w:r>
    </w:p>
    <w:p>
      <w:pPr>
        <w:spacing w:after="0" w:line="187"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color w:val="auto"/>
        </w:rPr>
        <w:t>Freight Segment cost of sales decreased 2.7% as a percentage of sales to 66.6% in 2018 compared to 69.3% for the same period in 2017. The decrease is primarily related to increased sales for train control and signaling products and services which resulted in a more favorable product sales mix. In addition, the 2017 results include $5.5 million of project adjustments which did not recur in 2018.</w:t>
      </w:r>
    </w:p>
    <w:p>
      <w:pPr>
        <w:spacing w:after="0" w:line="181"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color w:val="auto"/>
        </w:rPr>
        <w:t>Transit Segment cost of sales decreased 1.0% as a percentage of sales to 75.0% in the third quarter of 2018 from 76.0% for the same period of 2017. The decrease is primarily related to improved material savings across transit businesses, and $14.9 million of 2017 project adjustments related to material costs which did not recur in 2018. Labor costs as a percentage of sales increased due to a higher amount of labor hours incurred in train control and signaling products and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right="60" w:firstLine="500"/>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$18.2 million in the third quarter of 2018 compared to $17.1 million in the third quarter of 2017. The increase in warranty expense is primarily related to the increase in sales.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8"/>
        </w:trPr>
        <w:tc>
          <w:tcPr>
            <w:tcW w:w="5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76"/>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146,839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118,183</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20,132</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24,709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9,862</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176,833</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151,537</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00"/>
        <w:spacing w:after="0" w:line="255" w:lineRule="auto"/>
        <w:rPr>
          <w:sz w:val="20"/>
          <w:szCs w:val="20"/>
          <w:color w:val="auto"/>
        </w:rPr>
      </w:pPr>
      <w:r>
        <w:rPr>
          <w:rFonts w:ascii="Arial" w:cs="Arial" w:eastAsia="Arial" w:hAnsi="Arial"/>
          <w:sz w:val="18"/>
          <w:szCs w:val="18"/>
          <w:color w:val="auto"/>
        </w:rPr>
        <w:t>Total operating expenses as a percentage of sales increased 0.6% to 16.4% in 2018 compared to 15.8% for the same period in 2017. Selling, general, and administrative expenses increased $28.7 million, or 24.2%, primarily due to $7.2 million of costs related to the proposed GE Transportation transaction, $1.9 million of restructuring costs, $0.8 million of costs related to a goods and service tax law change in India, $4.6 million in incremental expense from acquisitions, $4.1 million in additional employee benefit costs, and the remaining from organic sales increases. In the same period of 2017, selling, general, and administrative expenses included $4.7 million of Faiveley Transport transaction and restructuring costs. Engineering expense decreased by $4.6 million, or 18.5%, due to timing of research and development expenses. Amortization expense increased $1.2 million due to amortization of intangibles associated with new acquisitions.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segment operating expense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w w:val="94"/>
              </w:rPr>
              <w:t>Three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58"/>
        </w:trPr>
        <w:tc>
          <w:tcPr>
            <w:tcW w:w="70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396"/>
              <w:spacing w:after="0" w:line="158"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50,910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43,034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110,945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101,386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14,978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176,833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151,537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500"/>
        <w:spacing w:after="0" w:line="277" w:lineRule="auto"/>
        <w:rPr>
          <w:sz w:val="20"/>
          <w:szCs w:val="20"/>
          <w:color w:val="auto"/>
        </w:rPr>
      </w:pPr>
      <w:r>
        <w:rPr>
          <w:rFonts w:ascii="Arial" w:cs="Arial" w:eastAsia="Arial" w:hAnsi="Arial"/>
          <w:sz w:val="18"/>
          <w:szCs w:val="18"/>
          <w:color w:val="auto"/>
        </w:rPr>
        <w:t>Freight Segment operating expenses increased $7.9 million, or 18.3%, in 2018 and increased 30 basis points to 13.0% of sales. The increase is primarily attributable to increased sales volumes, and $2.6 million of incremental operating expenses from acquisitions.</w:t>
      </w:r>
    </w:p>
    <w:p>
      <w:pPr>
        <w:spacing w:after="0" w:line="1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Transit Segment operating expenses increased $9.6 million, or 9.4%, in 2018 but decreased 20 basis points to 16.2% of sales. The increase in expense is primarily attributable to increased sales volumes, $0.8 million of costs related to a goods and service tax law change in India, $2.8 million of incremental operating expenses from acquisitions, and $1.6 million of restructuring charges. In the same period of 2017, the transit segment costs included $3.4 million of Faiveley Transport transaction and restructuring charges.</w:t>
      </w:r>
    </w:p>
    <w:p>
      <w:pPr>
        <w:spacing w:after="0" w:line="187" w:lineRule="exact"/>
        <w:rPr>
          <w:sz w:val="20"/>
          <w:szCs w:val="20"/>
          <w:color w:val="auto"/>
        </w:rPr>
      </w:pPr>
    </w:p>
    <w:p>
      <w:pPr>
        <w:ind w:right="60" w:firstLine="500"/>
        <w:spacing w:after="0" w:line="277" w:lineRule="auto"/>
        <w:rPr>
          <w:sz w:val="20"/>
          <w:szCs w:val="20"/>
          <w:color w:val="auto"/>
        </w:rPr>
      </w:pPr>
      <w:r>
        <w:rPr>
          <w:rFonts w:ascii="Arial" w:cs="Arial" w:eastAsia="Arial" w:hAnsi="Arial"/>
          <w:sz w:val="18"/>
          <w:szCs w:val="18"/>
          <w:color w:val="auto"/>
        </w:rPr>
        <w:t>Corporate non-allocated operating expenses increased $7.9 million in the three months ended September 30, 2018, primarily due to costs related to the proposed GE Transportation transaction.</w:t>
      </w:r>
    </w:p>
    <w:p>
      <w:pPr>
        <w:spacing w:after="0" w:line="170" w:lineRule="exact"/>
        <w:rPr>
          <w:sz w:val="20"/>
          <w:szCs w:val="20"/>
          <w:color w:val="auto"/>
        </w:rPr>
      </w:pPr>
    </w:p>
    <w:p>
      <w:pPr>
        <w:ind w:right="420" w:firstLine="500"/>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increased $3.7 million in 2018 because of additional interest expense associated with the Senior Notes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on September 14, 2018 which will be used for the cash portion of the proposed GE Transportation transaction (see Footnote 8 for more details).</w:t>
      </w:r>
    </w:p>
    <w:p>
      <w:pPr>
        <w:spacing w:after="0" w:line="124" w:lineRule="exact"/>
        <w:rPr>
          <w:sz w:val="20"/>
          <w:szCs w:val="20"/>
          <w:color w:val="auto"/>
        </w:rPr>
      </w:pPr>
    </w:p>
    <w:p>
      <w:pPr>
        <w:ind w:right="60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income/(expense), net, totaled $1.2 million of income in 2018 compared to $0.4 million of expense in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investment returns on pension assets recognized, offset by foreign currency losses in the current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ind w:right="280" w:firstLine="500"/>
        <w:spacing w:after="0" w:line="27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effective income tax rate was 16.2% and 15.7% for the third quarter of 2018 and 2017, respectively. The increase in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for the three months ended September 30, 2018 is primarily related to $9.5 million of favorable deferred tax net benefits recorded in the three month period ended September 30, 2017. This was partially offset by the decrease in the U.S. statutory tax rate from 35% to 21% due to the U.S. tax reform bill which was enacted on December 22, 2017 and the recognition of $6.5 million of tax benefits in the three months ended September 30, 2018 as a result of adjustments to provisional amounts previously recorded related to the U.S. tax reform bill.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NINE MONTHS OF 2018 COMPARED TO FIRST NINE MONTHS OF 2017</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5"/>
              </w:rPr>
              <w:t>Nine Months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70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spacing w:after="0"/>
              <w:rPr>
                <w:sz w:val="20"/>
                <w:szCs w:val="20"/>
                <w:color w:val="auto"/>
              </w:rPr>
            </w:pPr>
            <w:r>
              <w:rPr>
                <w:rFonts w:ascii="Arial" w:cs="Arial" w:eastAsia="Arial" w:hAnsi="Arial"/>
                <w:sz w:val="18"/>
                <w:szCs w:val="18"/>
                <w:color w:val="auto"/>
              </w:rPr>
              <w:t>Freight Segment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1,183,389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1,032,959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8"/>
                <w:szCs w:val="18"/>
                <w:color w:val="auto"/>
              </w:rPr>
              <w:t>Transit Segment Sales</w:t>
            </w:r>
          </w:p>
        </w:tc>
        <w:tc>
          <w:tcPr>
            <w:tcW w:w="34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2,062,282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1,773,259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240"/>
              <w:spacing w:after="0"/>
              <w:rPr>
                <w:sz w:val="20"/>
                <w:szCs w:val="20"/>
                <w:color w:val="auto"/>
              </w:rPr>
            </w:pPr>
            <w:r>
              <w:rPr>
                <w:rFonts w:ascii="Arial" w:cs="Arial" w:eastAsia="Arial" w:hAnsi="Arial"/>
                <w:sz w:val="18"/>
                <w:szCs w:val="18"/>
                <w:color w:val="auto"/>
              </w:rPr>
              <w:t>Net sales</w:t>
            </w: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3,245,671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2,806,218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379,981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329,535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260,521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213,313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major components of the change in sales for the nine months ended September 30, 2018 from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Arial" w:cs="Arial" w:eastAsia="Arial" w:hAnsi="Arial"/>
                <w:sz w:val="18"/>
                <w:szCs w:val="18"/>
                <w:color w:val="auto"/>
              </w:rPr>
              <w:t>First Nine Months of 2017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1,032,958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1,773,260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2,806,218</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44,717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61,703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106,420</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Change in Sales by Product Line:</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Specialty Products &amp; Electronics</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77,692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73,207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150,899</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Transit Products</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38,804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38,804</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Brake Products</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14,640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20,214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Remanufacturing, Overhaul &amp; Build</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(12,322)</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30,394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85,885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89,665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Arial" w:cs="Arial" w:eastAsia="Arial" w:hAnsi="Arial"/>
                <w:sz w:val="18"/>
                <w:szCs w:val="18"/>
                <w:color w:val="auto"/>
              </w:rPr>
              <w:t>First Nine Months of 2018 Net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1,183,389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2,062,282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3,245,671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sales for the nine months ended September 30, 2018 increased by $439.5 million, or 15.7%, to $3,245.7 million. The increase is primarily due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organic increase of $150.9 million for Specialty Products and Electronics due to higher demand for train control and signaling products and services,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$38.8 million increase for Transit Products due to higher demand for transit original equipment rail products, a $34.9 million increase for Brake Products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higher demand for both freight and transit original equipment brakes, and a $31.1 million organic increase for Other Products mostly from increased spare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parts demand resulting from an increase in freight rail traffic. Additionally, sales from acquisitions increased sales $106.4 million and favorable foreign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 rates increased sales by $89.7 million.</w:t>
      </w:r>
    </w:p>
    <w:p>
      <w:pPr>
        <w:spacing w:after="0" w:line="21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Freight Segment sales increased by $150.4 million, or 14.6%, primarily due to an increase of $77.7 million for Specialty Products and Electronics sales from higher demand for freight original equipment rail products and train control and signaling products and services, and a $30.4 million organic increase for Other Products mostly from increased spare parts demand resulting from an increase in freight rail traffic. Acquisitions increased sales $44.7 million and favorable foreign exchange rates increased sales by $3.8 million.</w:t>
      </w:r>
    </w:p>
    <w:p>
      <w:pPr>
        <w:spacing w:after="0" w:line="187" w:lineRule="exact"/>
        <w:rPr>
          <w:sz w:val="20"/>
          <w:szCs w:val="20"/>
          <w:color w:val="auto"/>
        </w:rPr>
      </w:pPr>
    </w:p>
    <w:p>
      <w:pPr>
        <w:ind w:right="60" w:firstLine="500"/>
        <w:spacing w:after="0" w:line="279" w:lineRule="auto"/>
        <w:rPr>
          <w:sz w:val="20"/>
          <w:szCs w:val="20"/>
          <w:color w:val="auto"/>
        </w:rPr>
      </w:pPr>
      <w:r>
        <w:rPr>
          <w:rFonts w:ascii="Arial" w:cs="Arial" w:eastAsia="Arial" w:hAnsi="Arial"/>
          <w:sz w:val="17"/>
          <w:szCs w:val="17"/>
          <w:color w:val="auto"/>
        </w:rPr>
        <w:t>Transit Segment sales increased by $289.0 million, or 16.3%, due to favorable foreign exchange rates of $85.9 million. Additionally, this total increase was aided by organic growth of $73.2 million for Specialty Products and Electronics because of higher demand for train control and signaling products and services, a $38.8 million increase for Transit Products due to higher demand for transit original equipment rail products, and a $20.2 million organic increase in Brake Products due to higher demand for original equipment transit brakes. Acquisitions increased sales by $61.7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ind w:left="500"/>
        <w:spacing w:after="0"/>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The following table shows the major components of cost of sales for the periods indicated:</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6"/>
          </w:tcPr>
          <w:p>
            <w:pPr>
              <w:spacing w:after="0"/>
              <w:rPr>
                <w:sz w:val="20"/>
                <w:szCs w:val="20"/>
                <w:color w:val="auto"/>
              </w:rPr>
            </w:pPr>
            <w:r>
              <w:rPr>
                <w:rFonts w:ascii="Arial" w:cs="Arial" w:eastAsia="Arial" w:hAnsi="Arial"/>
                <w:sz w:val="14"/>
                <w:szCs w:val="14"/>
                <w:b w:val="1"/>
                <w:bCs w:val="1"/>
                <w:color w:val="auto"/>
                <w:w w:val="99"/>
              </w:rPr>
              <w:t>Nine Months Ended September 30, 2018</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42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88"/>
              </w:rPr>
              <w:t>Percentage of</w:t>
            </w:r>
          </w:p>
        </w:tc>
        <w:tc>
          <w:tcPr>
            <w:tcW w:w="120" w:type="dxa"/>
            <w:vAlign w:val="bottom"/>
          </w:tcPr>
          <w:p>
            <w:pPr>
              <w:spacing w:after="0"/>
              <w:rPr>
                <w:sz w:val="12"/>
                <w:szCs w:val="1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2"/>
                <w:szCs w:val="12"/>
                <w:color w:val="auto"/>
              </w:rPr>
            </w:pPr>
          </w:p>
        </w:tc>
        <w:tc>
          <w:tcPr>
            <w:tcW w:w="11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8"/>
        </w:trPr>
        <w:tc>
          <w:tcPr>
            <w:tcW w:w="316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2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8"/>
                <w:szCs w:val="18"/>
                <w:color w:val="auto"/>
              </w:rPr>
              <w:t>Material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409,513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854,772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1,264,285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Labor</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187,127</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358,541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545,668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Overhead</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189,528</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263,939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453,467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Other/Warranty</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45,391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793,509</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1,515,302</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2,308,811</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9"/>
              </w:rPr>
              <w:t>Nine Months Ended September 30, 2017</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1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3160" w:type="dxa"/>
            <w:vAlign w:val="bottom"/>
            <w:gridSpan w:val="4"/>
          </w:tcPr>
          <w:p>
            <w:pPr>
              <w:ind w:left="2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3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Material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395,683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778,222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1,173,905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Labor</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140,679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241,400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382,079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Overhead</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164,503</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250,879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415,382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Other/Warranty</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33,743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37,979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6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705,101</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1,304,244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2,009,345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Cost of Sales increased by $299.5 million to $2,308.8 million in the nine months ended September 30, 2018 compared to $2,009.3 million in the same period of 2017. For the nine months ended September 30, 2018, cost of sales as a percentage of sales was 71.2% compared to 71.6% in the same period of 2017. The decrease as a percentage of sales is due to a more favorable product sales mix. In addition, the 2017 results include $20.4 million of project adjustments that did not recur in 2018.</w:t>
      </w:r>
    </w:p>
    <w:p>
      <w:pPr>
        <w:spacing w:after="0" w:line="187" w:lineRule="exact"/>
        <w:rPr>
          <w:sz w:val="20"/>
          <w:szCs w:val="20"/>
          <w:color w:val="auto"/>
        </w:rPr>
      </w:pPr>
    </w:p>
    <w:p>
      <w:pPr>
        <w:jc w:val="both"/>
        <w:ind w:right="40" w:firstLine="500"/>
        <w:spacing w:after="0" w:line="264" w:lineRule="auto"/>
        <w:rPr>
          <w:sz w:val="20"/>
          <w:szCs w:val="20"/>
          <w:color w:val="auto"/>
        </w:rPr>
      </w:pPr>
      <w:r>
        <w:rPr>
          <w:rFonts w:ascii="Arial" w:cs="Arial" w:eastAsia="Arial" w:hAnsi="Arial"/>
          <w:sz w:val="18"/>
          <w:szCs w:val="18"/>
          <w:color w:val="auto"/>
        </w:rPr>
        <w:t>Freight Segment cost of sales decreased 1.2% as a percentage of sales to 67.0% for the nine months ended September 30, 2018 compared to 68.2% for the same period in 2017. The decrease is primarily related to increased sales for train control and signaling products and services. In addition, the 2017 results include $5.5 million of project adjustments that did not recur in 2018.</w:t>
      </w:r>
    </w:p>
    <w:p>
      <w:pPr>
        <w:spacing w:after="0" w:line="181"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Transit Segment cost of sales decreased 0.1% as a percentage of sales to 73.4% for the nine months ended September 30, 2018 from 73.5% for the same period of 2017. The decrease is primarily due to a more favorable product sales mix, and $14.9 million of 2017 project adjustments that did not recur in 2018. Labor costs as a percentage of sales increased due to a higher amount of labor hours incurred in train control and signaling products and services and higher labor costs on overhaul contracts in the UK which have a higher labor content.</w:t>
      </w:r>
    </w:p>
    <w:p>
      <w:pPr>
        <w:spacing w:after="0" w:line="187"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$45.7 million in the nine months ended September 30, 2018 compared to $33.1 million in the nine months ended September 30, 2017. The increase in warranty expense is primarily related to the increase in sales.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8"/>
        </w:trPr>
        <w:tc>
          <w:tcPr>
            <w:tcW w:w="5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76"/>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465,197</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368,788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61,569</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71,511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30,113</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27,039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556,879</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467,338</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Total operating expenses were 17.1% and 16.6% of sales for the nine months of 2018 and 2017, respectively. Selling, general, and administrative expenses increased $96.4 million, or 26.1%, primarily due to $16.4 million of costs related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ind w:right="100"/>
        <w:spacing w:after="0" w:line="297" w:lineRule="auto"/>
        <w:rPr>
          <w:sz w:val="20"/>
          <w:szCs w:val="20"/>
          <w:color w:val="auto"/>
        </w:rPr>
      </w:pPr>
      <w:r>
        <w:rPr>
          <w:rFonts w:ascii="Arial" w:cs="Arial" w:eastAsia="Arial" w:hAnsi="Arial"/>
          <w:sz w:val="16"/>
          <w:szCs w:val="16"/>
          <w:color w:val="auto"/>
        </w:rPr>
        <w:t>proposed GE Transportation transaction, $5.2 million of restructuring costs, $4.8 million of cost related to a goods and service tax law change in India, $11.1 million of increased employee benefit costs, changes in foreign currency rates of $10.6 million, $14.6 million in incremental expense from acquisitions, and additional costs associated with higher organic sales volumes. In the same period of 2017, selling, general, and administrative expenses included $18.0 million of Faiveley Transport transaction and restructuring costs. Engineering expense decreased by $9.9 million, or 13.8%, primarily due to timing of research and development expenses. Amortization expense increased $3.1 million due to amortization of intangibles associated with acquisitions.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segment operating expense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5"/>
              </w:rPr>
              <w:t>Nine Months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70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396"/>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156,489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132,048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360,186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313,632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70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40,204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21,658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556,879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467,338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342" w:lineRule="auto"/>
        <w:rPr>
          <w:sz w:val="20"/>
          <w:szCs w:val="20"/>
          <w:color w:val="auto"/>
        </w:rPr>
      </w:pPr>
      <w:r>
        <w:rPr>
          <w:rFonts w:ascii="Arial" w:cs="Arial" w:eastAsia="Arial" w:hAnsi="Arial"/>
          <w:sz w:val="16"/>
          <w:szCs w:val="16"/>
          <w:color w:val="auto"/>
        </w:rPr>
        <w:t>Freight Segment operating expenses increased $24.4 million, or 18.5%, in the nine months ended September 30, 2018 and increased 40 basis points to 13.2% of sales. The increase is primarily attributable to increased sales volumes and $8.8 million of incremental operating expenses from acquisitions.</w:t>
      </w:r>
    </w:p>
    <w:p>
      <w:pPr>
        <w:spacing w:after="0" w:line="124" w:lineRule="exact"/>
        <w:rPr>
          <w:sz w:val="20"/>
          <w:szCs w:val="20"/>
          <w:color w:val="auto"/>
        </w:rPr>
      </w:pPr>
    </w:p>
    <w:p>
      <w:pPr>
        <w:jc w:val="both"/>
        <w:ind w:right="20" w:firstLine="500"/>
        <w:spacing w:after="0" w:line="279" w:lineRule="auto"/>
        <w:rPr>
          <w:sz w:val="20"/>
          <w:szCs w:val="20"/>
          <w:color w:val="auto"/>
        </w:rPr>
      </w:pPr>
      <w:r>
        <w:rPr>
          <w:rFonts w:ascii="Arial" w:cs="Arial" w:eastAsia="Arial" w:hAnsi="Arial"/>
          <w:sz w:val="17"/>
          <w:szCs w:val="17"/>
          <w:color w:val="auto"/>
        </w:rPr>
        <w:t>Transit Segment operating expenses increased $46.6 million, or 14.8%, in the nine months ended September 30, 2018 but decreased 20 basis points to 17.5% of sales. The increase is primarily attributable to increased sales volumes, $11.4 million due to foreign exchange, $8.7 million of incremental operating expenses from acquisitions, $4.8 million of cost due to a goods and service tax law change in India, and $4.4 million of restructuring costs. In the same period of 2017, the transit segment included $11.0 million of Faiveley Transport transaction and restructuring expenses.</w:t>
      </w:r>
    </w:p>
    <w:p>
      <w:pPr>
        <w:spacing w:after="0" w:line="171"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Corporate non-allocated operating expenses increased $18.5 million in the nine months ended September 30, 2018 primarily due to the proposed GE Transportation transaction.</w:t>
      </w:r>
    </w:p>
    <w:p>
      <w:pPr>
        <w:spacing w:after="0" w:line="170"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increased $18.5 million in the nine months ended September 30, 2018 because of financing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proposed GE Transportation transaction of $14.8 million. In addition, net interest expense in the prior year included a $2.2 million benefit related to the prepayment of debt assumed in the Faiveley Transport acquisition.</w:t>
      </w:r>
    </w:p>
    <w:p>
      <w:pPr>
        <w:spacing w:after="0" w:line="181" w:lineRule="exact"/>
        <w:rPr>
          <w:sz w:val="20"/>
          <w:szCs w:val="20"/>
          <w:color w:val="auto"/>
        </w:rPr>
      </w:pPr>
    </w:p>
    <w:p>
      <w:pPr>
        <w:ind w:right="8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totaled $6.0 million in the nine months ended September 30, 2018, compared to $5.3 million for the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2017, primarily due to investment returns on pension assets recognized, offset by foreign currency losses.</w:t>
      </w:r>
    </w:p>
    <w:p>
      <w:pPr>
        <w:spacing w:after="0" w:line="170"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effective income tax rate was 17.2% and 23.4% for the nine months ended September 30, 2018 and 2017, respectively.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22, 2017, the U.S. government enacted comprehensive tax legislation commonly referred to as the Tax Act. The U.S. tax reform bill lowered the Federal statutory tax rate from 35% to 21% beginning January 1, 2018. The decrease in the effective rate for the nine months ended September 30, 2018 is the result of a higher earnings mix in lower tax jurisdictions as well as a benefit from the revision of the Company's accounting for the income tax effects of the Tax Act and the adjustment to the provisional amounts previously recorded which was partially offset by favorable deferred tax net benefits of $9.5 million recorded in the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Liquidity is provided by operating cash flow and borrowings under the Company’s unsecured credit facility with a consortium of commercial banks.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selected cash flow information and other relevant data:</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Cash provided by (used for):</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38,038</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26,511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(104,160)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(905,872)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1,995,310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(70,049)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Increase/(decrease) in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1,901,980</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(915,152)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500"/>
        <w:spacing w:after="0" w:line="272"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In the first nine months of 2018, cash provided by operations was $38.0 million. In the first nine months of 2017, cash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was $26.5 million. Cash provided by operations in 2018 increased due higher net income of $44.2 million, partially offset by unfavorable working capital performance. The major components of working capital were as follows: unfavorable change in accrued liabilities and customer deposits of $64.9 million primarily due to the timing of cash receipts from customers for long term projects, an unfavorable change in inventory of $72.2 million due to efforts to ramp up production in anticipation of higher demand in late 2018, and an unfavorable change in accounts receivable of $40.0 million due to the timing of cash receipts. These unfavorable changes were partially offset by a favorable change in accounts payable of $125.6 million due to the timing of payments to suppliers and a favorable change in other assets and liabilities of $12.2 million.</w:t>
      </w:r>
    </w:p>
    <w:p>
      <w:pPr>
        <w:spacing w:after="0" w:line="178"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the first nine months of 2018 and 2017, cash used for investing activities was $104.2 million and $905.9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 components of the cash outflow in 2018 were $49.1 million in net cash paid for acquisitions and $64.2 million in additions to property, plant and equipment for investments in our facilities and manufacturing processes. This compares to $846.7 million in net cash paid for acquisitions and $60.3 million in property, plant, and equipment for investments in the first nine months of 2017. Refer to Note 4 of the “Notes to Condensed Consolidated Financial Statements” for additional information on acquisitions.</w:t>
      </w:r>
    </w:p>
    <w:p>
      <w:pPr>
        <w:spacing w:after="0" w:line="188"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nine months of 2018, cash provided by financing activities was $1,995.3 million which included $3,490.2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from the revolving credit facility and Senior Notes issued on September 14, 2018, $1,466.6 million in repayments of debt and $34.7 million of dividend payments. In the first nine months of 2017, cash used for financing activities was $70.0 million, which included $883.5 million in proceeds from the revolving credit facility, $918.9 million in repayments of debt on the revolving credit facility, $30.7 million of dividend payments, and $6.8 million related to payment of income tax withholding on share-based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2018 the Company issued $2.5 billion of senior notes with three different maturities.</w:t>
      </w:r>
    </w:p>
    <w:p>
      <w:pPr>
        <w:spacing w:after="0" w:line="225" w:lineRule="exact"/>
        <w:rPr>
          <w:sz w:val="20"/>
          <w:szCs w:val="20"/>
          <w:color w:val="auto"/>
        </w:rPr>
      </w:pPr>
    </w:p>
    <w:p>
      <w:pPr>
        <w:ind w:left="660" w:right="20" w:hanging="328"/>
        <w:spacing w:after="0" w:line="297"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Notes, which are non-callable for one year, were issued at 100% of face value. Interest on the Floating Rate Notes accrues at a floating rate per annum equal to three-month Libor plus 105 basis points. The interest rate for the Floating Rate Notes for the initial interest period will be the three-month Libor plus 105 basis points determined on September 12, 2018 and is payable quarterly on December 15, March 15, June 15, and September 15 of each year. The Company incurred $3.5 million of deferred financing costs related to the issuance of the Floating Rate Notes.</w:t>
      </w:r>
    </w:p>
    <w:p>
      <w:pPr>
        <w:spacing w:after="0" w:line="158" w:lineRule="exact"/>
        <w:rPr>
          <w:rFonts w:ascii="Arial" w:cs="Arial" w:eastAsia="Arial" w:hAnsi="Arial"/>
          <w:sz w:val="16"/>
          <w:szCs w:val="16"/>
          <w:i w:val="1"/>
          <w:iCs w:val="1"/>
          <w:color w:val="auto"/>
        </w:rPr>
      </w:pPr>
    </w:p>
    <w:p>
      <w:pPr>
        <w:jc w:val="both"/>
        <w:ind w:left="660" w:right="240" w:hanging="328"/>
        <w:spacing w:after="0" w:line="312"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4.150% Senior Notes due 2024</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$750.0 million of 4.150% Senior Notes due 2024 (the "2024 Notes"). The 2024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99.805% of face value. Interest on the 2024 Notes accrues at a rate of 4.150% per annum and is payable semi-annually on March 15 and September 15 of each year. The Company incurred $7.4 million of deferred financing costs related to the issuance of the 2024 Notes.</w:t>
      </w:r>
    </w:p>
    <w:p>
      <w:pPr>
        <w:spacing w:after="0" w:line="146" w:lineRule="exact"/>
        <w:rPr>
          <w:rFonts w:ascii="Arial" w:cs="Arial" w:eastAsia="Arial" w:hAnsi="Arial"/>
          <w:sz w:val="16"/>
          <w:szCs w:val="16"/>
          <w:i w:val="1"/>
          <w:iCs w:val="1"/>
          <w:color w:val="auto"/>
        </w:rPr>
      </w:pPr>
    </w:p>
    <w:p>
      <w:pPr>
        <w:ind w:left="660" w:right="100" w:hanging="328"/>
        <w:spacing w:after="0" w:line="259"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4.700% Senior Notes Due 2028</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issued $1,250.0 million of 4.700% Senior Notes due 2028 (the "2028 Notes" and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Notes and 2024 Notes, the "Senior Notes"). The 2028 Notes were issued at 99.889% of face value. Interest on the 2028 Notes accrues at a rate of 4.700% per annum and is payable semi-annually on March 15 and September 15 of each year. The Company incurred $10.6 million of deferred financing costs related to the issuance of the 2028 Notes.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1" w:name="page52"/>
    <w:bookmarkEnd w:id="51"/>
    <w:p>
      <w:pPr>
        <w:ind w:right="220" w:firstLine="648"/>
        <w:spacing w:after="0" w:line="297" w:lineRule="auto"/>
        <w:rPr>
          <w:sz w:val="20"/>
          <w:szCs w:val="20"/>
          <w:color w:val="auto"/>
        </w:rPr>
      </w:pPr>
      <w:r>
        <w:rPr>
          <w:rFonts w:ascii="Arial" w:cs="Arial" w:eastAsia="Arial" w:hAnsi="Arial"/>
          <w:sz w:val="16"/>
          <w:szCs w:val="16"/>
          <w:color w:val="auto"/>
        </w:rPr>
        <w:t>The net proceeds from the issuance and sale of the Senior Notes will be used to finance the cash portion of the GE Transportation acquisition. The principal balances are due in full at maturity. The Senior Notes are senior unsecured obligations of the Company and rank pari passu with all existing and future senior debt and senior to all existing and future subordinated indebtedness of the Company. The indenture under which the Senior Notes were issued contains covenants and restrictions which limit among other things, the following: the incurrence of indebtedness, payment of dividends and certain distributions, sales of assets, change in control, mergers and consolidations and the incurrence of liens.</w:t>
      </w:r>
    </w:p>
    <w:p>
      <w:pPr>
        <w:spacing w:after="0" w:line="7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Company will be required to redeem the Senior Notes, in whole, on August 20, 2019 at a special mandatory redemption price equal to 101% of the aggregate principal amount of the Senior Notes, plus accrued and unpaid interest from the last date on which interest was paid if:</w:t>
      </w:r>
    </w:p>
    <w:p>
      <w:pPr>
        <w:spacing w:after="0" w:line="3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closing of the Transactions has not occurred by 5:00 p.m., New York City time, on August 20, 2019;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Merger Agreement and the Separation Agreement are terminated at any time prior to August 20, 2019.</w:t>
      </w:r>
    </w:p>
    <w:p>
      <w:pPr>
        <w:spacing w:after="0" w:line="14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Additionally, the interest rate payable on each series of Senior Notes will be subject to adjustments from time to time if either Moody's, S&amp;P, or Fitch ceases to rate the Senior Notes of the applicable series or fails to make a rating of the Senior Notes of such series publicly available. Upon a downgrade in rating by either agency, the interest rates of corresponding Senior Notes would increase between 0.25% and 1.00% to current stated rate.</w:t>
      </w:r>
    </w:p>
    <w:p>
      <w:pPr>
        <w:spacing w:after="0" w:line="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Senior Notes were issued and expects that these restrictions and covenants will not be any type of limiting factor in executing our operating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Refinancing Credit Agreement</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June 8, 2018, the Company entered into a credit agreement (the “2018 Refinancing Credit Agreement”), which replaced the Company’s then-existing “2016 Refinancing Credit Agreement.” As part of the 2018 Refinancing Credit Agreement, the Company entered into (i) a $1.2 billion revolving credit facility (the “Revolving Credit Facility”), which replaced the Company’s revolving credit facility under the 2016 Refinancing Credit Agreement, and includes a letter of credit sub-facility of up to $450.0 million and a swing line sub-facility of $75.0 million, (ii) a $350.0 million term loan (the “Refinancing Term Loan”), which refinanced the term loan under the 2016 Refinancing Credit Agreement, and (iii) a new $400.0 million delayed draw term loan (the “Delayed Draw Term Loan”). The 2018 Refinancing Credit Agreement also provided for a bridge loan facility (the “Bridge Loan Facility”) in an amount not to exceed $2.5 billion, such facility to become effective at the Company’s request. Commitments in respect of the Bridge Loan Facility were terminated upon the issuance and sale of the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September 30, 2018, the Company had available bank borrowing capacity, net of $29.7 million of letters of credit, of approximately $1,170.3 million subject to certain financial covenant restrictions.</w:t>
      </w:r>
    </w:p>
    <w:p>
      <w:pPr>
        <w:spacing w:after="0" w:line="173" w:lineRule="exact"/>
        <w:rPr>
          <w:sz w:val="20"/>
          <w:szCs w:val="20"/>
          <w:color w:val="auto"/>
        </w:rPr>
      </w:pPr>
    </w:p>
    <w:p>
      <w:pPr>
        <w:ind w:right="160" w:firstLine="486"/>
        <w:spacing w:after="0" w:line="286" w:lineRule="auto"/>
        <w:rPr>
          <w:sz w:val="20"/>
          <w:szCs w:val="20"/>
          <w:color w:val="auto"/>
        </w:rPr>
      </w:pPr>
      <w:r>
        <w:rPr>
          <w:rFonts w:ascii="Arial" w:cs="Arial" w:eastAsia="Arial" w:hAnsi="Arial"/>
          <w:sz w:val="16"/>
          <w:szCs w:val="16"/>
          <w:color w:val="auto"/>
        </w:rPr>
        <w:t>The Revolving Credit Facility matures on June 8, 2023 and is unsecured. The Refinancing Term Loan matures on June 8, 2021 and is unsecured. The Delayed Draw Term Loan matures on the third anniversary of the date on which it is borrowed and is unsecured.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1.000% and 1.875% for LIBOR/CDOR-based borrowings and 0.0% and 0.875% for Alternate Base Rate based borrowings. The obligations of the Company under the 2018 Refinancing Credit Agreement have been guaranteed by certain of the Company’s subsidiaries.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the Company completes the Direct Sale and the Merger or any other material acquisition in which the cash consideration paid exceeds $500.0 million, the maximum Leverage Ratio permitted will be 3.75 to 1.00 at the end of the fiscal quarter in which</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76" w:right="259" w:bottom="1440" w:gutter="0" w:footer="0" w:header="0"/>
        </w:sectPr>
      </w:pPr>
    </w:p>
    <w:bookmarkStart w:id="52" w:name="page53"/>
    <w:bookmarkEnd w:id="52"/>
    <w:p>
      <w:pPr>
        <w:ind w:right="40"/>
        <w:spacing w:after="0" w:line="286" w:lineRule="auto"/>
        <w:rPr>
          <w:sz w:val="20"/>
          <w:szCs w:val="20"/>
          <w:color w:val="auto"/>
        </w:rPr>
      </w:pPr>
      <w:r>
        <w:rPr>
          <w:rFonts w:ascii="Arial" w:cs="Arial" w:eastAsia="Arial" w:hAnsi="Arial"/>
          <w:sz w:val="17"/>
          <w:szCs w:val="17"/>
          <w:color w:val="auto"/>
        </w:rPr>
        <w:t>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57"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At September 30, 2018, the weighted average interest rate on the Company’s variable rate debt was 3.49%. On June 5, 2014, the Company entered into a forward starting interest rate swap agreement with a notional value of $150.0 million. The effective date of the interest rate swap agreement was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As for this agreement, the Company is exposed to credit risk in the event of nonperformance by the counterparties. However, since only the cash interest payments are exchanged, exposure is significantly less than the notional amount. The counterparties are large financial institutions with excellent credit ratings and history of performance. The Company currently believes the risk of nonperformance is negligible.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58" w:lineRule="exact"/>
        <w:rPr>
          <w:sz w:val="20"/>
          <w:szCs w:val="20"/>
          <w:color w:val="auto"/>
        </w:rPr>
      </w:pPr>
    </w:p>
    <w:p>
      <w:pPr>
        <w:jc w:val="both"/>
        <w:ind w:right="220" w:firstLine="500"/>
        <w:spacing w:after="0" w:line="279" w:lineRule="auto"/>
        <w:rPr>
          <w:sz w:val="20"/>
          <w:szCs w:val="20"/>
          <w:color w:val="auto"/>
        </w:rPr>
      </w:pPr>
      <w:r>
        <w:rPr>
          <w:rFonts w:ascii="Arial" w:cs="Arial" w:eastAsia="Arial" w:hAnsi="Arial"/>
          <w:sz w:val="17"/>
          <w:szCs w:val="17"/>
          <w:color w:val="auto"/>
        </w:rPr>
        <w:t>On June 22, 2016, the Company amended and restated its then existing revolving credit facility with a consortium of commercial banks. The “2016 Refinancing Credit Agreement” provided the Company with a $1.2 billion, five years revolving credit facility and a $400.0 million delayed draw term loan (the “Term Loan”). The Company incurred approximately $3.3 million of deferred financing costs related to the 2016 Refinancing Credit Agreement. The 2016 Refinancing Credit Agreement borrowings bore variable interest rates indexed as described below.</w:t>
      </w:r>
    </w:p>
    <w:p>
      <w:pPr>
        <w:spacing w:after="0" w:line="63"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The Term Loan was initially drawn on November 25, 2016. The Company incurred a 10 basis point commitment fee from June 22, 2016 until the initial draw.</w:t>
      </w:r>
    </w:p>
    <w:p>
      <w:pPr>
        <w:spacing w:after="0" w:line="62"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 per annum, the PNC, N.A. prime rate or the Daily LIBOR Rate plus 100 basis points, plus a margin that ranges from 0 to 75 basis points. The Alternate Rate was based on the quoted rates specific to the applicable currency, plus a margin that ranges from 75 to 175 basis points. Both the Base Rate and Alternate Rate margins were dependent on the Company’s consolidated total indebtedness to EBITDA ratios. The initial Base Rate margin was 0 basis points and the Alternate Rate margin was 175 basis points.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Faiveley Transport Tender Offer</w:t>
      </w:r>
    </w:p>
    <w:p>
      <w:pPr>
        <w:spacing w:after="0" w:line="158"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On November 30, 2016, the Company acquired majority ownership of Faiveley Transport under the terms of the Share Purchase Agreement. The transaction was structured as a set acquisition as follows:</w:t>
      </w:r>
    </w:p>
    <w:p>
      <w:pPr>
        <w:spacing w:after="0" w:line="62" w:lineRule="exact"/>
        <w:rPr>
          <w:sz w:val="20"/>
          <w:szCs w:val="20"/>
          <w:color w:val="auto"/>
        </w:rPr>
      </w:pPr>
    </w:p>
    <w:p>
      <w:pPr>
        <w:ind w:left="980" w:hanging="324"/>
        <w:spacing w:after="0" w:line="25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89" w:lineRule="exact"/>
        <w:rPr>
          <w:rFonts w:ascii="Arial" w:cs="Arial" w:eastAsia="Arial" w:hAnsi="Arial"/>
          <w:sz w:val="18"/>
          <w:szCs w:val="18"/>
          <w:color w:val="auto"/>
        </w:rPr>
      </w:pPr>
    </w:p>
    <w:p>
      <w:pPr>
        <w:ind w:left="980" w:right="220" w:hanging="324"/>
        <w:spacing w:after="0" w:line="28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40" w:hanging="324"/>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3" w:name="page54"/>
    <w:bookmarkEnd w:id="53"/>
    <w:p>
      <w:pPr>
        <w:ind w:left="980" w:right="100"/>
        <w:spacing w:after="0" w:line="264" w:lineRule="auto"/>
        <w:rPr>
          <w:sz w:val="20"/>
          <w:szCs w:val="20"/>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purchase price paid for 100% ownership of Faiveley Transport was $1,507.0 million. The $744.7 million included as deposits in escrow on the consolidated balance sheet at December 31, 2016 was cash designated for use as consideration for the tender offers.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40" w:firstLine="500"/>
        <w:spacing w:after="0" w:line="297" w:lineRule="auto"/>
        <w:rPr>
          <w:sz w:val="20"/>
          <w:szCs w:val="20"/>
          <w:color w:val="auto"/>
        </w:rPr>
      </w:pPr>
      <w:r>
        <w:rPr>
          <w:rFonts w:ascii="Arial" w:cs="Arial" w:eastAsia="Arial" w:hAnsi="Arial"/>
          <w:sz w:val="16"/>
          <w:szCs w:val="16"/>
          <w:color w:val="auto"/>
        </w:rPr>
        <w:t>On February 8, 2016, the Board of Directors amended its stock repurchase authorization to $350 million of the Company’s outstanding shares. This new stock repurchase authorization supersedes the previous authorization of $350 million of which about $33.3 million remained. During the first nine months of 2018, the Company did not repurchase any shares, leaving $137.8 million remaining under the authorization. The Company intends to purchase shares on the open market or in negotiated block trades from time to time depending on market conditions. No time limit was set for the completion of the programs which conforms to the requirements under the 2016 and 2018 Refinancing Credit Agreements, as well as the senior notes currently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Economic and industry conditions</w:t>
      </w:r>
    </w:p>
    <w:p>
      <w:pPr>
        <w:spacing w:after="0" w:line="117" w:lineRule="exact"/>
        <w:rPr>
          <w:sz w:val="20"/>
          <w:szCs w:val="20"/>
          <w:color w:val="auto"/>
        </w:rPr>
      </w:pPr>
    </w:p>
    <w:p>
      <w:pPr>
        <w:ind w:left="980" w:right="5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factors</w:t>
      </w:r>
    </w:p>
    <w:p>
      <w:pPr>
        <w:spacing w:after="0" w:line="11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76" w:right="279" w:bottom="1440" w:gutter="0" w:footer="0" w:header="0"/>
        </w:sectPr>
      </w:pPr>
    </w:p>
    <w:bookmarkStart w:id="54" w:name="page55"/>
    <w:bookmarkEnd w:id="54"/>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1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Competitive factors</w:t>
      </w:r>
    </w:p>
    <w:p>
      <w:pPr>
        <w:spacing w:after="0" w:line="11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Political/governmental factors</w:t>
      </w:r>
    </w:p>
    <w:p>
      <w:pPr>
        <w:spacing w:after="0" w:line="11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225" w:lineRule="exact"/>
        <w:rPr>
          <w:sz w:val="20"/>
          <w:szCs w:val="20"/>
          <w:color w:val="auto"/>
        </w:rPr>
      </w:pPr>
    </w:p>
    <w:p>
      <w:pPr>
        <w:jc w:val="both"/>
        <w:ind w:right="340" w:firstLine="500"/>
        <w:spacing w:after="0" w:line="312"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40" w:firstLine="500"/>
        <w:spacing w:after="0" w:line="302" w:lineRule="auto"/>
        <w:rPr>
          <w:sz w:val="20"/>
          <w:szCs w:val="20"/>
          <w:color w:val="auto"/>
        </w:rPr>
      </w:pPr>
      <w:r>
        <w:rPr>
          <w:rFonts w:ascii="Arial" w:cs="Arial" w:eastAsia="Arial" w:hAnsi="Arial"/>
          <w:sz w:val="16"/>
          <w:szCs w:val="16"/>
          <w:color w:val="auto"/>
        </w:rPr>
        <w:t>A summary of critical accounting policies is included in the Company’s Annual Report on Form 10-K for the year ended December 31, 2017. In particular, judgment is used in areas such as accounts receivable and the allowance for doubtful accounts, inventories, goodwill and indefinite-lived intangibles, warranty reserves, pensions and postretirement benefits, income taxes and revenue recognition. The Company's revenue recognition policy has been updated due to the adoption of ASU No. 2014-09. There have been no other significant changes in accounting policies since December 31, 2017.</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60" w:firstLine="500"/>
        <w:spacing w:after="0" w:line="297" w:lineRule="auto"/>
        <w:rPr>
          <w:sz w:val="20"/>
          <w:szCs w:val="20"/>
          <w:color w:val="auto"/>
        </w:rPr>
      </w:pPr>
      <w:r>
        <w:rPr>
          <w:rFonts w:ascii="Arial" w:cs="Arial" w:eastAsia="Arial" w:hAnsi="Arial"/>
          <w:sz w:val="16"/>
          <w:szCs w:val="16"/>
          <w:color w:val="auto"/>
        </w:rPr>
        <w:t>In the ordinary course of business, Wabtec is exposed to risks that increases in interest rates may adversely affect funding costs associated with its variable-rate debt. The Company’s variable rate debt represents 19% and 38% of total long-term debt at September 30, 2018 and December 31, 2017, respectively. To mitigate the impact of interest rate changes on a portion of this variable-rate debt, the Company entered into forward interest rate swap agreements which convert a portion of the debt from variable to fixed-rate borrowings during the term of the swap contract. Refer to Note 8 – Long Term Debt of “Notes to Condensed Consolidated Financial Statements” for additional information regarding interest rate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color w:val="auto"/>
        </w:rPr>
        <w:t>The Company is subject to certain risks associated with changes in foreign currency exchange rates to the extent our operations are conducted in currencies other than the U.S. dollar. For the first nine months of 2018, approximately 34% of Wabtec’s net sales were to customers in the United States, 8% in the United Kingdom, 7% in Germany, 6% in Canada, 5% in France, 5% in Mexico 4% in Italy, 4% in India, 4% in China, 4% in Australia, and 19% in other international locations. To mitigate the impact of changes in currency exchange rates, the Company has periodically entered into foreign currency forward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sectPr>
      </w:pPr>
    </w:p>
    <w:bookmarkStart w:id="55" w:name="page56"/>
    <w:bookmarkEnd w:id="55"/>
    <w:p>
      <w:pPr>
        <w:ind w:right="760"/>
        <w:spacing w:after="0" w:line="277" w:lineRule="auto"/>
        <w:rPr>
          <w:sz w:val="20"/>
          <w:szCs w:val="20"/>
          <w:color w:val="auto"/>
        </w:rPr>
      </w:pPr>
      <w:r>
        <w:rPr>
          <w:rFonts w:ascii="Arial" w:cs="Arial" w:eastAsia="Arial" w:hAnsi="Arial"/>
          <w:sz w:val="18"/>
          <w:szCs w:val="18"/>
          <w:color w:val="auto"/>
        </w:rPr>
        <w:t>contracts. Refer to “Financial Derivatives and Hedging Activities” in Note 2 of “Notes to Condensed Consolidated Financial Statements” for more information regarding foreign currency exchange risk.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September 30, 2018.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89"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September 30, 2018, that has materially affected, or is reasonably likely to materially affect, Wabtec’s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76"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firstLine="500"/>
        <w:spacing w:after="0" w:line="277" w:lineRule="auto"/>
        <w:rPr>
          <w:sz w:val="20"/>
          <w:szCs w:val="20"/>
          <w:color w:val="auto"/>
        </w:rPr>
      </w:pPr>
      <w:r>
        <w:rPr>
          <w:rFonts w:ascii="Arial" w:cs="Arial" w:eastAsia="Arial" w:hAnsi="Arial"/>
          <w:sz w:val="18"/>
          <w:szCs w:val="18"/>
          <w:color w:val="auto"/>
        </w:rPr>
        <w:t>Except as described below, there have been no material changes regarding the Company’s commitments and contingencies as described in Note 19 of the Company’s Annual Report on Form 10-K for the year ended December 31, 2017.</w:t>
      </w:r>
    </w:p>
    <w:p>
      <w:pPr>
        <w:spacing w:after="0" w:line="170" w:lineRule="exact"/>
        <w:rPr>
          <w:sz w:val="20"/>
          <w:szCs w:val="20"/>
          <w:color w:val="auto"/>
        </w:rPr>
      </w:pPr>
    </w:p>
    <w:p>
      <w:pPr>
        <w:ind w:right="20" w:firstLine="500"/>
        <w:spacing w:after="0" w:line="291"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has infringed seven patents owned by Siemens, all of which relate to Positive Train Control technology. On November 2, 2016, Siemens amended its complaint to add six additional patents they also claim are infringed by the Company’s Positive Train Control Products. The Company has filed Answers, and asserted counterclaims, in response to Siemens’ complaints. Additionally, after filings by the Company, the US Patent &amp; Trademark Office has granted Inter-Parties Review proceedings on ten (10) of the patents asserted by Siemens to contest their validity; the hearings began in April 2018 and will continue through November 2018. As of October 24, 2018, the USPTO has issued a decision in only one of the IPR hearings, finding the Siemens patent claims at issue in that hearing to be invalid. Despite the pendency of the remaining IPR proceedings, a trial is scheduled for January 19, 2019 on Siemens’ infringement claims.</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Wabtec’s counterclaims alleging that Siemens has violated three (3) of Wabtec’s patents have been severed from the initial case and are now a separate case pending in federal district court in Delaware. On August 1, 2018, Wabtec’s motion for a preliminary injunction against Siemens was denied after a hearing. On July 19, 2018, Siemens moved to amend its pleadings in this case to add new counterclaims alleging violations of federal antitrust and state trade practices laws; Siemens’ motion to amend was granted on October 3, 2018. Wabtec will file responsive pleadings and/or motions.</w:t>
      </w:r>
    </w:p>
    <w:p>
      <w:pPr>
        <w:spacing w:after="0" w:line="15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(“Denver Transit”)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Denver Transit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Denver Transit has alleged that the delay is due to Xorail's failure to achieve constant warning times for the crossings in accordance with the approval requirements imposed by the FRA and PUC. Xorail has denied Denver Transit's assertions, asserting that its system satisfied the contractual requirements. No formal claim has been filed against Xorail by Denver Transit. Xorail has worked with Denver Transit to modify its system to meet the FRA's and PUC's previously undefined approval requirements. On September 28, 2017, the FRA granted a five year approval of the modified wireless crossing system as currently implemented. On March 28, 2018, the PUC granted its approval of the modified wireless crossing system as currently implemented, consistent with the approval previously granted by the FRA. In August 2018, Denver Transit completed the process of certifying the crossings and eliminating the use of flaggers. On September 21, 2018, DTC filed a complaint against RTD in Colorado state court for breach of contract related to non-payments and the costs for the flaggers, asserting a change-in-law arising from the FRA/PUC’s new certification requirements. The complaint generally supports Xorail’s position and does not name or implicate Xorail.</w:t>
      </w:r>
    </w:p>
    <w:p>
      <w:pPr>
        <w:spacing w:after="0" w:line="191" w:lineRule="exact"/>
        <w:rPr>
          <w:sz w:val="20"/>
          <w:szCs w:val="20"/>
          <w:color w:val="auto"/>
        </w:rPr>
      </w:pPr>
    </w:p>
    <w:p>
      <w:pPr>
        <w:ind w:right="20" w:firstLine="648"/>
        <w:spacing w:after="0" w:line="306" w:lineRule="auto"/>
        <w:rPr>
          <w:sz w:val="20"/>
          <w:szCs w:val="20"/>
          <w:color w:val="auto"/>
        </w:rPr>
      </w:pPr>
      <w:r>
        <w:rPr>
          <w:rFonts w:ascii="Arial" w:cs="Arial" w:eastAsia="Arial" w:hAnsi="Arial"/>
          <w:sz w:val="16"/>
          <w:szCs w:val="16"/>
          <w:color w:val="auto"/>
        </w:rPr>
        <w:t>On April 3, 2018, the United States Department of Justice entered into a proposed consent decree resolving allegations that the Company and Knorr-Bremse AG had maintained unlawful agreements not to compete for each other’s employees. The allegations also related to Faiveley Transport before it was acquired by the Company in November 2016. The proposed consent decree is pending review and approval by the U.S. District Court for the District of Columbia. No monetary fines or penalties have been imposed on the Company. The Company elected to settle this matter with the Department of Justice to avoid the cost and distraction of litigation. As of July 16, 2018, putative class action lawsuits have been filed in several different federal district courts naming the Company and Knorr as defendants in connection with the allegations contained in the proposed consent decree. The lawsuits seek unspecified damages on behalf of employees of the Company (including Faiveley Transport) and Knorr allegedly caused by the defendants’ actions. A federal Multi-District Litigation (MDL) Panel decided that cases will be consolidated and heard in the Western District of Pennsylvania. As of October 15, 2018, a total of at least 30 plaintiffs have filed class action claims relating to the alleged conspiracy. The litigation is in its very early stages and the Company does not believe that it has diminished competition for talent in the marketplace and intends to contest these claims vigorously.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240" w:top="364" w:right="559" w:bottom="1440" w:gutter="0" w:footer="0" w:header="0"/>
        </w:sectPr>
      </w:pPr>
    </w:p>
    <w:bookmarkStart w:id="58" w:name="page59"/>
    <w:bookmarkEnd w:id="58"/>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September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 as</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 of Publicly</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Price Paid</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Month</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 Share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Programs (1)</w:t>
            </w: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Programs (1)</w:t>
            </w:r>
          </w:p>
        </w:tc>
      </w:tr>
      <w:tr>
        <w:trPr>
          <w:trHeight w:val="27"/>
        </w:trPr>
        <w:tc>
          <w:tcPr>
            <w:tcW w:w="3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July 2018</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August 2018</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September 2018</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Total quarter ended September 30, 2018</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February 9, 2016, the Board of Directors amended its stock repurchase authorization to $350.0 million of the Company’s outstanding shares. No time limit was set for the completion of the programs which conforms to the requirements under the 2016 and 2018 Refinancing Credit Agreements, as well as the senior notes currently outstanding.</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report: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2.1</w:t>
            </w:r>
          </w:p>
        </w:tc>
        <w:tc>
          <w:tcPr>
            <w:tcW w:w="9300" w:type="dxa"/>
            <w:vAlign w:val="bottom"/>
            <w:tcBorders>
              <w:bottom w:val="single" w:sz="8" w:color="0000FF"/>
            </w:tcBorders>
            <w:gridSpan w:val="8"/>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Ninth Supplemental Indenture, dated September 14, 2018, by and among Westinghouse Air Brake Technologies Corporation, the</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32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subsidiary guarantors named therein and Wells Fargo Bank, National Association, as Trustee (incorporated herein by reference to</w:t>
              </w:r>
            </w:hyperlink>
          </w:p>
        </w:tc>
      </w:tr>
      <w:tr>
        <w:trPr>
          <w:trHeight w:val="196"/>
        </w:trPr>
        <w:tc>
          <w:tcPr>
            <w:tcW w:w="1480" w:type="dxa"/>
            <w:vAlign w:val="bottom"/>
          </w:tcPr>
          <w:p>
            <w:pPr>
              <w:spacing w:after="0"/>
              <w:rPr>
                <w:sz w:val="17"/>
                <w:szCs w:val="17"/>
                <w:color w:val="auto"/>
              </w:rPr>
            </w:pPr>
          </w:p>
        </w:tc>
        <w:tc>
          <w:tcPr>
            <w:tcW w:w="9320" w:type="dxa"/>
            <w:vAlign w:val="bottom"/>
            <w:gridSpan w:val="9"/>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Exhibit 4.3 to the Company's Current Report on Form 8-K filed on September 14, 2018).</w:t>
              </w:r>
            </w:hyperlink>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2.2</w:t>
            </w:r>
          </w:p>
        </w:tc>
        <w:tc>
          <w:tcPr>
            <w:tcW w:w="6400" w:type="dxa"/>
            <w:vAlign w:val="bottom"/>
            <w:tcBorders>
              <w:top w:val="single" w:sz="8" w:color="0000FF"/>
            </w:tcBorders>
            <w:gridSpan w:val="7"/>
          </w:tcPr>
          <w:p>
            <w:pPr>
              <w:spacing w:after="0"/>
              <w:rPr>
                <w:rFonts w:ascii="Arial" w:cs="Arial" w:eastAsia="Arial" w:hAnsi="Arial"/>
                <w:sz w:val="18"/>
                <w:szCs w:val="18"/>
                <w:color w:val="0000FF"/>
              </w:rPr>
            </w:pPr>
            <w:hyperlink r:id="rId16">
              <w:r>
                <w:rPr>
                  <w:rFonts w:ascii="Arial" w:cs="Arial" w:eastAsia="Arial" w:hAnsi="Arial"/>
                  <w:sz w:val="18"/>
                  <w:szCs w:val="18"/>
                  <w:color w:val="0000FF"/>
                </w:rPr>
                <w:t>Form of Floating Rate Senior Note due 2021 (included in Exhibit 2.1).</w:t>
              </w:r>
            </w:hyperlink>
          </w:p>
        </w:tc>
        <w:tc>
          <w:tcPr>
            <w:tcW w:w="2920" w:type="dxa"/>
            <w:vAlign w:val="bottom"/>
            <w:gridSpan w:val="2"/>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2.3</w:t>
            </w:r>
          </w:p>
        </w:tc>
        <w:tc>
          <w:tcPr>
            <w:tcW w:w="46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Form of 4.150% Senior Note due 2024 (included in Exhibit 2.1).</w:t>
              </w:r>
            </w:hyperlink>
          </w:p>
        </w:tc>
        <w:tc>
          <w:tcPr>
            <w:tcW w:w="400" w:type="dxa"/>
            <w:vAlign w:val="bottom"/>
            <w:tcBorders>
              <w:top w:val="single" w:sz="8" w:color="0000FF"/>
            </w:tcBorders>
          </w:tcPr>
          <w:p>
            <w:pPr>
              <w:spacing w:after="0"/>
              <w:rPr>
                <w:sz w:val="24"/>
                <w:szCs w:val="24"/>
                <w:color w:val="auto"/>
              </w:rPr>
            </w:pPr>
          </w:p>
        </w:tc>
        <w:tc>
          <w:tcPr>
            <w:tcW w:w="4240" w:type="dxa"/>
            <w:vAlign w:val="bottom"/>
            <w:gridSpan w:val="4"/>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2.4</w:t>
            </w:r>
          </w:p>
        </w:tc>
        <w:tc>
          <w:tcPr>
            <w:tcW w:w="9320" w:type="dxa"/>
            <w:vAlign w:val="bottom"/>
            <w:gridSpan w:val="9"/>
          </w:tcPr>
          <w:p>
            <w:pPr>
              <w:spacing w:after="0"/>
              <w:rPr>
                <w:rFonts w:ascii="Arial" w:cs="Arial" w:eastAsia="Arial" w:hAnsi="Arial"/>
                <w:sz w:val="18"/>
                <w:szCs w:val="18"/>
                <w:color w:val="0000FF"/>
              </w:rPr>
            </w:pPr>
            <w:hyperlink r:id="rId16">
              <w:r>
                <w:rPr>
                  <w:rFonts w:ascii="Arial" w:cs="Arial" w:eastAsia="Arial" w:hAnsi="Arial"/>
                  <w:sz w:val="18"/>
                  <w:szCs w:val="18"/>
                  <w:color w:val="0000FF"/>
                </w:rPr>
                <w:t>Form of 4.700% Senior Note due 2028 (included in Exhibit 2.1).</w:t>
              </w:r>
            </w:hyperlink>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2.5</w:t>
            </w:r>
          </w:p>
        </w:tc>
        <w:tc>
          <w:tcPr>
            <w:tcW w:w="4660" w:type="dxa"/>
            <w:vAlign w:val="bottom"/>
            <w:tcBorders>
              <w:top w:val="single" w:sz="8" w:color="0000FF"/>
            </w:tcBorders>
            <w:gridSpan w:val="3"/>
          </w:tcPr>
          <w:p>
            <w:pPr>
              <w:spacing w:after="0"/>
              <w:rPr>
                <w:rFonts w:ascii="Arial" w:cs="Arial" w:eastAsia="Arial" w:hAnsi="Arial"/>
                <w:sz w:val="18"/>
                <w:szCs w:val="18"/>
                <w:color w:val="0000FF"/>
              </w:rPr>
            </w:pPr>
            <w:hyperlink r:id="rId16">
              <w:r>
                <w:rPr>
                  <w:rFonts w:ascii="Arial" w:cs="Arial" w:eastAsia="Arial" w:hAnsi="Arial"/>
                  <w:sz w:val="18"/>
                  <w:szCs w:val="18"/>
                  <w:color w:val="0000FF"/>
                </w:rPr>
                <w:t>Form of Notation of Guaranty (included in Exhibit 2.1).</w:t>
              </w:r>
            </w:hyperlink>
          </w:p>
        </w:tc>
        <w:tc>
          <w:tcPr>
            <w:tcW w:w="4660" w:type="dxa"/>
            <w:vAlign w:val="bottom"/>
            <w:gridSpan w:val="6"/>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4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320" w:type="dxa"/>
            <w:vAlign w:val="bottom"/>
            <w:gridSpan w:val="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Rule 13a-14(a) Certification of Chief Executive Officer.</w:t>
              </w:r>
            </w:hyperlink>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402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Rule 13a-14(a) Certification of Chief Financial Officer.</w:t>
              </w:r>
            </w:hyperlink>
          </w:p>
        </w:tc>
        <w:tc>
          <w:tcPr>
            <w:tcW w:w="20" w:type="dxa"/>
            <w:vAlign w:val="bottom"/>
            <w:tcBorders>
              <w:top w:val="single" w:sz="8" w:color="0000FF"/>
            </w:tcBorders>
          </w:tcPr>
          <w:p>
            <w:pPr>
              <w:spacing w:after="0"/>
              <w:rPr>
                <w:sz w:val="24"/>
                <w:szCs w:val="24"/>
                <w:color w:val="auto"/>
              </w:rPr>
            </w:pPr>
          </w:p>
        </w:tc>
        <w:tc>
          <w:tcPr>
            <w:tcW w:w="5280" w:type="dxa"/>
            <w:vAlign w:val="bottom"/>
            <w:gridSpan w:val="7"/>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32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Section 1350 Certification of Chief Executive Officer and Chief Financial Officer.</w:t>
              </w:r>
            </w:hyperlink>
          </w:p>
        </w:tc>
      </w:tr>
      <w:tr>
        <w:trPr>
          <w:trHeight w:val="412"/>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59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3400" w:type="dxa"/>
            <w:vAlign w:val="bottom"/>
            <w:gridSpan w:val="3"/>
          </w:tcPr>
          <w:p>
            <w:pPr>
              <w:spacing w:after="0"/>
              <w:rPr>
                <w:sz w:val="24"/>
                <w:szCs w:val="24"/>
                <w:color w:val="auto"/>
              </w:rPr>
            </w:pP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right="140" w:firstLine="8"/>
        <w:spacing w:after="0" w:line="277" w:lineRule="auto"/>
        <w:tabs>
          <w:tab w:leader="none" w:pos="1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Wabtec hereby undertakes to furnish supplementally, copies of any of the omitted schedules upon request by the SEC.</w:t>
      </w:r>
    </w:p>
    <w:p>
      <w:pPr>
        <w:sectPr>
          <w:pgSz w:w="11900" w:h="16838" w:orient="portrait"/>
          <w:cols w:equalWidth="0" w:num="1">
            <w:col w:w="11340"/>
          </w:cols>
          <w:pgMar w:left="240" w:top="364" w:right="31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40"/>
          </w:cols>
          <w:pgMar w:left="240" w:top="364" w:right="319" w:bottom="1440" w:gutter="0" w:footer="0" w:header="0"/>
          <w:type w:val="continuous"/>
        </w:sectPr>
      </w:pPr>
    </w:p>
    <w:bookmarkStart w:id="59" w:name="page60"/>
    <w:bookmarkEnd w:id="59"/>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WESTINGHOUSE AIR BRAKE TECHNOLOGIES CORPORATION</w:t>
      </w:r>
    </w:p>
    <w:p>
      <w:pPr>
        <w:spacing w:after="0" w:line="196" w:lineRule="exact"/>
        <w:rPr>
          <w:sz w:val="20"/>
          <w:szCs w:val="20"/>
          <w:color w:val="auto"/>
        </w:rPr>
      </w:pPr>
    </w:p>
    <w:p>
      <w:pPr>
        <w:ind w:left="610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31750</wp:posOffset>
            </wp:positionV>
            <wp:extent cx="2881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0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Patrick D. Dugan,</w:t>
      </w:r>
    </w:p>
    <w:p>
      <w:pPr>
        <w:spacing w:after="0" w:line="42"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Executive Vice President and</w:t>
      </w:r>
    </w:p>
    <w:p>
      <w:pPr>
        <w:spacing w:after="0" w:line="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Chief Financial Officer</w:t>
      </w:r>
    </w:p>
    <w:p>
      <w:pPr>
        <w:spacing w:after="0" w:line="33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60"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2018</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364" w:right="4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T. Betler, certify that:</w:t>
      </w:r>
    </w:p>
    <w:p>
      <w:pPr>
        <w:spacing w:after="0" w:line="117" w:lineRule="exact"/>
        <w:rPr>
          <w:sz w:val="20"/>
          <w:szCs w:val="20"/>
          <w:color w:val="auto"/>
        </w:rPr>
      </w:pPr>
    </w:p>
    <w:p>
      <w:pPr>
        <w:ind w:left="680" w:hanging="1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right="260" w:firstLine="508"/>
        <w:spacing w:after="0" w:line="26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220" w:firstLine="508"/>
        <w:spacing w:after="0" w:line="308"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30,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/s/  RAYMOND T. BETLER</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Raymond T. Betler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right="260" w:firstLine="508"/>
        <w:spacing w:after="0" w:line="264"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220" w:firstLine="508"/>
        <w:spacing w:after="0" w:line="308"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30,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September 30, 2018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AYMOND</w:t>
            </w:r>
            <w:r>
              <w:rPr>
                <w:rFonts w:ascii="Arial" w:cs="Arial" w:eastAsia="Arial" w:hAnsi="Arial"/>
                <w:sz w:val="18"/>
                <w:szCs w:val="18"/>
                <w:color w:val="auto"/>
              </w:rPr>
              <w:t xml:space="preserve"> T. B</w:t>
            </w:r>
            <w:r>
              <w:rPr>
                <w:rFonts w:ascii="Arial" w:cs="Arial" w:eastAsia="Arial" w:hAnsi="Arial"/>
                <w:sz w:val="14"/>
                <w:szCs w:val="14"/>
                <w:color w:val="auto"/>
              </w:rPr>
              <w:t>ETLER</w:t>
            </w:r>
          </w:p>
        </w:tc>
      </w:tr>
      <w:tr>
        <w:trPr>
          <w:trHeight w:val="27"/>
        </w:trPr>
        <w:tc>
          <w:tcPr>
            <w:tcW w:w="146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46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Raymond T. Betler</w:t>
            </w:r>
          </w:p>
        </w:tc>
      </w:tr>
      <w:tr>
        <w:trPr>
          <w:trHeight w:val="186"/>
        </w:trPr>
        <w:tc>
          <w:tcPr>
            <w:tcW w:w="146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539"/>
        </w:trPr>
        <w:tc>
          <w:tcPr>
            <w:tcW w:w="1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October 30, 2018</w:t>
            </w:r>
          </w:p>
        </w:tc>
      </w:tr>
      <w:tr>
        <w:trPr>
          <w:trHeight w:val="554"/>
        </w:trPr>
        <w:tc>
          <w:tcPr>
            <w:tcW w:w="14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46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46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46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579"/>
        </w:trPr>
        <w:tc>
          <w:tcPr>
            <w:tcW w:w="1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October 30, 2018</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6" Type="http://schemas.openxmlformats.org/officeDocument/2006/relationships/hyperlink" Target="http://www.sec.gov/Archives/edgar/data/943452/000114036118038440/s002426x14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2019-12-28T18:55:47Z</dcterms:created>
  <dcterms:modified xsi:type="dcterms:W3CDTF">2019-12-28T18:55:47Z</dcterms:modified>
</cp:coreProperties>
</file>