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1" w:lineRule="exact"/>
        <w:rPr>
          <w:sz w:val="24"/>
          <w:szCs w:val="24"/>
          <w:color w:val="auto"/>
        </w:rPr>
      </w:pPr>
    </w:p>
    <w:p>
      <w:pPr>
        <w:ind w:left="840" w:hanging="800"/>
        <w:spacing w:after="0"/>
        <w:tabs>
          <w:tab w:leader="none" w:pos="8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5"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 w:lineRule="exact"/>
        <w:rPr>
          <w:sz w:val="24"/>
          <w:szCs w:val="24"/>
          <w:color w:val="auto"/>
        </w:rPr>
      </w:pPr>
    </w:p>
    <w:p>
      <w:pPr>
        <w:ind w:left="840" w:hanging="800"/>
        <w:spacing w:after="0"/>
        <w:tabs>
          <w:tab w:leader="none" w:pos="84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44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00" w:type="dxa"/>
            <w:vAlign w:val="bottom"/>
            <w:tcBorders>
              <w:bottom w:val="single" w:sz="8" w:color="auto"/>
            </w:tcBorders>
          </w:tcPr>
          <w:p>
            <w:pPr>
              <w:spacing w:after="0"/>
              <w:rPr>
                <w:sz w:val="13"/>
                <w:szCs w:val="1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r>
        <w:trPr>
          <w:trHeight w:val="181"/>
        </w:trPr>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Commission file number 033-90866</w:t>
            </w:r>
          </w:p>
        </w:tc>
        <w:tc>
          <w:tcPr>
            <w:tcW w:w="1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4396740</wp:posOffset>
            </wp:positionH>
            <wp:positionV relativeFrom="paragraph">
              <wp:posOffset>-127000</wp:posOffset>
            </wp:positionV>
            <wp:extent cx="2470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WESTINGHOUSE AIR BRAKE TECHNOLOGIES CORPORATION</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jc w:val="center"/>
              <w:ind w:left="1717"/>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25-1615902</w:t>
            </w:r>
          </w:p>
        </w:tc>
        <w:tc>
          <w:tcPr>
            <w:tcW w:w="0" w:type="dxa"/>
            <w:vAlign w:val="bottom"/>
          </w:tcPr>
          <w:p>
            <w:pPr>
              <w:spacing w:after="0"/>
              <w:rPr>
                <w:sz w:val="1"/>
                <w:szCs w:val="1"/>
                <w:color w:val="auto"/>
              </w:rPr>
            </w:pPr>
          </w:p>
        </w:tc>
      </w:tr>
      <w:tr>
        <w:trPr>
          <w:trHeight w:val="117"/>
        </w:trPr>
        <w:tc>
          <w:tcPr>
            <w:tcW w:w="3900" w:type="dxa"/>
            <w:vAlign w:val="bottom"/>
          </w:tcPr>
          <w:p>
            <w:pPr>
              <w:jc w:val="center"/>
              <w:ind w:left="1717"/>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160" w:type="dxa"/>
            <w:vAlign w:val="bottom"/>
          </w:tcPr>
          <w:p>
            <w:pPr>
              <w:jc w:val="center"/>
              <w:ind w:right="439"/>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900" w:type="dxa"/>
            <w:vAlign w:val="bottom"/>
          </w:tcPr>
          <w:p>
            <w:pPr>
              <w:jc w:val="center"/>
              <w:ind w:left="1717"/>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tcPr>
          <w:p>
            <w:pPr>
              <w:jc w:val="center"/>
              <w:ind w:right="419"/>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42"/>
        </w:trPr>
        <w:tc>
          <w:tcPr>
            <w:tcW w:w="3900" w:type="dxa"/>
            <w:vAlign w:val="bottom"/>
          </w:tcPr>
          <w:p>
            <w:pPr>
              <w:jc w:val="center"/>
              <w:ind w:left="1677"/>
              <w:spacing w:after="0"/>
              <w:rPr>
                <w:sz w:val="20"/>
                <w:szCs w:val="20"/>
                <w:color w:val="auto"/>
              </w:rPr>
            </w:pPr>
            <w:r>
              <w:rPr>
                <w:rFonts w:ascii="Times New Roman" w:cs="Times New Roman" w:eastAsia="Times New Roman" w:hAnsi="Times New Roman"/>
                <w:sz w:val="14"/>
                <w:szCs w:val="14"/>
                <w:b w:val="1"/>
                <w:bCs w:val="1"/>
                <w:color w:val="auto"/>
              </w:rPr>
              <w:t>30 Isabella Street</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60" w:type="dxa"/>
            <w:vAlign w:val="bottom"/>
            <w:vMerge w:val="restart"/>
          </w:tcPr>
          <w:p>
            <w:pPr>
              <w:jc w:val="right"/>
              <w:ind w:right="2339"/>
              <w:spacing w:after="0"/>
              <w:rPr>
                <w:sz w:val="20"/>
                <w:szCs w:val="20"/>
                <w:color w:val="auto"/>
              </w:rPr>
            </w:pPr>
            <w:r>
              <w:rPr>
                <w:rFonts w:ascii="Times New Roman" w:cs="Times New Roman" w:eastAsia="Times New Roman" w:hAnsi="Times New Roman"/>
                <w:sz w:val="14"/>
                <w:szCs w:val="14"/>
                <w:b w:val="1"/>
                <w:bCs w:val="1"/>
                <w:color w:val="auto"/>
              </w:rPr>
              <w:t>(412) 825-1000</w:t>
            </w:r>
          </w:p>
        </w:tc>
        <w:tc>
          <w:tcPr>
            <w:tcW w:w="0" w:type="dxa"/>
            <w:vAlign w:val="bottom"/>
          </w:tcPr>
          <w:p>
            <w:pPr>
              <w:spacing w:after="0"/>
              <w:rPr>
                <w:sz w:val="1"/>
                <w:szCs w:val="1"/>
                <w:color w:val="auto"/>
              </w:rPr>
            </w:pPr>
          </w:p>
        </w:tc>
      </w:tr>
      <w:tr>
        <w:trPr>
          <w:trHeight w:val="182"/>
        </w:trPr>
        <w:tc>
          <w:tcPr>
            <w:tcW w:w="3900" w:type="dxa"/>
            <w:vAlign w:val="bottom"/>
          </w:tcPr>
          <w:p>
            <w:pPr>
              <w:jc w:val="center"/>
              <w:ind w:left="1657"/>
              <w:spacing w:after="0"/>
              <w:rPr>
                <w:sz w:val="20"/>
                <w:szCs w:val="20"/>
                <w:color w:val="auto"/>
              </w:rPr>
            </w:pPr>
            <w:r>
              <w:rPr>
                <w:rFonts w:ascii="Times New Roman" w:cs="Times New Roman" w:eastAsia="Times New Roman" w:hAnsi="Times New Roman"/>
                <w:sz w:val="14"/>
                <w:szCs w:val="14"/>
                <w:b w:val="1"/>
                <w:bCs w:val="1"/>
                <w:color w:val="auto"/>
              </w:rPr>
              <w:t>Pittsburgh, Pennsylvania 15212</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tcPr>
          <w:p>
            <w:pPr>
              <w:jc w:val="center"/>
              <w:ind w:right="459"/>
              <w:spacing w:after="0"/>
              <w:rPr>
                <w:sz w:val="20"/>
                <w:szCs w:val="20"/>
                <w:color w:val="auto"/>
              </w:rPr>
            </w:pPr>
            <w:r>
              <w:rPr>
                <w:rFonts w:ascii="Times New Roman" w:cs="Times New Roman" w:eastAsia="Times New Roman" w:hAnsi="Times New Roman"/>
                <w:sz w:val="11"/>
                <w:szCs w:val="11"/>
                <w:b w:val="1"/>
                <w:bCs w:val="1"/>
                <w:color w:val="auto"/>
              </w:rPr>
              <w:t>(Registrant’s telephone number)</w:t>
            </w: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2220" w:type="dxa"/>
            <w:vAlign w:val="bottom"/>
            <w:tcBorders>
              <w:bottom w:val="single" w:sz="8" w:color="auto"/>
            </w:tcBorders>
            <w:gridSpan w:val="3"/>
          </w:tcPr>
          <w:p>
            <w:pPr>
              <w:jc w:val="center"/>
              <w:ind w:left="1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5160" w:type="dxa"/>
            <w:vAlign w:val="bottom"/>
            <w:tcBorders>
              <w:bottom w:val="single" w:sz="8" w:color="auto"/>
            </w:tcBorders>
          </w:tcPr>
          <w:p>
            <w:pPr>
              <w:jc w:val="center"/>
              <w:ind w:left="1339"/>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c>
          <w:tcPr>
            <w:tcW w:w="0" w:type="dxa"/>
            <w:vAlign w:val="bottom"/>
          </w:tcPr>
          <w:p>
            <w:pPr>
              <w:spacing w:after="0"/>
              <w:rPr>
                <w:sz w:val="1"/>
                <w:szCs w:val="1"/>
                <w:color w:val="auto"/>
              </w:rPr>
            </w:pPr>
          </w:p>
        </w:tc>
      </w:tr>
      <w:tr>
        <w:trPr>
          <w:trHeight w:val="149"/>
        </w:trPr>
        <w:tc>
          <w:tcPr>
            <w:tcW w:w="3900" w:type="dxa"/>
            <w:vAlign w:val="bottom"/>
          </w:tcPr>
          <w:p>
            <w:pPr>
              <w:jc w:val="center"/>
              <w:ind w:right="77"/>
              <w:spacing w:after="0"/>
              <w:rPr>
                <w:sz w:val="20"/>
                <w:szCs w:val="20"/>
                <w:color w:val="auto"/>
              </w:rPr>
            </w:pPr>
            <w:r>
              <w:rPr>
                <w:rFonts w:ascii="Times New Roman" w:cs="Times New Roman" w:eastAsia="Times New Roman" w:hAnsi="Times New Roman"/>
                <w:sz w:val="12"/>
                <w:szCs w:val="12"/>
                <w:color w:val="auto"/>
                <w:w w:val="99"/>
              </w:rPr>
              <w:t>Common Stock, par value $.01 per share</w:t>
            </w:r>
          </w:p>
        </w:tc>
        <w:tc>
          <w:tcPr>
            <w:tcW w:w="2040" w:type="dxa"/>
            <w:vAlign w:val="bottom"/>
            <w:gridSpan w:val="2"/>
          </w:tcPr>
          <w:p>
            <w:pPr>
              <w:jc w:val="center"/>
              <w:ind w:left="1400"/>
              <w:spacing w:after="0"/>
              <w:rPr>
                <w:sz w:val="20"/>
                <w:szCs w:val="20"/>
                <w:color w:val="auto"/>
              </w:rPr>
            </w:pPr>
            <w:r>
              <w:rPr>
                <w:rFonts w:ascii="Times New Roman" w:cs="Times New Roman" w:eastAsia="Times New Roman" w:hAnsi="Times New Roman"/>
                <w:sz w:val="12"/>
                <w:szCs w:val="12"/>
                <w:color w:val="auto"/>
                <w:w w:val="92"/>
              </w:rPr>
              <w:t>WAB</w:t>
            </w:r>
          </w:p>
        </w:tc>
        <w:tc>
          <w:tcPr>
            <w:tcW w:w="180" w:type="dxa"/>
            <w:vAlign w:val="bottom"/>
          </w:tcPr>
          <w:p>
            <w:pPr>
              <w:spacing w:after="0"/>
              <w:rPr>
                <w:sz w:val="12"/>
                <w:szCs w:val="12"/>
                <w:color w:val="auto"/>
              </w:rPr>
            </w:pPr>
          </w:p>
        </w:tc>
        <w:tc>
          <w:tcPr>
            <w:tcW w:w="5160" w:type="dxa"/>
            <w:vAlign w:val="bottom"/>
          </w:tcPr>
          <w:p>
            <w:pPr>
              <w:jc w:val="center"/>
              <w:ind w:left="1359"/>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73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98"/>
        </w:trPr>
        <w:tc>
          <w:tcPr>
            <w:tcW w:w="5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85"/>
              </w:rPr>
              <w:t>Yes</w:t>
            </w:r>
          </w:p>
        </w:tc>
        <w:tc>
          <w:tcPr>
            <w:tcW w:w="180" w:type="dxa"/>
            <w:vAlign w:val="bottom"/>
          </w:tcPr>
          <w:p>
            <w:pPr>
              <w:ind w:left="60"/>
              <w:spacing w:after="0" w:line="121" w:lineRule="exact"/>
              <w:rPr>
                <w:sz w:val="20"/>
                <w:szCs w:val="20"/>
                <w:color w:val="auto"/>
              </w:rPr>
            </w:pPr>
            <w:r>
              <w:rPr>
                <w:rFonts w:ascii="MS PGothic" w:cs="MS PGothic" w:eastAsia="MS PGothic" w:hAnsi="MS PGothic"/>
                <w:sz w:val="12"/>
                <w:szCs w:val="12"/>
                <w:color w:val="auto"/>
                <w:highlight w:val="black"/>
                <w:w w:val="82"/>
              </w:rPr>
              <w:t>☒</w:t>
            </w:r>
          </w:p>
        </w:tc>
        <w:tc>
          <w:tcPr>
            <w:tcW w:w="5160" w:type="dxa"/>
            <w:vAlign w:val="bottom"/>
          </w:tcPr>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2"/>
        </w:trPr>
        <w:tc>
          <w:tcPr>
            <w:tcW w:w="5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15(d) of the Act.  Yes</w:t>
            </w:r>
          </w:p>
        </w:tc>
        <w:tc>
          <w:tcPr>
            <w:tcW w:w="26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No</w:t>
            </w:r>
          </w:p>
        </w:tc>
        <w:tc>
          <w:tcPr>
            <w:tcW w:w="5160" w:type="dxa"/>
            <w:vAlign w:val="bottom"/>
          </w:tcPr>
          <w:p>
            <w:pPr>
              <w:ind w:left="20"/>
              <w:spacing w:after="0" w:line="138" w:lineRule="exact"/>
              <w:rPr>
                <w:sz w:val="20"/>
                <w:szCs w:val="20"/>
                <w:color w:val="auto"/>
              </w:rPr>
            </w:pP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highlight w:val="black"/>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4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9" w:lineRule="exact"/>
        <w:rPr>
          <w:sz w:val="24"/>
          <w:szCs w:val="24"/>
          <w:color w:val="auto"/>
        </w:rPr>
      </w:pPr>
    </w:p>
    <w:p>
      <w:pPr>
        <w:ind w:right="380"/>
        <w:spacing w:after="0" w:line="26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7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highlight w:val="black"/>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filer</w:t>
            </w:r>
          </w:p>
        </w:tc>
        <w:tc>
          <w:tcPr>
            <w:tcW w:w="76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1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Non-accelerated filer</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5"/>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7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6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100" w:lineRule="exact"/>
        <w:rPr>
          <w:sz w:val="24"/>
          <w:szCs w:val="24"/>
          <w:color w:val="auto"/>
        </w:rPr>
      </w:pPr>
    </w:p>
    <w:p>
      <w:pPr>
        <w:ind w:right="60"/>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highlight w:val="black"/>
        </w:rPr>
        <w:t>☒</w:t>
      </w:r>
    </w:p>
    <w:p>
      <w:pPr>
        <w:spacing w:after="0" w:line="18"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38" w:lineRule="exact"/>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highlight w:val="black"/>
        </w:rPr>
        <w:t>.</w:t>
      </w:r>
    </w:p>
    <w:p>
      <w:pPr>
        <w:spacing w:after="0" w:line="60" w:lineRule="exact"/>
        <w:rPr>
          <w:sz w:val="24"/>
          <w:szCs w:val="24"/>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The registrant estimates that as of June 30, 2024, the aggregate market value of the voting shares held by non-affiliates of the registrant was approximately $24.4 billion based on the closing price on the New York Stock Exchange for such stock.</w:t>
      </w:r>
    </w:p>
    <w:p>
      <w:pPr>
        <w:spacing w:after="0" w:line="2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color w:val="auto"/>
        </w:rPr>
        <w:t>As of February 7, 2025, 170,848,147 shares of Common Stock of the registrant were issued and outstanding.</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Portions of the Proxy Statement for the registrant’s Annual Meeting of Stockholders to be held on May 15, 2025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422275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7"/>
        </w:trPr>
        <w:tc>
          <w:tcPr>
            <w:tcW w:w="10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7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18"/>
        </w:trPr>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60" w:type="dxa"/>
            <w:vAlign w:val="bottom"/>
            <w:tcBorders>
              <w:lef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7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3</w:t>
            </w: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8720" w:type="dxa"/>
            <w:vAlign w:val="bottom"/>
            <w:gridSpan w:val="16"/>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13</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1B.</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22</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1C.</w:t>
            </w:r>
          </w:p>
        </w:tc>
        <w:tc>
          <w:tcPr>
            <w:tcW w:w="8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gridSpan w:val="4"/>
            <w:shd w:val="clear" w:color="auto" w:fill="CCEEFF"/>
          </w:tcPr>
          <w:p>
            <w:pPr>
              <w:spacing w:after="0"/>
              <w:rPr>
                <w:sz w:val="13"/>
                <w:szCs w:val="13"/>
                <w:color w:val="auto"/>
              </w:rPr>
            </w:pPr>
          </w:p>
        </w:tc>
        <w:tc>
          <w:tcPr>
            <w:tcW w:w="7840" w:type="dxa"/>
            <w:vAlign w:val="bottom"/>
            <w:gridSpan w:val="11"/>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22</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5"/>
              </w:rPr>
              <w:t>Properties</w:t>
            </w:r>
          </w:p>
        </w:tc>
        <w:tc>
          <w:tcPr>
            <w:tcW w:w="220" w:type="dxa"/>
            <w:vAlign w:val="bottom"/>
            <w:gridSpan w:val="2"/>
          </w:tcPr>
          <w:p>
            <w:pPr>
              <w:spacing w:after="0"/>
              <w:rPr>
                <w:sz w:val="12"/>
                <w:szCs w:val="12"/>
                <w:color w:val="auto"/>
              </w:rPr>
            </w:pPr>
          </w:p>
        </w:tc>
        <w:tc>
          <w:tcPr>
            <w:tcW w:w="8640" w:type="dxa"/>
            <w:vAlign w:val="bottom"/>
            <w:gridSpan w:val="15"/>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23</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right w:val="single" w:sz="8" w:color="CCEE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Legal Proceedings</w:t>
            </w:r>
          </w:p>
        </w:tc>
        <w:tc>
          <w:tcPr>
            <w:tcW w:w="8380" w:type="dxa"/>
            <w:vAlign w:val="bottom"/>
            <w:gridSpan w:val="14"/>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23</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23</w:t>
            </w:r>
          </w:p>
        </w:tc>
        <w:tc>
          <w:tcPr>
            <w:tcW w:w="20" w:type="dxa"/>
            <w:vAlign w:val="bottom"/>
          </w:tcPr>
          <w:p>
            <w:pPr>
              <w:spacing w:after="0"/>
              <w:rPr>
                <w:sz w:val="13"/>
                <w:szCs w:val="13"/>
                <w:color w:val="auto"/>
              </w:rPr>
            </w:pPr>
          </w:p>
        </w:tc>
      </w:tr>
      <w:tr>
        <w:trPr>
          <w:trHeight w:val="186"/>
        </w:trPr>
        <w:tc>
          <w:tcPr>
            <w:tcW w:w="1080" w:type="dxa"/>
            <w:vAlign w:val="bottom"/>
            <w:shd w:val="clear" w:color="auto" w:fill="CCEEFF"/>
          </w:tcPr>
          <w:p>
            <w:pPr>
              <w:spacing w:after="0"/>
              <w:rPr>
                <w:sz w:val="16"/>
                <w:szCs w:val="16"/>
                <w:color w:val="auto"/>
              </w:rPr>
            </w:pPr>
          </w:p>
        </w:tc>
        <w:tc>
          <w:tcPr>
            <w:tcW w:w="5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6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7"/>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24</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634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[Reserved]</w:t>
            </w:r>
          </w:p>
        </w:tc>
        <w:tc>
          <w:tcPr>
            <w:tcW w:w="3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25</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w:t>
            </w:r>
          </w:p>
        </w:tc>
        <w:tc>
          <w:tcPr>
            <w:tcW w:w="50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60" w:type="dxa"/>
            <w:vAlign w:val="bottom"/>
            <w:gridSpan w:val="3"/>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26</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7A.</w:t>
            </w:r>
          </w:p>
        </w:tc>
        <w:tc>
          <w:tcPr>
            <w:tcW w:w="508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360" w:type="dxa"/>
            <w:vAlign w:val="bottom"/>
            <w:tcBorders>
              <w:left w:val="single" w:sz="8" w:color="CCEEFF"/>
            </w:tcBorders>
            <w:gridSpan w:val="3"/>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41</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8.</w:t>
            </w:r>
          </w:p>
        </w:tc>
        <w:tc>
          <w:tcPr>
            <w:tcW w:w="262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gridSpan w:val="2"/>
          </w:tcPr>
          <w:p>
            <w:pPr>
              <w:spacing w:after="0"/>
              <w:rPr>
                <w:sz w:val="12"/>
                <w:szCs w:val="12"/>
                <w:color w:val="auto"/>
              </w:rPr>
            </w:pPr>
          </w:p>
        </w:tc>
        <w:tc>
          <w:tcPr>
            <w:tcW w:w="6020" w:type="dxa"/>
            <w:vAlign w:val="bottom"/>
            <w:gridSpan w:val="6"/>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w:t>
            </w:r>
          </w:p>
        </w:tc>
        <w:tc>
          <w:tcPr>
            <w:tcW w:w="508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4360" w:type="dxa"/>
            <w:vAlign w:val="bottom"/>
            <w:tcBorders>
              <w:left w:val="single" w:sz="8" w:color="CCEEFF"/>
            </w:tcBorders>
            <w:gridSpan w:val="3"/>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83</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8"/>
              </w:rPr>
              <w:t>Controls and Procedures</w:t>
            </w:r>
          </w:p>
        </w:tc>
        <w:tc>
          <w:tcPr>
            <w:tcW w:w="3680" w:type="dxa"/>
            <w:vAlign w:val="bottom"/>
            <w:gridSpan w:val="9"/>
          </w:tcPr>
          <w:p>
            <w:pPr>
              <w:spacing w:after="0"/>
              <w:rPr>
                <w:sz w:val="12"/>
                <w:szCs w:val="12"/>
                <w:color w:val="auto"/>
              </w:rPr>
            </w:pPr>
          </w:p>
        </w:tc>
        <w:tc>
          <w:tcPr>
            <w:tcW w:w="4360" w:type="dxa"/>
            <w:vAlign w:val="bottom"/>
            <w:gridSpan w:val="3"/>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83</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9B.</w:t>
            </w:r>
          </w:p>
        </w:tc>
        <w:tc>
          <w:tcPr>
            <w:tcW w:w="1060" w:type="dxa"/>
            <w:vAlign w:val="bottom"/>
            <w:tcBorders>
              <w:right w:val="single" w:sz="8" w:color="CCEE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340" w:type="dxa"/>
            <w:vAlign w:val="bottom"/>
            <w:gridSpan w:val="2"/>
            <w:shd w:val="clear" w:color="auto" w:fill="CCEEFF"/>
          </w:tcPr>
          <w:p>
            <w:pPr>
              <w:spacing w:after="0"/>
              <w:rPr>
                <w:sz w:val="13"/>
                <w:szCs w:val="13"/>
                <w:color w:val="auto"/>
              </w:rPr>
            </w:pPr>
          </w:p>
        </w:tc>
        <w:tc>
          <w:tcPr>
            <w:tcW w:w="8040" w:type="dxa"/>
            <w:vAlign w:val="bottom"/>
            <w:tcBorders>
              <w:left w:val="single" w:sz="8" w:color="CCEEFF"/>
            </w:tcBorders>
            <w:gridSpan w:val="12"/>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83</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83</w:t>
            </w:r>
          </w:p>
        </w:tc>
        <w:tc>
          <w:tcPr>
            <w:tcW w:w="20" w:type="dxa"/>
            <w:vAlign w:val="bottom"/>
          </w:tcPr>
          <w:p>
            <w:pPr>
              <w:spacing w:after="0"/>
              <w:rPr>
                <w:sz w:val="13"/>
                <w:szCs w:val="13"/>
                <w:color w:val="auto"/>
              </w:rPr>
            </w:pPr>
          </w:p>
        </w:tc>
      </w:tr>
      <w:tr>
        <w:trPr>
          <w:trHeight w:val="186"/>
        </w:trPr>
        <w:tc>
          <w:tcPr>
            <w:tcW w:w="1080" w:type="dxa"/>
            <w:vAlign w:val="bottom"/>
            <w:shd w:val="clear" w:color="auto" w:fill="CCEEFF"/>
          </w:tcPr>
          <w:p>
            <w:pPr>
              <w:spacing w:after="0"/>
              <w:rPr>
                <w:sz w:val="16"/>
                <w:szCs w:val="16"/>
                <w:color w:val="auto"/>
              </w:rPr>
            </w:pPr>
          </w:p>
        </w:tc>
        <w:tc>
          <w:tcPr>
            <w:tcW w:w="5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left w:val="single" w:sz="8" w:color="CCEEFF"/>
            </w:tcBorders>
            <w:shd w:val="clear" w:color="auto" w:fill="CCEEFF"/>
          </w:tcPr>
          <w:p>
            <w:pPr>
              <w:spacing w:after="0"/>
              <w:rPr>
                <w:sz w:val="16"/>
                <w:szCs w:val="16"/>
                <w:color w:val="auto"/>
              </w:rPr>
            </w:pPr>
          </w:p>
        </w:tc>
        <w:tc>
          <w:tcPr>
            <w:tcW w:w="64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6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7"/>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322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220" w:type="dxa"/>
            <w:vAlign w:val="bottom"/>
            <w:gridSpan w:val="7"/>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11.</w:t>
            </w:r>
          </w:p>
        </w:tc>
        <w:tc>
          <w:tcPr>
            <w:tcW w:w="140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6"/>
              </w:rPr>
              <w:t>Executive Compensation</w:t>
            </w:r>
          </w:p>
        </w:tc>
        <w:tc>
          <w:tcPr>
            <w:tcW w:w="1820" w:type="dxa"/>
            <w:vAlign w:val="bottom"/>
            <w:tcBorders>
              <w:left w:val="single" w:sz="8" w:color="CCEEFF"/>
            </w:tcBorders>
            <w:gridSpan w:val="5"/>
            <w:shd w:val="clear" w:color="auto" w:fill="CCEEFF"/>
          </w:tcPr>
          <w:p>
            <w:pPr>
              <w:spacing w:after="0"/>
              <w:rPr>
                <w:sz w:val="13"/>
                <w:szCs w:val="13"/>
                <w:color w:val="auto"/>
              </w:rPr>
            </w:pPr>
          </w:p>
        </w:tc>
        <w:tc>
          <w:tcPr>
            <w:tcW w:w="6220" w:type="dxa"/>
            <w:vAlign w:val="bottom"/>
            <w:gridSpan w:val="7"/>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12.</w:t>
            </w:r>
          </w:p>
        </w:tc>
        <w:tc>
          <w:tcPr>
            <w:tcW w:w="57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700" w:type="dxa"/>
            <w:vAlign w:val="bottom"/>
            <w:gridSpan w:val="2"/>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13.</w:t>
            </w:r>
          </w:p>
        </w:tc>
        <w:tc>
          <w:tcPr>
            <w:tcW w:w="5740" w:type="dxa"/>
            <w:vAlign w:val="bottom"/>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70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5160" w:type="dxa"/>
            <w:vAlign w:val="bottom"/>
            <w:gridSpan w:val="4"/>
          </w:tcPr>
          <w:p>
            <w:pPr>
              <w:spacing w:after="0"/>
              <w:rPr>
                <w:sz w:val="13"/>
                <w:szCs w:val="13"/>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r>
      <w:tr>
        <w:trPr>
          <w:trHeight w:val="186"/>
        </w:trPr>
        <w:tc>
          <w:tcPr>
            <w:tcW w:w="1080" w:type="dxa"/>
            <w:vAlign w:val="bottom"/>
            <w:shd w:val="clear" w:color="auto" w:fill="CCEEFF"/>
          </w:tcPr>
          <w:p>
            <w:pPr>
              <w:spacing w:after="0"/>
              <w:rPr>
                <w:sz w:val="16"/>
                <w:szCs w:val="16"/>
                <w:color w:val="auto"/>
              </w:rPr>
            </w:pPr>
          </w:p>
        </w:tc>
        <w:tc>
          <w:tcPr>
            <w:tcW w:w="5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left w:val="single" w:sz="8" w:color="CCEEFF"/>
            </w:tcBorders>
            <w:shd w:val="clear" w:color="auto" w:fill="CCEEFF"/>
          </w:tcPr>
          <w:p>
            <w:pPr>
              <w:spacing w:after="0"/>
              <w:rPr>
                <w:sz w:val="16"/>
                <w:szCs w:val="16"/>
                <w:color w:val="auto"/>
              </w:rPr>
            </w:pPr>
          </w:p>
        </w:tc>
        <w:tc>
          <w:tcPr>
            <w:tcW w:w="640" w:type="dxa"/>
            <w:vAlign w:val="bottom"/>
            <w:tcBorders>
              <w:top w:val="single" w:sz="8" w:color="0000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0"/>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6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7"/>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85</w:t>
            </w:r>
          </w:p>
        </w:tc>
        <w:tc>
          <w:tcPr>
            <w:tcW w:w="20" w:type="dxa"/>
            <w:vAlign w:val="bottom"/>
          </w:tcPr>
          <w:p>
            <w:pPr>
              <w:spacing w:after="0"/>
              <w:rPr>
                <w:sz w:val="12"/>
                <w:szCs w:val="12"/>
                <w:color w:val="auto"/>
              </w:rPr>
            </w:pPr>
          </w:p>
        </w:tc>
      </w:tr>
      <w:tr>
        <w:trPr>
          <w:trHeight w:val="26"/>
        </w:trPr>
        <w:tc>
          <w:tcPr>
            <w:tcW w:w="10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16.</w:t>
            </w:r>
          </w:p>
        </w:tc>
        <w:tc>
          <w:tcPr>
            <w:tcW w:w="122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1260" w:type="dxa"/>
            <w:vAlign w:val="bottom"/>
            <w:gridSpan w:val="4"/>
            <w:shd w:val="clear" w:color="auto" w:fill="CCEEFF"/>
          </w:tcPr>
          <w:p>
            <w:pPr>
              <w:spacing w:after="0"/>
              <w:rPr>
                <w:sz w:val="13"/>
                <w:szCs w:val="13"/>
                <w:color w:val="auto"/>
              </w:rPr>
            </w:pPr>
          </w:p>
        </w:tc>
        <w:tc>
          <w:tcPr>
            <w:tcW w:w="6960" w:type="dxa"/>
            <w:vAlign w:val="bottom"/>
            <w:gridSpan w:val="9"/>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90</w:t>
            </w:r>
          </w:p>
        </w:tc>
        <w:tc>
          <w:tcPr>
            <w:tcW w:w="20" w:type="dxa"/>
            <w:vAlign w:val="bottom"/>
            <w:shd w:val="clear" w:color="auto" w:fill="CCEEFF"/>
          </w:tcPr>
          <w:p>
            <w:pPr>
              <w:spacing w:after="0"/>
              <w:rPr>
                <w:sz w:val="13"/>
                <w:szCs w:val="13"/>
                <w:color w:val="auto"/>
              </w:rPr>
            </w:pPr>
          </w:p>
        </w:tc>
      </w:tr>
      <w:tr>
        <w:trPr>
          <w:trHeight w:val="32"/>
        </w:trPr>
        <w:tc>
          <w:tcPr>
            <w:tcW w:w="108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6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40" w:top="728"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4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Times New Roman" w:cs="Times New Roman" w:eastAsia="Times New Roman" w:hAnsi="Times New Roman"/>
          <w:sz w:val="14"/>
          <w:szCs w:val="14"/>
          <w:i w:val="1"/>
          <w:iCs w:val="1"/>
          <w:color w:val="auto"/>
        </w:rPr>
        <w:t>www.wabteccorp.com</w:t>
      </w:r>
      <w:r>
        <w:rPr>
          <w:rFonts w:ascii="Times New Roman" w:cs="Times New Roman" w:eastAsia="Times New Roman" w:hAnsi="Times New Roman"/>
          <w:sz w:val="14"/>
          <w:szCs w:val="14"/>
          <w:color w:val="auto"/>
        </w:rPr>
        <w:t>. Except as the context otherwise requires,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Throughout the years, the Company has made a number of strategic acquisitions leading the Company to where it is today. These have primarily included:</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1999 merger with MotivePower Industries, Inc. whereby the Company adopted its current name of Westinghouse Air Brake Technologies Corporation, or Wabtec;</w:t>
      </w:r>
    </w:p>
    <w:p>
      <w:pPr>
        <w:spacing w:after="0" w:line="93" w:lineRule="exact"/>
        <w:rPr>
          <w:rFonts w:ascii="Times New Roman" w:cs="Times New Roman" w:eastAsia="Times New Roman" w:hAnsi="Times New Roman"/>
          <w:sz w:val="14"/>
          <w:szCs w:val="14"/>
          <w:color w:val="auto"/>
        </w:rPr>
      </w:pPr>
    </w:p>
    <w:p>
      <w:pPr>
        <w:jc w:val="both"/>
        <w:ind w:left="520" w:right="4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50"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39"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As a result of those strategic acquisitions, as well as other smaller acquisitions and organic growth, Wabtec is a global provider of value-added, technology-based locomotives, equipment, systems and services for the freight rail and passenger transit industries, and the mining, marine, and industrial markets. Wabtec has approximately 29,500 employees, excluding contingent workers, and operations in over 50 countries. Our highly engineered products, which are intended to enhance safety, improve productivity and reduce maintenance costs for customers, can be found on most locomotives, freight cars, passenger transit cars and buses around the world.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8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58"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The Association of the European Rail Industry, UNIFE, advocates for and represents European train builders and rail suppliers. UNIFE publishes a biennial market study that provides an overview of the market in its current form and a forecast of its future development in different regions and market segments. The 2024 biennial edition of the study concluded that the global rail market grew 2.7% in the 2021 to 2023 period as the industry started recovering from the negative impacts of the COVID-19 pandemic and forecasts the industry to continue with a compound annual growth rate of 3% through 2027.</w:t>
      </w:r>
    </w:p>
    <w:p>
      <w:pPr>
        <w:spacing w:after="0" w:line="5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As growth continues, Wabtec expects to have additional opportunities to provide products and services in these markets. New technologies offered by Wabtec can provide solutions to improve safety, cost and reliability of rail, as well as support the modernization of the global rail fleets. Consistent with the UNIFE study, increased investment in infrastructure improvements, digitalization and automation is expected, all of which would improve efficiency in the global rail industry.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Segments and Products</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We provide our products and services through two principal business segments, the Freight Segment and the Transit Segment, both of which have different market characteristics and business drivers. The Freight Segment primarily manufactures new and modernized locomotives; provides aftermarket parts and services to existing locomotives; provides components to new and existing freight cars; builds new commuter locomotives; supplies rail control and infrastructure products including electronics, positive train control equipment, signal design and engineering services; provides a comprehensive suite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3" w:name="page4"/>
    <w:bookmarkEnd w:id="3"/>
    <w:p>
      <w:pPr>
        <w:ind w:right="20"/>
        <w:spacing w:after="0" w:line="258" w:lineRule="auto"/>
        <w:rPr>
          <w:sz w:val="20"/>
          <w:szCs w:val="20"/>
          <w:color w:val="auto"/>
        </w:rPr>
      </w:pPr>
      <w:r>
        <w:rPr>
          <w:rFonts w:ascii="Times New Roman" w:cs="Times New Roman" w:eastAsia="Times New Roman" w:hAnsi="Times New Roman"/>
          <w:sz w:val="14"/>
          <w:szCs w:val="14"/>
          <w:color w:val="auto"/>
        </w:rPr>
        <w:t>software-enabled solutions designed to improve customer safety,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utilities, and companies in the mining, marine, and industrial markets. We are a global manufacturer of diesel-electric locomotives for freight railroads producing essential products and solutions that help railroads reduce operating costs, decrease fuel use, minimize downtime and comply with emissions standards. As a result of the large base of nearly 24,000 locomotives, Wabtec's Services product line of modernizing, rebuilding and overhauling, remanufacturing, maintaining, and exchanging locomotives and components in the aftermarkets provides a significant, recurring revenue stream. In 2024, the Freight Segment accounted for approximately 72% of Wabtec’s total net sales, with approximately 59% of its net sales in the U.S. and approximately 61% of the Freight Segment’s net sales were in the aftermarket.</w:t>
      </w:r>
    </w:p>
    <w:p>
      <w:pPr>
        <w:spacing w:after="0" w:line="6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Transit Segment primarily manufactures and services components for new and existing passenger transit vehicles, typically regional trains, high speed trains, subway cars, light-rail vehicles and buses; and supplies rail control and infrastructure products including electronics, signal design and engineering services. Customers include public transit authorities and municipalities, leasing companies, manufacturers of passenger transit vehicles and buses, and companies in the electrical generation, distribution, and charging industries. In 2024, the Transit Segment accounted for approximately 28% of our total net sales, with approximately 18% of its net sales in the U.S. The Transit Segment maintains a large installed base of original equipment globally which allows for a significant recurring revenue stream in the aftermarket. Approximately 55% of the Transit Segment’s net sales are in the aftermarket.</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our primary products and services in both aftermarket and original equipment across both of our business segments: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Equipment:</w:t>
      </w:r>
    </w:p>
    <w:p>
      <w:pPr>
        <w:spacing w:after="0" w:line="23" w:lineRule="exact"/>
        <w:rPr>
          <w:sz w:val="20"/>
          <w:szCs w:val="20"/>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Diesel-electric and liquid natural gas powered locomotives for freight and transit</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Engines, electric motors and premium propulsion systems used in locomotives, mining, marine, stationary power and drilling applications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and mining products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Digital Intelligence Products:</w:t>
      </w:r>
    </w:p>
    <w:p>
      <w:pPr>
        <w:spacing w:after="0" w:line="23" w:lineRule="exact"/>
        <w:rPr>
          <w:sz w:val="20"/>
          <w:szCs w:val="20"/>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Train Control ("PTC") equipment and electronically controlled pneumatic braking products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Railway electronics, including event recorders, monitoring equipment and end of train devices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Signal design and engineering services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 performance such as distributed locomotive power, train 'cruise control', and train remote control</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 intelligence such as Industrial/mobile Internet of Things (IoT) hardware &amp; software, edge-to-cloud, on and off-board analytics &amp; rules, and asset performance management</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 logistics such as rail and shipper transportation management and port visibility and optimization</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optimization such as rail network scheduling, dispatch and optimization, intermodal, terminal management and optimization, and rail yard management and optimization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Components:</w:t>
      </w:r>
    </w:p>
    <w:p>
      <w:pPr>
        <w:spacing w:after="0" w:line="23" w:lineRule="exact"/>
        <w:rPr>
          <w:sz w:val="20"/>
          <w:szCs w:val="20"/>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Freight car trucks and braking equipment and related components for freight applications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 compressors, dryers and HVAC systems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Heat transfer components and systems for diesel and gas engine cooling, generator and transformer coolers and high temperature applications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 engineered burners and combustion systems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Railgear, signaling and switch products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Turbochargers for industrial and aftermarket vehicle applications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Services:</w:t>
      </w:r>
    </w:p>
    <w:p>
      <w:pPr>
        <w:spacing w:after="0" w:line="23" w:lineRule="exact"/>
        <w:rPr>
          <w:sz w:val="20"/>
          <w:szCs w:val="20"/>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Freight locomotive overhauls, modernizations and refurbishment</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 service agreements for locomotive and car maintenance</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 locomotive and car overhaul</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 exchange of locomotive components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 term parts arrangements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way equipment and services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Transit Products:</w:t>
      </w:r>
    </w:p>
    <w:p>
      <w:pPr>
        <w:spacing w:after="0" w:line="23" w:lineRule="exact"/>
        <w:rPr>
          <w:sz w:val="20"/>
          <w:szCs w:val="20"/>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Railway and freight braking equipment and related components, including high-speed passenger transit vehicles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Friction products, including brake shoes, discs and pads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4" w:name="page5"/>
    <w:bookmarkEnd w:id="4"/>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Heating, ventilation and air conditioning equipment</w:t>
      </w:r>
    </w:p>
    <w:p>
      <w:pPr>
        <w:spacing w:after="0" w:line="2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doors and platform screen doors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Pantographs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Auxiliary power converter and battery charging</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information systems and closed-circuit television</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Signaling and railway electric relays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Doors, window assemblies, accessibility lifts, ramps and electric charging solutions for buses</w:t>
      </w:r>
    </w:p>
    <w:p>
      <w:pPr>
        <w:spacing w:after="0" w:line="79"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4"/>
          <w:szCs w:val="14"/>
          <w:color w:val="auto"/>
        </w:rPr>
        <w:t>Wabtec is utilizing a flexible and growing portfolio of freight rail and passenger transit products and innovative technologies to support customers’ sustainability goals and targets. From pioneering advancements to current signaling systems and network efficiency solutions, we are striving to increase the rail capacity to move more freight by train. Wabtec is working to reduce existing locomotive fleet emissions through fuel-efficiency solutions and testing renewable diesel and biofuels. We are also conducting collaborative research and development efforts with the National Laboratories to support the use of hydrogen to lower emissions across the rail industry. In 2024, Canadian National Railway Company, Norfolk Southern and Union Pacific Railroad each recognized Wabtec’s leadership in sustainability, energy efficiency, innovation, and environmental stewardship with partnership awards. This was Wabtec’s second year in a row receiving the Thoroughbred Sustainability Partner Award from Norfolk Southern. Wabtec also is implementing energy-reducing technologies for the passenger transit sector. In 2022, Wabtec received sustainability awards from both the German Ministry of Transportation and Deutsche Bahn and for our Green Air heating, ventilation, and air conditioning (HVAC) solution.</w:t>
      </w:r>
    </w:p>
    <w:p>
      <w:pPr>
        <w:spacing w:after="0" w:line="62" w:lineRule="exact"/>
        <w:rPr>
          <w:sz w:val="20"/>
          <w:szCs w:val="20"/>
          <w:color w:val="auto"/>
        </w:rPr>
      </w:pPr>
    </w:p>
    <w:p>
      <w:pPr>
        <w:ind w:right="440" w:firstLine="382"/>
        <w:spacing w:after="0" w:line="270" w:lineRule="auto"/>
        <w:rPr>
          <w:sz w:val="20"/>
          <w:szCs w:val="20"/>
          <w:color w:val="auto"/>
        </w:rPr>
      </w:pPr>
      <w:r>
        <w:rPr>
          <w:rFonts w:ascii="Times New Roman" w:cs="Times New Roman" w:eastAsia="Times New Roman" w:hAnsi="Times New Roman"/>
          <w:sz w:val="14"/>
          <w:szCs w:val="14"/>
          <w:color w:val="auto"/>
        </w:rPr>
        <w:t>In recent years, we have also introduced a number of significant new products, including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During 2023, Wabtec also expanded the Digital Intelligence portfolio with entry into the railcar telematics market.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additional information on our business segments, see Note 19 of “Notes to Consolidated Financial Statements” included in Part II, Item 8 of this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Through both organic growth and strategic acquisitions, Wabtec has developed the following competitive strengths:</w:t>
      </w:r>
    </w:p>
    <w:p>
      <w:pPr>
        <w:spacing w:after="0" w:line="92" w:lineRule="exact"/>
        <w:rPr>
          <w:sz w:val="20"/>
          <w:szCs w:val="20"/>
          <w:color w:val="auto"/>
        </w:rPr>
      </w:pPr>
    </w:p>
    <w:p>
      <w:pPr>
        <w:ind w:left="480" w:right="120" w:hanging="252"/>
        <w:spacing w:after="0" w:line="271" w:lineRule="auto"/>
        <w:tabs>
          <w:tab w:leader="none" w:pos="4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Iconic legacy and strong reputation with a history of over 150 years of innovation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Wabtec has been transforming the rail landscape through various innovations and technologies for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150 years. We have a long history of advancing technologies to meet customer needs and have been recognized for the development and production of locomotives, equipment, including PTC equipment, and systems for the freight rail and passenger transit industries. We are also a service provider for freight rail and passenger transit vehicles.</w:t>
      </w:r>
    </w:p>
    <w:p>
      <w:pPr>
        <w:spacing w:after="0" w:line="48" w:lineRule="exact"/>
        <w:rPr>
          <w:rFonts w:ascii="Times New Roman" w:cs="Times New Roman" w:eastAsia="Times New Roman" w:hAnsi="Times New Roman"/>
          <w:sz w:val="14"/>
          <w:szCs w:val="14"/>
          <w:color w:val="auto"/>
        </w:rPr>
      </w:pPr>
    </w:p>
    <w:p>
      <w:pPr>
        <w:ind w:left="480" w:right="140" w:hanging="252"/>
        <w:spacing w:after="0" w:line="260" w:lineRule="auto"/>
        <w:tabs>
          <w:tab w:leader="none" w:pos="4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Breadth of product offering with a stable mix of original equipment market (OEM) and aftermarket business</w:t>
      </w:r>
      <w:r>
        <w:rPr>
          <w:rFonts w:ascii="Times New Roman" w:cs="Times New Roman" w:eastAsia="Times New Roman" w:hAnsi="Times New Roman"/>
          <w:sz w:val="14"/>
          <w:szCs w:val="14"/>
          <w:color w:val="auto"/>
        </w:rPr>
        <w:t>. Our comprehensive product portfolio and service offerings span the freight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rail and passenger transit industries, as well as the bus, mining, marine, and industrial markets, which help Wabtec balance the cyclical nature of the global rail business.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and technology upgrades from the original equipment components supplier. Wabtec has an installed base of nearly 24,000 locomotives, as well as a diverse offering of Transit locomotives and cars both internationally and domestically. Our significant installed base enables opportunities in the aftermarket parts and services business.</w:t>
      </w:r>
    </w:p>
    <w:p>
      <w:pPr>
        <w:spacing w:after="0" w:line="57" w:lineRule="exact"/>
        <w:rPr>
          <w:rFonts w:ascii="Times New Roman" w:cs="Times New Roman" w:eastAsia="Times New Roman" w:hAnsi="Times New Roman"/>
          <w:sz w:val="14"/>
          <w:szCs w:val="14"/>
          <w:color w:val="auto"/>
        </w:rPr>
      </w:pPr>
    </w:p>
    <w:p>
      <w:pPr>
        <w:ind w:left="480" w:hanging="252"/>
        <w:spacing w:after="0" w:line="262" w:lineRule="auto"/>
        <w:tabs>
          <w:tab w:leader="none" w:pos="4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Leading design and engineering capabilities. </w:t>
      </w:r>
      <w:r>
        <w:rPr>
          <w:rFonts w:ascii="Times New Roman" w:cs="Times New Roman" w:eastAsia="Times New Roman" w:hAnsi="Times New Roman"/>
          <w:sz w:val="14"/>
          <w:szCs w:val="14"/>
          <w:color w:val="auto"/>
        </w:rPr>
        <w:t>We believe a hallmark of our relationship with our customers has been our leading design and engineering practice, which has assisted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improvement and modernization of global railway equipment. Wabtec's engineers and technical capabilities support continued focus on innovative product development and efforts to achieve scalable technologies.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To that end, we have assembled a wide range of patented products, which we believe provides us with a competitive advantage that enhances our customers' safety, productivity, reliability and capacity.</w:t>
      </w:r>
    </w:p>
    <w:p>
      <w:pPr>
        <w:spacing w:after="0" w:line="54" w:lineRule="exact"/>
        <w:rPr>
          <w:rFonts w:ascii="Times New Roman" w:cs="Times New Roman" w:eastAsia="Times New Roman" w:hAnsi="Times New Roman"/>
          <w:sz w:val="14"/>
          <w:szCs w:val="14"/>
          <w:color w:val="auto"/>
        </w:rPr>
      </w:pPr>
    </w:p>
    <w:p>
      <w:pPr>
        <w:ind w:left="480" w:right="160" w:hanging="252"/>
        <w:spacing w:after="0" w:line="290" w:lineRule="auto"/>
        <w:tabs>
          <w:tab w:leader="none" w:pos="476"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Driving fuel efficiency for the rail industry. </w:t>
      </w:r>
      <w:r>
        <w:rPr>
          <w:rFonts w:ascii="Times New Roman" w:cs="Times New Roman" w:eastAsia="Times New Roman" w:hAnsi="Times New Roman"/>
          <w:sz w:val="14"/>
          <w:szCs w:val="14"/>
          <w:color w:val="auto"/>
        </w:rPr>
        <w:t>We have taken significant steps to drive fuel efficiency in global transport and make our world safer, smarter and greener. Wabtec is advancing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sustainability priorities both through our own commitments to our people, communities, and planet, as well as by innovating next generation technologies that reduce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 w:name="page6"/>
    <w:bookmarkEnd w:id="5"/>
    <w:p>
      <w:pPr>
        <w:ind w:left="480"/>
        <w:spacing w:after="0"/>
        <w:rPr>
          <w:sz w:val="20"/>
          <w:szCs w:val="20"/>
          <w:color w:val="auto"/>
        </w:rPr>
      </w:pPr>
      <w:r>
        <w:rPr>
          <w:rFonts w:ascii="Times New Roman" w:cs="Times New Roman" w:eastAsia="Times New Roman" w:hAnsi="Times New Roman"/>
          <w:sz w:val="14"/>
          <w:szCs w:val="14"/>
          <w:color w:val="auto"/>
        </w:rPr>
        <w:t>emissions, energy consumption and waste, and increase fuel efficiency for our customers through advancements in our equipment and digital solutions.</w:t>
      </w:r>
    </w:p>
    <w:p>
      <w:pPr>
        <w:spacing w:after="0" w:line="92" w:lineRule="exact"/>
        <w:rPr>
          <w:sz w:val="20"/>
          <w:szCs w:val="20"/>
          <w:color w:val="auto"/>
        </w:rPr>
      </w:pPr>
    </w:p>
    <w:p>
      <w:pPr>
        <w:ind w:left="480" w:right="100" w:hanging="252"/>
        <w:spacing w:after="0" w:line="262" w:lineRule="auto"/>
        <w:tabs>
          <w:tab w:leader="none" w:pos="4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Driving the digital transformation of the rail industry. </w:t>
      </w:r>
      <w:r>
        <w:rPr>
          <w:rFonts w:ascii="Times New Roman" w:cs="Times New Roman" w:eastAsia="Times New Roman" w:hAnsi="Times New Roman"/>
          <w:sz w:val="14"/>
          <w:szCs w:val="14"/>
          <w:color w:val="auto"/>
        </w:rPr>
        <w:t>Our early investment in data analytics and software has allowed us to become a strategic partner for customers looking to derive new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 from existing assets, digitally transform their operations and enhance their network optimization. Through these initiatives, our digital solutions have helped to transform many distribution channels in the transportation industry including mine to ports, from shipper to receiver, from port to intermodal terminals to main line locomotives and railcars and across train yards and operation centers. The breadth of our Digital Intelligence solutions gives customers confidence in our ability to address their current and future needs with the latest digital technologies.</w:t>
      </w:r>
    </w:p>
    <w:p>
      <w:pPr>
        <w:spacing w:after="0" w:line="54" w:lineRule="exact"/>
        <w:rPr>
          <w:rFonts w:ascii="Times New Roman" w:cs="Times New Roman" w:eastAsia="Times New Roman" w:hAnsi="Times New Roman"/>
          <w:sz w:val="14"/>
          <w:szCs w:val="14"/>
          <w:color w:val="auto"/>
        </w:rPr>
      </w:pPr>
    </w:p>
    <w:p>
      <w:pPr>
        <w:ind w:left="480" w:right="100" w:hanging="252"/>
        <w:spacing w:after="0" w:line="262" w:lineRule="auto"/>
        <w:tabs>
          <w:tab w:leader="none" w:pos="4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Strategic partnerships with longstanding customers and other key stakeholders. </w:t>
      </w:r>
      <w:r>
        <w:rPr>
          <w:rFonts w:ascii="Times New Roman" w:cs="Times New Roman" w:eastAsia="Times New Roman" w:hAnsi="Times New Roman"/>
          <w:sz w:val="14"/>
          <w:szCs w:val="14"/>
          <w:color w:val="auto"/>
        </w:rPr>
        <w:t>We listen to our key stakeholders and focus on areas where Wabtec can enable the most meaningful impact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our customers, communities, and the world. Transformational change requires collaboration, so we are committed to accelerating progress by partnering with customers, government leaders, corporations, universities, and other key stakeholders. For example, we have partnered with a customer, as well as an artificial intelligence and robotics institution to create technologies that will further decarbonize freight rail transport, improve freight safety, and generate greater rail network utilization. By working together with these partners and others, we are developing advanced solutions for the industry to realize the zero-emission rail network of the future.</w:t>
      </w:r>
    </w:p>
    <w:p>
      <w:pPr>
        <w:spacing w:after="0" w:line="54" w:lineRule="exact"/>
        <w:rPr>
          <w:rFonts w:ascii="Times New Roman" w:cs="Times New Roman" w:eastAsia="Times New Roman" w:hAnsi="Times New Roman"/>
          <w:sz w:val="14"/>
          <w:szCs w:val="14"/>
          <w:color w:val="auto"/>
        </w:rPr>
      </w:pPr>
    </w:p>
    <w:p>
      <w:pPr>
        <w:ind w:left="480" w:right="120" w:hanging="252"/>
        <w:spacing w:after="0" w:line="271" w:lineRule="auto"/>
        <w:tabs>
          <w:tab w:leader="none" w:pos="4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Experience with industry regulatory requirements. </w:t>
      </w:r>
      <w:r>
        <w:rPr>
          <w:rFonts w:ascii="Times New Roman" w:cs="Times New Roman" w:eastAsia="Times New Roman" w:hAnsi="Times New Roman"/>
          <w:sz w:val="14"/>
          <w:szCs w:val="14"/>
          <w:color w:val="auto"/>
        </w:rPr>
        <w:t>The freight rail and passenger transit industries are governed by various government agencies and regulators in each country and region.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These groups mandate rigorous manufacturer certification and a new product testing and approval processes that we believe are difficult for new entrants to meet cost-effectively and efficiently without the scale and extensive experience we possess.</w:t>
      </w:r>
    </w:p>
    <w:p>
      <w:pPr>
        <w:spacing w:after="0" w:line="48" w:lineRule="exact"/>
        <w:rPr>
          <w:rFonts w:ascii="Times New Roman" w:cs="Times New Roman" w:eastAsia="Times New Roman" w:hAnsi="Times New Roman"/>
          <w:sz w:val="14"/>
          <w:szCs w:val="14"/>
          <w:color w:val="auto"/>
        </w:rPr>
      </w:pPr>
    </w:p>
    <w:p>
      <w:pPr>
        <w:ind w:left="480" w:right="200" w:hanging="252"/>
        <w:spacing w:after="0" w:line="262" w:lineRule="auto"/>
        <w:tabs>
          <w:tab w:leader="none" w:pos="4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Streamlined cost structure and operational excellence provide operating leverage and support Wabtec’s growth. </w:t>
      </w:r>
      <w:r>
        <w:rPr>
          <w:rFonts w:ascii="Times New Roman" w:cs="Times New Roman" w:eastAsia="Times New Roman" w:hAnsi="Times New Roman"/>
          <w:sz w:val="14"/>
          <w:szCs w:val="14"/>
          <w:color w:val="auto"/>
        </w:rPr>
        <w:t>We focus on driving continuous operational improvement across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organization by sharing best practices, instilling a culture of learning, problem solving and constant improvement, and driving standard operating practices. Wabtec is also focused on earnings growth through expanding high-margin recurring revenue streams. Additionally, Wabtec is a provider of technology-enabled locomotives and equipment, freight car components, systems, and services for the freight rail and passenger transit industries. The size of Wabtec's operations enables the Company to achieve economies of scale, in addition to using best-cost locations for executing on operational decisions. Completed strategic acquisitions and integrations have also led to operating synergies across Wabtec.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strive to generate sufficient cash to invest in our growth strategies while maintaining world-class product value,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Company, while benchmarking against best-in-class competitors and peers. Over time, we intend to continue to increase operating margins, improve cash flow and strengthen our ability to invest in the following growth strategies:</w:t>
      </w:r>
    </w:p>
    <w:p>
      <w:pPr>
        <w:spacing w:after="0" w:line="152" w:lineRule="exact"/>
        <w:rPr>
          <w:sz w:val="20"/>
          <w:szCs w:val="20"/>
          <w:color w:val="auto"/>
        </w:rPr>
      </w:pPr>
    </w:p>
    <w:p>
      <w:pPr>
        <w:ind w:left="480" w:right="60" w:hanging="252"/>
        <w:spacing w:after="0" w:line="243" w:lineRule="auto"/>
        <w:tabs>
          <w:tab w:leader="none" w:pos="4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Accelerate innovation of scalable technologies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continue to emphasize innovation and development funding to create new products and capabilities to increase customer productivity,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efficiency, capacity, utilization and safety, such as the hydrogen powered locomotive, vehicle monitoring and data analytics. We plan to invest in bringing new technologies to market for our customers. A significant portion of our investment is expected to be focused on three customer-centric areas of innovation: advanced supply chain visibility, automation and digitization and zero-emissions operations. These investments will position our customers for success and make these technologies the standard going forward. We have a multi-year initiative to build on our existing expertise and technologies in the Digital Intelligence space. In addition, we invest in developing enhancements and new features to existing products, such as brake discs and heat exchangers. We are focusing on technological advances, especially in the areas of electronics and alternative fuels, including hydrogen technologies, braking products and other on-board equipment, as a means to deliver new product growth. We seek to provide customers with incremental technological advances that offer immediate benefits with cost-effective investments.</w:t>
      </w:r>
    </w:p>
    <w:p>
      <w:pPr>
        <w:spacing w:after="0" w:line="153" w:lineRule="exact"/>
        <w:rPr>
          <w:rFonts w:ascii="Times New Roman" w:cs="Times New Roman" w:eastAsia="Times New Roman" w:hAnsi="Times New Roman"/>
          <w:sz w:val="14"/>
          <w:szCs w:val="14"/>
          <w:color w:val="auto"/>
        </w:rPr>
      </w:pPr>
    </w:p>
    <w:p>
      <w:pPr>
        <w:ind w:left="480" w:right="20" w:hanging="252"/>
        <w:spacing w:after="0" w:line="249" w:lineRule="auto"/>
        <w:tabs>
          <w:tab w:leader="none" w:pos="47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Grow and refresh expansive installed base. </w:t>
      </w:r>
      <w:r>
        <w:rPr>
          <w:rFonts w:ascii="Times New Roman" w:cs="Times New Roman" w:eastAsia="Times New Roman" w:hAnsi="Times New Roman"/>
          <w:sz w:val="14"/>
          <w:szCs w:val="14"/>
          <w:color w:val="auto"/>
        </w:rPr>
        <w:t>We are a transportation and component manufacturer with a significant installed base with expansive product and service capabilities. 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nearly 24,000 locomotives in service, the majority of which are equipped with Digital Intelligence technologies, like Positive Train Control. We intend to increase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We believe that international markets represent 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 w:name="page7"/>
    <w:bookmarkEnd w:id="6"/>
    <w:p>
      <w:pPr>
        <w:ind w:left="480" w:right="100"/>
        <w:spacing w:after="0" w:line="248" w:lineRule="auto"/>
        <w:rPr>
          <w:sz w:val="20"/>
          <w:szCs w:val="20"/>
          <w:color w:val="auto"/>
        </w:rPr>
      </w:pPr>
      <w:r>
        <w:rPr>
          <w:rFonts w:ascii="Times New Roman" w:cs="Times New Roman" w:eastAsia="Times New Roman" w:hAnsi="Times New Roman"/>
          <w:sz w:val="14"/>
          <w:szCs w:val="14"/>
          <w:color w:val="auto"/>
        </w:rPr>
        <w:t>significant opportunity for future growth. In Transit, we are focused on mature markets such as Europe and emerging markets such as India. In Freight, we are targeting markets that operate significant fleets of locomotives and freight cars, including Australia, Brazil, Egypt, India, South Africa, Kazakhstan, and other select areas within Europe, Asia and South America. In addition, we have opportunities to increase the sale of certain products that we currently manufacture for the rail industry into other industrial markets, such as mining, off-highway and energy.</w:t>
      </w:r>
    </w:p>
    <w:p>
      <w:pPr>
        <w:spacing w:after="0" w:line="192" w:lineRule="exact"/>
        <w:rPr>
          <w:sz w:val="20"/>
          <w:szCs w:val="20"/>
          <w:color w:val="auto"/>
        </w:rPr>
      </w:pPr>
    </w:p>
    <w:p>
      <w:pPr>
        <w:ind w:left="480" w:right="80" w:hanging="252"/>
        <w:spacing w:after="0" w:line="241" w:lineRule="auto"/>
        <w:tabs>
          <w:tab w:leader="none" w:pos="47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Drive fuel efficiencies through emerging technologies. </w:t>
      </w:r>
      <w:r>
        <w:rPr>
          <w:rFonts w:ascii="Times New Roman" w:cs="Times New Roman" w:eastAsia="Times New Roman" w:hAnsi="Times New Roman"/>
          <w:sz w:val="14"/>
          <w:szCs w:val="14"/>
          <w:color w:val="auto"/>
        </w:rPr>
        <w:t>Today, rail represents the cleanest, most energy efficient and safest mode of moving freight and people on land. As global demands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growth increase, current trends suggest that freight and passenger rail activity will more than double by 2050, leading to an increased demand for sustainable transportation of people and goods. These converging forces highlight the critical interplay between market dynamics, the need for increased fuel efficiency and Wabtec’s business strategy. Wabtec is helping customers transition to a more utilized, efficient, and low-carbon rail network. Alternative clean energy technologies are critical in the fight against climate change and reducing greenhouse gas emissions. We are helping our customers reduce their overall cost of operations through the development of low-emitting locomotives like our Tier 4 locomotives, Trip Optimizer, Green Air and Green Friction products, and the use of alternative fuels such as biodiesel, renewable diesel, and hydrogen.</w:t>
      </w:r>
    </w:p>
    <w:p>
      <w:pPr>
        <w:spacing w:after="0" w:line="165" w:lineRule="exact"/>
        <w:rPr>
          <w:rFonts w:ascii="Times New Roman" w:cs="Times New Roman" w:eastAsia="Times New Roman" w:hAnsi="Times New Roman"/>
          <w:sz w:val="14"/>
          <w:szCs w:val="14"/>
          <w:b w:val="1"/>
          <w:bCs w:val="1"/>
          <w:i w:val="1"/>
          <w:iCs w:val="1"/>
          <w:color w:val="auto"/>
        </w:rPr>
      </w:pPr>
    </w:p>
    <w:p>
      <w:pPr>
        <w:ind w:left="480" w:hanging="252"/>
        <w:spacing w:after="0" w:line="244" w:lineRule="auto"/>
        <w:tabs>
          <w:tab w:leader="none" w:pos="4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high-margin recurring revenue streams. </w:t>
      </w:r>
      <w:r>
        <w:rPr>
          <w:rFonts w:ascii="Times New Roman" w:cs="Times New Roman" w:eastAsia="Times New Roman" w:hAnsi="Times New Roman"/>
          <w:sz w:val="14"/>
          <w:szCs w:val="14"/>
          <w:color w:val="auto"/>
        </w:rPr>
        <w:t>Our expansive installed base allows us to generate strong recurring revenues with replacement parts and components, digital solutions,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overhauls and modernizations. Aftermarket sales are typically done at higher margins and are less cyclical than OEM sales because a certain level of aftermarket maintenance and service work must be performed, even during an industry slowdown. Sales of aftermarket parts and services represent approximately 60% of total net sales. As a long-time supplier of original equipment, we have an extensive installed base of equipment in operation and growing this installed base further will expand our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163" w:lineRule="exact"/>
        <w:rPr>
          <w:rFonts w:ascii="Times New Roman" w:cs="Times New Roman" w:eastAsia="Times New Roman" w:hAnsi="Times New Roman"/>
          <w:sz w:val="14"/>
          <w:szCs w:val="14"/>
          <w:color w:val="auto"/>
        </w:rPr>
      </w:pPr>
    </w:p>
    <w:p>
      <w:pPr>
        <w:ind w:left="480" w:right="20" w:hanging="252"/>
        <w:spacing w:after="0" w:line="242" w:lineRule="auto"/>
        <w:tabs>
          <w:tab w:leader="none" w:pos="4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Drive continuous operational improvement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are focused on continuous improvement to drive cost competitiveness, effectively deploy capital and accelerate Lean. Lean is a set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principles that emphasize customer focus, elimination of waste, high quality growth and relentless prioritization of work to improve safety, quality, delivery and cost. Lean is being embedded in our culture and is fundamental to how we execute our strategy. We are using Lean principles to help examine processes and continuously improve them by solving problems at their root cause. Our Lean transformation model focuses on driving process improvements and management systems to maximize the flow of value produced for the customer, remove waste, empower employees and optimize the enterprise. These principles are also rigorously applied to sustainability and safety.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Acquisitions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3 of “Notes to Consolidated Financial Statements” included in Part II, Item 8 of this report for additional information about our recent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Backlog represents the future sales we expect to recognize on firm orders received from customers and approximates the Company’s remaining performance obligations at the end of each period. The Company’s total backlog was approximately $22.3 billion at December 31, 2024. 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7" w:name="page8"/>
    <w:bookmarkEnd w:id="7"/>
    <w:p>
      <w:pPr>
        <w:ind w:left="380"/>
        <w:spacing w:after="0"/>
        <w:rPr>
          <w:sz w:val="20"/>
          <w:szCs w:val="20"/>
          <w:color w:val="auto"/>
        </w:rPr>
      </w:pPr>
      <w:r>
        <w:rPr>
          <w:rFonts w:ascii="Times New Roman" w:cs="Times New Roman" w:eastAsia="Times New Roman" w:hAnsi="Times New Roman"/>
          <w:sz w:val="14"/>
          <w:szCs w:val="14"/>
          <w:color w:val="auto"/>
        </w:rPr>
        <w:t>The roll forward of the Company's backlog of firm customer orders and the expected year of completion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260" w:type="dxa"/>
            <w:vAlign w:val="bottom"/>
          </w:tcPr>
          <w:p>
            <w:pPr>
              <w:spacing w:after="0"/>
              <w:rPr>
                <w:sz w:val="13"/>
                <w:szCs w:val="13"/>
                <w:color w:val="auto"/>
              </w:rPr>
            </w:pPr>
          </w:p>
        </w:tc>
        <w:tc>
          <w:tcPr>
            <w:tcW w:w="13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21,999</w:t>
            </w:r>
          </w:p>
        </w:tc>
      </w:tr>
      <w:tr>
        <w:trPr>
          <w:trHeight w:val="180"/>
        </w:trPr>
        <w:tc>
          <w:tcPr>
            <w:tcW w:w="20" w:type="dxa"/>
            <w:vAlign w:val="bottom"/>
          </w:tcPr>
          <w:p>
            <w:pPr>
              <w:spacing w:after="0"/>
              <w:rPr>
                <w:sz w:val="15"/>
                <w:szCs w:val="15"/>
                <w:color w:val="auto"/>
              </w:rPr>
            </w:pP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Less: 2024 Net sales</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(10,387)</w:t>
            </w:r>
          </w:p>
        </w:tc>
      </w:tr>
      <w:tr>
        <w:trPr>
          <w:trHeight w:val="180"/>
        </w:trPr>
        <w:tc>
          <w:tcPr>
            <w:tcW w:w="20" w:type="dxa"/>
            <w:vAlign w:val="bottom"/>
            <w:shd w:val="clear" w:color="auto" w:fill="CCEEFF"/>
          </w:tcPr>
          <w:p>
            <w:pPr>
              <w:spacing w:after="0"/>
              <w:rPr>
                <w:sz w:val="15"/>
                <w:szCs w:val="15"/>
                <w:color w:val="auto"/>
              </w:rPr>
            </w:pPr>
          </w:p>
        </w:tc>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New orders</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10,495</w:t>
            </w:r>
          </w:p>
        </w:tc>
      </w:tr>
      <w:tr>
        <w:trPr>
          <w:trHeight w:val="180"/>
        </w:trPr>
        <w:tc>
          <w:tcPr>
            <w:tcW w:w="20" w:type="dxa"/>
            <w:vAlign w:val="bottom"/>
            <w:tcBorders>
              <w:bottom w:val="single" w:sz="8" w:color="CCEEFF"/>
            </w:tcBorders>
          </w:tcPr>
          <w:p>
            <w:pPr>
              <w:spacing w:after="0"/>
              <w:rPr>
                <w:sz w:val="15"/>
                <w:szCs w:val="15"/>
                <w:color w:val="auto"/>
              </w:rPr>
            </w:pPr>
          </w:p>
        </w:tc>
        <w:tc>
          <w:tcPr>
            <w:tcW w:w="6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Adjustments / foreign exchange, net</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6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Expected Delivery</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4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r>
      <w:tr>
        <w:trPr>
          <w:trHeight w:val="180"/>
        </w:trPr>
        <w:tc>
          <w:tcPr>
            <w:tcW w:w="20" w:type="dxa"/>
            <w:vAlign w:val="bottom"/>
            <w:shd w:val="clear" w:color="auto" w:fill="CCEEFF"/>
          </w:tcPr>
          <w:p>
            <w:pPr>
              <w:spacing w:after="0"/>
              <w:rPr>
                <w:sz w:val="15"/>
                <w:szCs w:val="15"/>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14,591</w:t>
            </w:r>
          </w:p>
        </w:tc>
      </w:tr>
    </w:tbl>
    <w:p>
      <w:pPr>
        <w:spacing w:after="0" w:line="187"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Global economic conditions have not resulted in any material cancellations recently, but they have impacted the timing of some orders in backlog as, in certain cases, the delivery of goods and services were pushed out from their original timelines and could result in future modifications or cancellations.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Engineering and Development</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To execute our strategy to develop new products, we invest in a variety of engineering and development activities. For the years ended December 31, 2024, 2023 and 2022, we invested $206 million, $218 million and $209 million, respectively, in engineering for product development and improvement activities. Significant incremental engineering expense can be incurred with the execution of original equipment customer contracts. Across the Company we have established multiple Centers of Competence, which have specialized, technical expertise in various disciplines and product areas.</w:t>
      </w:r>
    </w:p>
    <w:p>
      <w:pPr>
        <w:spacing w:after="0" w:line="5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Our engineering and development program includes investments in data analytics, train control and other new technologies, such as liquid natural gas and hydrogen-powered locomotives, with an emphasis on developing products that enhance safety, productivity and efficiency for our customers. For example, we have developed advanced cooling systems that enable lower emissions from diesel engines used in rail and other industrial markets. We periodically conduct specific research projects in conjunction with universities, customers and other industry suppliers.</w:t>
      </w:r>
    </w:p>
    <w:p>
      <w:pPr>
        <w:spacing w:after="0" w:line="51"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We have more than 6,500 active patents worldwide and file for approximately 300 new patents each year. We actively review our patent procurement processes and make adjustments as appropriate to the business environment. We also rely on a combination of trade secrets and other intellectual property laws, nondisclosure agreements and other protective measures to establish and protect our proprietary rights in our intellectual property. We actively monitor competitor patent issuance during our product development to reduce litigation risks, and we follow their product development practices to monitor possible patent infringement by them, and to evaluate their strategies and plans.</w:t>
      </w:r>
    </w:p>
    <w:p>
      <w:pPr>
        <w:spacing w:after="0" w:line="5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Trademarks we utilize can be licensed from other companies, acquired as part of mergers or acquisitions, or have been developed through the normal course of business. We have entered into a variety of license agreements as licensor and licensee. We do not believe that any single license agreement is of material importance to our business or any of our business segments as a whole.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 provide products and services for more than 500 customers worldwide. Our customers include passenger transit authorities and railroads throughout North America, Europe, Asia Pacific, Africa and South America; manufacturers of transportation equipment, such as locomotives, freight cars, passenger transit vehicles and buses and companies that own, lease, and maintain such equipment, as well as customers in the mining, marine, and industrial markets.</w:t>
      </w:r>
    </w:p>
    <w:p>
      <w:pPr>
        <w:spacing w:after="0" w:line="51"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Top customers can change from year to year. For the fiscal year ended December 31, 2024, our top five customers accounted for approximately 30% of net sales. No one customer represents 10% or more of consolidated net sales. We believe that we have strong relationships with all of our key customers.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39"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primary competition for locomotives is Progress Rail, owned by a subsidiary of Caterpillar. Our primary competition for freight and passenger transit service and repair is mostly from the railroads’ and passenger transit authorities’ in-house operations and Knorr. We believe our key strengths, strategic partnerships and operational excellence, coupled with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Sustainability</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Wabtec is committed to creating sustainable value through innovative rail technologies and responsible business practices. Our mission to unlock our customers' potential by delivering innovative and lasting transportation solutions underpins our sustainability strategy. Our strategy helps us capitalize on market opportunities and reduce safety and environmental risks, while creating value for our customers, employees and other stakeholders. Wabtec utilizes three Strategic Sustainability Principles to execute our sustainability strategy:</w:t>
      </w:r>
    </w:p>
    <w:p>
      <w:pPr>
        <w:spacing w:after="0" w:line="49" w:lineRule="exact"/>
        <w:rPr>
          <w:sz w:val="20"/>
          <w:szCs w:val="20"/>
          <w:color w:val="auto"/>
        </w:rPr>
      </w:pPr>
    </w:p>
    <w:p>
      <w:pPr>
        <w:ind w:left="480" w:hanging="25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Innovating with Purpose. </w:t>
      </w:r>
      <w:r>
        <w:rPr>
          <w:rFonts w:ascii="Times New Roman" w:cs="Times New Roman" w:eastAsia="Times New Roman" w:hAnsi="Times New Roman"/>
          <w:sz w:val="14"/>
          <w:szCs w:val="14"/>
          <w:color w:val="auto"/>
        </w:rPr>
        <w:t>We are committed to developing responsible and sustainable products that minimize the impact on the planet.</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Driving Responsible Operations. </w:t>
      </w:r>
      <w:r>
        <w:rPr>
          <w:rFonts w:ascii="Times New Roman" w:cs="Times New Roman" w:eastAsia="Times New Roman" w:hAnsi="Times New Roman"/>
          <w:sz w:val="14"/>
          <w:szCs w:val="14"/>
          <w:color w:val="auto"/>
        </w:rPr>
        <w:t>We are committed to providing safe work environments and products that enable productive and efficient use of resources.</w:t>
      </w:r>
    </w:p>
    <w:p>
      <w:pPr>
        <w:spacing w:after="0" w:line="93" w:lineRule="exact"/>
        <w:rPr>
          <w:rFonts w:ascii="Times New Roman" w:cs="Times New Roman" w:eastAsia="Times New Roman" w:hAnsi="Times New Roman"/>
          <w:sz w:val="14"/>
          <w:szCs w:val="14"/>
          <w:color w:val="auto"/>
        </w:rPr>
      </w:pPr>
    </w:p>
    <w:p>
      <w:pPr>
        <w:ind w:left="480" w:right="200" w:hanging="252"/>
        <w:spacing w:after="0" w:line="290" w:lineRule="auto"/>
        <w:tabs>
          <w:tab w:leader="none" w:pos="47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Empowering People and Communities. </w:t>
      </w:r>
      <w:r>
        <w:rPr>
          <w:rFonts w:ascii="Times New Roman" w:cs="Times New Roman" w:eastAsia="Times New Roman" w:hAnsi="Times New Roman"/>
          <w:sz w:val="14"/>
          <w:szCs w:val="14"/>
          <w:color w:val="auto"/>
        </w:rPr>
        <w:t>We are committed to driving an inclusive culture grounded in integrity, committed to the development of and investment in the communities where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teams live and work.</w:t>
      </w:r>
    </w:p>
    <w:p>
      <w:pPr>
        <w:spacing w:after="0" w:line="37"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As we refine our sustainability strategy, we believe it is important to listen to our key internal and external stakeholders to identify and develop Environmental, Social and Governance ("ESG") topics of focus that align to our overall sustainability strategy and action plans. These topics are reviewed periodically to ensure our focus is in-line with the current market conditions and trends. Additionally, we utilize our Green Finance Framework to support the development of technologies that enable sustainable value creation.</w:t>
      </w:r>
    </w:p>
    <w:p>
      <w:pPr>
        <w:spacing w:after="0" w:line="51" w:lineRule="exact"/>
        <w:rPr>
          <w:sz w:val="20"/>
          <w:szCs w:val="20"/>
          <w:color w:val="auto"/>
        </w:rPr>
      </w:pPr>
    </w:p>
    <w:p>
      <w:pPr>
        <w:ind w:right="340" w:firstLine="382"/>
        <w:spacing w:after="0" w:line="270" w:lineRule="auto"/>
        <w:rPr>
          <w:sz w:val="20"/>
          <w:szCs w:val="20"/>
          <w:color w:val="auto"/>
        </w:rPr>
      </w:pPr>
      <w:r>
        <w:rPr>
          <w:rFonts w:ascii="Times New Roman" w:cs="Times New Roman" w:eastAsia="Times New Roman" w:hAnsi="Times New Roman"/>
          <w:sz w:val="14"/>
          <w:szCs w:val="14"/>
          <w:color w:val="auto"/>
        </w:rPr>
        <w:t>Wabtec is committed to transparency on ESG topics, including the opportunities and challenges we encounter as we work to enhance performance and conduct business in a responsible manner. We publish periodic sustainability and sustainability-related reports, where we present ESG information, including policies, goals, activities, and qualitative and quantitative data on our progress.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96" w:lineRule="exact"/>
        <w:rPr>
          <w:sz w:val="20"/>
          <w:szCs w:val="20"/>
          <w:color w:val="auto"/>
        </w:rPr>
      </w:pPr>
    </w:p>
    <w:p>
      <w:pPr>
        <w:jc w:val="both"/>
        <w:ind w:right="100" w:firstLine="382"/>
        <w:spacing w:after="0" w:line="287" w:lineRule="auto"/>
        <w:rPr>
          <w:sz w:val="20"/>
          <w:szCs w:val="20"/>
          <w:color w:val="auto"/>
        </w:rPr>
      </w:pPr>
      <w:r>
        <w:rPr>
          <w:rFonts w:ascii="Times New Roman" w:cs="Times New Roman" w:eastAsia="Times New Roman" w:hAnsi="Times New Roman"/>
          <w:sz w:val="14"/>
          <w:szCs w:val="14"/>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39"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We provide our employees resources to help them be mentally, physically and financially well. We offer a wide range of benefits including healthcare and wellness (physical and mental) benefits, retirement benefits, paid time off, an employee assistance program, and seven employee resource groups to build diverse and inclusive communities at Wabtec.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Human Capital</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In 2023, after years of growth and integration, we took the next step on our journey to become One Wabtec by aligning the behaviors of our legacy companies and evolving our shared culture. We launched our new cultural blueprint through our Vision, Mission, and Values after hearing from over 2,200 diverse stakeholders around the globe, including our customers, team members, managers, senior leaders, and Board of Directors. Our vision: Revolutionize the way the world moves for future generations. Our mission: unlock our customers’ potential by delivering innovative and lasting transportation solutions. At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9" w:name="page10"/>
    <w:bookmarkEnd w:id="9"/>
    <w:p>
      <w:pPr>
        <w:ind w:right="400"/>
        <w:spacing w:after="0" w:line="287" w:lineRule="auto"/>
        <w:rPr>
          <w:sz w:val="20"/>
          <w:szCs w:val="20"/>
          <w:color w:val="auto"/>
        </w:rPr>
      </w:pPr>
      <w:r>
        <w:rPr>
          <w:rFonts w:ascii="Times New Roman" w:cs="Times New Roman" w:eastAsia="Times New Roman" w:hAnsi="Times New Roman"/>
          <w:sz w:val="14"/>
          <w:szCs w:val="14"/>
          <w:color w:val="auto"/>
        </w:rPr>
        <w:t>Wabtec, our purpose stems from four values that shape our core identity: People First, Expand the Possible, Embrace Diversity, and One Wabtec. These values are woven throughout our global operations, and they motivate us to build lasting connections.</w:t>
      </w:r>
    </w:p>
    <w:p>
      <w:pPr>
        <w:spacing w:after="0" w:line="39"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Wabtec is committed to ensuring our workplace respects and seeks the unique talents, experiences and viewpoints of all our employees. We strive to create an environment where employees can be themselves. Our Board of Directors also plays a critical role in creating an organization that prioritizes, supports and invests in these ideals.</w:t>
      </w:r>
    </w:p>
    <w:p>
      <w:pPr>
        <w:spacing w:after="0" w:line="39"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Our headquarters are in Pittsburgh, Pennsylvania and we have offices, facilities, and operations in over 50 countries around the globe. As of December 31, 2024, we have a global workforce of approximately 29,500 employees, excluding contingent workers.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Unionized Population</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the UE officially began on April 27, 2023 and an agreement between the Company and the UE was not reached before the contract expired. On June 22, 2023, the UE voted against ratification of the Company's proposed agreement and authorized a strike. The Company and the UE subsequently reached an agreement that was ratified by the UE on August 31, 2023, ending the labor strike. The Company continuously monitors its labor activity.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Training and Development</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 continually invest in our employees’ career growth and provide employees with a wide range of development opportunities, including face-to-face, virtual, social and self-directed learning, mentoring and coaching programs. We have invested in training courses through Wabtec’s Learning Management System ("LMS"). Wabtec has partnered with a third-party vendor to provide an online learning platform available to all of our employees, both hourly and salary.</w:t>
      </w:r>
    </w:p>
    <w:p>
      <w:pPr>
        <w:spacing w:after="0" w:line="51"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Our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or departments every six months to work on strategic projects and assignments, gain exposure to senior leadership and build their global professional network. We are focused on strengthening this program to support our global talent pipeline.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Health and Safety</w:t>
      </w:r>
    </w:p>
    <w:p>
      <w:pPr>
        <w:spacing w:after="0" w:line="96"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Putting people first is how we do business at Wabtec. Our Environmental, Health and Safety ("EHS") program has a longstanding commitment to continuously improve and foster a culture that proactively reduces risks and hazards in our operations, protects the environment, ensures regulatory compliance, and encourages learning and development. To ensure operational accountability for EHS across all levels of Wabtec, we use standard metrics (both lagging and leading indicators) and structured management reviews to track and measure EHS performance across all our operational sites. Monthly EHS operating reviews with the Executive Vice President for Global Operations are used to review operational risks at the enterprise-level, develop strategic initiatives, and communicate key performance indicators to senior management. Each site is responsible for developing a risk reduction plan to drive site or project-level actions related to risk reduction, compliance assurance, employee engagement, and continuous EHS improvement. Through these efforts, our Operations and EHS teams are partnering to eliminate and reduce hazards and risks within Wabtec’s operations, which is fundamental to improved EHS performance. In 2024, we had zero fatalities and our total recordable injury rate decreased by over 5% compared with 2023. We remain steadfast in our commitment to protecting our people and driving toward EHS excellence.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6"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Federal Railroad Administration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infrastructure, energy, rolling stock, telematic applications, traffic operation and management subsystems, noise pollution and waste generation, protection against fire and smoke, and system safety.</w:t>
      </w:r>
    </w:p>
    <w:p>
      <w:pPr>
        <w:spacing w:after="0" w:line="94"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Most countries and regions in which Wabtec does business have similar rule-making bodies. For example, in China any product or system sold on the Chinese market must have been certified in accordance with national standards. In the local Indian market, most products are covered by regulations patterned after AAR and UIC standards.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Seasonality</w:t>
      </w:r>
    </w:p>
    <w:p>
      <w:pPr>
        <w:spacing w:after="0" w:line="96"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Our business has limited seasonality. Third and fourth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The Company's operations and products are subject to a variety of environmental laws and regulations governing air emissions, discharges into water, the use, handling, storage, and disposal of hazardous substances and waste materials, as well as the remediation of contamination associated with releases of hazardous substances. The Company believes its operations and products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We maintain a website at www.wabteccorp.com. Available free of charge on this site are: our annual reports on Form 10-K, quarterly reports on Form 10-Q, current reports on Form 8-K and amendments to such reports filed or furnished pursuant to Section 13(a) or 15(d) of the Securities Exchange Act of 1934, as well as the annual report to stockholders, our Green Bond Report (https://ir.wabteccorp.com/investor-relations/green-finance-framework), our sustainability and sustainability-related reports (www.wabteccorp.com/sustainability/report-archive), and other information.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Talent Management and Governance and Sustainability Committees, our Code of Conduct, which is applicable to all employees, our Code of Ethics for Senior Officers, which is applicable to our executive officers, our Policies on Related Party Transactions and Conflict Minerals.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5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r>
      <w:tr>
        <w:trPr>
          <w:trHeight w:val="340"/>
        </w:trPr>
        <w:tc>
          <w:tcPr>
            <w:tcW w:w="1120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The following table provides information on our executive officers as of February 12, 2025.</w:t>
            </w:r>
          </w:p>
        </w:tc>
      </w:tr>
      <w:tr>
        <w:trPr>
          <w:trHeight w:val="18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Officers</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63"/>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Rafael Santana</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53</w:t>
            </w: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David L. DeNinno</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69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General Counsel and Secretary</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John A. Olin</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64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Nicole Theophilus</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54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and Chief Administrative Officer</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Eric Gebhardt</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Executive Vice President and Chief Technology Officer</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Gina Trombley</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54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Sales &amp; Marketing &amp; Chief Commercial Officer - Americas</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Greg Sbrocco</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Executive Vice President, Global Operations</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Michael E. Fetsko</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President, Freight and Industrial Components</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Alicia Hammersmith</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President, Freight Services</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Rogerio Mendonca</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52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President, Freight Equipment</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Nalin Jain</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President, Digital Intelligence</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Pascal Schweitzer</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48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President, Transit</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Lillian Leroux</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53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Chief Strategy and Sustainability Officer</w:t>
            </w: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John A. Mastalerz</w:t>
            </w:r>
          </w:p>
        </w:tc>
        <w:tc>
          <w:tcPr>
            <w:tcW w:w="9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1"/>
              </w:rPr>
              <w:t>58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Senior Vice President of Finance and Chief Accounting Officer</w:t>
            </w: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Kyra Yates</w:t>
            </w:r>
          </w:p>
        </w:tc>
        <w:tc>
          <w:tcPr>
            <w:tcW w:w="9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1"/>
              </w:rPr>
              <w:t>46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Vice President, Investor Relations</w:t>
            </w:r>
          </w:p>
        </w:tc>
      </w:tr>
    </w:tbl>
    <w:p>
      <w:pPr>
        <w:spacing w:after="0" w:line="185"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Rafael Santana </w:t>
      </w:r>
      <w:r>
        <w:rPr>
          <w:rFonts w:ascii="Times New Roman" w:cs="Times New Roman" w:eastAsia="Times New Roman" w:hAnsi="Times New Roman"/>
          <w:sz w:val="14"/>
          <w:szCs w:val="14"/>
          <w:color w:val="auto"/>
        </w:rPr>
        <w:t>was named President and Chief Executive Officer of the Company effective July 1, 2019. Previously, he served as Executive Vice President from February 2019 to July 2019.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55"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David L. DeNinno </w:t>
      </w:r>
      <w:r>
        <w:rPr>
          <w:rFonts w:ascii="Times New Roman" w:cs="Times New Roman" w:eastAsia="Times New Roman" w:hAnsi="Times New Roman"/>
          <w:sz w:val="14"/>
          <w:szCs w:val="14"/>
          <w:color w:val="auto"/>
        </w:rPr>
        <w:t>was named Executive Vice President, General Counsel and Secretary of the Company effective December 2016. Previously, Mr. DeNinno served as Senior Vice President,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Counsel and Secretary since February 2012. Previously, Mr. DeNinno served as a partner at K&amp;L Gates LLP since May 2011 and prior to that with Reed Smith LLP.</w:t>
      </w:r>
    </w:p>
    <w:p>
      <w:pPr>
        <w:spacing w:after="0" w:line="35" w:lineRule="exact"/>
        <w:rPr>
          <w:sz w:val="20"/>
          <w:szCs w:val="20"/>
          <w:color w:val="auto"/>
        </w:rPr>
      </w:pPr>
    </w:p>
    <w:p>
      <w:pPr>
        <w:ind w:right="20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John A. Olin </w:t>
      </w:r>
      <w:r>
        <w:rPr>
          <w:rFonts w:ascii="Times New Roman" w:cs="Times New Roman" w:eastAsia="Times New Roman" w:hAnsi="Times New Roman"/>
          <w:sz w:val="14"/>
          <w:szCs w:val="14"/>
          <w:color w:val="auto"/>
        </w:rPr>
        <w:t>was named Executive Vice President and Chief Financial Officer effective October 1, 2021. Prior to joining Wabtec, Mr. Olin served as the Senior Vice President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Officer of Harley-Davidson, where he was instrumental in driving strategic change amidst significant market disruption, including reshaping the company. Prior to Harley-Davidson, Mr. Olin served as Controller of Kraft Foods' Cheese Division, and had 12 years of financial leadership at Kraft, Oscar Mayer Foods, and Miller Brewing Company. Mr. Olin also held positions with financial services and specialized consulting firms including Ernst and Whinney (now Ernst and Young).</w:t>
      </w:r>
    </w:p>
    <w:p>
      <w:pPr>
        <w:spacing w:after="0" w:line="53" w:lineRule="exact"/>
        <w:rPr>
          <w:sz w:val="20"/>
          <w:szCs w:val="20"/>
          <w:color w:val="auto"/>
        </w:rPr>
      </w:pPr>
    </w:p>
    <w:p>
      <w:pPr>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Nicole Theophilus </w:t>
      </w:r>
      <w:r>
        <w:rPr>
          <w:rFonts w:ascii="Times New Roman" w:cs="Times New Roman" w:eastAsia="Times New Roman" w:hAnsi="Times New Roman"/>
          <w:sz w:val="14"/>
          <w:szCs w:val="14"/>
          <w:color w:val="auto"/>
        </w:rPr>
        <w:t>was named Executive Vice President &amp; Chief Administrative Officer in July 2024. Ms. Theophilus was originally named Wabtec's Executive Vice President &amp; Chief Human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Resource Officer in October 2020. Before joining Wabtec, Ms. Theophilus served as Chief Human Resource Officer of West Corporation from March 2016 through February 2018. She also served as Executive Vice President and Chief Human Resource Officer, Vice President of Human Resources and Vice President and Chief Employment Counsel of ConAgra Corporation, where she was employed from 2006 through 2015. Prior to 2006, Ms. Theophilus was a partner with the law firm Husch Blackwell.</w:t>
      </w:r>
    </w:p>
    <w:p>
      <w:pPr>
        <w:spacing w:after="0" w:line="53" w:lineRule="exact"/>
        <w:rPr>
          <w:sz w:val="20"/>
          <w:szCs w:val="20"/>
          <w:color w:val="auto"/>
        </w:rPr>
      </w:pPr>
    </w:p>
    <w:p>
      <w:pPr>
        <w:ind w:right="16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Eric Gebhardt </w:t>
      </w:r>
      <w:r>
        <w:rPr>
          <w:rFonts w:ascii="Times New Roman" w:cs="Times New Roman" w:eastAsia="Times New Roman" w:hAnsi="Times New Roman"/>
          <w:sz w:val="14"/>
          <w:szCs w:val="14"/>
          <w:color w:val="auto"/>
        </w:rPr>
        <w:t>was named Executive Vice President and Chief Technology Officer in October 2020. Prior to joining Wabtec, Mr. Gebhardt served as Managing Director of KCK-US,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Delaware corporation, from May 2019 through September 2020. He also served in a variety of roles with General Electric including Chief Technology Officer of GE Power from August 2017 through January 2019, Chief Product Management Officer for GE Energy Connections from February 2017 through August 2017, Chief Platforms and Operations Officer for Current from January 2016 through January 2017, and Chief Technology Officer for GE Oil &amp; Gas from October 2012 through December 2015.</w:t>
      </w:r>
    </w:p>
    <w:p>
      <w:pPr>
        <w:spacing w:after="0" w:line="53" w:lineRule="exact"/>
        <w:rPr>
          <w:sz w:val="20"/>
          <w:szCs w:val="20"/>
          <w:color w:val="auto"/>
        </w:rPr>
      </w:pPr>
    </w:p>
    <w:p>
      <w:pPr>
        <w:ind w:right="10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Gina Trombley </w:t>
      </w:r>
      <w:r>
        <w:rPr>
          <w:rFonts w:ascii="Times New Roman" w:cs="Times New Roman" w:eastAsia="Times New Roman" w:hAnsi="Times New Roman"/>
          <w:sz w:val="14"/>
          <w:szCs w:val="14"/>
          <w:color w:val="auto"/>
        </w:rPr>
        <w:t>was named Executive Vice President, Sales &amp; Marketing &amp; Chief Commercial Officer - Americas, effective September 8, 2020. Prior to joining Wabtec, Ms. Trombley 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various executive roles at Bombardier Transportation from 2017 to August 2020, most recently as Vice President of Services and previously as Vice President Sales for Bombardier Transport - Americas. Ms. Trombley also held progressive commercial and marketing leadership roles at Parsons and GE Transportation.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2" w:name="page13"/>
    <w:bookmarkEnd w:id="12"/>
    <w:p>
      <w:pPr>
        <w:jc w:val="both"/>
        <w:ind w:right="1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Greg Sbrocco </w:t>
      </w:r>
      <w:r>
        <w:rPr>
          <w:rFonts w:ascii="Times New Roman" w:cs="Times New Roman" w:eastAsia="Times New Roman" w:hAnsi="Times New Roman"/>
          <w:sz w:val="14"/>
          <w:szCs w:val="14"/>
          <w:color w:val="auto"/>
        </w:rPr>
        <w:t>was named Executive Vice President, Global Operations in February 2019. Prior to this, Mr. Sbrocco was Global Supply Chain Leader for GE Transportation since September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2014. Mr. Sbrocco had been with GE since 1992 when he joined as an Environmental Engineer for the GE Energy business. During his tenure with GE, Mr. Sbrocco held several leadership roles in GE Energy, GE Oil and Gas, and GE Transportation.</w:t>
      </w:r>
    </w:p>
    <w:p>
      <w:pPr>
        <w:spacing w:after="0" w:line="49" w:lineRule="exact"/>
        <w:rPr>
          <w:sz w:val="20"/>
          <w:szCs w:val="20"/>
          <w:color w:val="auto"/>
        </w:rPr>
      </w:pPr>
    </w:p>
    <w:p>
      <w:pPr>
        <w:jc w:val="both"/>
        <w:ind w:right="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Michael E. Fetsko </w:t>
      </w:r>
      <w:r>
        <w:rPr>
          <w:rFonts w:ascii="Times New Roman" w:cs="Times New Roman" w:eastAsia="Times New Roman" w:hAnsi="Times New Roman"/>
          <w:sz w:val="14"/>
          <w:szCs w:val="14"/>
          <w:color w:val="auto"/>
        </w:rPr>
        <w:t>was named President, Freight and Industrial Components effective January 2017. Previously, Mr. Fetsko served as Vice President and Group Executive from January 2014.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49" w:lineRule="exact"/>
        <w:rPr>
          <w:sz w:val="20"/>
          <w:szCs w:val="20"/>
          <w:color w:val="auto"/>
        </w:rPr>
      </w:pPr>
    </w:p>
    <w:p>
      <w:pPr>
        <w:jc w:val="both"/>
        <w:ind w:right="10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Alicia Hammersmith </w:t>
      </w:r>
      <w:r>
        <w:rPr>
          <w:rFonts w:ascii="Times New Roman" w:cs="Times New Roman" w:eastAsia="Times New Roman" w:hAnsi="Times New Roman"/>
          <w:sz w:val="14"/>
          <w:szCs w:val="14"/>
          <w:color w:val="auto"/>
        </w:rPr>
        <w:t>was named President, Freight Services in April 2023. Previously, Ms. Hammersmith served as Group Vice President, Transit Operations from 2020-2023 and as General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Manager Latin America &amp; Texas from 2019-2020. Prior to joining Wabtec, Ms. Hammersmith served in various management roles with GE.</w:t>
      </w:r>
    </w:p>
    <w:p>
      <w:pPr>
        <w:spacing w:after="0" w:line="35" w:lineRule="exact"/>
        <w:rPr>
          <w:sz w:val="20"/>
          <w:szCs w:val="20"/>
          <w:color w:val="auto"/>
        </w:rPr>
      </w:pPr>
    </w:p>
    <w:p>
      <w:pPr>
        <w:ind w:right="2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Rogerio Mendonca </w:t>
      </w:r>
      <w:r>
        <w:rPr>
          <w:rFonts w:ascii="Times New Roman" w:cs="Times New Roman" w:eastAsia="Times New Roman" w:hAnsi="Times New Roman"/>
          <w:sz w:val="14"/>
          <w:szCs w:val="14"/>
          <w:color w:val="auto"/>
        </w:rPr>
        <w:t>was named President, Freight Equipment in February 2021. Previously Mr. Mendonca served as Vice President for Baker Hughes from July 2017. Prior to that he served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President of GE Transportation in Latin America from April 2016 through July 2017 and in several roles leading up to that including Commercial Director and Service Operations General Manager.</w:t>
      </w:r>
    </w:p>
    <w:p>
      <w:pPr>
        <w:spacing w:after="0" w:line="35" w:lineRule="exact"/>
        <w:rPr>
          <w:sz w:val="20"/>
          <w:szCs w:val="20"/>
          <w:color w:val="auto"/>
        </w:rPr>
      </w:pPr>
    </w:p>
    <w:p>
      <w:pPr>
        <w:ind w:right="4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Nalin Jain </w:t>
      </w:r>
      <w:r>
        <w:rPr>
          <w:rFonts w:ascii="Times New Roman" w:cs="Times New Roman" w:eastAsia="Times New Roman" w:hAnsi="Times New Roman"/>
          <w:sz w:val="14"/>
          <w:szCs w:val="14"/>
          <w:color w:val="auto"/>
        </w:rPr>
        <w:t>was named President, Digital Intelligence business effective December 2020. Mr. Jain had served as President, Global Equipment since May 2019 and previously as President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CEO, International Markets since August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49"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Pascal Schweitzer </w:t>
      </w:r>
      <w:r>
        <w:rPr>
          <w:rFonts w:ascii="Times New Roman" w:cs="Times New Roman" w:eastAsia="Times New Roman" w:hAnsi="Times New Roman"/>
          <w:sz w:val="14"/>
          <w:szCs w:val="14"/>
          <w:color w:val="auto"/>
        </w:rPr>
        <w:t>was named President, Transit in April 2023. Previously, Mr. Schweitzer served as President, Freight Services from February 2019 to April 2023 and Vice President—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of GE Transportation from April 2017 to February 2019. He also served as General Manager – Europe – Power Services for GE Power from November 2015 through April 2017 and prior to that several positions with Alstom Power.</w:t>
      </w:r>
    </w:p>
    <w:p>
      <w:pPr>
        <w:spacing w:after="0" w:line="49" w:lineRule="exact"/>
        <w:rPr>
          <w:sz w:val="20"/>
          <w:szCs w:val="20"/>
          <w:color w:val="auto"/>
        </w:rPr>
      </w:pPr>
    </w:p>
    <w:p>
      <w:pPr>
        <w:ind w:right="16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Lilian Leroux </w:t>
      </w:r>
      <w:r>
        <w:rPr>
          <w:rFonts w:ascii="Times New Roman" w:cs="Times New Roman" w:eastAsia="Times New Roman" w:hAnsi="Times New Roman"/>
          <w:sz w:val="14"/>
          <w:szCs w:val="14"/>
          <w:color w:val="auto"/>
        </w:rPr>
        <w:t>was named Chief Strategy and Sustainability officer in April 2023. Previously he served as President, Transit from March 2019 to April 2023 and Group President—Brakes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Safety from January 2017 to October 2019. Prior to that, Mr. Leroux held various executive management roles with Faiveley Transport, starting in January 2001.</w:t>
      </w:r>
    </w:p>
    <w:p>
      <w:pPr>
        <w:spacing w:after="0" w:line="35" w:lineRule="exact"/>
        <w:rPr>
          <w:sz w:val="20"/>
          <w:szCs w:val="20"/>
          <w:color w:val="auto"/>
        </w:rPr>
      </w:pPr>
    </w:p>
    <w:p>
      <w:pPr>
        <w:ind w:right="2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John A. Mastalerz </w:t>
      </w:r>
      <w:r>
        <w:rPr>
          <w:rFonts w:ascii="Times New Roman" w:cs="Times New Roman" w:eastAsia="Times New Roman" w:hAnsi="Times New Roman"/>
          <w:sz w:val="14"/>
          <w:szCs w:val="14"/>
          <w:color w:val="auto"/>
        </w:rPr>
        <w:t>was named Senior Vice President of Finance and Chief Accounting Officer in February 2020. Previously, Mr. Mastalerz served as Senior Vice President,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53" w:lineRule="exact"/>
        <w:rPr>
          <w:sz w:val="20"/>
          <w:szCs w:val="20"/>
          <w:color w:val="auto"/>
        </w:rPr>
      </w:pPr>
    </w:p>
    <w:p>
      <w:pPr>
        <w:ind w:right="2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Kyra Yates </w:t>
      </w:r>
      <w:r>
        <w:rPr>
          <w:rFonts w:ascii="Times New Roman" w:cs="Times New Roman" w:eastAsia="Times New Roman" w:hAnsi="Times New Roman"/>
          <w:sz w:val="14"/>
          <w:szCs w:val="14"/>
          <w:color w:val="auto"/>
        </w:rPr>
        <w:t>was named Vice President of Investor Relations in March 2024. Previously, Ms. Yates served as the Vice President and Chief Financial Officer of Wabtec's Global Operations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2022 to March 2024, where she managed the financial performance of the Company's manufacturing, sourcing, and logistics operations. She also served as the Chief Financial Officer of Wabtec's Americas Services from March 2021 to March 2022. Ms. Yates had been with GE Transportation since 2008, and prior to that she held several positions with other GE businesses beginning in 2000.</w:t>
      </w:r>
    </w:p>
    <w:p>
      <w:pPr>
        <w:spacing w:after="0" w:line="19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key customers.</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rely on several key customers who represent a significant portion of our business. While we believe our relationships with our customers are generally good, our top customers could choose to reduce or terminate their relationships with Wabtec. In addition, many of our customers place orders for products on an as-needed basis and operate in cyclical industries. As a result, customer order levels have varied from period to period in the past and may vary significantly in the future. Such customer orders may be subject to delays and cancellations based on various market-and customer-specific conditions.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operates in a highly competitive industry.</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to predict and react to customer demand could adversely affect our business.</w:t>
      </w:r>
    </w:p>
    <w:p>
      <w:pPr>
        <w:spacing w:after="0" w:line="96" w:lineRule="exact"/>
        <w:rPr>
          <w:sz w:val="20"/>
          <w:szCs w:val="20"/>
          <w:color w:val="auto"/>
        </w:rPr>
      </w:pPr>
    </w:p>
    <w:p>
      <w:pPr>
        <w:ind w:right="440" w:firstLine="382"/>
        <w:spacing w:after="0" w:line="270" w:lineRule="auto"/>
        <w:rPr>
          <w:sz w:val="20"/>
          <w:szCs w:val="20"/>
          <w:color w:val="auto"/>
        </w:rPr>
      </w:pPr>
      <w:r>
        <w:rPr>
          <w:rFonts w:ascii="Times New Roman" w:cs="Times New Roman" w:eastAsia="Times New Roman" w:hAnsi="Times New Roman"/>
          <w:sz w:val="14"/>
          <w:szCs w:val="14"/>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5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Failure to accurately predict and react to customer demand could have a material adverse effect on our business, results of operations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respond adequately or in a timely manner to innovative changes in new technology.</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In recent years, the global transportation landscape has been characterized by rapid changes in technology, leading to innovative developments in transportation and logistics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revenues are subject to cyclical variations in the railway and passenger transit markets and changes in government spending.</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For example, the economic slowdown that was caused by the COVID-19 pandemic impacted the timing of some orders, as customers deferred the delivery of some goods and services to future years. Reductions in freight traffic may reduce demand for our replacement products.</w:t>
      </w:r>
    </w:p>
    <w:p>
      <w:pPr>
        <w:spacing w:after="0" w:line="5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Wabtec.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backlog is not necessarily indicative of the level of our future revenues.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 For example, although the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14" w:name="page15"/>
    <w:bookmarkEnd w:id="14"/>
    <w:p>
      <w:pPr>
        <w:ind w:right="20"/>
        <w:spacing w:after="0" w:line="287" w:lineRule="auto"/>
        <w:rPr>
          <w:sz w:val="20"/>
          <w:szCs w:val="20"/>
          <w:color w:val="auto"/>
        </w:rPr>
      </w:pPr>
      <w:r>
        <w:rPr>
          <w:rFonts w:ascii="Times New Roman" w:cs="Times New Roman" w:eastAsia="Times New Roman" w:hAnsi="Times New Roman"/>
          <w:sz w:val="14"/>
          <w:szCs w:val="14"/>
          <w:color w:val="auto"/>
        </w:rPr>
        <w:t>economic slowdown caused by the COVID-19 pandemic did not result in any material cancellations of the Company's backlog, it did impact the timing of some orders in backlog as, in certain cases, the delivery of goods and services were pushed out from their original timelines.</w:t>
      </w:r>
    </w:p>
    <w:p>
      <w:pPr>
        <w:spacing w:after="0" w:line="3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3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All of our facilities, equipment, supply chains, distribution systems and information technology systems are subject to the risk of catastrophic loss due to unanticipated events, such as cyber-attacks,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5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 of our supply chain could have an adverse impact on our business, financial condition, and results of operations.</w:t>
      </w:r>
    </w:p>
    <w:p>
      <w:pPr>
        <w:spacing w:after="0" w:line="9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For example, the COVID-19 pandemic caused supply chain disruptions, particularly with respect to channels in China, India, the U.S. and Europe, and labor availability constraints that resulted in component, raw material and chip shortages. Additionally, market factors, such as broad-based inflation, escalation of commodities costs, transportation and logistics costs, labor costs, and foreign currency exchange rate fluctuations may exacerbate the impacts of such disruptions.</w:t>
      </w:r>
    </w:p>
    <w:p>
      <w:pPr>
        <w:spacing w:after="0" w:line="61"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There can be no assurance that supply chain disruptions will not occur from time to time, or that the steps we take to mitigate such disruptions will be effective or achieve their desired results in a timely fashion.</w:t>
      </w:r>
    </w:p>
    <w:p>
      <w:pPr>
        <w:spacing w:after="0" w:line="3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intend to pursue acquisitions, joint ventures and alliances that involve a number of inherent risks, any of which may cause us not to realize anticipated benefits.</w:t>
      </w:r>
    </w:p>
    <w:p>
      <w:pPr>
        <w:spacing w:after="0" w:line="96" w:lineRule="exact"/>
        <w:rPr>
          <w:sz w:val="20"/>
          <w:szCs w:val="20"/>
          <w:color w:val="auto"/>
        </w:rPr>
      </w:pPr>
    </w:p>
    <w:p>
      <w:pPr>
        <w:ind w:right="140" w:firstLine="382"/>
        <w:spacing w:after="0" w:line="260" w:lineRule="auto"/>
        <w:rPr>
          <w:sz w:val="20"/>
          <w:szCs w:val="20"/>
          <w:color w:val="auto"/>
        </w:rPr>
      </w:pPr>
      <w:r>
        <w:rPr>
          <w:rFonts w:ascii="Times New Roman" w:cs="Times New Roman" w:eastAsia="Times New Roman" w:hAnsi="Times New Roman"/>
          <w:sz w:val="14"/>
          <w:szCs w:val="14"/>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ind w:left="480" w:hanging="25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achieving identified financial and operating synergies, including the integration of operations, services and products;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other business concerns;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 of unknown liabilities; and</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the market conditions, business and economic factors affecting such an acquisition, joint venture or alliance.</w:t>
      </w:r>
    </w:p>
    <w:p>
      <w:pPr>
        <w:spacing w:after="0" w:line="79"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In addition, we may fail to consummate future acquisitions, joint ventures or other business combinations for a variety of reasons, including the failure to satisfy closing conditions, potential regulatory interventions, or the possibility of competing bidders presenting a superior offer. If we are unable to identify or consummate suitable acquisitions or joint ventures,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54"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37"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Although we believe that our recent acquisitions will improve our market position and realize positive operating results, including operating synergies, operating expense reductions and overhead cost savings, we cannot be assured that these</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15" w:name="page16"/>
    <w:bookmarkEnd w:id="15"/>
    <w:p>
      <w:pPr>
        <w:ind w:right="100"/>
        <w:spacing w:after="0" w:line="263" w:lineRule="auto"/>
        <w:rPr>
          <w:sz w:val="20"/>
          <w:szCs w:val="20"/>
          <w:color w:val="auto"/>
        </w:rPr>
      </w:pPr>
      <w:r>
        <w:rPr>
          <w:rFonts w:ascii="Times New Roman" w:cs="Times New Roman" w:eastAsia="Times New Roman" w:hAnsi="Times New Roman"/>
          <w:sz w:val="14"/>
          <w:szCs w:val="14"/>
          <w:color w:val="auto"/>
        </w:rPr>
        <w:t>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1" w:lineRule="exact"/>
        <w:rPr>
          <w:sz w:val="20"/>
          <w:szCs w:val="20"/>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that an acquired business will achieve anticipated operating results;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expenses to integrate;</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business operations to integration matters;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 of key personnel from the acquired business;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managing entrepreneurial spirit and decision-making;</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different information systems;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costs and exposure to unforeseen liabilities; and</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effects of potential future public health crises, epidemics, pandemics or similar events on our business, operating results and cash flows are uncertain.</w:t>
      </w:r>
    </w:p>
    <w:p>
      <w:pPr>
        <w:spacing w:after="0" w:line="96" w:lineRule="exact"/>
        <w:rPr>
          <w:sz w:val="20"/>
          <w:szCs w:val="20"/>
          <w:color w:val="auto"/>
        </w:rPr>
      </w:pPr>
    </w:p>
    <w:p>
      <w:pPr>
        <w:ind w:right="580" w:firstLine="382"/>
        <w:spacing w:after="0" w:line="287" w:lineRule="auto"/>
        <w:rPr>
          <w:sz w:val="20"/>
          <w:szCs w:val="20"/>
          <w:color w:val="auto"/>
        </w:rPr>
      </w:pPr>
      <w:r>
        <w:rPr>
          <w:rFonts w:ascii="Times New Roman" w:cs="Times New Roman" w:eastAsia="Times New Roman" w:hAnsi="Times New Roman"/>
          <w:sz w:val="14"/>
          <w:szCs w:val="14"/>
          <w:color w:val="auto"/>
        </w:rPr>
        <w:t>We face a wide variety of risks related to health epidemics, pandemics and similar outbreaks. As was evidenced by the COVID-19 pandemic, public health crises have the potential to dramatically impact the global health and economic environment and to trigger significant economic volatility and operational uncertainty.</w:t>
      </w:r>
    </w:p>
    <w:p>
      <w:pPr>
        <w:spacing w:after="0" w:line="39"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Future public health emergencies, and unpredictable responses by authorities around the world could negatively impact our global operations, customers and suppliers. Any future public health crises, epidemics, pandemics or similar events could result in disruptions to our operations, including higher rates of employee absenteeism and supply chain disruptions, decreased demand for our products, volatility in financial markets, and overall deterioration of national and global economic conditions.</w:t>
      </w:r>
    </w:p>
    <w:p>
      <w:pPr>
        <w:spacing w:after="0" w:line="51"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Given the tremendous uncertainties and variables associated with public health crises, we cannot predict the impact of such events, but any one could have a material adverse impact on our business, financial position, results of operations and/or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INTERNATIONAL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portion of our sales may be derived from our international operations, which exposes us to certain risks inherent in doing business on an international level.</w:t>
      </w:r>
    </w:p>
    <w:p>
      <w:pPr>
        <w:spacing w:after="0" w:line="96"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For the fiscal year ended December 31, 2024, approximately 53%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Kazakhstan/Commonwealth of Independent States ("CIS"), the Republic of North Macedonia, Mexico, the Netherlands, Poland, Spain, South Africa, Turkey, and the United Kingdom. As a result, we are subject to various risks, any one of which could have a material adverse effect on those operations and on our business as a whole, including:</w:t>
      </w:r>
    </w:p>
    <w:p>
      <w:pPr>
        <w:spacing w:after="0" w:line="1" w:lineRule="exact"/>
        <w:rPr>
          <w:sz w:val="20"/>
          <w:szCs w:val="20"/>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complete operating control;</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local business experience;</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fluctuations and devaluations;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currency conversion or the transfer of funds or limitations on our ability to repatriate income or capital;</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of operating within multiple tax jurisdictions;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trade restrictions and exchange controls;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impacts of international trade policies, such as import quotas, capital controls or tariffs;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enforcing agreements and intellectual property rights;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challenges of complying with complex and changing laws, regulations, and policies of foreign governments;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difficulties involved in staffing and managing widespread operations;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nationalization of enterprises;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and social instability;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reputational harm associated with doing business in certain countries;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local catastrophes, such as natural disasters and epidemics; and</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terrorist attacks, conflicts and wars, including actions targeting American interests.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exposure to the risks associated with international operations may intensify if our international operations expand in the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increased costs or margin degradation due to fluctuations in interest rates and foreign currency exchange rates.</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In the ordinary course of business, we are exposed to increases in interest rates that may adversely affect funding costs associated with variable-rate debt and changes in foreign currency exchange rates. We are subject to currency exchange rate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ind w:right="20"/>
        <w:spacing w:after="0" w:line="264" w:lineRule="auto"/>
        <w:rPr>
          <w:sz w:val="20"/>
          <w:szCs w:val="20"/>
          <w:color w:val="auto"/>
        </w:rPr>
      </w:pPr>
      <w:r>
        <w:rPr>
          <w:rFonts w:ascii="Times New Roman" w:cs="Times New Roman" w:eastAsia="Times New Roman" w:hAnsi="Times New Roman"/>
          <w:sz w:val="14"/>
          <w:szCs w:val="14"/>
          <w:color w:val="auto"/>
        </w:rPr>
        <w:t>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substantial operations located in emerging markets, and are subject to regulatory, economic, social and political uncertainties in such markets.</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We have substantial operations located in emerging markets, such as Brazil, India, and Kazakhstan.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5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39"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Regional and international conflicts may adversely affect our business and results of operations.</w:t>
      </w:r>
    </w:p>
    <w:p>
      <w:pPr>
        <w:spacing w:after="0" w:line="96"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Given the nature of our business and our global operations, political, economic, and other conditions in foreign countries and regions, may adversely affect our business and results of operations. Regional and international conflicts could have a wide range of negative consequences, including causing damage or disruption to international commerce, disruptions to transportation and distribution routes, volatility in commodity markets, supply chain disruptions, business disruptions (including labor shortages), foreign currency dislocations or broader regional instability.</w:t>
      </w:r>
    </w:p>
    <w:p>
      <w:pPr>
        <w:spacing w:after="0" w:line="51"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For example, the continuing conflict between Russia and Ukraine has affected, and may continue to adversely affect our business and results of operations. The broader consequences of this conflict, which may include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5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Additionally, Wabtec has operations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5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To the extent a regional or international conflict adversely affects our business, particularly in Russia and Kazakhstan, it may also have the effect of heightening many other risks disclosed in this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MACRO-ECONOMIC CONDITIONS AND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Prolonged unfavorable economic and market conditions could adversely affect our business.</w:t>
      </w:r>
    </w:p>
    <w:p>
      <w:pPr>
        <w:spacing w:after="0" w:line="96"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exposed to raw material shortages, supply shortages, fluctuations in raw material, energy and commodity prices, and inflationary pressure.</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including inflationary pressure.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5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international trade policies, including tariffs and foreign trade restrictions, could adversely affect our business.</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58"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laws and regulations, including anti-corruption laws, in various jurisdictions.</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6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In addition, our manufacturing operations and products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environmental laws and regulations.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are subject to a variety of increasingly stringent environmental laws and regulations governing air emissions, discharges into water, chemical substances in products, the use, handling, storage, and disposal of hazardous substances or waste materials, as well as the remediation of contamination associated with releases of hazardous substances. We have incurred, and will continue to incur, both operating and capital costs to comply with environmental laws and regulations,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4"/>
          <w:szCs w:val="14"/>
          <w:color w:val="auto"/>
        </w:rPr>
        <w:t>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58"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In addition, certain of our products are subject to extensive, and increasingly stringent, statutory and regulatory requirements governing attributes, such as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climate change regulation could result in increased operating costs, affect the demand for our products or affect the ability of our critical suppliers to meet our needs.</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Potential regulation addressing climate change may affect the Company's operations and products in certain jurisdictions. The potential challenges posed by evolving climate change policy and prospective regulation are heavily dependent on the nature and degree of such legislation, the consistency (or lack of consistency) of legislation across jurisdictions in which we operate, and the extent to which such regulation and legislation applies to our industry. Although uncertain, these developments could increase costs or reduce the demand for the products the company sells.</w:t>
      </w:r>
    </w:p>
    <w:p>
      <w:pPr>
        <w:spacing w:after="0" w:line="5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International agreements, domestic legislation and regulatory measures to limit greenhouse gas emissions are currently in various phases of discussion or implementation. While we are carefully monitoring developments, at this time, we cannot predict the ultimate impact of climate change and climate change regulation on our operations.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occurrence of litigation in which we are, or could be, named as a defendant is unpredictable.</w:t>
      </w:r>
    </w:p>
    <w:p>
      <w:pPr>
        <w:spacing w:after="0" w:line="96"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51"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Any litigation, even a claim without merit, could result in substantial costs and diversion of resources and could have a material adverse effect on our business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manufacturer’s warranties or product liability may expose us to potentially significant claims.</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relating to environmental, social and governance considerations expose us to potential liabilities, increased costs, reputational harm, and other adverse effects on our business.</w:t>
      </w:r>
    </w:p>
    <w:p>
      <w:pPr>
        <w:spacing w:after="0" w:line="96" w:lineRule="exact"/>
        <w:rPr>
          <w:sz w:val="20"/>
          <w:szCs w:val="20"/>
          <w:color w:val="auto"/>
        </w:rPr>
      </w:pPr>
    </w:p>
    <w:p>
      <w:pPr>
        <w:ind w:right="100" w:firstLine="382"/>
        <w:spacing w:after="0" w:line="257"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focused on environmental, social and governance considerations relating to businesses, including climate action and greenhouse gas emissions, supply chain due diligence, human capital management, and diversity initiatives. We make statements about our ESG goals and initiatives through information provided in reports that we file or furnish with the Securities and Exchange Commission, on our website, in press statements, and in other communications, including through our Sustainability Reports. Our response to these ESG considerations and the implementation of these goals and initiatives involves risks and uncertainties, including those described under “Forward-Looking Statements,” and such response may be impacted by factors that are outside our control. In addition, some stakeholders may disagree with our goals and initiatives and the focus of stakeholders may change and evolve over time. Stakeholders also may have different views on the relative prioritization of the Company's ESG focus, including differing views of regulators in various jurisdictions in which we operate.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DATA SECURITY AND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protect our intellectual property and other proprietary rights, we may be adversely affected.</w:t>
      </w:r>
    </w:p>
    <w:p>
      <w:pPr>
        <w:spacing w:after="0" w:line="96"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61"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96"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4"/>
          <w:szCs w:val="14"/>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5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w:t>
      </w:r>
    </w:p>
    <w:p>
      <w:pPr>
        <w:spacing w:after="0" w:line="40" w:lineRule="exact"/>
        <w:rPr>
          <w:sz w:val="20"/>
          <w:szCs w:val="20"/>
          <w:color w:val="auto"/>
        </w:rPr>
      </w:pPr>
    </w:p>
    <w:p>
      <w:pPr>
        <w:jc w:val="both"/>
        <w:ind w:right="60" w:firstLine="382"/>
        <w:spacing w:after="0" w:line="248" w:lineRule="auto"/>
        <w:rPr>
          <w:sz w:val="20"/>
          <w:szCs w:val="20"/>
          <w:color w:val="auto"/>
        </w:rPr>
      </w:pPr>
      <w:r>
        <w:rPr>
          <w:rFonts w:ascii="Times New Roman" w:cs="Times New Roman" w:eastAsia="Times New Roman" w:hAnsi="Times New Roman"/>
          <w:sz w:val="14"/>
          <w:szCs w:val="14"/>
          <w:color w:val="auto"/>
        </w:rPr>
        <w:t>For instance, we have experienced cyber-security incidents that have impacted the Company's network. We have also been indirectly affected by vulnerabilities in third-party systems used for certain Wabtec products. In each instance, the Company has promptly activated incident response protocols and completed a thorough investigation. Such incidents have not had a material impact on our business, operations or financial results. However, a successful exploitation of our own or our vendors’ information technology infrastructure could result in service interruptions, safety hazards, misappropriation of confidential information, process failures, security breaches or other operational difficulties. Such an event could result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4"/>
          <w:szCs w:val="14"/>
          <w:color w:val="auto"/>
        </w:rPr>
        <w:t>decreased revenues and increased capital, insurance or operating costs, including the increased costs of security to protect the 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HUMAN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 shortages and labor disputes may have a material adverse effect on our operations and profitability.</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39"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could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56"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management team and other key personnel.</w:t>
      </w:r>
    </w:p>
    <w:p>
      <w:pPr>
        <w:spacing w:after="0" w:line="96"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INDEBTEDNESS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health.</w:t>
      </w:r>
    </w:p>
    <w:p>
      <w:pPr>
        <w:spacing w:after="0" w:line="96" w:lineRule="exact"/>
        <w:rPr>
          <w:sz w:val="20"/>
          <w:szCs w:val="20"/>
          <w:color w:val="auto"/>
        </w:rPr>
      </w:pPr>
    </w:p>
    <w:p>
      <w:pPr>
        <w:ind w:right="400" w:firstLine="382"/>
        <w:spacing w:after="0" w:line="263" w:lineRule="auto"/>
        <w:rPr>
          <w:sz w:val="20"/>
          <w:szCs w:val="20"/>
          <w:color w:val="auto"/>
        </w:rPr>
      </w:pPr>
      <w:r>
        <w:rPr>
          <w:rFonts w:ascii="Times New Roman" w:cs="Times New Roman" w:eastAsia="Times New Roman" w:hAnsi="Times New Roman"/>
          <w:sz w:val="14"/>
          <w:szCs w:val="14"/>
          <w:color w:val="auto"/>
        </w:rPr>
        <w:t>At December 31, 2024, we had total debt of $4.0 billion, primarily related to Senior Notes, and the 2022 and 2024 Credit Agreements ("Credit Agreements"). Being indebted could have important consequences to us. For example, our indebtedness could:</w:t>
      </w:r>
    </w:p>
    <w:p>
      <w:pPr>
        <w:spacing w:after="0" w:line="1" w:lineRule="exact"/>
        <w:rPr>
          <w:sz w:val="20"/>
          <w:szCs w:val="20"/>
          <w:color w:val="auto"/>
        </w:rPr>
      </w:pPr>
    </w:p>
    <w:p>
      <w:pPr>
        <w:ind w:left="480" w:hanging="25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8" w:lineRule="exact"/>
        <w:rPr>
          <w:rFonts w:ascii="Times New Roman" w:cs="Times New Roman" w:eastAsia="Times New Roman" w:hAnsi="Times New Roman"/>
          <w:sz w:val="14"/>
          <w:szCs w:val="14"/>
          <w:color w:val="auto"/>
        </w:rPr>
      </w:pPr>
    </w:p>
    <w:p>
      <w:pPr>
        <w:ind w:left="480" w:right="340" w:hanging="252"/>
        <w:spacing w:after="0" w:line="253" w:lineRule="auto"/>
        <w:tabs>
          <w:tab w:leader="none" w:pos="47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ind w:left="480" w:hanging="25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industries in which we operate;</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disadvantage compared to competitors that have less debt;</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and,</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higher borrowing costs impacting our financial results upon refinancing any of our maturing debt.</w:t>
      </w:r>
    </w:p>
    <w:p>
      <w:pPr>
        <w:spacing w:after="0" w:line="7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Moreover, our Credit Agreements and the indentures governing our Senior Notes permit us to incur substantial additional indebtedness, which may further contribute to, or exacerbate the impact of, the foregoing impacts.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indentures for our outstanding Senior Notes and our 2022 and 2024 Credit Agreements contain various covenants that limit our management’s discretion in the operation of our businesses.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Our Credit Agreements subject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an Interest Coverage Ratio of at least 3.00 to 1.00, calculated using an earning metric as defined in the agreement compared to Interest Expense for the four quarters then ended and (ii) a Leverage Ratio, calculated by net debt (total debt, net of up to $300 million of unrestricted cash) as of the last day of such fiscal quarter to the defined earnings metric for the four quarters then ended, of 3.5 or less. All terms are as defined in the Credit Agreements.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21" w:name="page22"/>
    <w:bookmarkEnd w:id="21"/>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8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96"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security of the Company’s products, data, services and network is a critical priority. To effectively assess, identify and manage material risks associated with cybersecurity threats, the Company has adopted a comprehensive approach with respect to acceptable use, risk management, data privacy, education and awareness, security incident management and reporting, identity and access management, third-party management, security (with respect to physical assets, products, networks and systems), security monitoring and vulnerability identification. The Company has, and continues to, invest in internal and external tools to better detect, patch, monitor, and restore systems. Further, the Company maintains cybersecurity insurance coverage intended to protect against loss of business and other related consequences resulting from cyber incidents.</w:t>
      </w:r>
    </w:p>
    <w:p>
      <w:pPr>
        <w:spacing w:after="0" w:line="5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The Company also maintains a global incident response plan and regularly conducts exercises to help with our overall preparedness. The Company takes measures to improve and update our cybersecurity program, including independent third party assessments, penetration testing and scanning of our systems for vulnerabilities. The Company pairs with assessors, consultants, auditors, and other third-party service providers and advisers to assist in monitoring cybersecurity risks.</w:t>
      </w:r>
    </w:p>
    <w:p>
      <w:pPr>
        <w:spacing w:after="0" w:line="51"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The Company remains committed to preserving the integrity of its network, while remaining adaptable to identify new and emerging threats relying on both internal and external research and intelligence gathering. The Company has instituted a Cybersecurity Awareness Month program and the Cybersecurity Champion Network for continuous improvement via trainings and continued awareness on emerging cybersecurity risks.</w:t>
      </w:r>
    </w:p>
    <w:p>
      <w:pPr>
        <w:spacing w:after="0" w:line="5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During 2022, the Company detected a cyber-security incident which impacted the Company’s network. The Company promptly activated incident response protocols and completed a thorough investigation. The incidents did not have a material impact on our business, operations or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Company and its Board understands the importance of maintaining a secure environment for our products, data and systems that effectively supports our business objectives and customer needs. Cybersecurity risks are overseen by the Audit Committee of the Board. The Senior Vice-President and Chief Information Officer (“CIO”) and Chief Information Security Officer (“CISO”) provide ongoing and continuing reports to the Audit Committee, which includes information about cyber-risk management, the effectiveness of the Company’s cybersecurity framework, and benchmarking the Company against its industry peers. The CISO is responsible for navigating cyber risks, data access governance, security governance and global regulatory compliance related to cybersecurity regulations and industry standards. The Company also has a Chief Product Security Officer (“CPSO”) who manages imbedding cybersecurity in the Company’s products and services as they are being developed.</w:t>
      </w:r>
    </w:p>
    <w:p>
      <w:pPr>
        <w:spacing w:after="0" w:line="61" w:lineRule="exact"/>
        <w:rPr>
          <w:sz w:val="20"/>
          <w:szCs w:val="20"/>
          <w:color w:val="auto"/>
        </w:rPr>
      </w:pPr>
    </w:p>
    <w:p>
      <w:pPr>
        <w:ind w:right="320" w:firstLine="382"/>
        <w:spacing w:after="0" w:line="270" w:lineRule="auto"/>
        <w:rPr>
          <w:sz w:val="20"/>
          <w:szCs w:val="20"/>
          <w:color w:val="auto"/>
        </w:rPr>
      </w:pPr>
      <w:r>
        <w:rPr>
          <w:rFonts w:ascii="Times New Roman" w:cs="Times New Roman" w:eastAsia="Times New Roman" w:hAnsi="Times New Roman"/>
          <w:sz w:val="14"/>
          <w:szCs w:val="14"/>
          <w:color w:val="auto"/>
        </w:rPr>
        <w:t>The Company’s CIO, CISO, and cybersecurity team collectively have decades of experience in various roles managing information security, developing cybersecurity strategy, and implementing, planning and operationalizing a comprehensive global IT infrastructure. Our CIO and CISO maintain relevant degrees, certifications, and trainings while also being recognized as experts in their respective fields by industry leaders.</w:t>
      </w:r>
    </w:p>
    <w:p>
      <w:pPr>
        <w:spacing w:after="0" w:line="5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Company also conducts ongoing cyber security reviews which includes updates on the Company’s enterprise cybersecurity risk and product cybersecurity risk. Risk is assessed utilizing internal key performance indicators and external evaluations to determine the Company’s cybersecurity score in comparison to its peer group. Wabtec's Board of Directors participates in all enterprise annual security awareness training and phishing campaigns. Throughout the year, as appropriate, in addition to regularly scheduled updates, the Audit Committee, CIO, and CISO maintain an ongoing dialogue regarding the Company’s cybersecurity risk and posture. The cybersecurity framework is also supported by Wabtec's broader enterprise risk management process to ensure alignment of the Company’s cybersecurity efforts with the Company’s overall enterprise risk management.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2" w:name="page23"/>
    <w:bookmarkEnd w:id="22"/>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6"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4"/>
          <w:szCs w:val="14"/>
          <w:color w:val="auto"/>
        </w:rPr>
        <w:t>The following table provides certain summary information about the principal facilities owned or leased by the Company as of December 31, 2024.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16"/>
        </w:trPr>
        <w:tc>
          <w:tcPr>
            <w:tcW w:w="31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356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1"/>
                <w:szCs w:val="11"/>
                <w:b w:val="1"/>
                <w:bCs w:val="1"/>
                <w:color w:val="auto"/>
              </w:rPr>
              <w:t>Primary Use</w:t>
            </w: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Own/Lease</w:t>
            </w:r>
          </w:p>
        </w:tc>
        <w:tc>
          <w:tcPr>
            <w:tcW w:w="1440" w:type="dxa"/>
            <w:vAlign w:val="bottom"/>
          </w:tcPr>
          <w:p>
            <w:pPr>
              <w:jc w:val="right"/>
              <w:ind w:right="331"/>
              <w:spacing w:after="0" w:line="116" w:lineRule="exact"/>
              <w:rPr>
                <w:sz w:val="20"/>
                <w:szCs w:val="20"/>
                <w:color w:val="auto"/>
              </w:rPr>
            </w:pPr>
            <w:r>
              <w:rPr>
                <w:rFonts w:ascii="Times New Roman" w:cs="Times New Roman" w:eastAsia="Times New Roman" w:hAnsi="Times New Roman"/>
                <w:sz w:val="11"/>
                <w:szCs w:val="11"/>
                <w:b w:val="1"/>
                <w:bCs w:val="1"/>
                <w:color w:val="auto"/>
              </w:rPr>
              <w:t>Approximate</w:t>
            </w:r>
          </w:p>
        </w:tc>
        <w:tc>
          <w:tcPr>
            <w:tcW w:w="0" w:type="dxa"/>
            <w:vAlign w:val="bottom"/>
          </w:tcPr>
          <w:p>
            <w:pPr>
              <w:spacing w:after="0"/>
              <w:rPr>
                <w:sz w:val="1"/>
                <w:szCs w:val="1"/>
                <w:color w:val="auto"/>
              </w:rPr>
            </w:pPr>
          </w:p>
        </w:tc>
      </w:tr>
      <w:tr>
        <w:trPr>
          <w:trHeight w:val="154"/>
        </w:trPr>
        <w:tc>
          <w:tcPr>
            <w:tcW w:w="3180" w:type="dxa"/>
            <w:vAlign w:val="bottom"/>
            <w:gridSpan w:val="2"/>
            <w:vMerge w:val="continue"/>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Square Feet</w:t>
            </w:r>
          </w:p>
        </w:tc>
        <w:tc>
          <w:tcPr>
            <w:tcW w:w="0" w:type="dxa"/>
            <w:vAlign w:val="bottom"/>
          </w:tcPr>
          <w:p>
            <w:pPr>
              <w:spacing w:after="0"/>
              <w:rPr>
                <w:sz w:val="1"/>
                <w:szCs w:val="1"/>
                <w:color w:val="auto"/>
              </w:rPr>
            </w:pPr>
          </w:p>
        </w:tc>
      </w:tr>
      <w:tr>
        <w:trPr>
          <w:trHeight w:val="176"/>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Erie, PA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 Worth, TX</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Grove City, PA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Manufacturing/Warehouse/Service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Salem, VA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Oak Creek, WI</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Indianapolis, IN</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Kansas City, MO</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Hibbing, MN</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Spartanburg, SC</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Pittsburgh, PA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HQ</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Astana, Kazakhstan</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Bihar, India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 Luis Potosi, Mexico</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Freight/Transit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Doncaster, UK</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Contagem, Brazil</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Freight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Piossasco, Italy</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Tours, France</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Pilsen, Czech</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236,000</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Shanghai, China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Transit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Bangalore, India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171,000</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7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material pending legal proceedings is included in Note 18 of “Notes to Consolidated Financial Statements” included in Part II, Item 8 of this report and incorporated by reference herein.</w:t>
      </w:r>
    </w:p>
    <w:p>
      <w:pPr>
        <w:spacing w:after="0" w:line="6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4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170" w:lineRule="exact"/>
        <w:rPr>
          <w:sz w:val="20"/>
          <w:szCs w:val="20"/>
          <w:color w:val="auto"/>
        </w:rPr>
      </w:pPr>
    </w:p>
    <w:p>
      <w:pPr>
        <w:ind w:right="580" w:firstLine="382"/>
        <w:spacing w:after="0" w:line="287" w:lineRule="auto"/>
        <w:rPr>
          <w:sz w:val="20"/>
          <w:szCs w:val="20"/>
          <w:color w:val="auto"/>
        </w:rPr>
      </w:pPr>
      <w:r>
        <w:rPr>
          <w:rFonts w:ascii="Times New Roman" w:cs="Times New Roman" w:eastAsia="Times New Roman" w:hAnsi="Times New Roman"/>
          <w:sz w:val="14"/>
          <w:szCs w:val="14"/>
          <w:color w:val="auto"/>
        </w:rPr>
        <w:t>The Common Stock of the Company is listed on the New York Stock Exchange under the symbol “WAB.” As of February 7, 2025, there were 170,848,147 shares of Common Stock outstanding held by approximately 90,831 holders of record.</w:t>
      </w:r>
    </w:p>
    <w:p>
      <w:pPr>
        <w:spacing w:after="0" w:line="167"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The Company has historically paid quarterly dividends to shareholders, subject to quarterly approval by our Board of Directors, currently at a rate of approximately $171 million annually. The declaration and payment of future dividends are at the discretion of the Board of Directors.</w:t>
      </w:r>
    </w:p>
    <w:p>
      <w:pPr>
        <w:spacing w:after="0" w:line="156" w:lineRule="exact"/>
        <w:rPr>
          <w:sz w:val="20"/>
          <w:szCs w:val="20"/>
          <w:color w:val="auto"/>
        </w:rPr>
      </w:pPr>
    </w:p>
    <w:p>
      <w:pPr>
        <w:ind w:right="20" w:firstLine="382"/>
        <w:spacing w:after="0" w:line="245" w:lineRule="auto"/>
        <w:rPr>
          <w:sz w:val="20"/>
          <w:szCs w:val="20"/>
          <w:color w:val="auto"/>
        </w:rPr>
      </w:pPr>
      <w:r>
        <w:rPr>
          <w:rFonts w:ascii="Times New Roman" w:cs="Times New Roman" w:eastAsia="Times New Roman" w:hAnsi="Times New Roman"/>
          <w:sz w:val="14"/>
          <w:szCs w:val="14"/>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2024, of Wabtec’s common stock to (i) the S&amp;P 500, (ii) the S&amp;P 500 Industrials and, (iii) our peer group of manufacturing companies which consists of the following publicly traded companies: AGCO, AMETEK, CSX, Dover, Eaton Corporation, Emerson Electric, Illinois Tool Works, Ingersoll Rand Inc., Jacobs Solutions Inc., Norfolk Southern Corporation, Oshkosh Corporation, Parker-Hannifin Corporation, Rockwell Automation Inc., Snap-on Incorporated, Stanley Black &amp; Decker Inc., Textron, Inc., The Timken Company, The TransDigm Group, and Xylem. For 2024, changes to the Peer Group were made for better industry alignment and financial comparability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4608195" cy="2445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08195"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Common Stock</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99"/>
        </w:trPr>
        <w:tc>
          <w:tcPr>
            <w:tcW w:w="4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jc w:val="center"/>
              <w:ind w:right="96"/>
              <w:spacing w:after="0" w:line="99" w:lineRule="exact"/>
              <w:rPr>
                <w:sz w:val="20"/>
                <w:szCs w:val="20"/>
                <w:color w:val="auto"/>
              </w:rPr>
            </w:pPr>
            <w:r>
              <w:rPr>
                <w:rFonts w:ascii="Times New Roman" w:cs="Times New Roman" w:eastAsia="Times New Roman" w:hAnsi="Times New Roman"/>
                <w:sz w:val="11"/>
                <w:szCs w:val="11"/>
                <w:b w:val="1"/>
                <w:bCs w:val="1"/>
                <w:color w:val="auto"/>
              </w:rPr>
              <w:t>Maximum Dollar Value of</w:t>
            </w:r>
          </w:p>
        </w:tc>
        <w:tc>
          <w:tcPr>
            <w:tcW w:w="0" w:type="dxa"/>
            <w:vAlign w:val="bottom"/>
          </w:tcPr>
          <w:p>
            <w:pPr>
              <w:spacing w:after="0"/>
              <w:rPr>
                <w:sz w:val="1"/>
                <w:szCs w:val="1"/>
                <w:color w:val="auto"/>
              </w:rPr>
            </w:pPr>
          </w:p>
        </w:tc>
      </w:tr>
      <w:tr>
        <w:trPr>
          <w:trHeight w:val="115"/>
        </w:trPr>
        <w:tc>
          <w:tcPr>
            <w:tcW w:w="4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40" w:type="dxa"/>
            <w:vAlign w:val="bottom"/>
          </w:tcPr>
          <w:p>
            <w:pPr>
              <w:spacing w:after="0"/>
              <w:rPr>
                <w:sz w:val="9"/>
                <w:szCs w:val="9"/>
                <w:color w:val="auto"/>
              </w:rPr>
            </w:pPr>
          </w:p>
        </w:tc>
        <w:tc>
          <w:tcPr>
            <w:tcW w:w="1500" w:type="dxa"/>
            <w:vAlign w:val="bottom"/>
          </w:tcPr>
          <w:p>
            <w:pPr>
              <w:jc w:val="center"/>
              <w:ind w:right="96"/>
              <w:spacing w:after="0" w:line="115"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4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Purchased Under the Programs</w:t>
            </w:r>
          </w:p>
        </w:tc>
        <w:tc>
          <w:tcPr>
            <w:tcW w:w="0" w:type="dxa"/>
            <w:vAlign w:val="bottom"/>
          </w:tcPr>
          <w:p>
            <w:pPr>
              <w:spacing w:after="0"/>
              <w:rPr>
                <w:sz w:val="1"/>
                <w:szCs w:val="1"/>
                <w:color w:val="auto"/>
              </w:rPr>
            </w:pPr>
          </w:p>
        </w:tc>
      </w:tr>
      <w:tr>
        <w:trPr>
          <w:trHeight w:val="115"/>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Month</w:t>
            </w:r>
          </w:p>
        </w:tc>
        <w:tc>
          <w:tcPr>
            <w:tcW w:w="1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7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40" w:type="dxa"/>
            <w:vAlign w:val="bottom"/>
          </w:tcPr>
          <w:p>
            <w:pPr>
              <w:spacing w:after="0"/>
              <w:rPr>
                <w:sz w:val="9"/>
                <w:szCs w:val="9"/>
                <w:color w:val="auto"/>
              </w:rPr>
            </w:pPr>
          </w:p>
        </w:tc>
        <w:tc>
          <w:tcPr>
            <w:tcW w:w="1500" w:type="dxa"/>
            <w:vAlign w:val="bottom"/>
          </w:tcPr>
          <w:p>
            <w:pPr>
              <w:jc w:val="center"/>
              <w:ind w:right="96"/>
              <w:spacing w:after="0" w:line="115" w:lineRule="exact"/>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55"/>
        </w:trPr>
        <w:tc>
          <w:tcPr>
            <w:tcW w:w="4340" w:type="dxa"/>
            <w:vAlign w:val="bottom"/>
            <w:gridSpan w:val="2"/>
            <w:vMerge w:val="continue"/>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Announced Programs (1)</w:t>
            </w:r>
          </w:p>
        </w:tc>
        <w:tc>
          <w:tcPr>
            <w:tcW w:w="140" w:type="dxa"/>
            <w:vAlign w:val="bottom"/>
          </w:tcPr>
          <w:p>
            <w:pPr>
              <w:spacing w:after="0"/>
              <w:rPr>
                <w:sz w:val="13"/>
                <w:szCs w:val="13"/>
                <w:color w:val="auto"/>
              </w:rPr>
            </w:pPr>
          </w:p>
        </w:tc>
        <w:tc>
          <w:tcPr>
            <w:tcW w:w="150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0" w:type="dxa"/>
            <w:vAlign w:val="bottom"/>
          </w:tcPr>
          <w:p>
            <w:pPr>
              <w:spacing w:after="0"/>
              <w:rPr>
                <w:sz w:val="1"/>
                <w:szCs w:val="1"/>
                <w:color w:val="auto"/>
              </w:rPr>
            </w:pPr>
          </w:p>
        </w:tc>
      </w:tr>
      <w:tr>
        <w:trPr>
          <w:trHeight w:val="175"/>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2024</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0"/>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November 2024</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609,972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quarter ended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609,972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609,972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20" w:right="60" w:hanging="515"/>
        <w:spacing w:after="0" w:line="256" w:lineRule="auto"/>
        <w:tabs>
          <w:tab w:leader="none" w:pos="31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3, 2024, the Board of Directors authorized an additional $1.0 billion to the Company's existing stock repurchase program for stock repurchases of the Company’s outstanding shares. This new authorization provides an additional $1.0 billion that became available for repurchases after the remaining availability as of December 3, 2024 was expended.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December 31, 2024, approximately $1.0 billion was remaining under the stock repurchase plan.</w:t>
      </w:r>
    </w:p>
    <w:p>
      <w:pPr>
        <w:spacing w:after="0" w:line="92"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5" w:name="page26"/>
    <w:bookmarkEnd w:id="25"/>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2024, approximately 53% of the Company’s Net sales came from customers outside the U.S.</w:t>
      </w:r>
    </w:p>
    <w:p>
      <w:pPr>
        <w:spacing w:after="0" w:line="58"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Wabtec’s long-term financial goals are to increase revenues through a focused growth strategy, including product innovation and new technologies, global and market expansion, aftermarket products and services, and strategic acquisitions, increase margins through strict attention to cost controls, drive improved efficiencies across the business, drive strong cash flow conversion, and maintain a strong credit profile while minimizing our overall cost of capital. In addition, Management evaluates the Company’s current operational performance through measures such as safety, quality and on-time delivery.</w:t>
      </w:r>
    </w:p>
    <w:p>
      <w:pPr>
        <w:spacing w:after="0" w:line="56"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Company primarily serves the worldwide freight and transit rail industries.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number of locomotives and railcars in operation;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5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Update</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During 2024, Wabtec continued to execute on our value creation framework by signing several key agreements including: a multi-year Tier 4 locomotive order in North America for over $600 million, a multi-year locomotive order in Kazakhstan for over $400 million, international orders for new locomotives for $401 million across six customers, and multi-year orders for new locomotives in Africa for approximately $525 million. Additionally, Wabtec won a long-term parts agreement with a Class I railroad for over $300 million, signed its first multi-year service contract with a customer in Brazil worth over $240 million, won signaling contracts with Transit customers in North America, and secured a long-term parts agreement with a customer in Asia. Operationally, Wabtec began commercial operations for its Green Friction braking solution in Paris and launched the next generation of railcar movers with its Shuttlewagon Commander NXT. Additionally, as a result of Wabtec's strong revenue and profitable growth over the past few years, rating agencies have made the following changes to our credit ratings: both Fitch Ratings and S&amp;P Global Ratings upgraded Wabtec's credit rating from BBB- to BBB with a Stable outlook, and Moody's updated Wabtec's outlook to positive from stable.</w:t>
      </w:r>
    </w:p>
    <w:p>
      <w:pPr>
        <w:spacing w:after="0" w:line="62" w:lineRule="exact"/>
        <w:rPr>
          <w:sz w:val="20"/>
          <w:szCs w:val="20"/>
          <w:color w:val="auto"/>
        </w:rPr>
      </w:pPr>
    </w:p>
    <w:p>
      <w:pPr>
        <w:ind w:right="100" w:firstLine="382"/>
        <w:spacing w:after="0" w:line="259" w:lineRule="auto"/>
        <w:rPr>
          <w:sz w:val="20"/>
          <w:szCs w:val="20"/>
          <w:color w:val="auto"/>
        </w:rPr>
      </w:pPr>
      <w:r>
        <w:rPr>
          <w:rFonts w:ascii="Times New Roman" w:cs="Times New Roman" w:eastAsia="Times New Roman" w:hAnsi="Times New Roman"/>
          <w:sz w:val="14"/>
          <w:szCs w:val="14"/>
          <w:color w:val="auto"/>
        </w:rPr>
        <w:t>During the first quarter of 2022, Wabtec announced Integration 2.0, a multi-year strategic initiative to target incremental run rate synergies now estimated to be approximately $100 million by the end of 2026. The scope of the review included consolidating our operating footprint, reducing headcount, streamlining the end-to-end manufacturing process, restructuring the North America distribution channels, expanding operations in low-cost countries and simplifying the business through systems enablement. During the twelve months ended December 31, 2024 and 2023, the Company incurred one-time restructuring charges for programs included in the initiative of approximately $28 million and $49 million, respectively, primarily for employee-related costs and asset write downs associated with site consolidations in Europe. The Company now expects to incur approximately $170 million of one-time restructuring charges related to Integration 2.0, of which approximately $146 million has been incurred through December 31, 2024. Approved programs resulted in approximately 15 facility closures and impacted approximately 1,000 employees.</w:t>
      </w:r>
    </w:p>
    <w:p>
      <w:pPr>
        <w:spacing w:after="0" w:line="61" w:lineRule="exact"/>
        <w:rPr>
          <w:sz w:val="20"/>
          <w:szCs w:val="20"/>
          <w:color w:val="auto"/>
        </w:rPr>
      </w:pPr>
    </w:p>
    <w:p>
      <w:pPr>
        <w:ind w:right="360" w:firstLine="382"/>
        <w:spacing w:after="0" w:line="270" w:lineRule="auto"/>
        <w:rPr>
          <w:sz w:val="20"/>
          <w:szCs w:val="20"/>
          <w:color w:val="auto"/>
        </w:rPr>
      </w:pPr>
      <w:r>
        <w:rPr>
          <w:rFonts w:ascii="Times New Roman" w:cs="Times New Roman" w:eastAsia="Times New Roman" w:hAnsi="Times New Roman"/>
          <w:sz w:val="14"/>
          <w:szCs w:val="14"/>
          <w:color w:val="auto"/>
        </w:rPr>
        <w:t>In addition to Integration 2.0, Wabtec is focused on exiting various low margin product offerings through Portfolio Optimization to improve profitability while reducing manufacturing complexity. Wabtec now expects to incur approximately $70 million in net exit charges related to Portfolio Optimization, which will be predominately non-cash asset write downs. For the years ended December 31, 2024 and 2023, Wabtec recorded charges of approximately $28 million primarily for asset write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downs related to Portfolio Optimization. Total one-time restructuring charges related to Portfolio Optimization to date are approximately $56 million.</w:t>
      </w:r>
    </w:p>
    <w:p>
      <w:pPr>
        <w:spacing w:after="0" w:line="94"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 February 2025, Wabtec announced Integration 3.0, a three-year strategic initiative to target incremental run rate synergies estimated to be between $100 million to $125 million by 2028. The scope of the review includes consolidating our footprint via value chain improvement and facility rationalization, reducing headcount, expanding operating capacity in low-cost countries, and streamlining administrative and commercial activities. Management will also consider additional capital investments to further simplify and streamline the business. The Company anticipates that it will incur charges of approximately $125 million to $155 million related to this initiative, of which approximately $80 million to $100 million are expected to be one-time restructuring charges. Concurrently, Wabtec announced an additional Portfolio Optimization initiative for 2025 targeting approximately $100 million of low margin revenues. The 2025 Portfolio Optimization actions are expected to result in approximately $40 million of net exit charges, primarily for non-cash asset write downs. Estimates for these programs could change based on the specific programs approved or changes to the scope of the review.</w:t>
      </w:r>
    </w:p>
    <w:p>
      <w:pPr>
        <w:spacing w:after="0" w:line="62"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Future macroeconomic volatility,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restructuring programs.</w:t>
      </w:r>
    </w:p>
    <w:p>
      <w:pPr>
        <w:spacing w:after="0" w:line="58"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UE officially began on April 27, 2023 and an agreement between the Company and the UE was not reached before the contract expired. On June 22, 2023, the UE voted against ratification of the Company's proposed agreement and authorized a strike. The Company and the UE subsequently reached an agreement that was ratified by the UE on August 31, 2023, ending the labor strike. The Company continuously monitors its labor activity.</w:t>
      </w:r>
    </w:p>
    <w:p>
      <w:pPr>
        <w:spacing w:after="0" w:line="56"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 Incident</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51"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Based on the Company's assessment, the incident did not have a significant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p>
    <w:p>
      <w:pPr>
        <w:spacing w:after="0" w:line="127"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are individually and collectively immaterial.</w:t>
      </w:r>
    </w:p>
    <w:p>
      <w:pPr>
        <w:spacing w:after="0" w:line="51"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During the fourth quarter of 2023, the Company purchased the remaining ownership shares of LKZ, a locomotive manufacturing and assembly company located in Kazakhstan for $111 million, at which time it became a wholly owned subsidiary of the Company. Prior to this purchase, Wabtec owned 50% of LKZ as a joint venture partner and accounted for its interest as an equity method investment. During the second quarter of 2023, the Company acquired L&amp;M Radiator, Inc., a leading manufacturer of heavy-duty equipment radiators and heat exchangers for the mining sector, for a purchase price of approximately $245 million.</w:t>
      </w:r>
    </w:p>
    <w:p>
      <w:pPr>
        <w:spacing w:after="0" w:line="56"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During 2022, the Company made three strategic acquisitions in the Freight Segment for a combined purchase price of $89 million, net of cash acquired. Two of the acquisitions are reported in the Digital Intelligence product line and one is reported in the Services product line. Each of the acquisitions in 2022 are individually and collectively immaterial. For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additional information related to these acquisitions refer to Note 3 of "Notes to Consolidated Financial Statements" included in Part II, Item 8 of this report.</w:t>
      </w:r>
    </w:p>
    <w:p>
      <w:pPr>
        <w:spacing w:after="0" w:line="83" w:lineRule="exact"/>
        <w:rPr>
          <w:sz w:val="20"/>
          <w:szCs w:val="20"/>
          <w:color w:val="auto"/>
        </w:rPr>
      </w:pPr>
    </w:p>
    <w:p>
      <w:pPr>
        <w:ind w:firstLine="382"/>
        <w:spacing w:after="0" w:line="244" w:lineRule="auto"/>
        <w:rPr>
          <w:sz w:val="20"/>
          <w:szCs w:val="20"/>
          <w:color w:val="auto"/>
        </w:rPr>
      </w:pPr>
      <w:r>
        <w:rPr>
          <w:rFonts w:ascii="Times New Roman" w:cs="Times New Roman" w:eastAsia="Times New Roman" w:hAnsi="Times New Roman"/>
          <w:sz w:val="14"/>
          <w:szCs w:val="14"/>
          <w:color w:val="auto"/>
        </w:rPr>
        <w:t>On January 14, 2025, Wabtec announced a definitive agreement to acquire Evident’s Inspection Technologies division (Inspection Technologies), formerly part of the Scientific Solutions Division of Olympus Corporation, a global leader in Non-Destructive Testing, Remote Visual Inspection and Analytical Instruments solutions for mission critical assets, for $1.78 billion.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Upon acquisition, Inspection Technologies will be reported within the Digital Intelligence product line of the Freight Segment. The Company anticipates financing the acquisition with a combination of cash on hand, utilization of the Revolving Credit Facility and an additional term loan. The transaction is subject to customary closing conditions and regulatory approvals, with the Company expecting to finalize the acquisition of Inspection Technologies by the end of the first half of 2025.</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14"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2024 COMPARED TO 2023</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the years indicated.</w:t>
      </w:r>
    </w:p>
    <w:p>
      <w:pPr>
        <w:spacing w:after="0" w:line="4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14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576"/>
              <w:spacing w:after="0" w:line="123"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56"/>
              <w:spacing w:after="0" w:line="123"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Sales of goods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7,647</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Sales of services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w:t>
            </w:r>
          </w:p>
        </w:tc>
      </w:tr>
      <w:tr>
        <w:trPr>
          <w:trHeight w:val="158"/>
        </w:trPr>
        <w:tc>
          <w:tcPr>
            <w:tcW w:w="20" w:type="dxa"/>
            <w:vAlign w:val="bottom"/>
          </w:tcPr>
          <w:p>
            <w:pPr>
              <w:spacing w:after="0"/>
              <w:rPr>
                <w:sz w:val="13"/>
                <w:szCs w:val="13"/>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Net sales</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9,677</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Cost of goods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(5,581)</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Cost of services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r>
      <w:tr>
        <w:trPr>
          <w:trHeight w:val="158"/>
        </w:trPr>
        <w:tc>
          <w:tcPr>
            <w:tcW w:w="20" w:type="dxa"/>
            <w:vAlign w:val="bottom"/>
            <w:tcBorders>
              <w:bottom w:val="single" w:sz="8" w:color="CCEEFF"/>
            </w:tcBorders>
          </w:tcPr>
          <w:p>
            <w:pPr>
              <w:spacing w:after="0"/>
              <w:rPr>
                <w:sz w:val="13"/>
                <w:szCs w:val="13"/>
                <w:color w:val="auto"/>
              </w:rPr>
            </w:pPr>
          </w:p>
        </w:tc>
        <w:tc>
          <w:tcPr>
            <w:tcW w:w="8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Total Cost of sales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(6,733)</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Gross profit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w:t>
            </w: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Engineering expenses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expense</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58"/>
        </w:trPr>
        <w:tc>
          <w:tcPr>
            <w:tcW w:w="20" w:type="dxa"/>
            <w:vAlign w:val="bottom"/>
            <w:tcBorders>
              <w:bottom w:val="single" w:sz="8" w:color="CCEEFF"/>
            </w:tcBorders>
          </w:tcPr>
          <w:p>
            <w:pPr>
              <w:spacing w:after="0"/>
              <w:rPr>
                <w:sz w:val="13"/>
                <w:szCs w:val="13"/>
                <w:color w:val="auto"/>
              </w:rPr>
            </w:pPr>
          </w:p>
        </w:tc>
        <w:tc>
          <w:tcPr>
            <w:tcW w:w="81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(1,678)</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from operations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income and expenses: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attributable to Wabtec shareholders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in 2024 from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0" w:type="dxa"/>
            <w:vAlign w:val="bottom"/>
          </w:tcPr>
          <w:p>
            <w:pPr>
              <w:spacing w:after="0"/>
              <w:rPr>
                <w:sz w:val="12"/>
                <w:szCs w:val="1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Freight Segment</w:t>
            </w:r>
          </w:p>
        </w:tc>
        <w:tc>
          <w:tcPr>
            <w:tcW w:w="18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Transit Segment</w:t>
            </w:r>
          </w:p>
        </w:tc>
        <w:tc>
          <w:tcPr>
            <w:tcW w:w="360" w:type="dxa"/>
            <w:vAlign w:val="bottom"/>
          </w:tcPr>
          <w:p>
            <w:pPr>
              <w:spacing w:after="0"/>
              <w:rPr>
                <w:sz w:val="12"/>
                <w:szCs w:val="12"/>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 Net sales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9,677</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Exchange</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Organic</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 Net sales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The following discussion compares our results for the year ended December 31, 2024 to the year ended December 31, 2023. The discussion comparing our results for the year ended December 31, 2023 to the year ended December 31, 2022 is included within Management's Discussion and Analysis of Financial Condition and Results of Operation in our Annual Report on Form 10-K for the year ended December 31, 2023, filed with the SEC on February 14,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Net sales for the year ended December 31, 2024 increased by $710 million, or 7.3%, to $10.39 billion compared to the same period in 2023. Organic sales increased $662 million which was attributable to both the Freight and Transit Segments. Freight Equipment sales increased from higher North American and international locomotive sales and increased mining sales. Freight Services sales increased from higher deliveries of locomotive modernizations and engine overhauls and higher parts sales. Transit sales increased primarily as a result of higher demand for Aftermarket and Original Equipment Manufacturing products and services driven by increased investments in sustainable infrastructure, fleet expansion and renewals and increased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9" w:name="page30"/>
    <w:bookmarkEnd w:id="29"/>
    <w:p>
      <w:pPr>
        <w:ind w:right="400"/>
        <w:spacing w:after="0" w:line="379" w:lineRule="auto"/>
        <w:rPr>
          <w:sz w:val="20"/>
          <w:szCs w:val="20"/>
          <w:color w:val="auto"/>
        </w:rPr>
      </w:pPr>
      <w:r>
        <w:rPr>
          <w:rFonts w:ascii="Times New Roman" w:cs="Times New Roman" w:eastAsia="Times New Roman" w:hAnsi="Times New Roman"/>
          <w:sz w:val="14"/>
          <w:szCs w:val="14"/>
          <w:color w:val="auto"/>
        </w:rPr>
        <w:t xml:space="preserve">passenger ridership levels. Sales from acquisitions contributed $81 million, primarily in the Freight Segment, and unfavorable changes in foreign exchange decreased Net sales by $33 million. </w:t>
      </w:r>
      <w:r>
        <w:rPr>
          <w:rFonts w:ascii="Times New Roman" w:cs="Times New Roman" w:eastAsia="Times New Roman" w:hAnsi="Times New Roman"/>
          <w:sz w:val="14"/>
          <w:szCs w:val="14"/>
          <w:b w:val="1"/>
          <w:bCs w:val="1"/>
          <w:color w:val="auto"/>
        </w:rPr>
        <w:t>Cost of sales</w:t>
      </w:r>
    </w:p>
    <w:p>
      <w:pPr>
        <w:spacing w:after="0" w:line="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Cost of sales for the year ended December 31, 2024 increased by $288 million, or 4.3%, to $7.02 billion compared to the same period in 2023. The increase is primarily due to the increase in Net sales. Cost of sales as a percentage of Net sales was 67.6% and 69.6% for the years ended December 31, 2024 and 2023, respectively. The improvement in gross margin is attributable to contract escalation clauses, favorable mix between the Freight and Transit segments, improved productivity, Integration 2.0 savings, and favorable fixed cost absorption. Cost of sales for the years ended December 31, 2024 and 2023 included $37 million and $38 million, respectively, of restructuring costs, primarily for headcount actions and footprint rationalization related to Integration 2.0 and Portfolio Optimization.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Total operating expenses increased $79 million, or 4.7%, for the year ended December 31, 2024 compared to the same period in 2023, primarily due to the increase in Net sales. Operating expenses as a percentage of Net sales was 16.9% and 17.3% for the years ended December 31, 2024 and 2023, respectively. Selling, general and administrative expenses ("SG&amp;A") increased $109 million for the year ended December 31, 2024 compared to the same period in 2023. The increase is primarily from costs incurred to support the higher sales volume, higher employee compensation and benefit costs and higher professional fees related to acquisitions, partially offset by the impacts of Integration 2.0. Restructuring costs included in SG&amp;A were $18 million for the years ended December 31, 2024 and 2023, primarily for headcount actions and footprint rationalization programs related to Integration 2.0 in both years and Portfolio Optimization in 2024. Engineering expenses decreased $12 million primarily due to the timing of investments in new technology, and Amortization expense decreased $18 million, primarily related to changes in accelerated amortization for business dispositions associated with Portfolio Optimization and lower amortization for the GE Transportation trade name.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96"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Interest expense, net, decreased $17 million to $201 million for the year ended December 31, 2024 over the same period in 2023 primarily due to lower weighted average debt balances throughout the current year, partially offset by higher effective interest rates.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96"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Other income, net, decreased $42 million to $2 million for the year ended December 31, 2024 compared to the same period in 2023, primarily due to lower equity income during 2024 and a gain on equity interest in the prior year. As a result of the change in ownership interest and obtaining control of LKZ in late 2023, Wabtec's previously held equity interest balance in LKZ was remeasured to fair value, resulting in a gain of approximately $35 million recorded to Other income, net in the prior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6" w:lineRule="exact"/>
        <w:rPr>
          <w:sz w:val="20"/>
          <w:szCs w:val="20"/>
          <w:color w:val="auto"/>
        </w:rPr>
      </w:pPr>
    </w:p>
    <w:p>
      <w:pPr>
        <w:ind w:right="60" w:firstLine="382"/>
        <w:spacing w:after="0" w:line="242" w:lineRule="auto"/>
        <w:rPr>
          <w:sz w:val="20"/>
          <w:szCs w:val="20"/>
          <w:color w:val="auto"/>
        </w:rPr>
      </w:pPr>
      <w:r>
        <w:rPr>
          <w:rFonts w:ascii="Times New Roman" w:cs="Times New Roman" w:eastAsia="Times New Roman" w:hAnsi="Times New Roman"/>
          <w:sz w:val="14"/>
          <w:szCs w:val="14"/>
          <w:color w:val="auto"/>
        </w:rPr>
        <w:t>The effective income tax rate was 24.3% and 24.5% for the years ended December 31, 2024 and 2023, respectively. The year over year decrease was primarily due to changes in valuation allowances and audit closures, partially offset by a change in the jurisdictional mix of earnings and the non-recurrence of the non-taxable gain generated on the acquisition of LKZ in 2023. See Note 11 of "Notes to Consolidated Financial Statements" included in Part II, Item 8 of this report for additional information.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Freight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Freight Segment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46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9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7"/>
              <w:spacing w:after="0" w:line="107" w:lineRule="exact"/>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0"/>
                <w:szCs w:val="10"/>
                <w:color w:val="auto"/>
              </w:rPr>
            </w:pPr>
          </w:p>
        </w:tc>
        <w:tc>
          <w:tcPr>
            <w:tcW w:w="1600" w:type="dxa"/>
            <w:vAlign w:val="bottom"/>
            <w:tcBorders>
              <w:top w:val="single" w:sz="8" w:color="auto"/>
            </w:tcBorders>
          </w:tcPr>
          <w:p>
            <w:pPr>
              <w:jc w:val="right"/>
              <w:ind w:right="457"/>
              <w:spacing w:after="0" w:line="107" w:lineRule="exact"/>
              <w:rPr>
                <w:sz w:val="20"/>
                <w:szCs w:val="20"/>
                <w:color w:val="auto"/>
              </w:rPr>
            </w:pPr>
            <w:r>
              <w:rPr>
                <w:rFonts w:ascii="Times New Roman" w:cs="Times New Roman" w:eastAsia="Times New Roman" w:hAnsi="Times New Roman"/>
                <w:sz w:val="12"/>
                <w:szCs w:val="12"/>
                <w:b w:val="1"/>
                <w:bCs w:val="1"/>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46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Sales of goods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5,524</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4,906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12.6 %</w:t>
            </w:r>
          </w:p>
        </w:tc>
      </w:tr>
      <w:tr>
        <w:trPr>
          <w:trHeight w:val="172"/>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Sales of services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1,944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8"/>
        </w:trPr>
        <w:tc>
          <w:tcPr>
            <w:tcW w:w="20" w:type="dxa"/>
            <w:vAlign w:val="bottom"/>
          </w:tcPr>
          <w:p>
            <w:pPr>
              <w:spacing w:after="0"/>
              <w:rPr>
                <w:sz w:val="13"/>
                <w:szCs w:val="13"/>
                <w:color w:val="auto"/>
              </w:rPr>
            </w:pPr>
          </w:p>
        </w:tc>
        <w:tc>
          <w:tcPr>
            <w:tcW w:w="4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Net sales</w:t>
            </w:r>
          </w:p>
        </w:tc>
        <w:tc>
          <w:tcPr>
            <w:tcW w:w="380" w:type="dxa"/>
            <w:vAlign w:val="bottom"/>
          </w:tcPr>
          <w:p>
            <w:pPr>
              <w:spacing w:after="0"/>
              <w:rPr>
                <w:sz w:val="13"/>
                <w:szCs w:val="13"/>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7,468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6,923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r>
      <w:tr>
        <w:trPr>
          <w:trHeight w:val="172"/>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Cost of goods</w:t>
            </w:r>
          </w:p>
        </w:tc>
        <w:tc>
          <w:tcPr>
            <w:tcW w:w="3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6.9 %</w:t>
            </w:r>
          </w:p>
        </w:tc>
      </w:tr>
      <w:tr>
        <w:trPr>
          <w:trHeight w:val="172"/>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Cost of services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(1,142)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8"/>
        </w:trPr>
        <w:tc>
          <w:tcPr>
            <w:tcW w:w="20" w:type="dxa"/>
            <w:vAlign w:val="bottom"/>
            <w:tcBorders>
              <w:bottom w:val="single" w:sz="8" w:color="CCEEFF"/>
            </w:tcBorders>
          </w:tcPr>
          <w:p>
            <w:pPr>
              <w:spacing w:after="0"/>
              <w:rPr>
                <w:sz w:val="13"/>
                <w:szCs w:val="13"/>
                <w:color w:val="auto"/>
              </w:rPr>
            </w:pPr>
          </w:p>
        </w:tc>
        <w:tc>
          <w:tcPr>
            <w:tcW w:w="46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Total Cost of sales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(4,742)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2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4.3 %</w:t>
            </w:r>
          </w:p>
        </w:tc>
      </w:tr>
      <w:tr>
        <w:trPr>
          <w:trHeight w:val="163"/>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Cost of sales (% of Net sales)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66.2 %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68.5 %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(2.3)</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70"/>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15.7 %</w:t>
            </w: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68"/>
        </w:trPr>
        <w:tc>
          <w:tcPr>
            <w:tcW w:w="20" w:type="dxa"/>
            <w:vAlign w:val="bottom"/>
            <w:shd w:val="clear" w:color="auto" w:fill="CCEEFF"/>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99"/>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 ($)</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Income from operations (% of Net sales)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19.0 %</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15.4 %</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Freight Segment in 2024 from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 Net sales</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6,923</w:t>
            </w:r>
          </w:p>
        </w:tc>
      </w:tr>
      <w:tr>
        <w:trPr>
          <w:trHeight w:val="168"/>
        </w:trPr>
        <w:tc>
          <w:tcPr>
            <w:tcW w:w="20" w:type="dxa"/>
            <w:vAlign w:val="bottom"/>
          </w:tcPr>
          <w:p>
            <w:pPr>
              <w:spacing w:after="0"/>
              <w:rPr>
                <w:sz w:val="14"/>
                <w:szCs w:val="14"/>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20" w:type="dxa"/>
            <w:vAlign w:val="bottom"/>
            <w:shd w:val="clear" w:color="auto" w:fill="CCEEFF"/>
          </w:tcPr>
          <w:p>
            <w:pPr>
              <w:spacing w:after="0"/>
              <w:rPr>
                <w:sz w:val="14"/>
                <w:szCs w:val="14"/>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Exchange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20" w:type="dxa"/>
            <w:vAlign w:val="bottom"/>
          </w:tcPr>
          <w:p>
            <w:pPr>
              <w:spacing w:after="0"/>
              <w:rPr>
                <w:sz w:val="14"/>
                <w:szCs w:val="14"/>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Changes in Net sales by Product Line:</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Services</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Equipment</w:t>
            </w: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Components</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Borders>
              <w:bottom w:val="single" w:sz="8" w:color="CCEEFF"/>
            </w:tcBorders>
          </w:tcPr>
          <w:p>
            <w:pPr>
              <w:spacing w:after="0"/>
              <w:rPr>
                <w:sz w:val="15"/>
                <w:szCs w:val="15"/>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Digital Intelligence</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 Net sales</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Freight Segment organic sales increased by $499 million driven primarily by Equipment sales from higher North American and international locomotive sales and increased mining sales, and Services sales from higher deliveries of locomotive modernizations and engine overhauls and higher parts sales. Additionally, Freight Segment sales also benefited from our strategic acquisitions, primarily from L&amp;M Radiator Inc. acquired in the second quarter of 2023, by $78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Freight Segment Cost of sales increased $203 million from higher sales volume, and Cost of sales as a percentage of Net sales decreased 2.3 percentage points. The improvement in gross margin is attributable to contract escalation clauses, favorable mix within the Freight Segment product lines, improved productivity and Integration 2.0 savings. Cost of sales for the year ended December 31, 2023 was also impacted by manufacturing inefficiencies related to labor negotiations at our Erie facility and costs related to next generation product development in Digital Intelligence. Cost of sales for the years ended December 31, 2024 and 2023 included $18 million and $13 million, respectively, of restructuring costs, primarily related to Integration 2.0 and Portfolio Optimization.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8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Freight Segment Operating expenses as a percentage of Net sales were 14.7% and 16.1% for the years ended December 31, 2024 and 2023, respectively. Freight Segment Operating expenses decreased by $15 million primarily driven by lower amortization expense of $26 million due to changes in accelerated amortization for business dispositions associated with Portfolio Optimization and lower amortization for the GE Transportation trade name, and lower Engineering expenses of $16 million due to the timing of investments in new technology. This was partially offset by higher SG&amp;A expenses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1" w:name="page32"/>
    <w:bookmarkEnd w:id="31"/>
    <w:p>
      <w:pPr>
        <w:spacing w:after="0" w:line="271" w:lineRule="auto"/>
        <w:rPr>
          <w:sz w:val="20"/>
          <w:szCs w:val="20"/>
          <w:color w:val="auto"/>
        </w:rPr>
      </w:pPr>
      <w:r>
        <w:rPr>
          <w:rFonts w:ascii="Times New Roman" w:cs="Times New Roman" w:eastAsia="Times New Roman" w:hAnsi="Times New Roman"/>
          <w:sz w:val="14"/>
          <w:szCs w:val="14"/>
          <w:color w:val="auto"/>
        </w:rPr>
        <w:t>$27 million resulting from higher costs to support increased sales volume, higher employee compensation and benefit costs and incremental expense from acquisitions. Freight SG&amp;A expenses for the years ended December 31, 2024 and 2023 included $3 million and $5 million, respectively, of restructuring costs related to Integration 2.0 in 2023 and Portfolio Optimization in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04"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Transit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Transit Segment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47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9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5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76"/>
              <w:spacing w:after="0" w:line="107" w:lineRule="exact"/>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437"/>
              <w:spacing w:after="0" w:line="107" w:lineRule="exact"/>
              <w:rPr>
                <w:sz w:val="20"/>
                <w:szCs w:val="20"/>
                <w:color w:val="auto"/>
              </w:rPr>
            </w:pPr>
            <w:r>
              <w:rPr>
                <w:rFonts w:ascii="Times New Roman" w:cs="Times New Roman" w:eastAsia="Times New Roman" w:hAnsi="Times New Roman"/>
                <w:sz w:val="12"/>
                <w:szCs w:val="12"/>
                <w:b w:val="1"/>
                <w:bCs w:val="1"/>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2,919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r>
      <w:tr>
        <w:trPr>
          <w:trHeight w:val="168"/>
        </w:trPr>
        <w:tc>
          <w:tcPr>
            <w:tcW w:w="2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(2,076)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4.3 %</w:t>
            </w:r>
          </w:p>
        </w:tc>
      </w:tr>
      <w:tr>
        <w:trPr>
          <w:trHeight w:val="173"/>
        </w:trPr>
        <w:tc>
          <w:tcPr>
            <w:tcW w:w="20" w:type="dxa"/>
            <w:vAlign w:val="bottom"/>
            <w:shd w:val="clear" w:color="auto" w:fill="CCEEFF"/>
          </w:tcPr>
          <w:p>
            <w:pPr>
              <w:spacing w:after="0"/>
              <w:rPr>
                <w:sz w:val="15"/>
                <w:szCs w:val="15"/>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Cost of sales (% of Net sales)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71.1 %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72.3 %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70"/>
        </w:trPr>
        <w:tc>
          <w:tcPr>
            <w:tcW w:w="2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68"/>
        </w:trPr>
        <w:tc>
          <w:tcPr>
            <w:tcW w:w="2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r>
      <w:tr>
        <w:trPr>
          <w:trHeight w:val="99"/>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 ($)</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Income from operations (% of Net sales)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11.6 %</w:t>
            </w: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10.7 %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120" w:type="dxa"/>
            <w:vAlign w:val="bottom"/>
            <w:gridSpan w:val="8"/>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Transit Segment in 2024 from 2023: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2023 Net sales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4"/>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w:t>
            </w:r>
          </w:p>
        </w:tc>
      </w:tr>
      <w:tr>
        <w:trPr>
          <w:trHeight w:val="172"/>
        </w:trPr>
        <w:tc>
          <w:tcPr>
            <w:tcW w:w="2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Pr>
          <w:p>
            <w:pPr>
              <w:spacing w:after="0"/>
              <w:rPr>
                <w:sz w:val="14"/>
                <w:szCs w:val="14"/>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Foreign Exchange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Changes in Net sales by Product Line: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Original Equipment Manufacturing</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20" w:type="dxa"/>
            <w:vAlign w:val="bottom"/>
            <w:shd w:val="clear" w:color="auto" w:fill="CCEEFF"/>
          </w:tcPr>
          <w:p>
            <w:pPr>
              <w:spacing w:after="0"/>
              <w:rPr>
                <w:sz w:val="14"/>
                <w:szCs w:val="14"/>
                <w:color w:val="auto"/>
              </w:rPr>
            </w:pPr>
          </w:p>
        </w:tc>
        <w:tc>
          <w:tcPr>
            <w:tcW w:w="4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Aftermarket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0"/>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2024 Net sales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1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4"/>
          <w:szCs w:val="14"/>
          <w:color w:val="auto"/>
        </w:rPr>
        <w:t>Transit Segment organic sales increased $163 million driven by strong Aftermarket and Original Equipment Manufacturing sales. Increased passenger ridership levels resulted in increased demand for services and products. Additionally, increased investments in railway infrastructure, fleet expansion and renewals and sustainable transport initiatives also contributed to organic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13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Transit Segment Cost of sales increased by $85 million primarily from higher sales volume, and Cost of sales as a percentage of Net sales decreased by 1.2 percentage points. The increase in gross margin is primarily attributable to favorable mix within the Transit Segment and the benefits from structured cost actions taken through prior years' restructuring and integration projects, primarily Integration 2.0. Transit Cost of sales for the years ended December 31, 2024 and 2023 included $19 million and $25 million of restructuring costs, respectively, primarily for footprint rationalization and headcount actions in Europe related to Integration 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Operating expenses as a percentage of Net sales for the Transit Segment were 17.3% and 17.0% for the years ended December 31, 2024 and 2023, respectively. Transit Segment Operating expenses increased by $37 million primarily driven by higher SG&amp;A expenses of $25 million to support higher sales volume and higher employee compensation and benefit costs, higher Engineering expenses of $4 million due to increased investments in new technology, and higher Amortization expense of $8 million primarily due to accelerated amortization for business dispositions associated with Portfolio Optimization. This was partially offset by benefits from structured cost actions taken through prior years' restructuring and integration projects, primarily Integration 2.0. Transit SG&amp;A expenses for the years ended December 31, 2024 and 2023 included $13 million of restructuring costs primarily for footprint rationalization and headcount actions in Europe related to Integration 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Liquidity is provided by operating cash flows, borrowings under the 2022 Credit Agreement and the 2024 Credit Agreement, each with a consortium of commercial banks,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4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81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4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activities</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0"/>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Investing activities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84"/>
        </w:trPr>
        <w:tc>
          <w:tcPr>
            <w:tcW w:w="20" w:type="dxa"/>
            <w:vAlign w:val="bottom"/>
          </w:tcPr>
          <w:p>
            <w:pPr>
              <w:spacing w:after="0"/>
              <w:rPr>
                <w:sz w:val="16"/>
                <w:szCs w:val="16"/>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Financing activities</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tcPr>
          <w:p>
            <w:pPr>
              <w:spacing w:after="0"/>
              <w:rPr>
                <w:sz w:val="16"/>
                <w:szCs w:val="16"/>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r>
    </w:tbl>
    <w:p>
      <w:pPr>
        <w:spacing w:after="0" w:line="171" w:lineRule="exact"/>
        <w:rPr>
          <w:sz w:val="20"/>
          <w:szCs w:val="20"/>
          <w:color w:val="auto"/>
        </w:rPr>
      </w:pPr>
    </w:p>
    <w:p>
      <w:pPr>
        <w:jc w:val="both"/>
        <w:ind w:right="40" w:firstLine="424"/>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In 2024, cash provided by operating activities was $1,834 million compared to $1,201 million in 2023. Significant changes to the sources and (uses) of cash for the twelve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month periods include the following:</w:t>
      </w:r>
    </w:p>
    <w:p>
      <w:pPr>
        <w:spacing w:after="0" w:line="37" w:lineRule="exact"/>
        <w:rPr>
          <w:sz w:val="20"/>
          <w:szCs w:val="20"/>
          <w:color w:val="auto"/>
        </w:rPr>
      </w:pPr>
    </w:p>
    <w:p>
      <w:pPr>
        <w:ind w:left="1020" w:hanging="379"/>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$242 million from increased Net income;</w:t>
      </w:r>
    </w:p>
    <w:p>
      <w:pPr>
        <w:spacing w:after="0" w:line="93" w:lineRule="exact"/>
        <w:rPr>
          <w:rFonts w:ascii="Times New Roman" w:cs="Times New Roman" w:eastAsia="Times New Roman" w:hAnsi="Times New Roman"/>
          <w:sz w:val="14"/>
          <w:szCs w:val="14"/>
          <w:color w:val="auto"/>
        </w:rPr>
      </w:pPr>
    </w:p>
    <w:p>
      <w:pPr>
        <w:ind w:left="520" w:right="280" w:firstLine="121"/>
        <w:spacing w:after="0" w:line="287" w:lineRule="auto"/>
        <w:tabs>
          <w:tab w:leader="none" w:pos="102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$161 million from favorable changes in Accounts receivables driven by $121 million of higher collections on receivables and $40 million of lower remittance for the Revolving Receivables Program;</w:t>
      </w:r>
    </w:p>
    <w:p>
      <w:pPr>
        <w:spacing w:after="0" w:line="39"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 million from changes in Accounts payable due to timing of payments;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 million from changes in Inventory to support higher sales;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 million from changes in employee related benefit payments; and,</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$150 million from changes in income tax accounts, including a tax refund in the current year.</w:t>
      </w:r>
    </w:p>
    <w:p>
      <w:pPr>
        <w:spacing w:after="0" w:line="92" w:lineRule="exact"/>
        <w:rPr>
          <w:sz w:val="20"/>
          <w:szCs w:val="20"/>
          <w:color w:val="auto"/>
        </w:rPr>
      </w:pPr>
    </w:p>
    <w:p>
      <w:pPr>
        <w:ind w:right="100"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In 2024 and 2023, cash used for investing activities was $(343) million and $(492) million, respectively. During 2024, Wabtec made four strategic acquisitions for net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$(168) million. During 2024, Wabtec also used $(207) million for additions to property, plant and equipment for investments in our facilities and manufacturing processes, received $19 million of net proceeds from dispositions of businesses, and received $13 million of proceeds from disposals of property, plant, and equipment. During 2023, Wabtec acquired L&amp;M Radiator, Inc., a leading manufacturer of heavy-duty equipment radiators and heat exchangers, for net cash of approximately $(229) million and the remaining ownership shares of LKZ for net cash of approximately $(81) million. During 2023, Wabtec also used $(186) million for additions to property, plant and equipment.</w:t>
      </w:r>
    </w:p>
    <w:p>
      <w:pPr>
        <w:spacing w:after="0" w:line="55" w:lineRule="exact"/>
        <w:rPr>
          <w:sz w:val="20"/>
          <w:szCs w:val="20"/>
          <w:color w:val="auto"/>
        </w:rPr>
      </w:pPr>
    </w:p>
    <w:p>
      <w:pPr>
        <w:ind w:right="100"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In 2024, cash used for financing activities was $(1,371) million, which included $(64) million from net changes in debt, $(1,097) million of stock repurchases, $(140)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of dividend payments, $(42) million of contingent consideration payments related to the GE Transportation acquisition, $(25) million of payments for income tax withholding on share-based compensation, and $(6) million of distributions to noncontrolling interest. In 2023, cash used for financing activities was $(633) million which included $42 million from net changes in debt, $(409) million of stock repurchases, $(123) million of dividend payments, $(112) million of contingent consideration payments related to the GE Transportation acquisition, $(17) million of distributions to noncontrolling interest, and $(16) million of payments for income tax withholding on share-based compensation .</w:t>
      </w:r>
    </w:p>
    <w:p>
      <w:pPr>
        <w:spacing w:after="0" w:line="57" w:lineRule="exact"/>
        <w:rPr>
          <w:sz w:val="20"/>
          <w:szCs w:val="20"/>
          <w:color w:val="auto"/>
        </w:rPr>
      </w:pPr>
    </w:p>
    <w:p>
      <w:pPr>
        <w:jc w:val="both"/>
        <w:ind w:right="120" w:firstLine="382"/>
        <w:spacing w:after="0" w:line="270" w:lineRule="auto"/>
        <w:rPr>
          <w:sz w:val="20"/>
          <w:szCs w:val="20"/>
          <w:color w:val="auto"/>
        </w:rPr>
      </w:pPr>
      <w:r>
        <w:rPr>
          <w:rFonts w:ascii="Times New Roman" w:cs="Times New Roman" w:eastAsia="Times New Roman" w:hAnsi="Times New Roman"/>
          <w:sz w:val="14"/>
          <w:szCs w:val="14"/>
          <w:color w:val="auto"/>
        </w:rPr>
        <w:t>During the first quarter of 2024, the Company entered into the 2024 Credit Agreement for a term loan of $225 million. Also during the first quarter of 2024, the Company issued $500 million of Senior Notes due in 2034 (the "2034 Notes"). Proceeds from the 2034 Notes, combined with the proceeds from the term loan under the 2024 Credit Agreement and cash on hand, were utilized to repay the outstanding amount of 2024 Notes at maturity.</w:t>
      </w:r>
    </w:p>
    <w:p>
      <w:pPr>
        <w:spacing w:after="0" w:line="51" w:lineRule="exact"/>
        <w:rPr>
          <w:sz w:val="20"/>
          <w:szCs w:val="20"/>
          <w:color w:val="auto"/>
        </w:rPr>
      </w:pPr>
    </w:p>
    <w:p>
      <w:pPr>
        <w:jc w:val="both"/>
        <w:ind w:right="520" w:firstLine="382"/>
        <w:spacing w:after="0" w:line="270" w:lineRule="auto"/>
        <w:rPr>
          <w:sz w:val="20"/>
          <w:szCs w:val="20"/>
          <w:color w:val="auto"/>
        </w:rPr>
      </w:pPr>
      <w:r>
        <w:rPr>
          <w:rFonts w:ascii="Times New Roman" w:cs="Times New Roman" w:eastAsia="Times New Roman" w:hAnsi="Times New Roman"/>
          <w:sz w:val="14"/>
          <w:szCs w:val="14"/>
          <w:color w:val="auto"/>
        </w:rPr>
        <w:t>During the third quarter of 2023, the Company borrowed the full $250 million of availability under the Delayed Draw Term Loan and subsequently utilized the proceeds to redeem the outstanding 2023 Notes. Beginning September 15, 2023, the effective interest rates for the 2024 Notes and the 2028 Notes were each reduced by 0.25% due to a favorable change in Wabtec's corporate credit rating and the rating of the aforementioned notes.</w:t>
      </w:r>
    </w:p>
    <w:p>
      <w:pPr>
        <w:spacing w:after="0" w:line="51"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The Company borrows and repays against the Revolving Credit Facility for added flexibility in liquidity to manage cash during the operating cycle. The proceeds from borrowing and the repayments are shown within the "Proceeds from debt, net of issuance costs" and "Payments of debt" lines, respectively, presented in the Consolidated Statements of Cash Flows. Additional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information with respect to credit facilities and long-term debt is included in Note 9 of "Notes to Consolidated Financial Statements” included in Part II, Item 8 of this report.</w:t>
      </w:r>
    </w:p>
    <w:p>
      <w:pPr>
        <w:spacing w:after="0" w:line="9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As of December 31, 2024, the Company held approximately $715 million of cash, cash equivalents, and restricted cash, of which approximately $417 million was held within the United States and approximately $298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 As of December 31, 2024, approximately $9 million of the Company's $715 million cash balance was classified as restricted cash.</w:t>
      </w:r>
    </w:p>
    <w:p>
      <w:pPr>
        <w:spacing w:after="0" w:line="56"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Receivables Program</w:t>
      </w:r>
    </w:p>
    <w:p>
      <w:pPr>
        <w:spacing w:after="0" w:line="96"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customer collections remitted to the financial institution for any applicable period. Net cash remitted from the revolving receivables program was $(20) million and $(60) million for the years ended December 31, 2024 and 2023, respectively. During the fourth quarter of 2024, the revolving receivables program agreement was amended to allow us to request loans from the financial institution secured by the receivables held in the program, up to the $350 million limit. As a result, effective January 1, 2025 proceeds and repayments of loans under the program will be classified as Financing activities on our statement of cash flows and outstanding balances will be classified as debt on our balance sheet. Additional information with respect to the Revolving Receivables Program is included in Note 2 of "Notes to Consolidated Financial Statements" included in Part II, Item 8 of this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Financing Program</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Consolidated Balance Sheets. Additional information with respect to the Supply Chain Financing Program is included in Note 2 of "Notes to Consolidated Financial Statements" included in Part II, Item 8 of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Intra-Quarter Uncommitted Money Market Line Credit Agreement</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Guarantor Summarized Financial Information</w:t>
      </w:r>
    </w:p>
    <w:p>
      <w:pPr>
        <w:spacing w:after="0" w:line="96"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56"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5" w:name="page36"/>
    <w:bookmarkEnd w:id="35"/>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Parent Company and Guarantor Subsidiaries</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740" w:type="dxa"/>
            <w:vAlign w:val="bottom"/>
          </w:tcPr>
          <w:p>
            <w:pPr>
              <w:spacing w:after="0"/>
              <w:rPr>
                <w:sz w:val="11"/>
                <w:szCs w:val="11"/>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22"/>
        </w:trPr>
        <w:tc>
          <w:tcPr>
            <w:tcW w:w="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360" w:type="dxa"/>
            <w:vAlign w:val="bottom"/>
          </w:tcPr>
          <w:p>
            <w:pPr>
              <w:spacing w:after="0"/>
              <w:rPr>
                <w:sz w:val="15"/>
                <w:szCs w:val="15"/>
                <w:color w:val="auto"/>
              </w:rPr>
            </w:pPr>
          </w:p>
        </w:tc>
        <w:tc>
          <w:tcPr>
            <w:tcW w:w="1900" w:type="dxa"/>
            <w:vAlign w:val="bottom"/>
          </w:tcPr>
          <w:p>
            <w:pPr>
              <w:jc w:val="right"/>
              <w:ind w:right="149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184"/>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tcPr>
          <w:p>
            <w:pPr>
              <w:spacing w:after="0"/>
              <w:rPr>
                <w:sz w:val="16"/>
                <w:szCs w:val="16"/>
                <w:color w:val="auto"/>
              </w:rPr>
            </w:pPr>
          </w:p>
        </w:tc>
        <w:tc>
          <w:tcPr>
            <w:tcW w:w="1900" w:type="dxa"/>
            <w:vAlign w:val="bottom"/>
          </w:tcPr>
          <w:p>
            <w:pPr>
              <w:jc w:val="right"/>
              <w:ind w:right="149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w:t>
            </w:r>
          </w:p>
        </w:tc>
      </w:tr>
      <w:tr>
        <w:trPr>
          <w:trHeight w:val="181"/>
        </w:trPr>
        <w:tc>
          <w:tcPr>
            <w:tcW w:w="2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6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328"/>
        </w:trPr>
        <w:tc>
          <w:tcPr>
            <w:tcW w:w="20" w:type="dxa"/>
            <w:vAlign w:val="bottom"/>
          </w:tcPr>
          <w:p>
            <w:pPr>
              <w:spacing w:after="0"/>
              <w:rPr>
                <w:sz w:val="24"/>
                <w:szCs w:val="24"/>
                <w:color w:val="auto"/>
              </w:rPr>
            </w:pPr>
          </w:p>
        </w:tc>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82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60" w:type="dxa"/>
            <w:vAlign w:val="bottom"/>
            <w:gridSpan w:val="4"/>
          </w:tcPr>
          <w:p>
            <w:pPr>
              <w:jc w:val="right"/>
              <w:ind w:right="1131"/>
              <w:spacing w:after="0"/>
              <w:rPr>
                <w:sz w:val="20"/>
                <w:szCs w:val="20"/>
                <w:color w:val="auto"/>
              </w:rPr>
            </w:pPr>
            <w:r>
              <w:rPr>
                <w:rFonts w:ascii="Times New Roman" w:cs="Times New Roman" w:eastAsia="Times New Roman" w:hAnsi="Times New Roman"/>
                <w:sz w:val="11"/>
                <w:szCs w:val="11"/>
                <w:b w:val="1"/>
                <w:bCs w:val="1"/>
                <w:color w:val="auto"/>
              </w:rPr>
              <w:t>Parent Company and Guarantor Subsidiaries</w:t>
            </w:r>
          </w:p>
        </w:tc>
      </w:tr>
      <w:tr>
        <w:trPr>
          <w:trHeight w:val="136"/>
        </w:trPr>
        <w:tc>
          <w:tcPr>
            <w:tcW w:w="20" w:type="dxa"/>
            <w:vAlign w:val="bottom"/>
          </w:tcPr>
          <w:p>
            <w:pPr>
              <w:spacing w:after="0"/>
              <w:rPr>
                <w:sz w:val="11"/>
                <w:szCs w:val="11"/>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1"/>
                <w:szCs w:val="11"/>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40" w:type="dxa"/>
            <w:vAlign w:val="bottom"/>
          </w:tcPr>
          <w:p>
            <w:pPr>
              <w:spacing w:after="0"/>
              <w:rPr>
                <w:sz w:val="11"/>
                <w:szCs w:val="11"/>
                <w:color w:val="auto"/>
              </w:rPr>
            </w:pPr>
          </w:p>
        </w:tc>
        <w:tc>
          <w:tcPr>
            <w:tcW w:w="182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r>
      <w:tr>
        <w:trPr>
          <w:trHeight w:val="180"/>
        </w:trPr>
        <w:tc>
          <w:tcPr>
            <w:tcW w:w="2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r>
      <w:tr>
        <w:trPr>
          <w:trHeight w:val="180"/>
        </w:trPr>
        <w:tc>
          <w:tcPr>
            <w:tcW w:w="2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description of the transactions between the combined Parent Company and guarantor subsidiaries with non-guarantor subsidiaries.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Parent Company and Guarantor Subsidiaries</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740" w:type="dxa"/>
            <w:vAlign w:val="bottom"/>
          </w:tcPr>
          <w:p>
            <w:pPr>
              <w:spacing w:after="0"/>
              <w:rPr>
                <w:sz w:val="11"/>
                <w:szCs w:val="11"/>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22"/>
        </w:trPr>
        <w:tc>
          <w:tcPr>
            <w:tcW w:w="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29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3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184"/>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29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3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00" w:type="dxa"/>
            <w:vAlign w:val="bottom"/>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500" w:type="dxa"/>
            <w:vAlign w:val="bottom"/>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Parent Company and Guarantor Subsidiaries</w:t>
            </w:r>
          </w:p>
        </w:tc>
      </w:tr>
      <w:tr>
        <w:trPr>
          <w:trHeight w:val="136"/>
        </w:trPr>
        <w:tc>
          <w:tcPr>
            <w:tcW w:w="20" w:type="dxa"/>
            <w:vAlign w:val="bottom"/>
          </w:tcPr>
          <w:p>
            <w:pPr>
              <w:spacing w:after="0"/>
              <w:rPr>
                <w:sz w:val="11"/>
                <w:szCs w:val="1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920" w:type="dxa"/>
            <w:vAlign w:val="bottom"/>
          </w:tcPr>
          <w:p>
            <w:pPr>
              <w:spacing w:after="0"/>
              <w:rPr>
                <w:sz w:val="11"/>
                <w:szCs w:val="11"/>
                <w:color w:val="auto"/>
              </w:rPr>
            </w:pPr>
          </w:p>
        </w:tc>
        <w:tc>
          <w:tcPr>
            <w:tcW w:w="3500" w:type="dxa"/>
            <w:vAlign w:val="bottom"/>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to non-guarantor subsidiaries</w:t>
            </w:r>
          </w:p>
        </w:tc>
        <w:tc>
          <w:tcPr>
            <w:tcW w:w="29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Summarized Financial Information—Euro Notes</w:t>
      </w:r>
    </w:p>
    <w:p>
      <w:pPr>
        <w:spacing w:after="0" w:line="85" w:lineRule="exact"/>
        <w:rPr>
          <w:sz w:val="20"/>
          <w:szCs w:val="20"/>
          <w:color w:val="auto"/>
        </w:rPr>
      </w:pPr>
    </w:p>
    <w:p>
      <w:pPr>
        <w:ind w:right="220" w:firstLine="382"/>
        <w:spacing w:after="0" w:line="246" w:lineRule="auto"/>
        <w:rPr>
          <w:sz w:val="20"/>
          <w:szCs w:val="20"/>
          <w:color w:val="auto"/>
        </w:rPr>
      </w:pPr>
      <w:r>
        <w:rPr>
          <w:rFonts w:ascii="Times New Roman" w:cs="Times New Roman" w:eastAsia="Times New Roman" w:hAnsi="Times New Roman"/>
          <w:sz w:val="14"/>
          <w:szCs w:val="14"/>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46" w:lineRule="exact"/>
        <w:rPr>
          <w:sz w:val="20"/>
          <w:szCs w:val="20"/>
          <w:color w:val="auto"/>
        </w:rPr>
      </w:pPr>
    </w:p>
    <w:p>
      <w:pPr>
        <w:jc w:val="both"/>
        <w:ind w:right="40" w:firstLine="382"/>
        <w:spacing w:after="0" w:line="238"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20" w:type="dxa"/>
            <w:vAlign w:val="bottom"/>
          </w:tcPr>
          <w:p>
            <w:pPr>
              <w:spacing w:after="0"/>
              <w:rPr>
                <w:sz w:val="11"/>
                <w:szCs w:val="11"/>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50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80"/>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2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Wabtec shareholders</w:t>
            </w:r>
          </w:p>
        </w:tc>
        <w:tc>
          <w:tcPr>
            <w:tcW w:w="52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6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40" w:type="dxa"/>
            <w:vAlign w:val="bottom"/>
          </w:tcPr>
          <w:p>
            <w:pPr>
              <w:jc w:val="right"/>
              <w:ind w:right="3289"/>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6" w:name="page37"/>
    <w:bookmarkEnd w:id="36"/>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6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Issuer and Guarantor</w:t>
            </w:r>
          </w:p>
        </w:tc>
        <w:tc>
          <w:tcPr>
            <w:tcW w:w="162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20" w:type="dxa"/>
            <w:vAlign w:val="bottom"/>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180"/>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1620" w:type="dxa"/>
            <w:vAlign w:val="bottom"/>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0"/>
        </w:trPr>
        <w:tc>
          <w:tcPr>
            <w:tcW w:w="20" w:type="dxa"/>
            <w:vAlign w:val="bottom"/>
            <w:shd w:val="clear" w:color="auto" w:fill="CCEEFF"/>
          </w:tcPr>
          <w:p>
            <w:pPr>
              <w:spacing w:after="0"/>
              <w:rPr>
                <w:sz w:val="15"/>
                <w:szCs w:val="15"/>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20" w:type="dxa"/>
            <w:vAlign w:val="bottom"/>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r>
      <w:tr>
        <w:trPr>
          <w:trHeight w:val="180"/>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620" w:type="dxa"/>
            <w:vAlign w:val="bottom"/>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r>
      <w:tr>
        <w:trPr>
          <w:trHeight w:val="180"/>
        </w:trPr>
        <w:tc>
          <w:tcPr>
            <w:tcW w:w="20" w:type="dxa"/>
            <w:vAlign w:val="bottom"/>
            <w:shd w:val="clear" w:color="auto" w:fill="CCEEFF"/>
          </w:tcPr>
          <w:p>
            <w:pPr>
              <w:spacing w:after="0"/>
              <w:rPr>
                <w:sz w:val="15"/>
                <w:szCs w:val="15"/>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620" w:type="dxa"/>
            <w:vAlign w:val="bottom"/>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bl>
    <w:p>
      <w:pPr>
        <w:spacing w:after="0" w:line="134" w:lineRule="exact"/>
        <w:rPr>
          <w:sz w:val="20"/>
          <w:szCs w:val="20"/>
          <w:color w:val="auto"/>
        </w:rPr>
      </w:pPr>
    </w:p>
    <w:p>
      <w:pPr>
        <w:ind w:right="460" w:firstLine="382"/>
        <w:spacing w:after="0" w:line="255" w:lineRule="auto"/>
        <w:rPr>
          <w:sz w:val="20"/>
          <w:szCs w:val="20"/>
          <w:color w:val="auto"/>
        </w:rPr>
      </w:pPr>
      <w:r>
        <w:rPr>
          <w:rFonts w:ascii="Times New Roman" w:cs="Times New Roman" w:eastAsia="Times New Roman" w:hAnsi="Times New Roman"/>
          <w:sz w:val="14"/>
          <w:szCs w:val="14"/>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20" w:type="dxa"/>
            <w:vAlign w:val="bottom"/>
          </w:tcPr>
          <w:p>
            <w:pPr>
              <w:spacing w:after="0"/>
              <w:rPr>
                <w:sz w:val="16"/>
                <w:szCs w:val="16"/>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20" w:type="dxa"/>
            <w:vAlign w:val="bottom"/>
          </w:tcPr>
          <w:p>
            <w:pPr>
              <w:spacing w:after="0"/>
              <w:rPr>
                <w:sz w:val="11"/>
                <w:szCs w:val="1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1"/>
                <w:szCs w:val="11"/>
                <w:color w:val="auto"/>
              </w:rPr>
            </w:pPr>
          </w:p>
        </w:tc>
        <w:tc>
          <w:tcPr>
            <w:tcW w:w="186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to non-guarantor subsidiaries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Off-Balance Sheet Arrangements</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Company is obligated to make future payments under various contracts such as purchase, debt and lease agreements and has certain contingent commitments.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2026-27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2028-29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2030+</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4180" w:type="dxa"/>
            <w:vAlign w:val="bottom"/>
            <w:gridSpan w:val="2"/>
          </w:tcPr>
          <w:p>
            <w:pPr>
              <w:ind w:left="160"/>
              <w:spacing w:after="0" w:line="170" w:lineRule="exact"/>
              <w:rPr>
                <w:sz w:val="20"/>
                <w:szCs w:val="20"/>
                <w:color w:val="auto"/>
              </w:rPr>
            </w:pPr>
            <w:r>
              <w:rPr>
                <w:rFonts w:ascii="Times New Roman" w:cs="Times New Roman" w:eastAsia="Times New Roman" w:hAnsi="Times New Roman"/>
                <w:sz w:val="13"/>
                <w:szCs w:val="13"/>
                <w:color w:val="auto"/>
              </w:rPr>
              <w:t xml:space="preserve">Purchase obligations </w:t>
            </w:r>
            <w:r>
              <w:rPr>
                <w:rFonts w:ascii="Times New Roman" w:cs="Times New Roman" w:eastAsia="Times New Roman" w:hAnsi="Times New Roman"/>
                <w:sz w:val="16"/>
                <w:szCs w:val="16"/>
                <w:color w:val="auto"/>
                <w:vertAlign w:val="superscript"/>
              </w:rPr>
              <w:t>(1)</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 w:type="dxa"/>
            <w:vAlign w:val="bottom"/>
            <w:shd w:val="clear" w:color="auto" w:fill="CCEEFF"/>
          </w:tcPr>
          <w:p>
            <w:pPr>
              <w:spacing w:after="0"/>
              <w:rPr>
                <w:sz w:val="14"/>
                <w:szCs w:val="14"/>
                <w:color w:val="auto"/>
              </w:rPr>
            </w:pPr>
          </w:p>
        </w:tc>
        <w:tc>
          <w:tcPr>
            <w:tcW w:w="4180" w:type="dxa"/>
            <w:vAlign w:val="bottom"/>
            <w:gridSpan w:val="2"/>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 xml:space="preserve">Operating leases </w:t>
            </w:r>
            <w:r>
              <w:rPr>
                <w:rFonts w:ascii="Times New Roman" w:cs="Times New Roman" w:eastAsia="Times New Roman" w:hAnsi="Times New Roman"/>
                <w:sz w:val="16"/>
                <w:szCs w:val="16"/>
                <w:color w:val="auto"/>
                <w:vertAlign w:val="superscript"/>
              </w:rPr>
              <w:t>(2)</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70"/>
        </w:trPr>
        <w:tc>
          <w:tcPr>
            <w:tcW w:w="20" w:type="dxa"/>
            <w:vAlign w:val="bottom"/>
          </w:tcPr>
          <w:p>
            <w:pPr>
              <w:spacing w:after="0"/>
              <w:rPr>
                <w:sz w:val="14"/>
                <w:szCs w:val="14"/>
                <w:color w:val="auto"/>
              </w:rPr>
            </w:pPr>
          </w:p>
        </w:tc>
        <w:tc>
          <w:tcPr>
            <w:tcW w:w="4180" w:type="dxa"/>
            <w:vAlign w:val="bottom"/>
            <w:gridSpan w:val="2"/>
          </w:tcPr>
          <w:p>
            <w:pPr>
              <w:ind w:left="160"/>
              <w:spacing w:after="0" w:line="170" w:lineRule="exact"/>
              <w:rPr>
                <w:sz w:val="20"/>
                <w:szCs w:val="20"/>
                <w:color w:val="auto"/>
              </w:rPr>
            </w:pPr>
            <w:r>
              <w:rPr>
                <w:rFonts w:ascii="Times New Roman" w:cs="Times New Roman" w:eastAsia="Times New Roman" w:hAnsi="Times New Roman"/>
                <w:sz w:val="13"/>
                <w:szCs w:val="13"/>
                <w:color w:val="auto"/>
              </w:rPr>
              <w:t xml:space="preserve">Pension and postretirement benefit payments </w:t>
            </w:r>
            <w:r>
              <w:rPr>
                <w:rFonts w:ascii="Times New Roman" w:cs="Times New Roman" w:eastAsia="Times New Roman" w:hAnsi="Times New Roman"/>
                <w:sz w:val="16"/>
                <w:szCs w:val="16"/>
                <w:color w:val="auto"/>
                <w:vertAlign w:val="superscript"/>
              </w:rPr>
              <w:t>(3)</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70"/>
        </w:trPr>
        <w:tc>
          <w:tcPr>
            <w:tcW w:w="20" w:type="dxa"/>
            <w:vAlign w:val="bottom"/>
            <w:shd w:val="clear" w:color="auto" w:fill="CCEEFF"/>
          </w:tcPr>
          <w:p>
            <w:pPr>
              <w:spacing w:after="0"/>
              <w:rPr>
                <w:sz w:val="14"/>
                <w:szCs w:val="14"/>
                <w:color w:val="auto"/>
              </w:rPr>
            </w:pPr>
          </w:p>
        </w:tc>
        <w:tc>
          <w:tcPr>
            <w:tcW w:w="4180" w:type="dxa"/>
            <w:vAlign w:val="bottom"/>
            <w:gridSpan w:val="2"/>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 xml:space="preserve">Interest payments </w:t>
            </w:r>
            <w:r>
              <w:rPr>
                <w:rFonts w:ascii="Times New Roman" w:cs="Times New Roman" w:eastAsia="Times New Roman" w:hAnsi="Times New Roman"/>
                <w:sz w:val="16"/>
                <w:szCs w:val="16"/>
                <w:color w:val="auto"/>
                <w:vertAlign w:val="superscript"/>
              </w:rPr>
              <w:t>(4)</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8"/>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4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Long-term debt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0"/>
        </w:trPr>
        <w:tc>
          <w:tcPr>
            <w:tcW w:w="20" w:type="dxa"/>
            <w:vAlign w:val="bottom"/>
          </w:tcPr>
          <w:p>
            <w:pPr>
              <w:spacing w:after="0"/>
              <w:rPr>
                <w:sz w:val="14"/>
                <w:szCs w:val="14"/>
                <w:color w:val="auto"/>
              </w:rPr>
            </w:pPr>
          </w:p>
        </w:tc>
        <w:tc>
          <w:tcPr>
            <w:tcW w:w="4180" w:type="dxa"/>
            <w:vAlign w:val="bottom"/>
            <w:gridSpan w:val="2"/>
          </w:tcPr>
          <w:p>
            <w:pPr>
              <w:ind w:left="160"/>
              <w:spacing w:after="0" w:line="170" w:lineRule="exact"/>
              <w:rPr>
                <w:sz w:val="20"/>
                <w:szCs w:val="20"/>
                <w:color w:val="auto"/>
              </w:rPr>
            </w:pPr>
            <w:r>
              <w:rPr>
                <w:rFonts w:ascii="Times New Roman" w:cs="Times New Roman" w:eastAsia="Times New Roman" w:hAnsi="Times New Roman"/>
                <w:sz w:val="13"/>
                <w:szCs w:val="13"/>
                <w:color w:val="auto"/>
              </w:rPr>
              <w:t xml:space="preserve">Dividends to shareholders </w:t>
            </w:r>
            <w:r>
              <w:rPr>
                <w:rFonts w:ascii="Times New Roman" w:cs="Times New Roman" w:eastAsia="Times New Roman" w:hAnsi="Times New Roman"/>
                <w:sz w:val="16"/>
                <w:szCs w:val="16"/>
                <w:color w:val="auto"/>
                <w:vertAlign w:val="superscript"/>
              </w:rPr>
              <w:t>(5)</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represent non-cancelable contractual obligations at December 31, 2024.</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leases represent multi-year obligations for rental of facilities and equipment.</w:t>
      </w:r>
    </w:p>
    <w:p>
      <w:pPr>
        <w:spacing w:after="0" w:line="93" w:lineRule="exact"/>
        <w:rPr>
          <w:rFonts w:ascii="Times New Roman" w:cs="Times New Roman" w:eastAsia="Times New Roman" w:hAnsi="Times New Roman"/>
          <w:sz w:val="14"/>
          <w:szCs w:val="14"/>
          <w:color w:val="auto"/>
        </w:rPr>
      </w:pPr>
    </w:p>
    <w:p>
      <w:pPr>
        <w:ind w:left="480" w:right="140" w:hanging="252"/>
        <w:spacing w:after="0" w:line="270" w:lineRule="auto"/>
        <w:tabs>
          <w:tab w:leader="none" w:pos="47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and postretirement benefit payments includes expected payments to participants out of plan assets and corporate assets. The benefit payments are based on actuarial estimates using current assumptions for discount rates, expected return on long-term assets and rate of compensation increases. The Company does not expect material contributions to pension plan investments in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7" w:name="page38"/>
    <w:bookmarkEnd w:id="37"/>
    <w:p>
      <w:pPr>
        <w:ind w:left="480" w:right="160" w:hanging="252"/>
        <w:spacing w:after="0" w:line="287" w:lineRule="auto"/>
        <w:tabs>
          <w:tab w:leader="none" w:pos="47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the Senior Notes and the amounts borrowed under the 2024 and 2022 Credit Agreements as of December 31, 2024 are based on interest rates in effect as of December 31, 2024 and are calculated on debt with maturities that extend to 2034.</w:t>
      </w:r>
    </w:p>
    <w:p>
      <w:pPr>
        <w:spacing w:after="0" w:line="39"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dividends are subject to approval by the Company’s Board of Directors, currently at an annual rate of approximately $171 million beginning in 2025.</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above table does not reflect uncertain tax positions of $19 million, the timing of which are uncertain. Refer to Note 11 of the “Notes to Consolidated Financial Statements” included in Part II, Item 8 of this report for additional information on uncertain tax positions. Additionally, the Company arranges for certain types of bank guarantees and letters of credit, such as performance bonds, bid bonds and financial guarantees, that are issued by certain banks and insurance companies to support customer contracts. At December 31, 2024, the total value of these bank guarantees and letters of credit were $931 million and expire on various dates through 2034. Amounts include interest payments based on contractual terms and the Company’s current interest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These forward-looking statements are subject to various risks, uncertainties and assumptions about us, including, among other things: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and industry conditions</w:t>
      </w:r>
    </w:p>
    <w:p>
      <w:pPr>
        <w:spacing w:after="0" w:line="43" w:lineRule="exact"/>
        <w:rPr>
          <w:sz w:val="20"/>
          <w:szCs w:val="20"/>
          <w:color w:val="auto"/>
        </w:rPr>
      </w:pPr>
    </w:p>
    <w:p>
      <w:pPr>
        <w:ind w:left="480" w:right="20" w:hanging="252"/>
        <w:spacing w:after="0" w:line="238" w:lineRule="auto"/>
        <w:tabs>
          <w:tab w:leader="none" w:pos="476"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general economic and/or industry specific conditions, including the impacts of tax and tariff programs, inflation, supply chain disruptions, foreign currency exchange, and industry consolidation;</w:t>
      </w: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prolonged unfavorable economic and industry conditions in the markets served by us, including North America, South America, Europe, Australia, Asia and Africa;</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demand for freight cars, locomotives, passenger transit cars, buses and related products and services;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major original equipment manufacturer customers;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program delays;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services in the freight and passenger rail industry;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 and services;</w:t>
      </w:r>
    </w:p>
    <w:p>
      <w:pPr>
        <w:spacing w:after="0" w:line="8" w:lineRule="exact"/>
        <w:rPr>
          <w:rFonts w:ascii="Times New Roman" w:cs="Times New Roman" w:eastAsia="Times New Roman" w:hAnsi="Times New Roman"/>
          <w:sz w:val="14"/>
          <w:szCs w:val="14"/>
          <w:color w:val="auto"/>
        </w:rPr>
      </w:pPr>
    </w:p>
    <w:p>
      <w:pPr>
        <w:ind w:left="480" w:right="420" w:hanging="252"/>
        <w:spacing w:after="0" w:line="253" w:lineRule="auto"/>
        <w:tabs>
          <w:tab w:leader="none" w:pos="4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either being delayed, canceled, not returning to historical levels, or being reduced, and/or economic conditions affecting the ability of our customers to pay timely for goods and services delivered;</w:t>
      </w: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consolidations in the rail industry;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outsourcing by our customers;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demand for faster and more efficient braking equipment;</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 and foreign currency exchange rates;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credit or difficulty in obtaining debt or equity financing;</w:t>
      </w:r>
    </w:p>
    <w:p>
      <w:pPr>
        <w:spacing w:after="0" w:line="8" w:lineRule="exact"/>
        <w:rPr>
          <w:rFonts w:ascii="Times New Roman" w:cs="Times New Roman" w:eastAsia="Times New Roman" w:hAnsi="Times New Roman"/>
          <w:sz w:val="14"/>
          <w:szCs w:val="14"/>
          <w:color w:val="auto"/>
        </w:rPr>
      </w:pPr>
    </w:p>
    <w:p>
      <w:pPr>
        <w:ind w:left="480" w:right="280" w:hanging="252"/>
        <w:spacing w:after="0" w:line="253" w:lineRule="auto"/>
        <w:tabs>
          <w:tab w:leader="none" w:pos="4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480" w:hanging="252"/>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ESG topics that have the highest relative priority for Wabtec's external stakeholders;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factors</w:t>
      </w:r>
    </w:p>
    <w:p>
      <w:pPr>
        <w:spacing w:after="0" w:line="25" w:lineRule="exact"/>
        <w:rPr>
          <w:sz w:val="20"/>
          <w:szCs w:val="20"/>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disruptions;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conditions and costs;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raw material costs;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associated with the successful introduction of new products;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quality and reliability;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under material long-term contracts;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availability constraints and labor relations challenges;</w:t>
      </w:r>
    </w:p>
    <w:p>
      <w:pPr>
        <w:spacing w:after="0" w:line="8" w:lineRule="exact"/>
        <w:rPr>
          <w:rFonts w:ascii="Times New Roman" w:cs="Times New Roman" w:eastAsia="Times New Roman" w:hAnsi="Times New Roman"/>
          <w:sz w:val="14"/>
          <w:szCs w:val="14"/>
          <w:color w:val="auto"/>
        </w:rPr>
      </w:pPr>
    </w:p>
    <w:p>
      <w:pPr>
        <w:ind w:left="480" w:right="160" w:hanging="252"/>
        <w:spacing w:after="0" w:line="253" w:lineRule="auto"/>
        <w:tabs>
          <w:tab w:leader="none" w:pos="4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and integrate acquisitions;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development and use of new technology; or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8" w:name="page39"/>
    <w:bookmarkEnd w:id="38"/>
    <w:p>
      <w:pPr>
        <w:ind w:left="480" w:hanging="252"/>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data protection risks;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factors</w:t>
      </w:r>
    </w:p>
    <w:p>
      <w:pPr>
        <w:spacing w:after="0" w:line="25" w:lineRule="exact"/>
        <w:rPr>
          <w:sz w:val="20"/>
          <w:szCs w:val="20"/>
          <w:color w:val="auto"/>
        </w:rPr>
      </w:pPr>
    </w:p>
    <w:p>
      <w:pPr>
        <w:ind w:left="480" w:hanging="25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of competitors; or</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outcomes of negotiations with partners, suppliers, customers or others;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Political/governmental factors</w:t>
      </w:r>
    </w:p>
    <w:p>
      <w:pPr>
        <w:spacing w:after="0" w:line="25" w:lineRule="exact"/>
        <w:rPr>
          <w:sz w:val="20"/>
          <w:szCs w:val="20"/>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 relevant areas of the world, including the impacts of war, conflicts, global military action, and acts of terrorism;</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regulation/deregulation of our customers and/or the rail industry;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levels of governmental funding on transit projects, including for some of our customers;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developments and laws and regulations, including those related to Positive Train Control;</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consequences of federal and state income tax legislation;</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imposed on countries and persons; or</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negotiations with governments;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Natural hazards / health crises</w:t>
      </w:r>
    </w:p>
    <w:p>
      <w:pPr>
        <w:spacing w:after="0" w:line="25" w:lineRule="exact"/>
        <w:rPr>
          <w:sz w:val="20"/>
          <w:szCs w:val="20"/>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climate change, including evolving climate change policy;</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disruptive natural hazards, including earthquakes, fires, floods, tornadoes, hurricanes or weather conditions;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epidemics, pandemics, or similar public health crises;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general economic conditions as a result of natural hazards or health crises;</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shutdown of one or more of our operating facilities as a result of natural hazards and health crises; or</w:t>
      </w:r>
    </w:p>
    <w:p>
      <w:pPr>
        <w:spacing w:after="0" w:line="8"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and sourcing disruptions as a result of natural hazards and health crises;</w:t>
      </w:r>
    </w:p>
    <w:p>
      <w:pPr>
        <w:spacing w:after="0" w:line="79"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Statements in this Form 10-K apply only as of the date on which such statements are made, and except as required by law, we undertake no obligation to update any statement to reflect events or circumstances after the date on which the statement is made or to reflect the occurrence of unanticipated events.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Critical areas of uncertainty that require judgments, estimates and assumptions include the accounting for allowance for doubtful accounts, inventories, business combinations, goodwill and indefinite-lived intangible assets, warranty reserves, income taxes, and revenue recognition. Management uses historical experience and all available information to make these judgments and estimates, and actual results may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61"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A summary of the Company’s significant accounting policies is included in Note 2 in the “Notes to Consolidated Financial Statements” included in Part II, Item 8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and Allowance for Doubtful Accounts: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The Company provides an allowance for doubtful accounts to cover anticipated losses on uncollectible accounts receivable.</w:t>
      </w:r>
    </w:p>
    <w:p>
      <w:pPr>
        <w:spacing w:after="0" w:line="94"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The allowance for doubtful accounts receivable reflects our best estimate of expected losses inherent in our receivable portfolio determined on the basis of historical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experience, relevant credit forecast information, changes to customer's solvency and other currently available evidence.</w:t>
      </w:r>
    </w:p>
    <w:p>
      <w:pPr>
        <w:spacing w:after="0" w:line="3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If our estimates regarding the collectability of troubled accounts, and/or our actual losses within our receivable portfolio exceed our estimated losses,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may be exposed to the expense of increasing our allowance for doubtful accounts and loss of cash flows.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Inventories are stated at the lower of cost or net realizable value and are reviewed to ensure that an adequate provision is recognized for excess, slow moving and obsolete inventories,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 realizable value reserves.</w:t>
      </w:r>
    </w:p>
    <w:p>
      <w:pPr>
        <w:spacing w:after="0" w:line="35"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Cost is determined primarily using the first-in, first-out (FIFO) method. Inventory costs include material, labor and overhead. The Company compares inventory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components to prior year sales history, current backlog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ind w:right="220"/>
        <w:spacing w:after="0" w:line="287" w:lineRule="auto"/>
        <w:rPr>
          <w:sz w:val="20"/>
          <w:szCs w:val="20"/>
          <w:color w:val="auto"/>
        </w:rPr>
      </w:pPr>
      <w:r>
        <w:rPr>
          <w:rFonts w:ascii="Times New Roman" w:cs="Times New Roman" w:eastAsia="Times New Roman" w:hAnsi="Times New Roman"/>
          <w:sz w:val="14"/>
          <w:szCs w:val="14"/>
          <w:color w:val="auto"/>
        </w:rPr>
        <w:t>anticipated future requirements. To the extent that inventory parts exceed estimated usage and demand, a reserve is recognized to reduce the carrying value of inventory. Also, specific reserves are established for known inventory obsolescence, a decline in market value, or loss of a customer with specific inventory.</w:t>
      </w:r>
    </w:p>
    <w:p>
      <w:pPr>
        <w:spacing w:after="0" w:line="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If the market value or demand for our products were to decrease due to changing market conditions, the 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The Company accounts for business acquisitions in accordance with Accounting Standard Codification ("ASC") 805,</w:t>
      </w:r>
      <w:r>
        <w:rPr>
          <w:rFonts w:ascii="Times New Roman" w:cs="Times New Roman" w:eastAsia="Times New Roman" w:hAnsi="Times New Roman"/>
          <w:sz w:val="14"/>
          <w:szCs w:val="14"/>
          <w:i w:val="1"/>
          <w:iCs w:val="1"/>
          <w:color w:val="auto"/>
        </w:rPr>
        <w:t xml:space="preserve"> Business Combinations, </w:t>
      </w:r>
      <w:r>
        <w:rPr>
          <w:rFonts w:ascii="Times New Roman" w:cs="Times New Roman" w:eastAsia="Times New Roman" w:hAnsi="Times New Roman"/>
          <w:sz w:val="14"/>
          <w:szCs w:val="14"/>
          <w:color w:val="auto"/>
        </w:rPr>
        <w:t>which requires the purchase price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4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Discounted cash flow models are used to estimate the fair values of acquired intangible assets such as contract backlog, customer relationships, intellectual property,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trade names. The significant assumptions used to estimate the value of the intangible assets include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4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Different assumptions may result in materially different values for assets acquired and liabilities assumed, which may impact the Company's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and future results of operations, including potential future impairment charges.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Indefinite-Lived Intangible Assets:</w:t>
      </w:r>
    </w:p>
    <w:p>
      <w:pPr>
        <w:spacing w:after="0" w:line="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Goodwill represents the excess of cost over the fair value of the net assets acquired in a business combination. Indefinite-lived intangible assets primarily represent certain trade names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in a business combination that were determined to have indefinite useful lives. Goodwill and indefinite-lived intangibles are required to be tested for impairment at least annually. The Company performs its annual impairment tests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5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A number of significant assumptions and estimates are involved in the application of the impairment test, including the identification of macroeconomic conditions,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industry and market considerations, cost factors, and overall financial performance. We also consider Wabtec-specific events and share price trends and making the assessment on whether each relevant factor will impact the impairment test positively or negatively and the magnitude of any such amount.</w:t>
      </w:r>
    </w:p>
    <w:p>
      <w:pPr>
        <w:spacing w:after="0" w:line="4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Management considers historical experience and all available information at the time the fair values of its reporting units are estimated. However,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actual amounts realized may differ from those used to evaluate the impairment of goodwill and indefinite lived intangible assets. If actual results are not consistent with our assumptions and judgments used in estimating future cash flows and asset fair values, we may be exposed to impairment losses that could be material to our results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Warranty Reserves:</w:t>
      </w:r>
    </w:p>
    <w:p>
      <w:pPr>
        <w:spacing w:after="0" w:line="94"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The Company provides warranty reserves to cover expected costs from repairing or replacing products with durability, quality or workmanship issues occurring during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warranty periods.</w:t>
      </w:r>
    </w:p>
    <w:p>
      <w:pPr>
        <w:spacing w:after="0" w:line="3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In general, reserves are provided for as a percentage of sales, based on historical experience. In addition, specific reserves are established for known warranty issues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estimable losses.</w:t>
      </w:r>
    </w:p>
    <w:p>
      <w:pPr>
        <w:spacing w:after="0" w:line="3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If actual results are not consistent with the assumptions and judgments used to calculate our warranty liability, the Company may be exposed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 of increasing our reserves for warranty expense.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Wabtec records an estimated liability for income and other taxes based on what it determines will likely be paid in various tax jurisdictions in which it operates in accordance with ASC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740-10 </w:t>
      </w:r>
      <w:r>
        <w:rPr>
          <w:rFonts w:ascii="Times New Roman" w:cs="Times New Roman" w:eastAsia="Times New Roman" w:hAnsi="Times New Roman"/>
          <w:sz w:val="14"/>
          <w:szCs w:val="14"/>
          <w:i w:val="1"/>
          <w:iCs w:val="1"/>
          <w:color w:val="auto"/>
        </w:rPr>
        <w:t>Accounting for Income Taxes and Accounting for Uncertainty in Income Taxes</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The estimate of our tax obligations are uncertain because management must use judgment to estimate the exposures associated with our various filing positions, as well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realization of our deferred tax assets. ASC 740-10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establishes a recognition and measurement threshold to determine the amount of tax benefit that should be recognized related to uncertain tax positions.</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Management uses its best judgment in the determination of these amounts. However, the liabilities ultimately realized and paid are dependent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Description </w:t>
      </w:r>
      <w:r>
        <w:rPr>
          <w:rFonts w:ascii="Times New Roman" w:cs="Times New Roman" w:eastAsia="Times New Roman" w:hAnsi="Times New Roman"/>
          <w:sz w:val="14"/>
          <w:szCs w:val="14"/>
          <w:color w:val="auto"/>
        </w:rPr>
        <w:t>Revenue is recognized in accordance with ASC 606</w:t>
      </w:r>
      <w:r>
        <w:rPr>
          <w:rFonts w:ascii="Times New Roman" w:cs="Times New Roman" w:eastAsia="Times New Roman" w:hAnsi="Times New Roman"/>
          <w:sz w:val="14"/>
          <w:szCs w:val="14"/>
          <w:i w:val="1"/>
          <w:iCs w:val="1"/>
          <w:color w:val="auto"/>
        </w:rPr>
        <w:t xml:space="preserve"> Revenue from Contracts with Customers</w:t>
      </w:r>
      <w:r>
        <w:rPr>
          <w:rFonts w:ascii="Times New Roman" w:cs="Times New Roman" w:eastAsia="Times New Roman" w:hAnsi="Times New Roman"/>
          <w:sz w:val="14"/>
          <w:szCs w:val="14"/>
          <w:color w:val="auto"/>
        </w:rPr>
        <w:t>. The Company recognizes a portion of its revenues on long-term customer agreements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w:t>
      </w:r>
    </w:p>
    <w:p>
      <w:pPr>
        <w:spacing w:after="0" w:line="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Accounting for long-term customer agreements involves a judgmental process of estimating the total sales and costs for each contract, which results in the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Factors that influence these estimates include inflationary trends, foreign exchange rates,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 variable consideration that the Company typically has include volume discounts, prompt payment discounts, price escalation clauses, liquidating damages, and performance bonuses.</w:t>
      </w:r>
    </w:p>
    <w:p>
      <w:pPr>
        <w:spacing w:after="0" w:line="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Effect if Actual Results Differ From Assumptions </w:t>
      </w:r>
      <w:r>
        <w:rPr>
          <w:rFonts w:ascii="Times New Roman" w:cs="Times New Roman" w:eastAsia="Times New Roman" w:hAnsi="Times New Roman"/>
          <w:sz w:val="14"/>
          <w:szCs w:val="14"/>
          <w:color w:val="auto"/>
        </w:rPr>
        <w:t>Should market conditions and customer demands dictate changes to our standard shipping terms, the Company may be impacted by longer than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and cost amounts could be recorded if we used different assumptions or if the underlying circumstances were to change. Changes in underlying assumptions/estimates, inflation or deflation, foreign currency exchange rates, supplier performance, or other circumstances may adversely or positively affect financial performance in future periods. Some of our contracts are expected to be completed in a loss position. Provisions are made currently for estimated losses on uncompleted contracts and are updated as necessary.</w:t>
      </w:r>
    </w:p>
    <w:p>
      <w:pPr>
        <w:spacing w:after="0" w:line="8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All market risk sensitive instruments were entered into for non-trading purposes.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Wabtec is exposed to risks that increases in interest rates may adversely affect funding costs associated with its available variable-rate debt facilities. At December 31, 2024, the Company's interest risk related to variable-rate debt is limited to the amounts borrowed under the 2022 and 2024 Credit Agreements, which was limited to the amounts borrowed under the Delayed Draw Term Loan and the Term Loan. At December 31, 2023, the Company's outstanding variable rate debt was limited to the amount borrowed under the Delayed Draw Term Loan.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"Summary of Significant Accounting Policies" in Note 2, “Fair Value Measurement and Derivative Instruments” in Note 17 and "Segment Information" in Note 19 of “Notes to Consolidated Financial Statements” included in Part II, Item 8 of this report for more information regarding foreign currency exchange risk and sales by geographic area.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41" w:name="page42"/>
    <w:bookmarkEnd w:id="41"/>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REPORTS TO WABTEC SHAREHOLDERS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Financial Statements and Practices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Form 10-K is consistent with that in the financial statements.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During 2024, the Company completed the acquisitions of Tehnika Pty. Ltd., Fanox Electronic, S.L., Kompozitum s.r.o., and Bloom Engineering Holdings, Inc. Management is currently integrating the acquisitions into its operations, compliance programs and internal control processes and as such, has excluded the acquisitions from its assessment of internal controls over financial reporting as of December 31, 2024. The acquisitions are all subsidiaries whose combined total assets represent 1.3% and combined net sales represent 0.1% of the related consolidated financial statement amounts as of and for the year ended December 31, 2024.</w:t>
      </w:r>
    </w:p>
    <w:p>
      <w:pPr>
        <w:spacing w:after="0" w:line="5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Based on its assessment, Management has concluded that the Company maintained effective internal control over financial reporting as of December 31, 2024, based on criteria in Internal Control-Integrated Framework issued by the COSO. The effectiveness of the Company’s internal control over financial reporting as of December 31, 2024,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44" w:right="4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ind w:right="5480"/>
        <w:spacing w:after="0" w:line="419" w:lineRule="auto"/>
        <w:rPr>
          <w:sz w:val="20"/>
          <w:szCs w:val="20"/>
          <w:color w:val="auto"/>
        </w:rPr>
      </w:pPr>
      <w:r>
        <w:rPr>
          <w:rFonts w:ascii="Times New Roman" w:cs="Times New Roman" w:eastAsia="Times New Roman" w:hAnsi="Times New Roman"/>
          <w:sz w:val="14"/>
          <w:szCs w:val="14"/>
          <w:color w:val="auto"/>
        </w:rPr>
        <w:t xml:space="preserve">To the Shareholders and the Board of Directors of Westinghouse Air Brake Technologies Corporation </w:t>
      </w:r>
      <w:r>
        <w:rPr>
          <w:rFonts w:ascii="Times New Roman" w:cs="Times New Roman" w:eastAsia="Times New Roman" w:hAnsi="Times New Roman"/>
          <w:sz w:val="14"/>
          <w:szCs w:val="14"/>
          <w:b w:val="1"/>
          <w:bCs w:val="1"/>
          <w:color w:val="auto"/>
        </w:rPr>
        <w:t>Opinion on the Financial Statements</w:t>
      </w:r>
    </w:p>
    <w:p>
      <w:pPr>
        <w:ind w:right="40"/>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Westinghouse Air Brake Technologies Corporation (the Company) as of December 31, 2024 and 2023, the related consolidated statements of income, comprehensive income, cash flows and shareholders' equity for each of the three years in the period ended December 31, 2024,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w:t>
      </w:r>
      <w:r>
        <w:rPr>
          <w:rFonts w:ascii="Arial" w:cs="Arial" w:eastAsia="Arial" w:hAnsi="Arial"/>
          <w:sz w:val="14"/>
          <w:szCs w:val="14"/>
          <w:color w:val="auto"/>
        </w:rPr>
        <w:t>—</w:t>
      </w:r>
      <w:r>
        <w:rPr>
          <w:rFonts w:ascii="Times New Roman" w:cs="Times New Roman" w:eastAsia="Times New Roman" w:hAnsi="Times New Roman"/>
          <w:sz w:val="14"/>
          <w:szCs w:val="14"/>
          <w:color w:val="auto"/>
        </w:rPr>
        <w:t>Integrated Framework issued by the Committee of Sponsoring Organizations of the Treadway Commission (2013 framework), and our report dated February 12, 2025 expressed an unqualified opinion thereon.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35" w:right="359" w:bottom="1440" w:gutter="0" w:footer="0" w:header="0"/>
        </w:sectPr>
      </w:pPr>
    </w:p>
    <w:bookmarkStart w:id="43" w:name="page44"/>
    <w:bookmarkEnd w:id="43"/>
    <w:p>
      <w:pPr>
        <w:ind w:left="1980"/>
        <w:spacing w:after="0"/>
        <w:rPr>
          <w:sz w:val="20"/>
          <w:szCs w:val="20"/>
          <w:color w:val="auto"/>
        </w:rPr>
      </w:pPr>
      <w:r>
        <w:rPr>
          <w:rFonts w:ascii="Times New Roman" w:cs="Times New Roman" w:eastAsia="Times New Roman" w:hAnsi="Times New Roman"/>
          <w:sz w:val="14"/>
          <w:szCs w:val="14"/>
          <w:b w:val="1"/>
          <w:bCs w:val="1"/>
          <w:i w:val="1"/>
          <w:iCs w:val="1"/>
          <w:color w:val="auto"/>
        </w:rPr>
        <w:t>Over Time Revenue Recognition for Long-Term Contracts</w:t>
      </w:r>
    </w:p>
    <w:p>
      <w:pPr>
        <w:spacing w:after="0" w:line="41" w:lineRule="exact"/>
        <w:rPr>
          <w:sz w:val="20"/>
          <w:szCs w:val="20"/>
          <w:color w:val="auto"/>
        </w:rPr>
      </w:pPr>
    </w:p>
    <w:p>
      <w:pPr>
        <w:ind w:left="1980" w:hanging="1962"/>
        <w:spacing w:after="0" w:line="249" w:lineRule="auto"/>
        <w:tabs>
          <w:tab w:leader="none" w:pos="1960" w:val="left"/>
        </w:tabs>
        <w:rPr>
          <w:sz w:val="20"/>
          <w:szCs w:val="20"/>
          <w:color w:val="auto"/>
        </w:rPr>
      </w:pPr>
      <w:r>
        <w:rPr>
          <w:rFonts w:ascii="Times New Roman" w:cs="Times New Roman" w:eastAsia="Times New Roman" w:hAnsi="Times New Roman"/>
          <w:sz w:val="14"/>
          <w:szCs w:val="14"/>
          <w:i w:val="1"/>
          <w:iCs w:val="1"/>
          <w:color w:val="333333"/>
        </w:rPr>
        <w:t>Description of the Matter</w:t>
      </w:r>
      <w:r>
        <w:rPr>
          <w:sz w:val="20"/>
          <w:szCs w:val="20"/>
          <w:color w:val="auto"/>
        </w:rPr>
        <w:tab/>
      </w:r>
      <w:r>
        <w:rPr>
          <w:rFonts w:ascii="Times New Roman" w:cs="Times New Roman" w:eastAsia="Times New Roman" w:hAnsi="Times New Roman"/>
          <w:sz w:val="14"/>
          <w:szCs w:val="14"/>
          <w:color w:val="auto"/>
        </w:rPr>
        <w:t>As described in Note 2 to the consolidated financial statements, the Company has long-term customer 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2024, a material amount of the Company's total revenues were derived from performance obligations that are satisfied over time.</w:t>
      </w:r>
    </w:p>
    <w:p>
      <w:pPr>
        <w:spacing w:after="0" w:line="175" w:lineRule="exact"/>
        <w:rPr>
          <w:sz w:val="20"/>
          <w:szCs w:val="20"/>
          <w:color w:val="auto"/>
        </w:rPr>
      </w:pPr>
    </w:p>
    <w:p>
      <w:pPr>
        <w:ind w:left="1980" w:right="40"/>
        <w:spacing w:after="0" w:line="253" w:lineRule="auto"/>
        <w:rPr>
          <w:sz w:val="20"/>
          <w:szCs w:val="20"/>
          <w:color w:val="auto"/>
        </w:rPr>
      </w:pPr>
      <w:r>
        <w:rPr>
          <w:rFonts w:ascii="Times New Roman" w:cs="Times New Roman" w:eastAsia="Times New Roman" w:hAnsi="Times New Roman"/>
          <w:sz w:val="14"/>
          <w:szCs w:val="14"/>
          <w:color w:val="auto"/>
        </w:rPr>
        <w:t>Auditing the Company's measurement of revenue recognized over time on long-term contracts is especially challenging because it involves subjective management assumptions regarding the estimated remaining costs of the long-term contracts that could span several years. These assumptions could be impacted by the future cost of materials, labor availability and productivity, complexity of the work to be performed, and the performance of suppliers, customers and subcontractors that may be associated with the contracts and may be affected by future market or economic conditions.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333333"/>
        </w:rPr>
        <w:t xml:space="preserve">How We Addressed the Matter in  </w:t>
      </w:r>
      <w:r>
        <w:rPr>
          <w:rFonts w:ascii="Times New Roman" w:cs="Times New Roman" w:eastAsia="Times New Roman" w:hAnsi="Times New Roman"/>
          <w:sz w:val="14"/>
          <w:szCs w:val="14"/>
          <w:color w:val="000000"/>
        </w:rPr>
        <w:t>We obtained an understanding, evaluated the design, and tested the operating effectiveness of controls over the Company's process to recognize</w:t>
      </w:r>
    </w:p>
    <w:p>
      <w:pPr>
        <w:spacing w:after="0" w:line="16"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4"/>
          <w:szCs w:val="14"/>
          <w:i w:val="1"/>
          <w:iCs w:val="1"/>
          <w:color w:val="333333"/>
        </w:rPr>
        <w:t>Our Audit</w:t>
      </w:r>
      <w:r>
        <w:rPr>
          <w:sz w:val="20"/>
          <w:szCs w:val="20"/>
          <w:color w:val="auto"/>
        </w:rPr>
        <w:tab/>
      </w:r>
      <w:r>
        <w:rPr>
          <w:rFonts w:ascii="Times New Roman" w:cs="Times New Roman" w:eastAsia="Times New Roman" w:hAnsi="Times New Roman"/>
          <w:sz w:val="14"/>
          <w:szCs w:val="14"/>
          <w:color w:val="auto"/>
        </w:rPr>
        <w:t>revenue over time on long-term contracts, including controls over management’s review of the significant underlying assumptions described above.</w:t>
      </w:r>
    </w:p>
    <w:p>
      <w:pPr>
        <w:spacing w:after="0" w:line="173" w:lineRule="exact"/>
        <w:rPr>
          <w:sz w:val="20"/>
          <w:szCs w:val="20"/>
          <w:color w:val="auto"/>
        </w:rPr>
      </w:pPr>
    </w:p>
    <w:p>
      <w:pPr>
        <w:ind w:left="1980" w:right="60"/>
        <w:spacing w:after="0" w:line="235" w:lineRule="auto"/>
        <w:rPr>
          <w:sz w:val="20"/>
          <w:szCs w:val="20"/>
          <w:color w:val="auto"/>
        </w:rPr>
      </w:pPr>
      <w:r>
        <w:rPr>
          <w:rFonts w:ascii="Times New Roman" w:cs="Times New Roman" w:eastAsia="Times New Roman" w:hAnsi="Times New Roman"/>
          <w:sz w:val="14"/>
          <w:szCs w:val="14"/>
          <w:color w:val="24282D"/>
        </w:rPr>
        <w:t>Our audit procedures also included, among others, evaluating the significant assumptions and the accuracy and completeness of the underlying data used in management's calculations. This included, for example, inspection of the executed contracts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certain contracts, we involved our internal valuation specialists to assist in our evaluation of management’s cost estimates at completion.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Pittsburgh, Pennsylvania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12, 2025</w:t>
      </w: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300" w:top="770" w:right="10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18" w:lineRule="exact"/>
        <w:rPr>
          <w:sz w:val="20"/>
          <w:szCs w:val="20"/>
          <w:color w:val="auto"/>
        </w:rPr>
      </w:pPr>
    </w:p>
    <w:p>
      <w:pPr>
        <w:ind w:right="5520"/>
        <w:spacing w:after="0" w:line="411" w:lineRule="auto"/>
        <w:rPr>
          <w:sz w:val="20"/>
          <w:szCs w:val="20"/>
          <w:color w:val="auto"/>
        </w:rPr>
      </w:pPr>
      <w:r>
        <w:rPr>
          <w:rFonts w:ascii="Times New Roman" w:cs="Times New Roman" w:eastAsia="Times New Roman" w:hAnsi="Times New Roman"/>
          <w:sz w:val="14"/>
          <w:szCs w:val="14"/>
          <w:color w:val="auto"/>
        </w:rPr>
        <w:t xml:space="preserve">To the Shareholders and the Board of Directors of Westinghouse Air Brake Technologies Corporation </w:t>
      </w:r>
      <w:r>
        <w:rPr>
          <w:rFonts w:ascii="Times New Roman" w:cs="Times New Roman" w:eastAsia="Times New Roman" w:hAnsi="Times New Roman"/>
          <w:sz w:val="14"/>
          <w:szCs w:val="14"/>
          <w:b w:val="1"/>
          <w:bCs w:val="1"/>
          <w:color w:val="auto"/>
        </w:rPr>
        <w:t>Opinion on Internal Control Over Financial Reporting</w:t>
      </w:r>
    </w:p>
    <w:p>
      <w:pPr>
        <w:ind w:right="120"/>
        <w:spacing w:after="0" w:line="254" w:lineRule="auto"/>
        <w:rPr>
          <w:sz w:val="20"/>
          <w:szCs w:val="20"/>
          <w:color w:val="auto"/>
        </w:rPr>
      </w:pPr>
      <w:r>
        <w:rPr>
          <w:rFonts w:ascii="Times New Roman" w:cs="Times New Roman" w:eastAsia="Times New Roman" w:hAnsi="Times New Roman"/>
          <w:sz w:val="14"/>
          <w:szCs w:val="14"/>
          <w:color w:val="auto"/>
        </w:rPr>
        <w:t>We have audited Westinghouse Air Brake Technologies Corporation’s internal control over financial reporting as of December 31, 2024,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2024, based on the COSO criteria.</w:t>
      </w:r>
    </w:p>
    <w:p>
      <w:pPr>
        <w:spacing w:after="0" w:line="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Tehnika Pty Ltd Australia, Fanox Electronic, S.L., Kompozitum s.r.o, and Bloom Engineering Holdings, Inc., which are included in the 2024 consolidated financial statements of the Company and constituted 1.3% of total assets as of December 31, 2024 and 0.1% of net sales, for the year then ended. Our audit of internal control over financial reporting of the Company also did not include an evaluation of the internal control over financial reporting of Tehnika Pty Ltd Australia, Fanox Electronic, S.L., Kompozitum s.r.o, and Bloom Engineering Holdings, Inc.</w:t>
      </w:r>
    </w:p>
    <w:p>
      <w:pPr>
        <w:spacing w:after="0" w:line="9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cash flows and shareholders’ equity for each of the three years in the period ended December 31, 2024, and the related notes and financial statement schedule listed in the Index at Item 15(2) and our report dated February 12, 2025 expressed an unqualified opinion thereon.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Pittsburgh, Pennsylvania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12, 2025</w:t>
      </w:r>
    </w:p>
    <w:p>
      <w:pPr>
        <w:spacing w:after="0" w:line="200" w:lineRule="exact"/>
        <w:rPr>
          <w:sz w:val="20"/>
          <w:szCs w:val="20"/>
          <w:color w:val="auto"/>
        </w:rPr>
      </w:pPr>
    </w:p>
    <w:p>
      <w:pPr>
        <w:spacing w:after="0" w:line="36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37"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8"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54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par value</w:t>
            </w: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476"/>
              <w:spacing w:after="0" w:line="123"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56"/>
              <w:spacing w:after="0" w:line="123"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220" w:type="dxa"/>
            <w:vAlign w:val="bottom"/>
            <w:shd w:val="clear" w:color="auto" w:fill="CCEEFF"/>
          </w:tcPr>
          <w:p>
            <w:pPr>
              <w:jc w:val="center"/>
              <w:ind w:right="1376"/>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Unbilled accounts receivable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 net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158"/>
        </w:trPr>
        <w:tc>
          <w:tcPr>
            <w:tcW w:w="20" w:type="dxa"/>
            <w:vAlign w:val="bottom"/>
          </w:tcPr>
          <w:p>
            <w:pPr>
              <w:spacing w:after="0"/>
              <w:rPr>
                <w:sz w:val="13"/>
                <w:szCs w:val="13"/>
                <w:color w:val="auto"/>
              </w:rPr>
            </w:pPr>
          </w:p>
        </w:tc>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8,780</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r>
      <w:tr>
        <w:trPr>
          <w:trHeight w:val="168"/>
        </w:trPr>
        <w:tc>
          <w:tcPr>
            <w:tcW w:w="20" w:type="dxa"/>
            <w:vAlign w:val="bottom"/>
            <w:tcBorders>
              <w:bottom w:val="single" w:sz="8" w:color="CCEEFF"/>
            </w:tcBorders>
          </w:tcPr>
          <w:p>
            <w:pPr>
              <w:spacing w:after="0"/>
              <w:rPr>
                <w:sz w:val="14"/>
                <w:szCs w:val="14"/>
                <w:color w:val="auto"/>
              </w:rPr>
            </w:pPr>
          </w:p>
        </w:tc>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w:t>
            </w:r>
          </w:p>
        </w:tc>
      </w:tr>
      <w:tr>
        <w:trPr>
          <w:trHeight w:val="160"/>
        </w:trPr>
        <w:tc>
          <w:tcPr>
            <w:tcW w:w="20" w:type="dxa"/>
            <w:vAlign w:val="bottom"/>
            <w:shd w:val="clear" w:color="auto" w:fill="CCEEFF"/>
          </w:tcPr>
          <w:p>
            <w:pPr>
              <w:spacing w:after="0"/>
              <w:rPr>
                <w:sz w:val="13"/>
                <w:szCs w:val="13"/>
                <w:color w:val="auto"/>
              </w:rPr>
            </w:pPr>
          </w:p>
        </w:tc>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noncurrent assets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14,133</w:t>
            </w:r>
          </w:p>
        </w:tc>
      </w:tr>
      <w:tr>
        <w:trPr>
          <w:trHeight w:val="163"/>
        </w:trPr>
        <w:tc>
          <w:tcPr>
            <w:tcW w:w="20" w:type="dxa"/>
            <w:vAlign w:val="bottom"/>
          </w:tcPr>
          <w:p>
            <w:pPr>
              <w:spacing w:after="0"/>
              <w:rPr>
                <w:sz w:val="14"/>
                <w:szCs w:val="14"/>
                <w:color w:val="auto"/>
              </w:rPr>
            </w:pPr>
          </w:p>
        </w:tc>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220" w:type="dxa"/>
            <w:vAlign w:val="bottom"/>
            <w:shd w:val="clear" w:color="auto" w:fill="CCEEFF"/>
          </w:tcPr>
          <w:p>
            <w:pPr>
              <w:jc w:val="center"/>
              <w:ind w:right="1376"/>
              <w:spacing w:after="0" w:line="148" w:lineRule="exact"/>
              <w:rPr>
                <w:sz w:val="20"/>
                <w:szCs w:val="20"/>
                <w:color w:val="auto"/>
              </w:rPr>
            </w:pPr>
            <w:r>
              <w:rPr>
                <w:rFonts w:ascii="Times New Roman" w:cs="Times New Roman" w:eastAsia="Times New Roman" w:hAnsi="Times New Roman"/>
                <w:sz w:val="13"/>
                <w:szCs w:val="13"/>
                <w:b w:val="1"/>
                <w:bCs w:val="1"/>
                <w:color w:val="auto"/>
                <w:w w:val="98"/>
              </w:rPr>
              <w:t>Liabilities and Shareholders’ Equity</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Customer deposits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compensation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warranty</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68"/>
        </w:trPr>
        <w:tc>
          <w:tcPr>
            <w:tcW w:w="20" w:type="dxa"/>
            <w:vAlign w:val="bottom"/>
            <w:tcBorders>
              <w:bottom w:val="single" w:sz="8" w:color="CCEEFF"/>
            </w:tcBorders>
          </w:tcPr>
          <w:p>
            <w:pPr>
              <w:spacing w:after="0"/>
              <w:rPr>
                <w:sz w:val="14"/>
                <w:szCs w:val="14"/>
                <w:color w:val="auto"/>
              </w:rPr>
            </w:pPr>
          </w:p>
        </w:tc>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w:t>
            </w:r>
          </w:p>
        </w:tc>
      </w:tr>
      <w:tr>
        <w:trPr>
          <w:trHeight w:val="163"/>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3,288</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postretirement and pension benefits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158"/>
        </w:trPr>
        <w:tc>
          <w:tcPr>
            <w:tcW w:w="20" w:type="dxa"/>
            <w:vAlign w:val="bottom"/>
          </w:tcPr>
          <w:p>
            <w:pPr>
              <w:spacing w:after="0"/>
              <w:rPr>
                <w:sz w:val="13"/>
                <w:szCs w:val="13"/>
                <w:color w:val="auto"/>
              </w:rPr>
            </w:pPr>
          </w:p>
        </w:tc>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8,464</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18)</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$.01 par value; 500.0 shares authorized and 226.9 shares issued; 171.3 and 177.8 shares outstanding at December 31, 2024 and 2023, respectively</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Treasury stock, at cost, 55.6 and 49.1 shares, at December 31, 2024 and 2023, respectively</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w:t>
            </w:r>
          </w:p>
        </w:tc>
      </w:tr>
      <w:tr>
        <w:trPr>
          <w:trHeight w:val="168"/>
        </w:trPr>
        <w:tc>
          <w:tcPr>
            <w:tcW w:w="2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r>
      <w:tr>
        <w:trPr>
          <w:trHeight w:val="158"/>
        </w:trPr>
        <w:tc>
          <w:tcPr>
            <w:tcW w:w="20" w:type="dxa"/>
            <w:vAlign w:val="bottom"/>
          </w:tcPr>
          <w:p>
            <w:pPr>
              <w:spacing w:after="0"/>
              <w:rPr>
                <w:sz w:val="13"/>
                <w:szCs w:val="13"/>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Westinghouse Air Brake Technologies Corporation shareholders’ equity</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10,487</w:t>
            </w:r>
          </w:p>
        </w:tc>
      </w:tr>
      <w:tr>
        <w:trPr>
          <w:trHeight w:val="172"/>
        </w:trPr>
        <w:tc>
          <w:tcPr>
            <w:tcW w:w="20" w:type="dxa"/>
            <w:vAlign w:val="bottom"/>
            <w:shd w:val="clear" w:color="auto" w:fill="CCEEFF"/>
          </w:tcPr>
          <w:p>
            <w:pPr>
              <w:spacing w:after="0"/>
              <w:rPr>
                <w:sz w:val="14"/>
                <w:szCs w:val="14"/>
                <w:color w:val="auto"/>
              </w:rPr>
            </w:pPr>
          </w:p>
        </w:tc>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8"/>
        </w:trPr>
        <w:tc>
          <w:tcPr>
            <w:tcW w:w="20" w:type="dxa"/>
            <w:vAlign w:val="bottom"/>
            <w:tcBorders>
              <w:bottom w:val="single" w:sz="8" w:color="CCEEFF"/>
            </w:tcBorders>
          </w:tcPr>
          <w:p>
            <w:pPr>
              <w:spacing w:after="0"/>
              <w:rPr>
                <w:sz w:val="13"/>
                <w:szCs w:val="13"/>
                <w:color w:val="auto"/>
              </w:rPr>
            </w:pPr>
          </w:p>
        </w:tc>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10,133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10,524</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80" w:type="dxa"/>
            <w:vAlign w:val="bottom"/>
            <w:gridSpan w:val="2"/>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5"/>
        </w:trPr>
        <w:tc>
          <w:tcPr>
            <w:tcW w:w="1960" w:type="dxa"/>
            <w:vAlign w:val="bottom"/>
            <w:tcBorders>
              <w:bottom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Sales of goods</w:t>
            </w:r>
          </w:p>
        </w:tc>
        <w:tc>
          <w:tcPr>
            <w:tcW w:w="448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services</w:t>
            </w:r>
          </w:p>
        </w:tc>
        <w:tc>
          <w:tcPr>
            <w:tcW w:w="36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71"/>
        </w:trPr>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3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goods</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36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3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0" w:type="dxa"/>
            <w:vAlign w:val="bottom"/>
          </w:tcPr>
          <w:p>
            <w:pPr>
              <w:spacing w:after="0"/>
              <w:rPr>
                <w:sz w:val="1"/>
                <w:szCs w:val="1"/>
                <w:color w:val="auto"/>
              </w:rPr>
            </w:pPr>
          </w:p>
        </w:tc>
      </w:tr>
      <w:tr>
        <w:trPr>
          <w:trHeight w:val="171"/>
        </w:trPr>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Gross profit</w:t>
            </w:r>
          </w:p>
        </w:tc>
        <w:tc>
          <w:tcPr>
            <w:tcW w:w="3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180"/>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80"/>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Engineering expenses</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expense</w:t>
            </w:r>
          </w:p>
        </w:tc>
        <w:tc>
          <w:tcPr>
            <w:tcW w:w="36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171"/>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3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80"/>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3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1"/>
        </w:trPr>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w:t>
            </w:r>
          </w:p>
        </w:tc>
        <w:tc>
          <w:tcPr>
            <w:tcW w:w="3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3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4480" w:type="dxa"/>
            <w:vAlign w:val="bottom"/>
            <w:gridSpan w:val="2"/>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Diluted</w:t>
            </w:r>
          </w:p>
        </w:tc>
        <w:tc>
          <w:tcPr>
            <w:tcW w:w="3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4480" w:type="dxa"/>
            <w:vAlign w:val="bottom"/>
            <w:gridSpan w:val="2"/>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48" w:name="page49"/>
    <w:bookmarkEnd w:id="48"/>
    <w:p>
      <w:pPr>
        <w:ind w:left="348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9"/>
        </w:trPr>
        <w:tc>
          <w:tcPr>
            <w:tcW w:w="20" w:type="dxa"/>
            <w:vAlign w:val="bottom"/>
          </w:tcPr>
          <w:p>
            <w:pPr>
              <w:spacing w:after="0"/>
              <w:rPr>
                <w:sz w:val="12"/>
                <w:szCs w:val="12"/>
                <w:color w:val="auto"/>
              </w:rPr>
            </w:pPr>
          </w:p>
        </w:tc>
        <w:tc>
          <w:tcPr>
            <w:tcW w:w="7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 on pension benefit plans and post-retirement benefit plans</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70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Income tax expense related to components of other comprehensive (loss) income</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71"/>
        </w:trPr>
        <w:tc>
          <w:tcPr>
            <w:tcW w:w="20" w:type="dxa"/>
            <w:vAlign w:val="bottom"/>
          </w:tcPr>
          <w:p>
            <w:pPr>
              <w:spacing w:after="0"/>
              <w:rPr>
                <w:sz w:val="14"/>
                <w:szCs w:val="14"/>
                <w:color w:val="auto"/>
              </w:rPr>
            </w:pPr>
          </w:p>
        </w:tc>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Comprehensive income attributable to Wabtec shareholders</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4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9"/>
        </w:trPr>
        <w:tc>
          <w:tcPr>
            <w:tcW w:w="20" w:type="dxa"/>
            <w:vAlign w:val="bottom"/>
          </w:tcPr>
          <w:p>
            <w:pPr>
              <w:spacing w:after="0"/>
              <w:rPr>
                <w:sz w:val="12"/>
                <w:szCs w:val="12"/>
                <w:color w:val="auto"/>
              </w:rPr>
            </w:pPr>
          </w:p>
        </w:tc>
        <w:tc>
          <w:tcPr>
            <w:tcW w:w="7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Below market intangible amortization</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Net loss on disposal of property, plant and equipment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and dispositions: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income taxes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Current and noncurrent customer deposits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71"/>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r>
      <w:tr>
        <w:trPr>
          <w:trHeight w:val="180"/>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dispositions of businesses, net of cash disposed</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debt, net of issuance costs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Payments of debt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Repurchase of stock</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dividends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contingent consideration on acquisitions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20" w:type="dxa"/>
            <w:vAlign w:val="bottom"/>
          </w:tcPr>
          <w:p>
            <w:pPr>
              <w:spacing w:after="0"/>
              <w:rPr>
                <w:sz w:val="15"/>
                <w:szCs w:val="15"/>
                <w:color w:val="auto"/>
              </w:rPr>
            </w:pPr>
          </w:p>
        </w:tc>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Payment of income tax withholding on share-based compensation</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changes in currency exchange rates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in cash</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2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50" w:name="page51"/>
    <w:bookmarkEnd w:id="50"/>
    <w:p>
      <w:pPr>
        <w:ind w:left="350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Stock</w:t>
            </w:r>
          </w:p>
        </w:tc>
        <w:tc>
          <w:tcPr>
            <w:tcW w:w="10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9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millions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Stock Shares</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Stock Shares</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Stock Amount</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7,916</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dividends ($0.60 dividend per share)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23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23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exercise of stock options and other benefit plans,</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of tax</w:t>
            </w: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226.9</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7,953</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4,577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dividends ($0.68 dividend per share)</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23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23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exercise of stock options and other benefit plans,</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of tax</w:t>
            </w: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226.9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7,977</w:t>
            </w:r>
          </w:p>
        </w:tc>
        <w:tc>
          <w:tcPr>
            <w:tcW w:w="1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5,269</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dividends ($0.80 dividend per share)</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2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color w:val="auto"/>
              </w:rPr>
              <w:t>exercise of stock options and other benefit plans,</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9"/>
                <w:szCs w:val="9"/>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of tax</w:t>
            </w: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226.9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8,023</w:t>
            </w:r>
          </w:p>
        </w:tc>
        <w:tc>
          <w:tcPr>
            <w:tcW w:w="10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6,185</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w:t>
      </w:r>
    </w:p>
    <w:p>
      <w:pPr>
        <w:spacing w:after="0" w:line="7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2024, approximately 53% of the Company’s net sales came from customers outside the United States.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ind w:right="22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Principles of Consolidation </w:t>
      </w:r>
      <w:r>
        <w:rPr>
          <w:rFonts w:ascii="Times New Roman" w:cs="Times New Roman" w:eastAsia="Times New Roman" w:hAnsi="Times New Roman"/>
          <w:sz w:val="14"/>
          <w:szCs w:val="14"/>
          <w:color w:val="auto"/>
        </w:rPr>
        <w:t>The consolidated financial statements include the accounts of the Company and all subsidiaries that it controls. For consolidated subsidiaries in which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Company's ownership is less than 100%, the outside shareholders' interests are shown as noncontrolling interests. These statements have been prepared in accordance with U.S. generally accepted accounting principles. Sales between subsidiaries are eliminated in consolidation.</w:t>
      </w:r>
    </w:p>
    <w:p>
      <w:pPr>
        <w:spacing w:after="0" w:line="49"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Equivalents and Restricted Cash </w:t>
      </w:r>
      <w:r>
        <w:rPr>
          <w:rFonts w:ascii="Times New Roman" w:cs="Times New Roman" w:eastAsia="Times New Roman" w:hAnsi="Times New Roman"/>
          <w:sz w:val="14"/>
          <w:szCs w:val="14"/>
          <w:color w:val="auto"/>
        </w:rPr>
        <w:t>Cash equivalents are highly liquid investments purchased with an original maturity of three months or less. Restricted cash includes cash held in escrow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is restricted as to withdrawal or usage.</w:t>
      </w:r>
    </w:p>
    <w:p>
      <w:pPr>
        <w:spacing w:after="0" w:line="35"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Doubtful Accounts </w:t>
      </w:r>
      <w:r>
        <w:rPr>
          <w:rFonts w:ascii="Times New Roman" w:cs="Times New Roman" w:eastAsia="Times New Roman" w:hAnsi="Times New Roman"/>
          <w:sz w:val="14"/>
          <w:szCs w:val="14"/>
          <w:color w:val="auto"/>
        </w:rPr>
        <w:t>The allowance for doubtful accounts receivable reflects our best estimate of expected losses inherent in our receivable portfolio determined on the basis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historical experience, relevant credit forecast information, changes to customer's solvency, and other currently available evidence. The allowance for doubtful accounts was $36 million and $31 million as of December 31, 2024 and 2023, respectively.</w:t>
      </w:r>
    </w:p>
    <w:p>
      <w:pPr>
        <w:spacing w:after="0" w:line="49" w:lineRule="exact"/>
        <w:rPr>
          <w:sz w:val="20"/>
          <w:szCs w:val="20"/>
          <w:color w:val="auto"/>
        </w:rPr>
      </w:pPr>
    </w:p>
    <w:p>
      <w:pPr>
        <w:ind w:right="24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Inventories </w:t>
      </w:r>
      <w:r>
        <w:rPr>
          <w:rFonts w:ascii="Times New Roman" w:cs="Times New Roman" w:eastAsia="Times New Roman" w:hAnsi="Times New Roman"/>
          <w:sz w:val="14"/>
          <w:szCs w:val="14"/>
          <w:color w:val="auto"/>
        </w:rPr>
        <w:t>Inventories are stated at the lower of cost or net realizable value. Cost is predominantly determined under the first-in, first-out (FIFO) method. Inventory costs include material,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labor and overhead.</w:t>
      </w:r>
    </w:p>
    <w:p>
      <w:pPr>
        <w:spacing w:after="0" w:line="35" w:lineRule="exact"/>
        <w:rPr>
          <w:sz w:val="20"/>
          <w:szCs w:val="20"/>
          <w:color w:val="auto"/>
        </w:rPr>
      </w:pPr>
    </w:p>
    <w:p>
      <w:pPr>
        <w:ind w:right="2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Plant and Equipment </w:t>
      </w:r>
      <w:r>
        <w:rPr>
          <w:rFonts w:ascii="Times New Roman" w:cs="Times New Roman" w:eastAsia="Times New Roman" w:hAnsi="Times New Roman"/>
          <w:sz w:val="14"/>
          <w:szCs w:val="14"/>
          <w:color w:val="auto"/>
        </w:rPr>
        <w:t>Property, plant and equipment additions are stated at cost. Expenditures for renewals and improvements are capitalized. Expenditures for ordinary maintenance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repairs are expensed as incurred. The Company computes book depreciation principally on the straight-line method. Accelerated depreciation methods are utilized for income tax purposes.</w:t>
      </w:r>
    </w:p>
    <w:p>
      <w:pPr>
        <w:spacing w:after="0" w:line="35" w:lineRule="exact"/>
        <w:rPr>
          <w:sz w:val="20"/>
          <w:szCs w:val="20"/>
          <w:color w:val="auto"/>
        </w:rPr>
      </w:pPr>
    </w:p>
    <w:p>
      <w:pPr>
        <w:ind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Leasing Arrangements </w:t>
      </w:r>
      <w:r>
        <w:rPr>
          <w:rFonts w:ascii="Times New Roman" w:cs="Times New Roman" w:eastAsia="Times New Roman" w:hAnsi="Times New Roman"/>
          <w:sz w:val="14"/>
          <w:szCs w:val="14"/>
          <w:color w:val="auto"/>
        </w:rPr>
        <w:t>The Company conducts a portion of its operations from leased facilities and finances certain equipment purchases through lease agreements. In those cases in which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 on the Consolidated Balance Sheets.</w:t>
      </w:r>
    </w:p>
    <w:p>
      <w:pPr>
        <w:spacing w:after="0" w:line="53" w:lineRule="exact"/>
        <w:rPr>
          <w:sz w:val="20"/>
          <w:szCs w:val="20"/>
          <w:color w:val="auto"/>
        </w:rPr>
      </w:pPr>
    </w:p>
    <w:p>
      <w:pPr>
        <w:ind w:right="60"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and Intangible Assets </w:t>
      </w:r>
      <w:r>
        <w:rPr>
          <w:rFonts w:ascii="Times New Roman" w:cs="Times New Roman" w:eastAsia="Times New Roman" w:hAnsi="Times New Roman"/>
          <w:sz w:val="14"/>
          <w:szCs w:val="14"/>
          <w:color w:val="auto"/>
        </w:rPr>
        <w:t>Goodwill and other intangible assets with indefinite lives are not amortized. Other intangibles with definite lives are amortized on a straight-line basis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and indefinite-lived intangible assets, performing a quantitative test for each identified reporting unit in goodwill at least every three years. Periodically, Management of the Company assesses whether or not an indicator of impairment is present that would necessitate an impairment analysis be performed.</w:t>
      </w:r>
    </w:p>
    <w:p>
      <w:pPr>
        <w:spacing w:after="0" w:line="57" w:lineRule="exact"/>
        <w:rPr>
          <w:sz w:val="20"/>
          <w:szCs w:val="20"/>
          <w:color w:val="auto"/>
        </w:rPr>
      </w:pPr>
    </w:p>
    <w:p>
      <w:pPr>
        <w:ind w:right="36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Method Investments </w:t>
      </w:r>
      <w:r>
        <w:rPr>
          <w:rFonts w:ascii="Times New Roman" w:cs="Times New Roman" w:eastAsia="Times New Roman" w:hAnsi="Times New Roman"/>
          <w:sz w:val="14"/>
          <w:szCs w:val="14"/>
          <w:color w:val="auto"/>
        </w:rPr>
        <w:t>The Company invests in privately-held companies which are accounted for using the equity method when the Company has the ability to exercise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influence, but not control, over the investee. Equity method investments are included in "Other noncurrent assets" on the Consolidated Balance Sheets and were $39 million and $36 million at December 31, 2024 and 2023, respectively.</w:t>
      </w:r>
    </w:p>
    <w:p>
      <w:pPr>
        <w:spacing w:after="0" w:line="49" w:lineRule="exact"/>
        <w:rPr>
          <w:sz w:val="20"/>
          <w:szCs w:val="20"/>
          <w:color w:val="auto"/>
        </w:rPr>
      </w:pPr>
    </w:p>
    <w:p>
      <w:pPr>
        <w:ind w:right="46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Expense </w:t>
      </w:r>
      <w:r>
        <w:rPr>
          <w:rFonts w:ascii="Times New Roman" w:cs="Times New Roman" w:eastAsia="Times New Roman" w:hAnsi="Times New Roman"/>
          <w:sz w:val="14"/>
          <w:szCs w:val="14"/>
          <w:color w:val="auto"/>
        </w:rPr>
        <w:t>Depreciation of property, plant and equipment related to the manufacturing of products or services provided is included in Cost of goods or Cost of services.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Warranty Costs </w:t>
      </w:r>
      <w:r>
        <w:rPr>
          <w:rFonts w:ascii="Times New Roman" w:cs="Times New Roman" w:eastAsia="Times New Roman" w:hAnsi="Times New Roman"/>
          <w:sz w:val="14"/>
          <w:szCs w:val="14"/>
          <w:color w:val="auto"/>
        </w:rPr>
        <w:t>Warranty costs are accrued based on management’s estimates of repair or upgrade costs per unit and historical experience.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81" w:right="339" w:bottom="1440" w:gutter="0" w:footer="0" w:header="0"/>
        </w:sectPr>
      </w:pPr>
    </w:p>
    <w:bookmarkStart w:id="52" w:name="page53"/>
    <w:bookmarkEnd w:id="52"/>
    <w:p>
      <w:pPr>
        <w:ind w:right="22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Income taxes are accounted for under the liability method. Deferred tax assets and liabilities are determined based on differences between financial reporting and tax basis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and liabilities and are measured using the enacted tax rates and laws. The provision for income taxes includes federal, state and foreign income taxes.</w:t>
      </w:r>
    </w:p>
    <w:p>
      <w:pPr>
        <w:spacing w:after="0" w:line="35" w:lineRule="exact"/>
        <w:rPr>
          <w:sz w:val="20"/>
          <w:szCs w:val="20"/>
          <w:color w:val="auto"/>
        </w:rPr>
      </w:pPr>
    </w:p>
    <w:p>
      <w:pPr>
        <w:jc w:val="both"/>
        <w:ind w:right="30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The Company recognizes compensation expense for stock-based compensation based on the grant date fair value recognized ratably over the requisite service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period following the date of grant. Compensation expense for incentive stock units is updated as necessary if the number of units expected to vest changes based on the Company's performance.</w:t>
      </w:r>
    </w:p>
    <w:p>
      <w:pPr>
        <w:spacing w:after="0" w:line="35" w:lineRule="exact"/>
        <w:rPr>
          <w:sz w:val="20"/>
          <w:szCs w:val="20"/>
          <w:color w:val="auto"/>
        </w:rPr>
      </w:pPr>
    </w:p>
    <w:p>
      <w:pPr>
        <w:ind w:right="20"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Financial Derivatives and Hedging Activities </w:t>
      </w:r>
      <w:r>
        <w:rPr>
          <w:rFonts w:ascii="Times New Roman" w:cs="Times New Roman" w:eastAsia="Times New Roman" w:hAnsi="Times New Roman"/>
          <w:sz w:val="14"/>
          <w:szCs w:val="14"/>
          <w:color w:val="auto"/>
        </w:rPr>
        <w:t>In the normal course of business, the Company is exposed to market risks related to interest rates, commodity prices and foreign currency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rate fluctuations. At times, the Company limits these risks through the use of derivatives such as cross-currency swaps, foreign currency forward contracts, interest rate hedges, commodity swaps and options.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At the delivery date, the Company can either take delivery of the currency or settle on a net basis. For further information regarding the foreign currency forward contracts see Note 17.</w:t>
      </w:r>
    </w:p>
    <w:p>
      <w:pPr>
        <w:spacing w:after="0" w:line="55" w:lineRule="exact"/>
        <w:rPr>
          <w:sz w:val="20"/>
          <w:szCs w:val="20"/>
          <w:color w:val="auto"/>
        </w:rPr>
      </w:pPr>
    </w:p>
    <w:p>
      <w:pPr>
        <w:ind w:firstLine="382"/>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Foreign Currency Translation </w:t>
      </w:r>
      <w:r>
        <w:rPr>
          <w:rFonts w:ascii="Times New Roman" w:cs="Times New Roman" w:eastAsia="Times New Roman" w:hAnsi="Times New Roman"/>
          <w:sz w:val="14"/>
          <w:szCs w:val="14"/>
          <w:color w:val="auto"/>
        </w:rPr>
        <w:t>Certain of our international operations have determined that the local currency is the functional currency whereas others have determined the U.S. dollar is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transactions that are denominated in a currency other than an entity’s functional currency are charged or credited to earnings. Realized gains and losses related to foreign currency exchange are recognized in Other income, net on the Consolidated Statements of Income.</w:t>
      </w:r>
    </w:p>
    <w:p>
      <w:pPr>
        <w:spacing w:after="0" w:line="56" w:lineRule="exact"/>
        <w:rPr>
          <w:sz w:val="20"/>
          <w:szCs w:val="20"/>
          <w:color w:val="auto"/>
        </w:rPr>
      </w:pPr>
    </w:p>
    <w:p>
      <w:pPr>
        <w:ind w:right="58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Noncontrolling Interests </w:t>
      </w:r>
      <w:r>
        <w:rPr>
          <w:rFonts w:ascii="Times New Roman" w:cs="Times New Roman" w:eastAsia="Times New Roman" w:hAnsi="Times New Roman"/>
          <w:sz w:val="14"/>
          <w:szCs w:val="14"/>
          <w:color w:val="auto"/>
        </w:rPr>
        <w:t>In accordance with ASC 810, the Company has classified noncontrolling interests as equity on our Consolidated Balance Sheets. Net income attributable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noncontrolling interests was not material for the years ended December 31, 2024, 2023 and 2022.</w:t>
      </w:r>
    </w:p>
    <w:p>
      <w:pPr>
        <w:spacing w:after="0" w:line="35" w:lineRule="exact"/>
        <w:rPr>
          <w:sz w:val="20"/>
          <w:szCs w:val="20"/>
          <w:color w:val="auto"/>
        </w:rPr>
      </w:pPr>
    </w:p>
    <w:p>
      <w:pPr>
        <w:jc w:val="both"/>
        <w:ind w:right="12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The Company accounts for Revenue under ASC 606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This guidance provides a five-step analysis of transactions to determine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when and how revenue is recognized and requires entities to recognize revenue at an amount that reflects the consideration to which the Company expects to be entitled in exchange for transferring goods or services to a customer.</w:t>
      </w:r>
    </w:p>
    <w:p>
      <w:pPr>
        <w:spacing w:after="0" w:line="51"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 All fees billed to the customer for shipping and handling are classified as a component of Net sales. All costs associated with shipping and handling are classified as a component of Cost of sales.</w:t>
      </w:r>
    </w:p>
    <w:p>
      <w:pPr>
        <w:spacing w:after="0" w:line="51"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4"/>
          <w:szCs w:val="14"/>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 Additional information with respect to contract assets and liabilities is included in Note 8.</w:t>
      </w:r>
    </w:p>
    <w:p>
      <w:pPr>
        <w:spacing w:after="0" w:line="64"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53" w:name="page54"/>
    <w:bookmarkEnd w:id="53"/>
    <w:p>
      <w:pPr>
        <w:ind w:right="360"/>
        <w:spacing w:after="0" w:line="287" w:lineRule="auto"/>
        <w:rPr>
          <w:sz w:val="20"/>
          <w:szCs w:val="20"/>
          <w:color w:val="auto"/>
        </w:rPr>
      </w:pPr>
      <w:r>
        <w:rPr>
          <w:rFonts w:ascii="Times New Roman" w:cs="Times New Roman" w:eastAsia="Times New Roman" w:hAnsi="Times New Roman"/>
          <w:sz w:val="14"/>
          <w:szCs w:val="14"/>
          <w:color w:val="auto"/>
        </w:rPr>
        <w:t>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39"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allocated transaction price of unsatisfied or partially unsatisfied performance obligations. As of December 31, 2024, the Company's remaining performance obligations were approximately $22.3 billion. The Company expects to recognize revenue of approximately 34% of remaining performance obligations over the next 12 months, with the remainder recognized thereafter.</w:t>
      </w:r>
    </w:p>
    <w:p>
      <w:pPr>
        <w:spacing w:after="0" w:line="49" w:lineRule="exact"/>
        <w:rPr>
          <w:sz w:val="20"/>
          <w:szCs w:val="20"/>
          <w:color w:val="auto"/>
        </w:rPr>
      </w:pPr>
    </w:p>
    <w:p>
      <w:pPr>
        <w:ind w:right="180" w:firstLine="38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Revolving Receivables Program </w:t>
      </w:r>
      <w:r>
        <w:rPr>
          <w:rFonts w:ascii="Times New Roman" w:cs="Times New Roman" w:eastAsia="Times New Roman" w:hAnsi="Times New Roman"/>
          <w:sz w:val="14"/>
          <w:szCs w:val="14"/>
          <w:color w:val="auto"/>
        </w:rPr>
        <w:t>The Company utilizes a revolving facility to sell up to $350 million of certain receivables of the Company and certain of its subsidiaries (the "Originators").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customer collections remitted to the financial institution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59"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At December 31, 2024, and 2023 the bankruptcy-remote subsidiary held receivables of $693 million and $674 million, respectively, which are included in the Company's Consolidated Balance Sheets. The receivables held by the bankruptcy-remote subsidiary collateralize the outstanding receivables sold, which was $20 million at December 31, 2023. There were no receivables outstanding under the facility at December 31, 2024. The transfers are recorded at the fair value of the proceeds received and obligations assumed less derecognized receivables. No obligation was recorded at December 31, 2024 or 2023 as the estimated expected credit losses on receivables sold is insignificant. Our maximum exposure to losses related to these receivables transferred is limited to the amount outstanding.</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a summary of receivables sold and the resulting impact of net cash processed included in cash from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5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80" w:type="dxa"/>
            <w:vAlign w:val="bottom"/>
          </w:tcPr>
          <w:p>
            <w:pPr>
              <w:jc w:val="right"/>
              <w:ind w:right="578"/>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78"/>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receivables sold/cash proceeds received</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r>
      <w:tr>
        <w:trPr>
          <w:trHeight w:val="168"/>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Customer collections remitted to financial institution</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(1,701)</w:t>
            </w:r>
          </w:p>
        </w:tc>
      </w:tr>
      <w:tr>
        <w:trPr>
          <w:trHeight w:val="163"/>
        </w:trPr>
        <w:tc>
          <w:tcPr>
            <w:tcW w:w="20" w:type="dxa"/>
            <w:vAlign w:val="bottom"/>
            <w:shd w:val="clear" w:color="auto" w:fill="CCEEFF"/>
          </w:tcPr>
          <w:p>
            <w:pPr>
              <w:spacing w:after="0"/>
              <w:rPr>
                <w:sz w:val="14"/>
                <w:szCs w:val="14"/>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proceeds (remitted) received included in cash from operations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bl>
    <w:p>
      <w:pPr>
        <w:spacing w:after="0" w:line="144"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During the fourth quarter of 2024, the revolving receivables program agreement was amended to allow us to request loans from the financial institution secured by the receivables held in the program, up to the $350 million limit. As a result, effective January 1, 2025 proceeds and repayments of loans under the program will be classified as Financing activities on our statement of cash flows and outstanding balances will be classified as debt on our balance sheet.</w:t>
      </w:r>
    </w:p>
    <w:p>
      <w:pPr>
        <w:spacing w:after="0" w:line="8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Pre-Production Costs </w:t>
      </w:r>
      <w:r>
        <w:rPr>
          <w:rFonts w:ascii="Times New Roman" w:cs="Times New Roman" w:eastAsia="Times New Roman" w:hAnsi="Times New Roman"/>
          <w:sz w:val="14"/>
          <w:szCs w:val="14"/>
          <w:color w:val="auto"/>
        </w:rPr>
        <w:t>Certain pre-production costs relating to long-term production and supply contracts have been deferred and will be recognized over the life of the contracts. Deferred pre-production costs were $52 million and $61 million at December 31, 2024 and 2023, respectively which are included in Other noncurrent assets on the Consolidated Balance Sheets.</w:t>
      </w:r>
    </w:p>
    <w:p>
      <w:pPr>
        <w:spacing w:after="0" w:line="46" w:lineRule="exact"/>
        <w:rPr>
          <w:sz w:val="20"/>
          <w:szCs w:val="20"/>
          <w:color w:val="auto"/>
        </w:rPr>
      </w:pPr>
    </w:p>
    <w:p>
      <w:pPr>
        <w:ind w:right="6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Preferred Stock </w:t>
      </w:r>
      <w:r>
        <w:rPr>
          <w:rFonts w:ascii="Times New Roman" w:cs="Times New Roman" w:eastAsia="Times New Roman" w:hAnsi="Times New Roman"/>
          <w:sz w:val="14"/>
          <w:szCs w:val="14"/>
          <w:color w:val="auto"/>
        </w:rPr>
        <w:t>The Company’s authorized capital stock includes 1,000,000 shares of preferred stock. The Board of Directors has the authority to issue the preferred stock and to fix the rights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preferences, which would be superior to those of the common stock. At December 31, 2024 and 2023 there was no preferred stock issued or outstanding.</w:t>
      </w:r>
    </w:p>
    <w:p>
      <w:pPr>
        <w:spacing w:after="0" w:line="35" w:lineRule="exact"/>
        <w:rPr>
          <w:sz w:val="20"/>
          <w:szCs w:val="20"/>
          <w:color w:val="auto"/>
        </w:rPr>
      </w:pPr>
    </w:p>
    <w:p>
      <w:pPr>
        <w:ind w:right="24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Customers and Concentrations of Credit Risk </w:t>
      </w:r>
      <w:r>
        <w:rPr>
          <w:rFonts w:ascii="Times New Roman" w:cs="Times New Roman" w:eastAsia="Times New Roman" w:hAnsi="Times New Roman"/>
          <w:sz w:val="14"/>
          <w:szCs w:val="14"/>
          <w:color w:val="auto"/>
        </w:rPr>
        <w:t>The Company’s trade receivables are primarily from rail and transit industry original equipment manufacturers, Class I railroads,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railroad carriers and commercial companies that utilize rail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4" w:name="page55"/>
    <w:bookmarkEnd w:id="54"/>
    <w:p>
      <w:pPr>
        <w:ind w:right="120"/>
        <w:spacing w:after="0" w:line="287" w:lineRule="auto"/>
        <w:rPr>
          <w:sz w:val="20"/>
          <w:szCs w:val="20"/>
          <w:color w:val="auto"/>
        </w:rPr>
      </w:pPr>
      <w:r>
        <w:rPr>
          <w:rFonts w:ascii="Times New Roman" w:cs="Times New Roman" w:eastAsia="Times New Roman" w:hAnsi="Times New Roman"/>
          <w:sz w:val="14"/>
          <w:szCs w:val="14"/>
          <w:color w:val="auto"/>
        </w:rPr>
        <w:t>cars in their operations, such as utility and chemical companies, as well as companies in the mining, marine and industrial markets. No one customer accounted for more than 10% of the Company’s consolidated net sales in the periods presented.</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Reclassifications </w:t>
      </w:r>
      <w:r>
        <w:rPr>
          <w:rFonts w:ascii="Times New Roman" w:cs="Times New Roman" w:eastAsia="Times New Roman" w:hAnsi="Times New Roman"/>
          <w:sz w:val="14"/>
          <w:szCs w:val="14"/>
          <w:color w:val="auto"/>
        </w:rPr>
        <w:t>Certain prior year amounts have been reclassified, where necessary, to conform to the current year presentation.</w:t>
      </w:r>
    </w:p>
    <w:p>
      <w:pPr>
        <w:spacing w:after="0" w:line="94" w:lineRule="exact"/>
        <w:rPr>
          <w:sz w:val="20"/>
          <w:szCs w:val="20"/>
          <w:color w:val="auto"/>
        </w:rPr>
      </w:pPr>
    </w:p>
    <w:p>
      <w:pPr>
        <w:ind w:right="2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generally accepted accounting principles in the United States requires the Company to make estimates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53" w:lineRule="exact"/>
        <w:rPr>
          <w:sz w:val="20"/>
          <w:szCs w:val="20"/>
          <w:color w:val="auto"/>
        </w:rPr>
      </w:pPr>
    </w:p>
    <w:p>
      <w:pPr>
        <w:ind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Recently Issued </w:t>
      </w:r>
      <w:r>
        <w:rPr>
          <w:rFonts w:ascii="Times New Roman" w:cs="Times New Roman" w:eastAsia="Times New Roman" w:hAnsi="Times New Roman"/>
          <w:sz w:val="14"/>
          <w:szCs w:val="14"/>
          <w:color w:val="auto"/>
        </w:rPr>
        <w:t>In December 2023, the Financial Accounting Standards Board ("FASB") issued Accounting Standards Update ("ASU") 2023-09,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Income Taxes (Topic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740): Improvements to Income Tax Disclosures</w:t>
      </w:r>
      <w:r>
        <w:rPr>
          <w:rFonts w:ascii="Times New Roman" w:cs="Times New Roman" w:eastAsia="Times New Roman" w:hAnsi="Times New Roman"/>
          <w:sz w:val="14"/>
          <w:szCs w:val="14"/>
          <w:color w:val="auto"/>
        </w:rPr>
        <w:t>. The amendments in this update require entities to disclose on an annual basis specific categories within the income tax rate reconciliation and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is effective for Wabtec's annual reporting periods beginning January 1, 2025. The amendments require increased annual disclosures on current and comparable reporting periods presented in annual company filings. The resulting new annual disclosure requirements will be reflected in our 2025 report on Form 10-K.</w:t>
      </w:r>
    </w:p>
    <w:p>
      <w:pPr>
        <w:spacing w:after="0" w:line="57" w:lineRule="exact"/>
        <w:rPr>
          <w:sz w:val="20"/>
          <w:szCs w:val="20"/>
          <w:color w:val="auto"/>
        </w:rPr>
      </w:pPr>
    </w:p>
    <w:p>
      <w:pPr>
        <w:ind w:right="20"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The amendments in this update require entities to disclose disaggregated information about certain costs and expenses in commonly presented income statement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55" w:lineRule="exact"/>
        <w:rPr>
          <w:sz w:val="20"/>
          <w:szCs w:val="20"/>
          <w:color w:val="auto"/>
        </w:rPr>
      </w:pPr>
    </w:p>
    <w:p>
      <w:pPr>
        <w:ind w:right="60"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Recently Adopted </w:t>
      </w:r>
      <w:r>
        <w:rPr>
          <w:rFonts w:ascii="Times New Roman" w:cs="Times New Roman" w:eastAsia="Times New Roman" w:hAnsi="Times New Roman"/>
          <w:sz w:val="14"/>
          <w:szCs w:val="14"/>
          <w:color w:val="auto"/>
        </w:rPr>
        <w:t>In November 2023, the FASB issued ASU 2023-07,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amendments in this update are intended to improve reportable segment disclosure requirements, primarily through enhanced disclosures about significant segment expenses. In addition to the current requirements, the amendments specify additional information be provided about the chief operating decision maker ("CODM") as well as disaggregated expense categories, to the extent that the CODM utilizes such data in deciding how to allocate resources. The amendments in this update do not affect the recognition, measurement, or financial statement presentation of expenses, and were effective for Wabtec's annual reporting periods beginning January 1, 2024 and will be effective for interim reporting periods beginning January 1, 2025. The amendments require increased interim and annual disclosures on current and comparable reporting periods presented in annual and interim company filings. The new annual disclosure requirements are included in Note 19.</w:t>
      </w:r>
    </w:p>
    <w:p>
      <w:pPr>
        <w:spacing w:after="0" w:line="57"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Financing Program </w:t>
      </w:r>
      <w:r>
        <w:rPr>
          <w:rFonts w:ascii="Times New Roman" w:cs="Times New Roman" w:eastAsia="Times New Roman" w:hAnsi="Times New Roman"/>
          <w:sz w:val="14"/>
          <w:szCs w:val="14"/>
          <w:color w:val="auto"/>
        </w:rPr>
        <w:t>The Company has entered into supply chain financing arrangements with third-party financial institutions to provide our vendors with enhanced payment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Consolidated Balance Sheets. Suppliers utilized the program to accelerate receipt of payment from these financial institutions for $311 million and $305 million of the Company's outstanding Accounts payable as of December 31, 2024 and 2023,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changes in amounts due to financial institutions reflected in Accounts payable for the year ended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32"/>
        </w:trPr>
        <w:tc>
          <w:tcPr>
            <w:tcW w:w="20" w:type="dxa"/>
            <w:vAlign w:val="bottom"/>
          </w:tcPr>
          <w:p>
            <w:pPr>
              <w:spacing w:after="0"/>
              <w:rPr>
                <w:sz w:val="11"/>
                <w:szCs w:val="11"/>
                <w:color w:val="auto"/>
              </w:rPr>
            </w:pPr>
          </w:p>
        </w:tc>
        <w:tc>
          <w:tcPr>
            <w:tcW w:w="9740" w:type="dxa"/>
            <w:vAlign w:val="bottom"/>
            <w:gridSpan w:val="2"/>
          </w:tcPr>
          <w:p>
            <w:pPr>
              <w:spacing w:after="0" w:line="112"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1"/>
                <w:szCs w:val="11"/>
                <w:color w:val="auto"/>
              </w:rPr>
            </w:pPr>
          </w:p>
        </w:tc>
        <w:tc>
          <w:tcPr>
            <w:tcW w:w="1280" w:type="dxa"/>
            <w:vAlign w:val="bottom"/>
          </w:tcPr>
          <w:p>
            <w:pPr>
              <w:jc w:val="right"/>
              <w:ind w:right="557"/>
              <w:spacing w:after="0" w:line="112" w:lineRule="exact"/>
              <w:rPr>
                <w:sz w:val="20"/>
                <w:szCs w:val="20"/>
                <w:color w:val="auto"/>
              </w:rPr>
            </w:pPr>
            <w:r>
              <w:rPr>
                <w:rFonts w:ascii="Times New Roman" w:cs="Times New Roman" w:eastAsia="Times New Roman" w:hAnsi="Times New Roman"/>
                <w:sz w:val="12"/>
                <w:szCs w:val="12"/>
                <w:b w:val="1"/>
                <w:bCs w:val="1"/>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9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Obligations outstanding at the beginning of the year</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3"/>
                <w:szCs w:val="13"/>
                <w:color w:val="auto"/>
              </w:rPr>
              <w:t>305</w:t>
            </w:r>
          </w:p>
        </w:tc>
      </w:tr>
      <w:tr>
        <w:trPr>
          <w:trHeight w:val="168"/>
        </w:trPr>
        <w:tc>
          <w:tcPr>
            <w:tcW w:w="20" w:type="dxa"/>
            <w:vAlign w:val="bottom"/>
          </w:tcPr>
          <w:p>
            <w:pPr>
              <w:spacing w:after="0"/>
              <w:rPr>
                <w:sz w:val="14"/>
                <w:szCs w:val="14"/>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Invoices confirmed during the year</w:t>
            </w:r>
          </w:p>
        </w:tc>
        <w:tc>
          <w:tcPr>
            <w:tcW w:w="240" w:type="dxa"/>
            <w:vAlign w:val="bottom"/>
          </w:tcPr>
          <w:p>
            <w:pPr>
              <w:spacing w:after="0"/>
              <w:rPr>
                <w:sz w:val="14"/>
                <w:szCs w:val="14"/>
                <w:color w:val="auto"/>
              </w:rPr>
            </w:pPr>
          </w:p>
        </w:tc>
        <w:tc>
          <w:tcPr>
            <w:tcW w:w="1280" w:type="dxa"/>
            <w:vAlign w:val="bottom"/>
          </w:tcPr>
          <w:p>
            <w:pPr>
              <w:jc w:val="center"/>
              <w:ind w:left="937"/>
              <w:spacing w:after="0"/>
              <w:rPr>
                <w:sz w:val="20"/>
                <w:szCs w:val="20"/>
                <w:color w:val="auto"/>
              </w:rPr>
            </w:pPr>
            <w:r>
              <w:rPr>
                <w:rFonts w:ascii="Times New Roman" w:cs="Times New Roman" w:eastAsia="Times New Roman" w:hAnsi="Times New Roman"/>
                <w:sz w:val="13"/>
                <w:szCs w:val="13"/>
                <w:color w:val="auto"/>
              </w:rPr>
              <w:t>723</w:t>
            </w:r>
          </w:p>
        </w:tc>
      </w:tr>
      <w:tr>
        <w:trPr>
          <w:trHeight w:val="170"/>
        </w:trPr>
        <w:tc>
          <w:tcPr>
            <w:tcW w:w="20" w:type="dxa"/>
            <w:vAlign w:val="bottom"/>
            <w:shd w:val="clear" w:color="auto" w:fill="CCEEFF"/>
          </w:tcPr>
          <w:p>
            <w:pPr>
              <w:spacing w:after="0"/>
              <w:rPr>
                <w:sz w:val="14"/>
                <w:szCs w:val="14"/>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Confirmed invoices paid during the year</w:t>
            </w: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3"/>
                <w:szCs w:val="13"/>
                <w:color w:val="auto"/>
                <w:w w:val="99"/>
              </w:rPr>
              <w:t>(717)</w:t>
            </w:r>
          </w:p>
        </w:tc>
      </w:tr>
      <w:tr>
        <w:trPr>
          <w:trHeight w:val="163"/>
        </w:trPr>
        <w:tc>
          <w:tcPr>
            <w:tcW w:w="20" w:type="dxa"/>
            <w:vAlign w:val="bottom"/>
          </w:tcPr>
          <w:p>
            <w:pPr>
              <w:spacing w:after="0"/>
              <w:rPr>
                <w:sz w:val="14"/>
                <w:szCs w:val="1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 outstanding at the end of the year</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center"/>
              <w:ind w:left="937"/>
              <w:spacing w:after="0"/>
              <w:rPr>
                <w:sz w:val="20"/>
                <w:szCs w:val="20"/>
                <w:color w:val="auto"/>
              </w:rPr>
            </w:pPr>
            <w:r>
              <w:rPr>
                <w:rFonts w:ascii="Times New Roman" w:cs="Times New Roman" w:eastAsia="Times New Roman" w:hAnsi="Times New Roman"/>
                <w:sz w:val="13"/>
                <w:szCs w:val="13"/>
                <w:color w:val="auto"/>
              </w:rPr>
              <w:t>311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are individually and collectively immaterial.</w:t>
      </w:r>
    </w:p>
    <w:p>
      <w:pPr>
        <w:spacing w:after="0" w:line="51"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On December 22, 2023, the Company purchased the remaining ownership shares of Lokomotiv Kurastyru Zauyty (LKZ), a locomotive 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 $111 million. As a result of the change in ownership interest and obtaining control of LKZ, Wabtec's previously held equity interest balance was remeasured to fair value, resulting in a gain of approximately $35 million recorded to Other income, net. Upon acquisition, Wabtec ceased accounting for the investment using the equity method and recognized 100% of LKZ's identifiable assets and liabilities, and LKZ's results of operations and cash flows are fully consolidated subsequent to the acquisition date.</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fair value of 100% of the LKZ assets acquired and liabilities assumed: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receivable</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0" w:type="dxa"/>
            <w:vAlign w:val="bottom"/>
          </w:tcPr>
          <w:p>
            <w:pPr>
              <w:spacing w:after="0"/>
              <w:rPr>
                <w:sz w:val="14"/>
                <w:szCs w:val="14"/>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assets acquired</w:t>
            </w: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Noncurrent liabilities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0" w:type="dxa"/>
            <w:vAlign w:val="bottom"/>
            <w:tcBorders>
              <w:bottom w:val="single" w:sz="8" w:color="CCEEFF"/>
            </w:tcBorders>
          </w:tcPr>
          <w:p>
            <w:pPr>
              <w:spacing w:after="0"/>
              <w:rPr>
                <w:sz w:val="14"/>
                <w:szCs w:val="14"/>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assets acquired</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The fair values of the assets acquired and liabilities assumed were determined using the income, cost and market approaches. Goodwill was calculated as the difference between the acquisition date fair value of the consideration transferred and the fair value of the net assets acquired and represents the assembled workforce and the future economic benefits of expanding our global operations expected to be achieved as a result of the acquisition. The purchased goodwill is not expected to be deductible for tax purposes. The results of this business since the date of acquisition are reported within the Equipment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6" w:name="page57"/>
    <w:bookmarkEnd w:id="56"/>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fair value of the L&amp;M Radiator, Inc. assets acquired and liabilities assumed: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receivable</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intangible assets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0" w:type="dxa"/>
            <w:vAlign w:val="bottom"/>
          </w:tcPr>
          <w:p>
            <w:pPr>
              <w:spacing w:after="0"/>
              <w:rPr>
                <w:sz w:val="14"/>
                <w:szCs w:val="14"/>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assets acquired</w:t>
            </w: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Noncurrent liabilities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1"/>
        </w:trPr>
        <w:tc>
          <w:tcPr>
            <w:tcW w:w="20" w:type="dxa"/>
            <w:vAlign w:val="bottom"/>
            <w:tcBorders>
              <w:bottom w:val="single" w:sz="8" w:color="CCEEFF"/>
            </w:tcBorders>
          </w:tcPr>
          <w:p>
            <w:pPr>
              <w:spacing w:after="0"/>
              <w:rPr>
                <w:sz w:val="14"/>
                <w:szCs w:val="14"/>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assets acquired</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w:t>
      </w:r>
    </w:p>
    <w:p>
      <w:pPr>
        <w:spacing w:after="0" w:line="51" w:lineRule="exact"/>
        <w:rPr>
          <w:sz w:val="20"/>
          <w:szCs w:val="20"/>
          <w:color w:val="auto"/>
        </w:rPr>
      </w:pPr>
    </w:p>
    <w:p>
      <w:pPr>
        <w:ind w:right="300" w:firstLine="382"/>
        <w:spacing w:after="0" w:line="264" w:lineRule="auto"/>
        <w:rPr>
          <w:sz w:val="20"/>
          <w:szCs w:val="20"/>
          <w:color w:val="auto"/>
        </w:rPr>
      </w:pPr>
      <w:r>
        <w:rPr>
          <w:rFonts w:ascii="Times New Roman" w:cs="Times New Roman" w:eastAsia="Times New Roman" w:hAnsi="Times New Roman"/>
          <w:sz w:val="14"/>
          <w:szCs w:val="14"/>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5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During 2022, the Freight Segment made three strategic acquisitions for a combined purchase price of $89 million, net of cash acquired. Two of the acquisitions are reported in the Digital Intelligence product line and one is reported in the Services product line. Each of the acquisitions in 2022 are individually and collectively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4. SUPPLEMENTAL CASH FLOW DISCLOSURES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0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paid during the year</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 during the year, net of amounts refunded</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color w:val="auto"/>
              </w:rPr>
              <w:t>Business acquisitions: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Fair value of assets acquired</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Fair value of liabilities assumed</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Less: Cash acquired</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cash paid</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 December 31, 2024 and December 31, 2023, Wabtec had restricted cash of $9 million and $5 million, respectively, primarily from cash in escrow related to acquisitions.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INVENTORIES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inventory, net of reserves,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81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0"/>
                <w:szCs w:val="10"/>
                <w:color w:val="auto"/>
              </w:rPr>
            </w:pPr>
          </w:p>
        </w:tc>
        <w:tc>
          <w:tcPr>
            <w:tcW w:w="118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Raw materials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Work-in-progress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170"/>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Finished goods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63"/>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inventories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PROPERTY, PLANT &amp; EQUIPMENT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major classes of depreciable assets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81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0"/>
                <w:szCs w:val="10"/>
                <w:color w:val="auto"/>
              </w:rPr>
            </w:pPr>
          </w:p>
        </w:tc>
        <w:tc>
          <w:tcPr>
            <w:tcW w:w="118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Buildings and improvements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Land and improvements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Construction in progress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estimated useful lives of property, plant and equipment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Years</w:t>
            </w:r>
          </w:p>
        </w:tc>
      </w:tr>
      <w:tr>
        <w:trPr>
          <w:trHeight w:val="1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 improvements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 to 20</w:t>
            </w:r>
          </w:p>
        </w:tc>
      </w:tr>
      <w:tr>
        <w:trPr>
          <w:trHeight w:val="168"/>
        </w:trPr>
        <w:tc>
          <w:tcPr>
            <w:tcW w:w="9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and improvements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15 to 40</w:t>
            </w:r>
          </w:p>
        </w:tc>
      </w:tr>
      <w:tr>
        <w:trPr>
          <w:trHeight w:val="17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 to 15</w:t>
            </w:r>
          </w:p>
        </w:tc>
      </w:tr>
    </w:tbl>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Depreciation expense was $196 million, $204 million, and $182 million for 2024, 2023 and 2022,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7. GOODWILL AND INTANGIBLE ASSETS</w:t>
      </w:r>
    </w:p>
    <w:p>
      <w:pPr>
        <w:spacing w:after="0" w:line="96" w:lineRule="exact"/>
        <w:rPr>
          <w:sz w:val="20"/>
          <w:szCs w:val="20"/>
          <w:color w:val="auto"/>
        </w:rPr>
      </w:pPr>
    </w:p>
    <w:p>
      <w:pPr>
        <w:ind w:right="20" w:firstLine="382"/>
        <w:spacing w:after="0" w:line="245" w:lineRule="auto"/>
        <w:rPr>
          <w:sz w:val="20"/>
          <w:szCs w:val="20"/>
          <w:color w:val="auto"/>
        </w:rPr>
      </w:pPr>
      <w:r>
        <w:rPr>
          <w:rFonts w:ascii="Times New Roman" w:cs="Times New Roman" w:eastAsia="Times New Roman" w:hAnsi="Times New Roman"/>
          <w:sz w:val="14"/>
          <w:szCs w:val="14"/>
          <w:color w:val="auto"/>
        </w:rPr>
        <w:t>Goodwill is reviewed annually during the fourth quarter for impairment. The Company has identified three reporting units for purposes of testing goodwill for impairment. Two reporting units exist within the Freight segment (the "Freight" and "Components" reporting units) and the Transit segment is also a reporting unit. In 2024, management elected to first assess qualitative factors to determine whether a quantitative goodwill impairment test is necessary for the Components and Freight reporting units. During the assessment, management evaluated all relevant events and facts that may impact the fair value or carrying value of the reporting units' goodwill and concluded that it was not more likely than not that the estimated fair values were less than the carrying values; therefore, no further analysis was required. For the Transit reporting unit, management elected to proceed directly to the quantitative impairment test. The discounted cash flow method and the market approach were used to estimate the fair value of the Transit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the Transit reporting unit. The market approach requires several assumptions including EBITDA (earnings before interest, taxes, depreciation and amortization) multiples for comparable companies that operate in the same markets as the Company’s reporting units. For 2024, the discounted cash flow method was given more weight compared to the market approach due to variables between the operations of the guideline companies used in the analysis and Wabtec's operations, such as different reporting unit sizes, growth and business characteristics. Each valuation resulted in a conclusion that the estimated fair value of the Transit reporting unit was in excess of its carrying value, and no impairment existed.</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the carrying amount of goodwill by segment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360" w:type="dxa"/>
            <w:vAlign w:val="bottom"/>
          </w:tcPr>
          <w:p>
            <w:pPr>
              <w:spacing w:after="0"/>
              <w:rPr>
                <w:sz w:val="12"/>
                <w:szCs w:val="12"/>
                <w:color w:val="auto"/>
              </w:rPr>
            </w:pPr>
          </w:p>
        </w:tc>
        <w:tc>
          <w:tcPr>
            <w:tcW w:w="1160" w:type="dxa"/>
            <w:vAlign w:val="bottom"/>
            <w:vMerge w:val="restart"/>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5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7"/>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00"/>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08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Additions</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Disposals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 currency impact</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08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Additions</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Disposals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 currency impact</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08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82"/>
        <w:spacing w:after="0" w:line="241" w:lineRule="auto"/>
        <w:rPr>
          <w:sz w:val="20"/>
          <w:szCs w:val="20"/>
          <w:color w:val="auto"/>
        </w:rPr>
      </w:pPr>
      <w:r>
        <w:rPr>
          <w:rFonts w:ascii="Times New Roman" w:cs="Times New Roman" w:eastAsia="Times New Roman" w:hAnsi="Times New Roman"/>
          <w:sz w:val="14"/>
          <w:szCs w:val="14"/>
          <w:color w:val="auto"/>
        </w:rPr>
        <w:t>The Company’s indefinite lived intangible assets are also reviewed annually during the fourth quarter for impairment. During 2024 and 2023, the Company proceeded directly to the quantitative impairment test for certain trade names with indefinite lives. Certain trade names that were associated with the Company’s current restructuring actions were tested and considered impaired. As such, for the years ended December 31, 2024 and 2023, approximately $6 million and $14 million, respectively, of amortization expense was recorded in "Amortization expense" on the Consolidated Statements of Income, primarily related to the Company's Portfolio Optimization. For the remaining trade names subject to the quantitative impairment test, the fair value exceeded each respective carrying value, resulting in a conclusion that no additional impairment existed. For trade names not subject to quantitative testing, the Company elected to perform a qualitative impairment assessment, resulting in a conclusion that it was not more likely than not that the estimated fair values of the trade names were less than their carrying values; therefore, no further analysis was required. The assessment of qualitative factors used in determining whether it is more likely than not that the fair value of a trade name is less than its carrying amount involves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115"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Company’s trade names had a net carrying amount of $595 million and $612 million, respectively, and the Company believes these intangibles have indefinite lives, with the exception of the right to use the GE Transportation trade name, to which the Company had an original useful life of 5 years and has been fully amortized.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ind w:left="380"/>
        <w:spacing w:after="0"/>
        <w:rPr>
          <w:sz w:val="20"/>
          <w:szCs w:val="20"/>
          <w:color w:val="auto"/>
        </w:rPr>
      </w:pPr>
      <w:r>
        <w:rPr>
          <w:rFonts w:ascii="Times New Roman" w:cs="Times New Roman" w:eastAsia="Times New Roman" w:hAnsi="Times New Roman"/>
          <w:sz w:val="14"/>
          <w:szCs w:val="14"/>
          <w:color w:val="auto"/>
        </w:rPr>
        <w:t>Intangible assets of the Company, other than goodwill and trade names, that are considered definitive lived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12"/>
        </w:trPr>
        <w:tc>
          <w:tcPr>
            <w:tcW w:w="20" w:type="dxa"/>
            <w:vAlign w:val="bottom"/>
          </w:tcPr>
          <w:p>
            <w:pPr>
              <w:spacing w:after="0"/>
              <w:rPr>
                <w:sz w:val="9"/>
                <w:szCs w:val="9"/>
                <w:color w:val="auto"/>
              </w:rPr>
            </w:pPr>
          </w:p>
        </w:tc>
        <w:tc>
          <w:tcPr>
            <w:tcW w:w="2480" w:type="dxa"/>
            <w:vAlign w:val="bottom"/>
            <w:gridSpan w:val="2"/>
          </w:tcPr>
          <w:p>
            <w:pPr>
              <w:spacing w:after="0" w:line="112"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 w:type="dxa"/>
            <w:vAlign w:val="bottom"/>
          </w:tcPr>
          <w:p>
            <w:pPr>
              <w:spacing w:after="0"/>
              <w:rPr>
                <w:sz w:val="9"/>
                <w:szCs w:val="9"/>
                <w:color w:val="auto"/>
              </w:rPr>
            </w:pPr>
          </w:p>
        </w:tc>
        <w:tc>
          <w:tcPr>
            <w:tcW w:w="13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b w:val="1"/>
                <w:bCs w:val="1"/>
                <w:color w:val="auto"/>
              </w:rPr>
              <w:t>Gross Carrying Amount</w:t>
            </w:r>
          </w:p>
        </w:tc>
        <w:tc>
          <w:tcPr>
            <w:tcW w:w="1460" w:type="dxa"/>
            <w:vAlign w:val="bottom"/>
            <w:gridSpan w:val="3"/>
          </w:tcPr>
          <w:p>
            <w:pPr>
              <w:jc w:val="center"/>
              <w:ind w:right="60"/>
              <w:spacing w:after="0" w:line="112" w:lineRule="exact"/>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0" w:type="dxa"/>
            <w:vAlign w:val="bottom"/>
          </w:tcPr>
          <w:p>
            <w:pPr>
              <w:spacing w:after="0"/>
              <w:rPr>
                <w:sz w:val="9"/>
                <w:szCs w:val="9"/>
                <w:color w:val="auto"/>
              </w:rPr>
            </w:pPr>
          </w:p>
        </w:tc>
        <w:tc>
          <w:tcPr>
            <w:tcW w:w="1280" w:type="dxa"/>
            <w:vAlign w:val="bottom"/>
          </w:tcPr>
          <w:p>
            <w:pPr>
              <w:jc w:val="right"/>
              <w:ind w:right="98"/>
              <w:spacing w:after="0" w:line="112" w:lineRule="exact"/>
              <w:rPr>
                <w:sz w:val="20"/>
                <w:szCs w:val="20"/>
                <w:color w:val="auto"/>
              </w:rPr>
            </w:pPr>
            <w:r>
              <w:rPr>
                <w:rFonts w:ascii="Times New Roman" w:cs="Times New Roman" w:eastAsia="Times New Roman" w:hAnsi="Times New Roman"/>
                <w:sz w:val="11"/>
                <w:szCs w:val="11"/>
                <w:b w:val="1"/>
                <w:bCs w:val="1"/>
                <w:color w:val="auto"/>
              </w:rPr>
              <w:t>Net Carrying 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b w:val="1"/>
                <w:bCs w:val="1"/>
                <w:color w:val="auto"/>
              </w:rPr>
              <w:t>Gross Carrying Amount</w:t>
            </w:r>
          </w:p>
        </w:tc>
        <w:tc>
          <w:tcPr>
            <w:tcW w:w="1480" w:type="dxa"/>
            <w:vAlign w:val="bottom"/>
            <w:gridSpan w:val="3"/>
          </w:tcPr>
          <w:p>
            <w:pPr>
              <w:jc w:val="center"/>
              <w:ind w:right="60"/>
              <w:spacing w:after="0" w:line="112" w:lineRule="exact"/>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0" w:type="dxa"/>
            <w:vAlign w:val="bottom"/>
          </w:tcPr>
          <w:p>
            <w:pPr>
              <w:spacing w:after="0"/>
              <w:rPr>
                <w:sz w:val="9"/>
                <w:szCs w:val="9"/>
                <w:color w:val="auto"/>
              </w:rPr>
            </w:pPr>
          </w:p>
        </w:tc>
        <w:tc>
          <w:tcPr>
            <w:tcW w:w="1280" w:type="dxa"/>
            <w:vAlign w:val="bottom"/>
          </w:tcPr>
          <w:p>
            <w:pPr>
              <w:jc w:val="right"/>
              <w:ind w:right="98"/>
              <w:spacing w:after="0" w:line="112" w:lineRule="exact"/>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Backlog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r>
      <w:tr>
        <w:trPr>
          <w:trHeight w:val="168"/>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r>
      <w:tr>
        <w:trPr>
          <w:trHeight w:val="170"/>
        </w:trPr>
        <w:tc>
          <w:tcPr>
            <w:tcW w:w="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Acquired technology</w:t>
            </w: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r>
      <w:tr>
        <w:trPr>
          <w:trHeight w:val="163"/>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4,047</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560" w:type="dxa"/>
            <w:vAlign w:val="bottom"/>
          </w:tcPr>
          <w:p>
            <w:pPr>
              <w:spacing w:after="0"/>
              <w:rPr>
                <w:sz w:val="20"/>
                <w:szCs w:val="20"/>
                <w:color w:val="auto"/>
              </w:rPr>
            </w:pPr>
            <w:r>
              <w:rPr>
                <w:rFonts w:ascii="Times New Roman" w:cs="Times New Roman" w:eastAsia="Times New Roman" w:hAnsi="Times New Roman"/>
                <w:sz w:val="14"/>
                <w:szCs w:val="14"/>
                <w:color w:val="auto"/>
              </w:rPr>
              <w:t>The remaining weighted average useful lives of backlog, customer relationships and acquired technology were 7 years, 14 years and 6 years, respectively. The backlog intangible asset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primarily consists of in-place long-term service agreements acquired by the Company in conjunction with the acquisition of GE Transportation. Amortization expense for intangible assets was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$303 million, $321 million, and $291 million for the years ended December 31, 2024, 2023, and 2022, respectively.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60" w:type="dxa"/>
            <w:vAlign w:val="bottom"/>
          </w:tcPr>
          <w:p>
            <w:pPr>
              <w:spacing w:after="0"/>
              <w:rPr>
                <w:sz w:val="20"/>
                <w:szCs w:val="20"/>
                <w:color w:val="auto"/>
              </w:rPr>
            </w:pPr>
            <w:r>
              <w:rPr>
                <w:rFonts w:ascii="Times New Roman" w:cs="Times New Roman" w:eastAsia="Times New Roman" w:hAnsi="Times New Roman"/>
                <w:sz w:val="14"/>
                <w:szCs w:val="14"/>
                <w:color w:val="auto"/>
              </w:rPr>
              <w:t>Estimated amortization expense for the five succeeding years is as follows (in millions):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056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0560" w:type="dxa"/>
            <w:vAlign w:val="bottom"/>
          </w:tcPr>
          <w:p>
            <w:pPr>
              <w:jc w:val="right"/>
              <w:ind w:right="10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1056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10560" w:type="dxa"/>
            <w:vAlign w:val="bottom"/>
          </w:tcPr>
          <w:p>
            <w:pPr>
              <w:jc w:val="right"/>
              <w:ind w:right="10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1056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8. CONTRACT ASSETS AND CONTRACT LIABILITIES</w:t>
      </w:r>
    </w:p>
    <w:p>
      <w:pPr>
        <w:spacing w:after="0" w:line="96"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$170 million and $154 million at December 31, 2024 and 2023, respectively.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not consider unbilled amounts anticipated to be paid within one year as significant financing components.</w:t>
      </w:r>
    </w:p>
    <w:p>
      <w:pPr>
        <w:spacing w:after="0" w:line="61"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$389 million and $174 million at December 31, 2024 and 2023, respectively.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$91 million and $104 million at December 31, 2024 and 2023, respectively. These provisions for estimated losses are classified as current liabilities and included within the caption “Other accrued liabilities” on the Consolidated Balance Sheets.</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reconciles the changes in the Company’s contract assets and liabilities as follows:</w:t>
      </w:r>
    </w:p>
    <w:p>
      <w:pPr>
        <w:spacing w:after="0" w:line="4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3"/>
          <w:szCs w:val="13"/>
          <w:b w:val="1"/>
          <w:bCs w:val="1"/>
          <w:color w:val="auto"/>
        </w:rPr>
        <w:t>Contract Assets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76"/>
              <w:spacing w:after="0" w:line="130"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56"/>
              <w:spacing w:after="0" w:line="130"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beginning of year</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Recognized in current year</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Reclassified to accounts receivable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Acquisitions/adjustments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impact</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end of year</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Contract Liabilities</w:t>
            </w:r>
          </w:p>
        </w:tc>
        <w:tc>
          <w:tcPr>
            <w:tcW w:w="9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76"/>
              <w:spacing w:after="0" w:line="143"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556"/>
              <w:spacing w:after="0" w:line="143"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at beginning of year</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Recognized in current year</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Amounts in beginning balance reclassified to revenue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Current year amounts reclassified to revenue</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Foreign currency impact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end of year</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9. LONG-TERM DEBT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Effective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1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0"/>
                <w:szCs w:val="10"/>
                <w:color w:val="auto"/>
              </w:rPr>
            </w:pPr>
          </w:p>
        </w:tc>
        <w:tc>
          <w:tcPr>
            <w:tcW w:w="7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9"/>
              </w:rPr>
              <w:t>Face</w:t>
            </w:r>
          </w:p>
        </w:tc>
        <w:tc>
          <w:tcPr>
            <w:tcW w:w="260" w:type="dxa"/>
            <w:vAlign w:val="bottom"/>
          </w:tcPr>
          <w:p>
            <w:pPr>
              <w:spacing w:after="0"/>
              <w:rPr>
                <w:sz w:val="10"/>
                <w:szCs w:val="10"/>
                <w:color w:val="auto"/>
              </w:rPr>
            </w:pPr>
          </w:p>
        </w:tc>
        <w:tc>
          <w:tcPr>
            <w:tcW w:w="10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Book</w:t>
            </w:r>
          </w:p>
        </w:tc>
        <w:tc>
          <w:tcPr>
            <w:tcW w:w="260" w:type="dxa"/>
            <w:vAlign w:val="bottom"/>
          </w:tcPr>
          <w:p>
            <w:pPr>
              <w:spacing w:after="0"/>
              <w:rPr>
                <w:sz w:val="10"/>
                <w:szCs w:val="10"/>
                <w:color w:val="auto"/>
              </w:rPr>
            </w:pPr>
          </w:p>
        </w:tc>
        <w:tc>
          <w:tcPr>
            <w:tcW w:w="10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80" w:type="dxa"/>
            <w:vAlign w:val="bottom"/>
          </w:tcPr>
          <w:p>
            <w:pPr>
              <w:spacing w:after="0"/>
              <w:rPr>
                <w:sz w:val="10"/>
                <w:szCs w:val="10"/>
                <w:color w:val="auto"/>
              </w:rPr>
            </w:pPr>
          </w:p>
        </w:tc>
        <w:tc>
          <w:tcPr>
            <w:tcW w:w="8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Book</w:t>
            </w:r>
          </w:p>
        </w:tc>
        <w:tc>
          <w:tcPr>
            <w:tcW w:w="240" w:type="dxa"/>
            <w:vAlign w:val="bottom"/>
          </w:tcPr>
          <w:p>
            <w:pPr>
              <w:spacing w:after="0"/>
              <w:rPr>
                <w:sz w:val="10"/>
                <w:szCs w:val="10"/>
                <w:color w:val="auto"/>
              </w:rPr>
            </w:pPr>
          </w:p>
        </w:tc>
        <w:tc>
          <w:tcPr>
            <w:tcW w:w="940" w:type="dxa"/>
            <w:vAlign w:val="bottom"/>
          </w:tcPr>
          <w:p>
            <w:pPr>
              <w:jc w:val="right"/>
              <w:ind w:right="39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7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260" w:type="dxa"/>
            <w:vAlign w:val="bottom"/>
          </w:tcPr>
          <w:p>
            <w:pPr>
              <w:spacing w:after="0"/>
              <w:rPr>
                <w:sz w:val="11"/>
                <w:szCs w:val="11"/>
                <w:color w:val="auto"/>
              </w:rPr>
            </w:pPr>
          </w:p>
        </w:tc>
        <w:tc>
          <w:tcPr>
            <w:tcW w:w="100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auto"/>
              </w:rPr>
              <w:t>Value</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2"/>
                <w:szCs w:val="12"/>
                <w:b w:val="1"/>
                <w:bCs w:val="1"/>
                <w:color w:val="auto"/>
                <w:w w:val="99"/>
              </w:rPr>
              <w:t xml:space="preserve">Value </w:t>
            </w:r>
            <w:r>
              <w:rPr>
                <w:rFonts w:ascii="Times New Roman" w:cs="Times New Roman" w:eastAsia="Times New Roman" w:hAnsi="Times New Roman"/>
                <w:sz w:val="15"/>
                <w:szCs w:val="15"/>
                <w:b w:val="1"/>
                <w:bCs w:val="1"/>
                <w:color w:val="auto"/>
                <w:w w:val="99"/>
                <w:vertAlign w:val="superscript"/>
              </w:rPr>
              <w:t>1</w:t>
            </w:r>
          </w:p>
        </w:tc>
        <w:tc>
          <w:tcPr>
            <w:tcW w:w="380" w:type="dxa"/>
            <w:vAlign w:val="bottom"/>
          </w:tcPr>
          <w:p>
            <w:pPr>
              <w:spacing w:after="0"/>
              <w:rPr>
                <w:sz w:val="11"/>
                <w:szCs w:val="11"/>
                <w:color w:val="auto"/>
              </w:rPr>
            </w:pPr>
          </w:p>
        </w:tc>
        <w:tc>
          <w:tcPr>
            <w:tcW w:w="88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940" w:type="dxa"/>
            <w:vAlign w:val="bottom"/>
          </w:tcPr>
          <w:p>
            <w:pPr>
              <w:jc w:val="right"/>
              <w:ind w:right="337"/>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2024 Credit Agreement:</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Term Loan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 Credit Agreement:</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Delayed Draw Term Loan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Senior Notes: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4.15% Senior Notes, due 2024</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3.20% Senior Notes, due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3.45% Senior Notes, due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1.25% Senior Notes (EUR), due 2027</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4.70% Senior Notes, due 2028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5.611% Senior Notes, due 2034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Borrowings</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current portion</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Long-term portion</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See Note 17 for information on the fair value measurement of the Company's long-term debt.</w:t>
      </w:r>
    </w:p>
    <w:p>
      <w:pPr>
        <w:spacing w:after="0" w:line="19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Variances between Face Value and Book Value are the result of unamortized discounts and debt issuance costs as well as foreign exchange on the Euro Notes. Amortization of discounts and debt issuance fees are included in the calculation of Effective Interest Rate.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borrows and repays against the Revolving Credit Facility and an uncommitted money market line for added flexibility in liquidity to manage cash during the operating cycle.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proceeds from borrowing and the repayments are included within the Financing Activities section of the Consolidated Statements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As of December 31, 2024, the annual repayment requirements for debt obligations are as follows: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92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r>
      <w:tr>
        <w:trPr>
          <w:trHeight w:val="168"/>
        </w:trPr>
        <w:tc>
          <w:tcPr>
            <w:tcW w:w="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9220" w:type="dxa"/>
            <w:vAlign w:val="bottom"/>
          </w:tcPr>
          <w:p>
            <w:pPr>
              <w:spacing w:after="0"/>
              <w:rPr>
                <w:sz w:val="14"/>
                <w:szCs w:val="14"/>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2"/>
        </w:trPr>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2026</w:t>
            </w:r>
          </w:p>
        </w:tc>
        <w:tc>
          <w:tcPr>
            <w:tcW w:w="9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68"/>
        </w:trPr>
        <w:tc>
          <w:tcPr>
            <w:tcW w:w="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2027</w:t>
            </w:r>
          </w:p>
        </w:tc>
        <w:tc>
          <w:tcPr>
            <w:tcW w:w="9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172"/>
        </w:trPr>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2028</w:t>
            </w:r>
          </w:p>
        </w:tc>
        <w:tc>
          <w:tcPr>
            <w:tcW w:w="9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68"/>
        </w:trPr>
        <w:tc>
          <w:tcPr>
            <w:tcW w:w="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2029</w:t>
            </w:r>
          </w:p>
        </w:tc>
        <w:tc>
          <w:tcPr>
            <w:tcW w:w="9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r>
      <w:tr>
        <w:trPr>
          <w:trHeight w:val="170"/>
        </w:trPr>
        <w:tc>
          <w:tcPr>
            <w:tcW w:w="20" w:type="dxa"/>
            <w:vAlign w:val="bottom"/>
            <w:shd w:val="clear" w:color="auto" w:fill="CCEEFF"/>
          </w:tcPr>
          <w:p>
            <w:pPr>
              <w:spacing w:after="0"/>
              <w:rPr>
                <w:sz w:val="14"/>
                <w:szCs w:val="14"/>
                <w:color w:val="auto"/>
              </w:rPr>
            </w:pPr>
          </w:p>
        </w:tc>
        <w:tc>
          <w:tcPr>
            <w:tcW w:w="9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6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3"/>
        </w:trPr>
        <w:tc>
          <w:tcPr>
            <w:tcW w:w="20" w:type="dxa"/>
            <w:vAlign w:val="bottom"/>
          </w:tcPr>
          <w:p>
            <w:pPr>
              <w:spacing w:after="0"/>
              <w:rPr>
                <w:sz w:val="14"/>
                <w:szCs w:val="1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4"/>
          <w:szCs w:val="14"/>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2024 and 2023, the Company had total unamortized debt issuance costs and discounts of $15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Credit Agreement</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On March 14, 2024, the Company entered into a new stand-alone credit agreement (the "2024 Credit Agreement") for a term loan of $225 million. Borrowings under the 2024 Credit Agreement bear interest at a base rate plus an interest rate spread up to 1.75% based on the lower of the pricing corresponding to (i) the Company’s Leverage Ratio or (ii) the Company’s public rating. At December 31, 2024, the interest rate was 6.0%. The frequency of interest payments varies based upon the Interest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p>
      <w:pPr>
        <w:ind w:right="140"/>
        <w:spacing w:after="0" w:line="287" w:lineRule="auto"/>
        <w:rPr>
          <w:sz w:val="20"/>
          <w:szCs w:val="20"/>
          <w:color w:val="auto"/>
        </w:rPr>
      </w:pPr>
      <w:r>
        <w:rPr>
          <w:rFonts w:ascii="Times New Roman" w:cs="Times New Roman" w:eastAsia="Times New Roman" w:hAnsi="Times New Roman"/>
          <w:sz w:val="14"/>
          <w:szCs w:val="14"/>
          <w:color w:val="auto"/>
        </w:rPr>
        <w:t>Election Request. The term loan issued under the 2024 Credit Agreement will mature on March 14, 2029. The obligations of the Company under the 2024 Credit Agreement are unsecured and have been guaranteed by certain of the Company’s subsidiaries. The agreement contains affirmative, negative and financial covenants, and events of default customary for facilities of this type.</w:t>
      </w:r>
    </w:p>
    <w:p>
      <w:pPr>
        <w:spacing w:after="0" w:line="29" w:lineRule="exact"/>
        <w:rPr>
          <w:sz w:val="20"/>
          <w:szCs w:val="20"/>
          <w:color w:val="auto"/>
        </w:rPr>
      </w:pPr>
    </w:p>
    <w:p>
      <w:pPr>
        <w:ind w:right="80" w:firstLine="382"/>
        <w:spacing w:after="0" w:line="248" w:lineRule="auto"/>
        <w:rPr>
          <w:sz w:val="20"/>
          <w:szCs w:val="20"/>
          <w:color w:val="auto"/>
        </w:rPr>
      </w:pPr>
      <w:r>
        <w:rPr>
          <w:rFonts w:ascii="Times New Roman" w:cs="Times New Roman" w:eastAsia="Times New Roman" w:hAnsi="Times New Roman"/>
          <w:sz w:val="14"/>
          <w:szCs w:val="14"/>
          <w:color w:val="auto"/>
        </w:rPr>
        <w:t>Under the 2024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2024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Credit Agreement</w:t>
      </w:r>
    </w:p>
    <w:p>
      <w:pPr>
        <w:spacing w:after="0" w:line="85" w:lineRule="exact"/>
        <w:rPr>
          <w:sz w:val="20"/>
          <w:szCs w:val="20"/>
          <w:color w:val="auto"/>
        </w:rPr>
      </w:pPr>
    </w:p>
    <w:p>
      <w:pPr>
        <w:ind w:right="180" w:firstLine="382"/>
        <w:spacing w:after="0" w:line="241" w:lineRule="auto"/>
        <w:rPr>
          <w:sz w:val="20"/>
          <w:szCs w:val="20"/>
          <w:color w:val="auto"/>
        </w:rPr>
      </w:pPr>
      <w:r>
        <w:rPr>
          <w:rFonts w:ascii="Times New Roman" w:cs="Times New Roman" w:eastAsia="Times New Roman" w:hAnsi="Times New Roman"/>
          <w:sz w:val="14"/>
          <w:szCs w:val="14"/>
          <w:color w:val="auto"/>
        </w:rPr>
        <w:t>On August 15, 2022, the Company entered into a new unsecured credit agreement (the "2022 Credit Agreement"). The 2022 Credit Agreement provides for borrowings consisting of (i) a multi-currency revolving credit facility, providing for an equivalent in U.S. dollars of up to $1.5 billion (the “Revolving Credit Facility”) and (ii) a $250 million delayed draw term loan facility (the “Delayed Draw Term Loan”), all pursuant to the terms and conditions of the 2022 Credit Agreement. The 2022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2" w:lineRule="exact"/>
        <w:rPr>
          <w:sz w:val="20"/>
          <w:szCs w:val="20"/>
          <w:color w:val="auto"/>
        </w:rPr>
      </w:pPr>
    </w:p>
    <w:p>
      <w:pPr>
        <w:ind w:right="280" w:firstLine="382"/>
        <w:spacing w:after="0" w:line="245" w:lineRule="auto"/>
        <w:rPr>
          <w:sz w:val="20"/>
          <w:szCs w:val="20"/>
          <w:color w:val="auto"/>
        </w:rPr>
      </w:pPr>
      <w:r>
        <w:rPr>
          <w:rFonts w:ascii="Times New Roman" w:cs="Times New Roman" w:eastAsia="Times New Roman" w:hAnsi="Times New Roman"/>
          <w:sz w:val="14"/>
          <w:szCs w:val="14"/>
          <w:color w:val="auto"/>
        </w:rPr>
        <w:t>The Revolving Credit Facility matures on August 15, 2027. The Delayed Draw Term Loan was fully drawn during the third quarter of 2023, and the proceeds were utilized to redeem the 4.375% Senior Notes, due 2023. Borrowings under the Delayed Draw Term Loan will mature on August 15, 2027. Amounts borrowed and repaid under the Delayed Draw Term Loan may not be reborrowed. The applicable interest rate for borrowings under the 2022 Credit Agreement includes a base rate (per the Interest Election terms of the agreement) plus an interest rate spread up to</w:t>
      </w:r>
    </w:p>
    <w:p>
      <w:pPr>
        <w:ind w:right="40"/>
        <w:spacing w:after="0" w:line="243" w:lineRule="auto"/>
        <w:rPr>
          <w:sz w:val="20"/>
          <w:szCs w:val="20"/>
          <w:color w:val="auto"/>
        </w:rPr>
      </w:pPr>
      <w:r>
        <w:rPr>
          <w:rFonts w:ascii="Times New Roman" w:cs="Times New Roman" w:eastAsia="Times New Roman" w:hAnsi="Times New Roman"/>
          <w:sz w:val="14"/>
          <w:szCs w:val="14"/>
          <w:color w:val="auto"/>
        </w:rPr>
        <w:t>1.75% based on the lower of the pricing corresponding to (i) the Company’s financial leverage or (ii) the Company’s public rating. At December 31, 2024, the interest rate on the Delayed Draw Term Loan was 6.0% and the interest rate on the undrawn Revolving Credit Facility was 5.7%. Obligations under the 2022 Credit Agreement have been guaranteed by certain of the Company’s subsidiaries.</w:t>
      </w:r>
    </w:p>
    <w:p>
      <w:pPr>
        <w:spacing w:after="0" w:line="220" w:lineRule="exact"/>
        <w:rPr>
          <w:sz w:val="20"/>
          <w:szCs w:val="20"/>
          <w:color w:val="auto"/>
        </w:rPr>
      </w:pPr>
    </w:p>
    <w:p>
      <w:pPr>
        <w:ind w:right="80" w:firstLine="382"/>
        <w:spacing w:after="0" w:line="248" w:lineRule="auto"/>
        <w:rPr>
          <w:sz w:val="20"/>
          <w:szCs w:val="20"/>
          <w:color w:val="auto"/>
        </w:rPr>
      </w:pPr>
      <w:r>
        <w:rPr>
          <w:rFonts w:ascii="Times New Roman" w:cs="Times New Roman" w:eastAsia="Times New Roman" w:hAnsi="Times New Roman"/>
          <w:sz w:val="14"/>
          <w:szCs w:val="14"/>
          <w:color w:val="auto"/>
        </w:rPr>
        <w:t>Under the 2022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2022 Credit Agreement.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availability under the 2022 Credit Agreement as of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 Credit Facility</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Delayed Draw Term Loan</w:t>
            </w: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Availability</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r>
      <w:tr>
        <w:trPr>
          <w:trHeight w:val="16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Outstanding Borrowings</w:t>
            </w:r>
          </w:p>
        </w:tc>
        <w:tc>
          <w:tcPr>
            <w:tcW w:w="8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7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Letters of Credit Under Credit Agreement</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Availability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was in compliance with all financial covenants in the 2022 Credit Agreement and the 2024 Credit Agreement as of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Intra-Quarter Uncommitted Money Market Line Credit Agreement</w:t>
      </w:r>
    </w:p>
    <w:p>
      <w:pPr>
        <w:spacing w:after="0" w:line="85"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The Company or its subsidiaries may issue senior notes from time to time. These notes are comprised of our 4.15% Senior Notes which matured in 2024 (the "2024 Notes"), 3.20% Senior Notes due 2025 (the "2025 Notes"), 3.45% Senior Notes due 2026 (the "2026 Notes"), 1.25% Senior Notes (EUR) due 2027 (the "Euro Notes" discussed below), 4.70% Senior Notes due 2028 (the "2028 Notes") and 5.611% Senior Notes due 2034 (the "2034 Notes"). The 2024 Notes, 2025 Notes, 2026 Notes, 2028 Notes, and 2034 Notes are the “US Notes”, and collectively with the Euro Notes, the “Senior Notes.” Interest on the US Notes is payable semi-annually and interest on the Euro Notes is paid annually. Each series of the Senior Notes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3" w:name="page64"/>
    <w:bookmarkEnd w:id="63"/>
    <w:p>
      <w:pPr>
        <w:spacing w:after="0" w:line="270" w:lineRule="auto"/>
        <w:rPr>
          <w:sz w:val="20"/>
          <w:szCs w:val="20"/>
          <w:color w:val="auto"/>
        </w:rPr>
      </w:pPr>
      <w:r>
        <w:rPr>
          <w:rFonts w:ascii="Times New Roman" w:cs="Times New Roman" w:eastAsia="Times New Roman" w:hAnsi="Times New Roman"/>
          <w:sz w:val="14"/>
          <w:szCs w:val="14"/>
          <w:color w:val="auto"/>
        </w:rPr>
        <w:t>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senior to all existing and future subordinated indebtedness of the Company.</w:t>
      </w:r>
    </w:p>
    <w:p>
      <w:pPr>
        <w:spacing w:after="0" w:line="51"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On March 11, 2024, the Company issued $500 million of 5.611% Senior Notes due in 2034 (2034 Notes). The 2034 Notes were issued at 100% of face value and the Company recognized approximately $5 million of total deferred financing costs. Interest on the 2034 Notes will accrue at a rate of 5.611% per year, payable semi-annually on March 11 and September 11 of each year, commencing September 11, 2024. The 2034 Notes will mature on March 11, 2034. Proceeds from the 2034 Notes, combined with the proceeds from the term loan under the 2024 Credit Agreement and cash on hand, were utilized to repay the outstanding amount of 2024 Notes at maturity.</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w:t>
      </w:r>
    </w:p>
    <w:p>
      <w:pPr>
        <w:spacing w:after="0" w:line="83" w:lineRule="exact"/>
        <w:rPr>
          <w:sz w:val="20"/>
          <w:szCs w:val="20"/>
          <w:color w:val="auto"/>
        </w:rPr>
      </w:pPr>
    </w:p>
    <w:p>
      <w:pPr>
        <w:ind w:right="120" w:firstLine="382"/>
        <w:spacing w:after="0" w:line="248" w:lineRule="auto"/>
        <w:rPr>
          <w:sz w:val="20"/>
          <w:szCs w:val="20"/>
          <w:color w:val="auto"/>
        </w:rPr>
      </w:pPr>
      <w:r>
        <w:rPr>
          <w:rFonts w:ascii="Times New Roman" w:cs="Times New Roman" w:eastAsia="Times New Roman" w:hAnsi="Times New Roman"/>
          <w:sz w:val="14"/>
          <w:szCs w:val="14"/>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2022 Credit Agreement. The Euro Notes were issued by Wabtec Netherlands and are fully and unconditionally guaranteed by the Company.</w:t>
      </w:r>
    </w:p>
    <w:p>
      <w:pPr>
        <w:spacing w:after="0" w:line="67"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Pooling</w:t>
      </w:r>
    </w:p>
    <w:p>
      <w:pPr>
        <w:spacing w:after="0" w:line="96" w:lineRule="exact"/>
        <w:rPr>
          <w:sz w:val="20"/>
          <w:szCs w:val="20"/>
          <w:color w:val="auto"/>
        </w:rPr>
      </w:pPr>
    </w:p>
    <w:p>
      <w:pPr>
        <w:jc w:val="both"/>
        <w:ind w:right="240" w:firstLine="382"/>
        <w:spacing w:after="0" w:line="260" w:lineRule="auto"/>
        <w:rPr>
          <w:sz w:val="20"/>
          <w:szCs w:val="20"/>
          <w:color w:val="auto"/>
        </w:rPr>
      </w:pPr>
      <w:r>
        <w:rPr>
          <w:rFonts w:ascii="Times New Roman" w:cs="Times New Roman" w:eastAsia="Times New Roman" w:hAnsi="Times New Roman"/>
          <w:sz w:val="14"/>
          <w:szCs w:val="14"/>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overdraft balance for all Participants does not exceed an agreed-upon level.</w:t>
      </w:r>
    </w:p>
    <w:p>
      <w:pPr>
        <w:ind w:right="160"/>
        <w:spacing w:after="0" w:line="266" w:lineRule="auto"/>
        <w:rPr>
          <w:sz w:val="20"/>
          <w:szCs w:val="20"/>
          <w:color w:val="auto"/>
        </w:rPr>
      </w:pPr>
      <w:r>
        <w:rPr>
          <w:rFonts w:ascii="Times New Roman" w:cs="Times New Roman" w:eastAsia="Times New Roman" w:hAnsi="Times New Roman"/>
          <w:sz w:val="14"/>
          <w:szCs w:val="14"/>
          <w:color w:val="auto"/>
        </w:rPr>
        <w:t>Typically, each Participant pays interest on outstanding overdrafts and receives interest on cash balances. The Company's Consolidated Balance Sheets reflect cash, net of bank overdrafts, under all pooling arrangements.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Letters of Credit and Bank Guarantees</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In the ordinary course of its business, the Company arranges for certain types of bank guarantees and letters of credit, such as performance bonds, bid bonds and financial guarantees, that are issued by certain banks and insurance companies to support customer contracts. The outstanding amount, including the letters of credit issued under the credit facility, was $931 million and $855 million at December 31, 2024 and 2023, respectively.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64" w:name="page65"/>
    <w:bookmarkEnd w:id="64"/>
    <w:p>
      <w:pPr>
        <w:ind w:right="9060" w:firstLine="5"/>
        <w:spacing w:after="0" w:line="381" w:lineRule="auto"/>
        <w:tabs>
          <w:tab w:leader="none" w:pos="212"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 Defined Benefit Pension Plans</w:t>
      </w: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Company sponsors defined benefit pension plans that cover certain U.S. and international employees, primarily in the United Kingdom, Canada and Germany, which provide benefits of stated amounts for each year of service of the employee. The Company uses a December 31 measurement date for the plans.</w:t>
      </w:r>
    </w:p>
    <w:p>
      <w:pPr>
        <w:spacing w:after="0" w:line="39" w:lineRule="exact"/>
        <w:rPr>
          <w:sz w:val="20"/>
          <w:szCs w:val="20"/>
          <w:color w:val="auto"/>
        </w:rPr>
      </w:pPr>
    </w:p>
    <w:p>
      <w:pPr>
        <w:ind w:right="1780" w:firstLine="382"/>
        <w:spacing w:after="0" w:line="373" w:lineRule="auto"/>
        <w:rPr>
          <w:sz w:val="20"/>
          <w:szCs w:val="20"/>
          <w:color w:val="auto"/>
        </w:rPr>
      </w:pPr>
      <w:r>
        <w:rPr>
          <w:rFonts w:ascii="Times New Roman" w:cs="Times New Roman" w:eastAsia="Times New Roman" w:hAnsi="Times New Roman"/>
          <w:sz w:val="14"/>
          <w:szCs w:val="14"/>
          <w:color w:val="auto"/>
        </w:rPr>
        <w:t xml:space="preserve">The following tables provide information regarding the Company’s significant defined benefit pension plans summarized by U.S. and international components. </w:t>
      </w:r>
      <w:r>
        <w:rPr>
          <w:rFonts w:ascii="Times New Roman" w:cs="Times New Roman" w:eastAsia="Times New Roman" w:hAnsi="Times New Roman"/>
          <w:sz w:val="14"/>
          <w:szCs w:val="14"/>
          <w:i w:val="1"/>
          <w:iCs w:val="1"/>
          <w:color w:val="auto"/>
        </w:rPr>
        <w:t>Obligations and Funded Status</w:t>
      </w: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U.S.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80" w:type="dxa"/>
            <w:vAlign w:val="bottom"/>
          </w:tcPr>
          <w:p>
            <w:pPr>
              <w:spacing w:after="0"/>
              <w:rPr>
                <w:sz w:val="10"/>
                <w:szCs w:val="10"/>
                <w:color w:val="auto"/>
              </w:rPr>
            </w:pPr>
          </w:p>
        </w:tc>
        <w:tc>
          <w:tcPr>
            <w:tcW w:w="960" w:type="dxa"/>
            <w:vAlign w:val="bottom"/>
          </w:tcPr>
          <w:p>
            <w:pPr>
              <w:jc w:val="right"/>
              <w:ind w:right="43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3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ind w:right="43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jc w:val="right"/>
              <w:ind w:right="41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Obligation at beginning of year</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Service cost</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Interest cost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contributions</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Plan settlements, curtailments and amendments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Benefits paid</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Acquisition</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Actuarial gain (loss)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Effect of currency rate changes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Obligation at end of year</w:t>
            </w: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0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Employer contributions</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Employee contributions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Benefits paid</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Settlements and other</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Acquisition</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Effect of currency rate changes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0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Benefit obligations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Funded status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recognized in the statement of financial position consist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0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Noncurrent assets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Noncurrent liabilities</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Net amount recognized</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0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Amounts recognized in Accumulated other comprehensive loss, before tax at December 31, consist of:</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Prior service cost</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actuarial loss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Net amount recognized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65" w:name="page66"/>
    <w:bookmarkEnd w:id="65"/>
    <w:p>
      <w:pPr>
        <w:ind w:right="120" w:firstLine="382"/>
        <w:spacing w:after="0" w:line="278" w:lineRule="auto"/>
        <w:rPr>
          <w:sz w:val="20"/>
          <w:szCs w:val="20"/>
          <w:color w:val="auto"/>
        </w:rPr>
      </w:pPr>
      <w:r>
        <w:rPr>
          <w:rFonts w:ascii="Times New Roman" w:cs="Times New Roman" w:eastAsia="Times New Roman" w:hAnsi="Times New Roman"/>
          <w:sz w:val="14"/>
          <w:szCs w:val="14"/>
          <w:color w:val="auto"/>
        </w:rPr>
        <w:t>The aggregate accumulated benefit obligation for the U.S. pension plans was $52 million and $55 million as of December 31, 2024 and 2023, respectively. The aggregate accumulated benefit obligation for the international pension plans was $214 million and $241 million as of December 31, 2024 and 2023, respectively.</w:t>
      </w:r>
    </w:p>
    <w:p>
      <w:pPr>
        <w:ind w:left="9680"/>
        <w:spacing w:after="0"/>
        <w:rPr>
          <w:sz w:val="20"/>
          <w:szCs w:val="20"/>
          <w:color w:val="auto"/>
        </w:rPr>
      </w:pPr>
      <w:r>
        <w:rPr>
          <w:rFonts w:ascii="Times New Roman" w:cs="Times New Roman" w:eastAsia="Times New Roman" w:hAnsi="Times New Roman"/>
          <w:sz w:val="13"/>
          <w:szCs w:val="13"/>
          <w:b w:val="1"/>
          <w:bCs w:val="1"/>
          <w:color w:val="auto"/>
        </w:rPr>
        <w:t>International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76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6"/>
              <w:spacing w:after="0" w:line="123"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6"/>
              <w:spacing w:after="0" w:line="123"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Information for pension plans with accumulated benefit obligations in excess of Plan assets: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Projected benefit obligation</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2"/>
              </w:rPr>
              <w:t>(74)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ind w:left="536"/>
              <w:spacing w:after="0"/>
              <w:rPr>
                <w:sz w:val="20"/>
                <w:szCs w:val="20"/>
                <w:color w:val="auto"/>
              </w:rPr>
            </w:pPr>
            <w:r>
              <w:rPr>
                <w:rFonts w:ascii="Times New Roman" w:cs="Times New Roman" w:eastAsia="Times New Roman" w:hAnsi="Times New Roman"/>
                <w:sz w:val="13"/>
                <w:szCs w:val="13"/>
                <w:color w:val="auto"/>
                <w:w w:val="99"/>
              </w:rPr>
              <w:t>(185)</w:t>
            </w:r>
          </w:p>
        </w:tc>
      </w:tr>
      <w:tr>
        <w:trPr>
          <w:trHeight w:val="172"/>
        </w:trPr>
        <w:tc>
          <w:tcPr>
            <w:tcW w:w="20" w:type="dxa"/>
            <w:vAlign w:val="bottom"/>
            <w:shd w:val="clear" w:color="auto" w:fill="CCEEFF"/>
          </w:tcPr>
          <w:p>
            <w:pPr>
              <w:spacing w:after="0"/>
              <w:rPr>
                <w:sz w:val="14"/>
                <w:szCs w:val="14"/>
                <w:color w:val="auto"/>
              </w:rPr>
            </w:pPr>
          </w:p>
        </w:tc>
        <w:tc>
          <w:tcPr>
            <w:tcW w:w="8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2"/>
              </w:rPr>
              <w:t>(65)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3"/>
                <w:szCs w:val="13"/>
                <w:color w:val="auto"/>
                <w:w w:val="99"/>
              </w:rPr>
              <w:t>(178)</w:t>
            </w:r>
          </w:p>
        </w:tc>
      </w:tr>
      <w:tr>
        <w:trPr>
          <w:trHeight w:val="168"/>
        </w:trPr>
        <w:tc>
          <w:tcPr>
            <w:tcW w:w="20" w:type="dxa"/>
            <w:vAlign w:val="bottom"/>
          </w:tcPr>
          <w:p>
            <w:pPr>
              <w:spacing w:after="0"/>
              <w:rPr>
                <w:sz w:val="14"/>
                <w:szCs w:val="14"/>
                <w:color w:val="auto"/>
              </w:rPr>
            </w:pPr>
          </w:p>
        </w:tc>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280" w:type="dxa"/>
            <w:vAlign w:val="bottom"/>
          </w:tcPr>
          <w:p>
            <w:pPr>
              <w:spacing w:after="0"/>
              <w:rPr>
                <w:sz w:val="14"/>
                <w:szCs w:val="14"/>
                <w:color w:val="auto"/>
              </w:rPr>
            </w:pPr>
          </w:p>
        </w:tc>
        <w:tc>
          <w:tcPr>
            <w:tcW w:w="920" w:type="dxa"/>
            <w:vAlign w:val="bottom"/>
          </w:tcPr>
          <w:p>
            <w:pPr>
              <w:jc w:val="center"/>
              <w:ind w:left="63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left="576"/>
              <w:spacing w:after="0"/>
              <w:rPr>
                <w:sz w:val="20"/>
                <w:szCs w:val="20"/>
                <w:color w:val="auto"/>
              </w:rPr>
            </w:pPr>
            <w:r>
              <w:rPr>
                <w:rFonts w:ascii="Times New Roman" w:cs="Times New Roman" w:eastAsia="Times New Roman" w:hAnsi="Times New Roman"/>
                <w:sz w:val="13"/>
                <w:szCs w:val="13"/>
                <w:color w:val="auto"/>
              </w:rPr>
              <w:t>133</w:t>
            </w:r>
          </w:p>
        </w:tc>
      </w:tr>
      <w:tr>
        <w:trPr>
          <w:trHeight w:val="172"/>
        </w:trPr>
        <w:tc>
          <w:tcPr>
            <w:tcW w:w="20" w:type="dxa"/>
            <w:vAlign w:val="bottom"/>
            <w:shd w:val="clear" w:color="auto" w:fill="CCEEFF"/>
          </w:tcPr>
          <w:p>
            <w:pPr>
              <w:spacing w:after="0"/>
              <w:rPr>
                <w:sz w:val="14"/>
                <w:szCs w:val="14"/>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Information for pension plans with projected benefit obligations in excess of plan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Projected benefit obligation</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2"/>
              </w:rPr>
              <w:t>(79)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ind w:left="536"/>
              <w:spacing w:after="0"/>
              <w:rPr>
                <w:sz w:val="20"/>
                <w:szCs w:val="20"/>
                <w:color w:val="auto"/>
              </w:rPr>
            </w:pPr>
            <w:r>
              <w:rPr>
                <w:rFonts w:ascii="Times New Roman" w:cs="Times New Roman" w:eastAsia="Times New Roman" w:hAnsi="Times New Roman"/>
                <w:sz w:val="13"/>
                <w:szCs w:val="13"/>
                <w:color w:val="auto"/>
                <w:w w:val="99"/>
              </w:rPr>
              <w:t>(194)</w:t>
            </w:r>
          </w:p>
        </w:tc>
      </w:tr>
      <w:tr>
        <w:trPr>
          <w:trHeight w:val="172"/>
        </w:trPr>
        <w:tc>
          <w:tcPr>
            <w:tcW w:w="20" w:type="dxa"/>
            <w:vAlign w:val="bottom"/>
            <w:shd w:val="clear" w:color="auto" w:fill="CCEEFF"/>
          </w:tcPr>
          <w:p>
            <w:pPr>
              <w:spacing w:after="0"/>
              <w:rPr>
                <w:sz w:val="14"/>
                <w:szCs w:val="14"/>
                <w:color w:val="auto"/>
              </w:rPr>
            </w:pPr>
          </w:p>
        </w:tc>
        <w:tc>
          <w:tcPr>
            <w:tcW w:w="8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2"/>
              </w:rPr>
              <w:t>(69)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3"/>
                <w:szCs w:val="13"/>
                <w:color w:val="auto"/>
                <w:w w:val="99"/>
              </w:rPr>
              <w:t>(185)</w:t>
            </w:r>
          </w:p>
        </w:tc>
      </w:tr>
      <w:tr>
        <w:trPr>
          <w:trHeight w:val="165"/>
        </w:trPr>
        <w:tc>
          <w:tcPr>
            <w:tcW w:w="20" w:type="dxa"/>
            <w:vAlign w:val="bottom"/>
          </w:tcPr>
          <w:p>
            <w:pPr>
              <w:spacing w:after="0"/>
              <w:rPr>
                <w:sz w:val="14"/>
                <w:szCs w:val="14"/>
                <w:color w:val="auto"/>
              </w:rPr>
            </w:pPr>
          </w:p>
        </w:tc>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280" w:type="dxa"/>
            <w:vAlign w:val="bottom"/>
          </w:tcPr>
          <w:p>
            <w:pPr>
              <w:spacing w:after="0"/>
              <w:rPr>
                <w:sz w:val="14"/>
                <w:szCs w:val="14"/>
                <w:color w:val="auto"/>
              </w:rPr>
            </w:pPr>
          </w:p>
        </w:tc>
        <w:tc>
          <w:tcPr>
            <w:tcW w:w="920" w:type="dxa"/>
            <w:vAlign w:val="bottom"/>
          </w:tcPr>
          <w:p>
            <w:pPr>
              <w:jc w:val="center"/>
              <w:ind w:left="63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left="576"/>
              <w:spacing w:after="0"/>
              <w:rPr>
                <w:sz w:val="20"/>
                <w:szCs w:val="20"/>
                <w:color w:val="auto"/>
              </w:rPr>
            </w:pPr>
            <w:r>
              <w:rPr>
                <w:rFonts w:ascii="Times New Roman" w:cs="Times New Roman" w:eastAsia="Times New Roman" w:hAnsi="Times New Roman"/>
                <w:sz w:val="13"/>
                <w:szCs w:val="13"/>
                <w:color w:val="auto"/>
              </w:rPr>
              <w:t>141</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Components of Net Periodic Benefit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48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20" w:type="dxa"/>
            <w:vAlign w:val="bottom"/>
          </w:tcPr>
          <w:p>
            <w:pPr>
              <w:spacing w:after="0"/>
              <w:rPr>
                <w:sz w:val="10"/>
                <w:szCs w:val="10"/>
                <w:color w:val="auto"/>
              </w:rPr>
            </w:pPr>
          </w:p>
        </w:tc>
        <w:tc>
          <w:tcPr>
            <w:tcW w:w="76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1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Amortization of net loss</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Settlement and curtailment gains recognized</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20" w:type="dxa"/>
            <w:vAlign w:val="bottom"/>
          </w:tcPr>
          <w:p>
            <w:pPr>
              <w:spacing w:after="0"/>
              <w:rPr>
                <w:sz w:val="13"/>
                <w:szCs w:val="13"/>
                <w:color w:val="auto"/>
              </w:rPr>
            </w:pPr>
          </w:p>
        </w:tc>
        <w:tc>
          <w:tcPr>
            <w:tcW w:w="4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Net periodic benefit (income) cost</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Interest cost is recorded in Interest expense, net on the Consolidated Statements of Income. Expected return on plan assets, Amortization of net loss, and Settlement and curtailment losses recognized are recorded within Other income, net on the Consolidated Statements of Income. Service cost is considered a component of employee compensation and is recorded within Cost of sales or Selling, general and administrative expenses depending on the plan participants relative job function.</w:t>
      </w:r>
    </w:p>
    <w:p>
      <w:pPr>
        <w:spacing w:after="0" w:line="93"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Amounts recognized in Other comprehensive income during 2024 for other changes in plan assets and benefit obligations are not material. The amounts of net actuarial loss and prior service cost included in Other comprehensive loss expected to be recognized as components of periodic benefit costs in 2025 are not material.</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weighted average assumptions in the following table represent the rates used to develop the actuarial present value of the projected benefit obligation for the year listed.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U.S.</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060" w:type="dxa"/>
            <w:vAlign w:val="bottom"/>
            <w:tcBorders>
              <w:bottom w:val="single" w:sz="8" w:color="auto"/>
            </w:tcBorders>
          </w:tcPr>
          <w:p>
            <w:pPr>
              <w:spacing w:after="0"/>
              <w:rPr>
                <w:sz w:val="14"/>
                <w:szCs w:val="14"/>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5.70 %</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4.77 %</w:t>
            </w:r>
          </w:p>
        </w:tc>
      </w:tr>
      <w:tr>
        <w:trPr>
          <w:trHeight w:val="168"/>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3.80 %</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3.80 %</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5.53 %</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4.25 %</w:t>
            </w:r>
          </w:p>
        </w:tc>
      </w:tr>
      <w:tr>
        <w:trPr>
          <w:trHeight w:val="172"/>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3.00 %</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2.78 %</w:t>
            </w:r>
          </w:p>
        </w:tc>
      </w:tr>
    </w:tbl>
    <w:p>
      <w:pPr>
        <w:spacing w:after="0" w:line="144"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Plan Assets</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insurance contracts, and cash and cash equivalent investments. The assets held in these funds are generally actively managed and are valued at the net asset value per share multiplied by the number of shares held as of the measurement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date. (See Note 17). Plan assets by asset category at December 31, 2024 and 2023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U.S.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82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60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80" w:type="dxa"/>
            <w:vAlign w:val="bottom"/>
          </w:tcPr>
          <w:p>
            <w:pPr>
              <w:spacing w:after="0"/>
              <w:rPr>
                <w:sz w:val="10"/>
                <w:szCs w:val="10"/>
                <w:color w:val="auto"/>
              </w:rPr>
            </w:pPr>
          </w:p>
        </w:tc>
        <w:tc>
          <w:tcPr>
            <w:tcW w:w="960" w:type="dxa"/>
            <w:vAlign w:val="bottom"/>
          </w:tcPr>
          <w:p>
            <w:pPr>
              <w:jc w:val="right"/>
              <w:ind w:right="438"/>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398"/>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ind w:right="43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jc w:val="right"/>
              <w:ind w:right="41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Pension Plan Assets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 security funds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security funds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Insurance contracts</w:t>
            </w: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0"/>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 and other</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20" w:type="dxa"/>
            <w:vAlign w:val="bottom"/>
          </w:tcPr>
          <w:p>
            <w:pPr>
              <w:spacing w:after="0"/>
              <w:rPr>
                <w:sz w:val="14"/>
                <w:szCs w:val="14"/>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The U.S. plan has a target asset allocation of 15% equity securities and 85% debt securities. The International plan has a target asset allocation of 12% equity securities, 24% debt securities and 64% in other investments. Investment policies are determined by the respective Plan’s Pension Committee and set forth in its Investment Policy. Rebalancing of the asset allocation occurs on a quarterly basis.</w:t>
      </w:r>
    </w:p>
    <w:p>
      <w:pPr>
        <w:spacing w:after="0" w:line="93"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summarize our pension plan assets measured at fair value on a recurring basis by fair value hierarchy level (See Note 17):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48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80" w:type="dxa"/>
            <w:vAlign w:val="bottom"/>
          </w:tcPr>
          <w:p>
            <w:pPr>
              <w:spacing w:after="0"/>
              <w:rPr>
                <w:sz w:val="10"/>
                <w:szCs w:val="10"/>
                <w:color w:val="auto"/>
              </w:rPr>
            </w:pPr>
          </w:p>
        </w:tc>
        <w:tc>
          <w:tcPr>
            <w:tcW w:w="102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NAV</w:t>
            </w:r>
          </w:p>
        </w:tc>
        <w:tc>
          <w:tcPr>
            <w:tcW w:w="240" w:type="dxa"/>
            <w:vAlign w:val="bottom"/>
          </w:tcPr>
          <w:p>
            <w:pPr>
              <w:spacing w:after="0"/>
              <w:rPr>
                <w:sz w:val="10"/>
                <w:szCs w:val="10"/>
                <w:color w:val="auto"/>
              </w:rPr>
            </w:pPr>
          </w:p>
        </w:tc>
        <w:tc>
          <w:tcPr>
            <w:tcW w:w="1060" w:type="dxa"/>
            <w:vAlign w:val="bottom"/>
            <w:gridSpan w:val="2"/>
          </w:tcPr>
          <w:p>
            <w:pPr>
              <w:ind w:left="160"/>
              <w:spacing w:after="0" w:line="107" w:lineRule="exact"/>
              <w:rPr>
                <w:sz w:val="20"/>
                <w:szCs w:val="20"/>
                <w:color w:val="auto"/>
              </w:rPr>
            </w:pPr>
            <w:r>
              <w:rPr>
                <w:rFonts w:ascii="Times New Roman" w:cs="Times New Roman" w:eastAsia="Times New Roman" w:hAnsi="Times New Roman"/>
                <w:sz w:val="12"/>
                <w:szCs w:val="12"/>
                <w:b w:val="1"/>
                <w:bCs w:val="1"/>
                <w:color w:val="auto"/>
              </w:rPr>
              <w:t>Level 1</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40" w:type="dxa"/>
            <w:vAlign w:val="bottom"/>
          </w:tcPr>
          <w:p>
            <w:pPr>
              <w:spacing w:after="0"/>
              <w:rPr>
                <w:sz w:val="10"/>
                <w:szCs w:val="10"/>
                <w:color w:val="auto"/>
              </w:rPr>
            </w:pPr>
          </w:p>
        </w:tc>
        <w:tc>
          <w:tcPr>
            <w:tcW w:w="1060" w:type="dxa"/>
            <w:vAlign w:val="bottom"/>
            <w:gridSpan w:val="2"/>
          </w:tcPr>
          <w:p>
            <w:pPr>
              <w:ind w:left="160"/>
              <w:spacing w:after="0" w:line="107" w:lineRule="exact"/>
              <w:rPr>
                <w:sz w:val="20"/>
                <w:szCs w:val="20"/>
                <w:color w:val="auto"/>
              </w:rPr>
            </w:pPr>
            <w:r>
              <w:rPr>
                <w:rFonts w:ascii="Times New Roman" w:cs="Times New Roman" w:eastAsia="Times New Roman" w:hAnsi="Times New Roman"/>
                <w:sz w:val="12"/>
                <w:szCs w:val="12"/>
                <w:b w:val="1"/>
                <w:bCs w:val="1"/>
                <w:color w:val="auto"/>
              </w:rPr>
              <w:t>Level 3</w:t>
            </w:r>
          </w:p>
        </w:tc>
        <w:tc>
          <w:tcPr>
            <w:tcW w:w="260" w:type="dxa"/>
            <w:vAlign w:val="bottom"/>
          </w:tcPr>
          <w:p>
            <w:pPr>
              <w:spacing w:after="0"/>
              <w:rPr>
                <w:sz w:val="10"/>
                <w:szCs w:val="10"/>
                <w:color w:val="auto"/>
              </w:rPr>
            </w:pPr>
          </w:p>
        </w:tc>
        <w:tc>
          <w:tcPr>
            <w:tcW w:w="940" w:type="dxa"/>
            <w:vAlign w:val="bottom"/>
          </w:tcPr>
          <w:p>
            <w:pPr>
              <w:jc w:val="right"/>
              <w:ind w:right="397"/>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Securities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2"/>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Securities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Insurance Contracts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0"/>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 and other</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0"/>
        </w:trPr>
        <w:tc>
          <w:tcPr>
            <w:tcW w:w="482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80" w:type="dxa"/>
            <w:vAlign w:val="bottom"/>
          </w:tcPr>
          <w:p>
            <w:pPr>
              <w:spacing w:after="0"/>
              <w:rPr>
                <w:sz w:val="10"/>
                <w:szCs w:val="10"/>
                <w:color w:val="auto"/>
              </w:rPr>
            </w:pPr>
          </w:p>
        </w:tc>
        <w:tc>
          <w:tcPr>
            <w:tcW w:w="102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NAV</w:t>
            </w:r>
          </w:p>
        </w:tc>
        <w:tc>
          <w:tcPr>
            <w:tcW w:w="240" w:type="dxa"/>
            <w:vAlign w:val="bottom"/>
          </w:tcPr>
          <w:p>
            <w:pPr>
              <w:spacing w:after="0"/>
              <w:rPr>
                <w:sz w:val="10"/>
                <w:szCs w:val="10"/>
                <w:color w:val="auto"/>
              </w:rPr>
            </w:pPr>
          </w:p>
        </w:tc>
        <w:tc>
          <w:tcPr>
            <w:tcW w:w="1060" w:type="dxa"/>
            <w:vAlign w:val="bottom"/>
            <w:gridSpan w:val="2"/>
          </w:tcPr>
          <w:p>
            <w:pPr>
              <w:ind w:left="160"/>
              <w:spacing w:after="0" w:line="107" w:lineRule="exact"/>
              <w:rPr>
                <w:sz w:val="20"/>
                <w:szCs w:val="20"/>
                <w:color w:val="auto"/>
              </w:rPr>
            </w:pPr>
            <w:r>
              <w:rPr>
                <w:rFonts w:ascii="Times New Roman" w:cs="Times New Roman" w:eastAsia="Times New Roman" w:hAnsi="Times New Roman"/>
                <w:sz w:val="12"/>
                <w:szCs w:val="12"/>
                <w:b w:val="1"/>
                <w:bCs w:val="1"/>
                <w:color w:val="auto"/>
              </w:rPr>
              <w:t>Level 1</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40" w:type="dxa"/>
            <w:vAlign w:val="bottom"/>
          </w:tcPr>
          <w:p>
            <w:pPr>
              <w:spacing w:after="0"/>
              <w:rPr>
                <w:sz w:val="10"/>
                <w:szCs w:val="10"/>
                <w:color w:val="auto"/>
              </w:rPr>
            </w:pPr>
          </w:p>
        </w:tc>
        <w:tc>
          <w:tcPr>
            <w:tcW w:w="106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Level 3</w:t>
            </w:r>
          </w:p>
        </w:tc>
        <w:tc>
          <w:tcPr>
            <w:tcW w:w="280" w:type="dxa"/>
            <w:vAlign w:val="bottom"/>
          </w:tcPr>
          <w:p>
            <w:pPr>
              <w:spacing w:after="0"/>
              <w:rPr>
                <w:sz w:val="10"/>
                <w:szCs w:val="10"/>
                <w:color w:val="auto"/>
              </w:rPr>
            </w:pPr>
          </w:p>
        </w:tc>
        <w:tc>
          <w:tcPr>
            <w:tcW w:w="920" w:type="dxa"/>
            <w:vAlign w:val="bottom"/>
          </w:tcPr>
          <w:p>
            <w:pPr>
              <w:jc w:val="right"/>
              <w:ind w:right="397"/>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Securities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Securities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8"/>
        </w:trPr>
        <w:tc>
          <w:tcPr>
            <w:tcW w:w="20" w:type="dxa"/>
            <w:vAlign w:val="bottom"/>
          </w:tcPr>
          <w:p>
            <w:pPr>
              <w:spacing w:after="0"/>
              <w:rPr>
                <w:sz w:val="14"/>
                <w:szCs w:val="14"/>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Insurance Contracts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0"/>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 and other</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ind w:left="520"/>
        <w:spacing w:after="0"/>
        <w:rPr>
          <w:sz w:val="20"/>
          <w:szCs w:val="20"/>
          <w:color w:val="auto"/>
        </w:rPr>
      </w:pPr>
      <w:r>
        <w:rPr>
          <w:rFonts w:ascii="Times New Roman" w:cs="Times New Roman" w:eastAsia="Times New Roman" w:hAnsi="Times New Roman"/>
          <w:sz w:val="14"/>
          <w:szCs w:val="14"/>
          <w:color w:val="auto"/>
        </w:rPr>
        <w:t>There were no material changes to the Level 3 assets during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96" w:lineRule="exact"/>
        <w:rPr>
          <w:sz w:val="20"/>
          <w:szCs w:val="20"/>
          <w:color w:val="auto"/>
        </w:rPr>
      </w:pPr>
    </w:p>
    <w:p>
      <w:pPr>
        <w:ind w:right="660" w:firstLine="382"/>
        <w:spacing w:after="0" w:line="287" w:lineRule="auto"/>
        <w:rPr>
          <w:sz w:val="20"/>
          <w:szCs w:val="20"/>
          <w:color w:val="auto"/>
        </w:rPr>
      </w:pPr>
      <w:r>
        <w:rPr>
          <w:rFonts w:ascii="Times New Roman" w:cs="Times New Roman" w:eastAsia="Times New Roman" w:hAnsi="Times New Roman"/>
          <w:sz w:val="14"/>
          <w:szCs w:val="14"/>
          <w:color w:val="auto"/>
        </w:rPr>
        <w:t>The Company’s funding methods are based on governmental requirements and differ from those methods used to recognize pension expense. The Company does not expect material contributions to the international pension plans and does not expect to make a contribution to the U.S. pension plan during 2025.</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Benefit payments expected to be paid to plan participants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U.S.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International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 ended December 31,</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620" w:type="dxa"/>
            <w:vAlign w:val="bottom"/>
          </w:tcPr>
          <w:p>
            <w:pPr>
              <w:spacing w:after="0"/>
              <w:rPr>
                <w:sz w:val="14"/>
                <w:szCs w:val="14"/>
                <w:color w:val="auto"/>
              </w:rPr>
            </w:pP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76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7620" w:type="dxa"/>
            <w:vAlign w:val="bottom"/>
          </w:tcPr>
          <w:p>
            <w:pPr>
              <w:spacing w:after="0"/>
              <w:rPr>
                <w:sz w:val="14"/>
                <w:szCs w:val="14"/>
                <w:color w:val="auto"/>
              </w:rPr>
            </w:pP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76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7620" w:type="dxa"/>
            <w:vAlign w:val="bottom"/>
          </w:tcPr>
          <w:p>
            <w:pPr>
              <w:spacing w:after="0"/>
              <w:rPr>
                <w:sz w:val="14"/>
                <w:szCs w:val="14"/>
                <w:color w:val="auto"/>
              </w:rPr>
            </w:pP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 through 2034</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The Company participates in certain defined contribution plans. Costs of approximately $65 million were recognized during 2024 and $60 million and $55 million was recognized during 2023 and 2022, respectively. The 401(k) savings plan is a participant directed defined contribution plan that holds shares of the Company’s stock as one of the investment options. At December 31, 2024 and 2023, the plan held on behalf of its participants approximately 329,000 shares with a market value of $62 million, and approximately 355,000 shares with a market value of $45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Company is responsible for filing consolidated U.S. federal,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income before income taxes for the Company’s domestic and foreign operations for the years ended December 31 are provided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5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8"/>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center"/>
              <w:ind w:right="11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58"/>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Domestic</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68" w:name="page69"/>
    <w:bookmarkEnd w:id="68"/>
    <w:p>
      <w:pPr>
        <w:ind w:left="380"/>
        <w:spacing w:after="0"/>
        <w:rPr>
          <w:sz w:val="20"/>
          <w:szCs w:val="20"/>
          <w:color w:val="auto"/>
        </w:rPr>
      </w:pPr>
      <w:r>
        <w:rPr>
          <w:rFonts w:ascii="Times New Roman" w:cs="Times New Roman" w:eastAsia="Times New Roman" w:hAnsi="Times New Roman"/>
          <w:sz w:val="14"/>
          <w:szCs w:val="14"/>
          <w:color w:val="auto"/>
        </w:rPr>
        <w:t>The consolidated provision for income taxes included in the Consolidated Statements of Income consisted of the following: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5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center"/>
              <w:ind w:right="11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tax expense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Federal</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State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Foreign</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63"/>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158"/>
        </w:trPr>
        <w:tc>
          <w:tcPr>
            <w:tcW w:w="20" w:type="dxa"/>
            <w:vAlign w:val="bottom"/>
          </w:tcPr>
          <w:p>
            <w:pPr>
              <w:spacing w:after="0"/>
              <w:rPr>
                <w:sz w:val="13"/>
                <w:szCs w:val="13"/>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Federal</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State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0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provision</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reconciliation of the United States federal statutory income tax rate to the effective income tax rate on operations for the years ended December 31 is provided below: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c>
          <w:tcPr>
            <w:tcW w:w="158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5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3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00" w:type="dxa"/>
            <w:vAlign w:val="bottom"/>
          </w:tcPr>
          <w:p>
            <w:pPr>
              <w:jc w:val="right"/>
              <w:ind w:right="61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15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1580" w:type="dxa"/>
            <w:vAlign w:val="bottom"/>
          </w:tcPr>
          <w:p>
            <w:pPr>
              <w:jc w:val="right"/>
              <w:ind w:right="59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federal statutory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State taxes</w:t>
            </w:r>
          </w:p>
        </w:tc>
        <w:tc>
          <w:tcPr>
            <w:tcW w:w="1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20" w:type="dxa"/>
            <w:vAlign w:val="bottom"/>
            <w:shd w:val="clear" w:color="auto" w:fill="CCEEFF"/>
          </w:tcPr>
          <w:p>
            <w:pPr>
              <w:spacing w:after="0"/>
              <w:rPr>
                <w:sz w:val="14"/>
                <w:szCs w:val="1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16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Research and development credit</w:t>
            </w:r>
          </w:p>
        </w:tc>
        <w:tc>
          <w:tcPr>
            <w:tcW w:w="1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(0.8)</w:t>
            </w:r>
          </w:p>
        </w:tc>
      </w:tr>
      <w:tr>
        <w:trPr>
          <w:trHeight w:val="172"/>
        </w:trPr>
        <w:tc>
          <w:tcPr>
            <w:tcW w:w="20" w:type="dxa"/>
            <w:vAlign w:val="bottom"/>
            <w:shd w:val="clear" w:color="auto" w:fill="CCEEFF"/>
          </w:tcPr>
          <w:p>
            <w:pPr>
              <w:spacing w:after="0"/>
              <w:rPr>
                <w:sz w:val="14"/>
                <w:szCs w:val="1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Non-taxable gain on acquisition</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net operating loss carryback</w:t>
            </w:r>
          </w:p>
        </w:tc>
        <w:tc>
          <w:tcPr>
            <w:tcW w:w="1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1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tax reform provision</w:t>
            </w:r>
          </w:p>
        </w:tc>
        <w:tc>
          <w:tcPr>
            <w:tcW w:w="1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r>
      <w:tr>
        <w:trPr>
          <w:trHeight w:val="170"/>
        </w:trPr>
        <w:tc>
          <w:tcPr>
            <w:tcW w:w="20" w:type="dxa"/>
            <w:vAlign w:val="bottom"/>
            <w:shd w:val="clear" w:color="auto" w:fill="CCEEFF"/>
          </w:tcPr>
          <w:p>
            <w:pPr>
              <w:spacing w:after="0"/>
              <w:rPr>
                <w:sz w:val="14"/>
                <w:szCs w:val="1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r>
      <w:tr>
        <w:trPr>
          <w:trHeight w:val="163"/>
        </w:trPr>
        <w:tc>
          <w:tcPr>
            <w:tcW w:w="20" w:type="dxa"/>
            <w:vAlign w:val="bottom"/>
          </w:tcPr>
          <w:p>
            <w:pPr>
              <w:spacing w:after="0"/>
              <w:rPr>
                <w:sz w:val="14"/>
                <w:szCs w:val="14"/>
                <w:color w:val="auto"/>
              </w:rPr>
            </w:pPr>
          </w:p>
        </w:tc>
        <w:tc>
          <w:tcPr>
            <w:tcW w:w="63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Effective rate</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24.3 %</w:t>
            </w:r>
          </w:p>
        </w:tc>
        <w:tc>
          <w:tcPr>
            <w:tcW w:w="8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10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25.0 %</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color w:val="auto"/>
        </w:rPr>
        <w:t>The decrease in effective tax rate from 2023 to 2024 was primarily due to changes in valuation allowances and audit closures, partially offset by a change in the jurisdictional mix of earnings and the non-recurrence of the non-taxable gain generated on the acquisition of LKZ in 2023.</w:t>
      </w:r>
    </w:p>
    <w:p>
      <w:pPr>
        <w:spacing w:after="0" w:line="93" w:lineRule="exact"/>
        <w:rPr>
          <w:sz w:val="20"/>
          <w:szCs w:val="20"/>
          <w:color w:val="auto"/>
        </w:rPr>
      </w:pPr>
    </w:p>
    <w:p>
      <w:pPr>
        <w:ind w:right="360" w:firstLine="382"/>
        <w:spacing w:after="0" w:line="271" w:lineRule="auto"/>
        <w:rPr>
          <w:sz w:val="20"/>
          <w:szCs w:val="20"/>
          <w:color w:val="auto"/>
        </w:rPr>
      </w:pPr>
      <w:r>
        <w:rPr>
          <w:rFonts w:ascii="Times New Roman" w:cs="Times New Roman" w:eastAsia="Times New Roman" w:hAnsi="Times New Roman"/>
          <w:sz w:val="14"/>
          <w:szCs w:val="14"/>
          <w:color w:val="auto"/>
        </w:rPr>
        <w:t>The decrease in effective tax rate from 2022 to 2023 was primarily due to a change in mix of foreign earnings, changes in valuation allowances, and the non-taxable gain generated on the acquisition of LKZ.</w:t>
      </w:r>
    </w:p>
    <w:p>
      <w:pPr>
        <w:spacing w:after="0" w:line="29" w:lineRule="exact"/>
        <w:rPr>
          <w:sz w:val="20"/>
          <w:szCs w:val="20"/>
          <w:color w:val="auto"/>
        </w:rPr>
      </w:pPr>
    </w:p>
    <w:p>
      <w:pPr>
        <w:ind w:right="260" w:firstLine="382"/>
        <w:spacing w:after="0" w:line="271" w:lineRule="auto"/>
        <w:rPr>
          <w:sz w:val="20"/>
          <w:szCs w:val="20"/>
          <w:color w:val="auto"/>
        </w:rPr>
      </w:pPr>
      <w:r>
        <w:rPr>
          <w:rFonts w:ascii="Times New Roman" w:cs="Times New Roman" w:eastAsia="Times New Roman" w:hAnsi="Times New Roman"/>
          <w:sz w:val="14"/>
          <w:szCs w:val="14"/>
          <w:color w:val="auto"/>
        </w:rPr>
        <w:t>On August 16, 2022, the Inflation Reduction Act of 2022 was signed into law. This act includes a new book minimum tax on certain large corporations and an excise tax on corporate stock buybacks among other provisions. At this time, the Company does not believe the act will have a material impact on our consolidated financial position, results of operations, or cash flows.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69" w:name="page70"/>
    <w:bookmarkEnd w:id="69"/>
    <w:p>
      <w:pPr>
        <w:ind w:left="380"/>
        <w:spacing w:after="0"/>
        <w:rPr>
          <w:sz w:val="20"/>
          <w:szCs w:val="20"/>
          <w:color w:val="auto"/>
        </w:rPr>
      </w:pPr>
      <w:r>
        <w:rPr>
          <w:rFonts w:ascii="Times New Roman" w:cs="Times New Roman" w:eastAsia="Times New Roman" w:hAnsi="Times New Roman"/>
          <w:sz w:val="14"/>
          <w:szCs w:val="14"/>
          <w:color w:val="auto"/>
        </w:rPr>
        <w:t>Components of deferred tax assets and liabilities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81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0"/>
                <w:szCs w:val="10"/>
                <w:color w:val="auto"/>
              </w:rPr>
            </w:pPr>
          </w:p>
        </w:tc>
        <w:tc>
          <w:tcPr>
            <w:tcW w:w="118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Accrued expenses and reserves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Warranty reserve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Deferred compensation/employee benefits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Right-of-use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Pension and postretirement obligations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Inventory</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operating loss carry forwards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deferred income tax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Valuation allowance</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income tax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income tax liabilities: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Property, plant &amp; equipment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Right-of-use liabilities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Intangible assets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r>
      <w:tr>
        <w:trPr>
          <w:trHeight w:val="158"/>
        </w:trPr>
        <w:tc>
          <w:tcPr>
            <w:tcW w:w="20" w:type="dxa"/>
            <w:vAlign w:val="bottom"/>
            <w:tcBorders>
              <w:bottom w:val="single" w:sz="8" w:color="CCEEFF"/>
            </w:tcBorders>
          </w:tcPr>
          <w:p>
            <w:pPr>
              <w:spacing w:after="0"/>
              <w:rPr>
                <w:sz w:val="13"/>
                <w:szCs w:val="13"/>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Total deferred income tax liabilities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deferred income tax liability</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4"/>
          <w:szCs w:val="14"/>
          <w:color w:val="auto"/>
        </w:rPr>
        <w:t>A valuation allowance is recorded when it is more likely than not that some portion or all of the deferred tax assets will not be realized. As of December 31, 2024, the valuation allowance for certain deferred tax asset carryforwards was $52 million, primarily in the United States, South Africa, China and the Netherlands. The decrease in valuation allowances in 2024 is primarily related to the sale of a business.</w:t>
      </w:r>
    </w:p>
    <w:p>
      <w:pPr>
        <w:spacing w:after="0" w:line="51"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Company has net operating loss carry-forwards in the amount of $373 million, of which $141 million are indefinite lived, $103 million expire within ten years and $129 million expire in various periods between December 31, 2035 to December 31, 2044.</w:t>
      </w:r>
    </w:p>
    <w:p>
      <w:pPr>
        <w:spacing w:after="0" w:line="82"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As of December 31, 2024, the liability for income taxes associated with unrecognized tax benefits was $19 million, of which $18 million, if recognized, would favorably affect the Company’s effective income tax rate. As of December 31, 2023, the liability for income taxes associated with unrecognized tax benefits was $40 million, of which $27 million, if recognized, would favorably affect the Company’s effective income tax rate. A reconciliation of the beginning and ending amount of the gross liability for income taxes associated with unrecognized tax benefits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beginning of year</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Unrecognized tax benefits in prior periods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settlement during year</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Expiration of audit statute of limitations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end of year</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The Company includes interest and penalties related to unrecognized tax benefits in income tax expense. As of December 31, 2024 and 2023, the total interest and penalties accrued was approximately $13 million.</w:t>
      </w:r>
    </w:p>
    <w:p>
      <w:pPr>
        <w:spacing w:after="0" w:line="82"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An audit of the Company’s U.S. federal income tax return for the year 2017 is ongoing and select state and non-U.S. income tax audits are also underway. With limited exception, the Company is no longer subject to examination by various U.S. and foreign taxing authorities for years before 2019. At this time, the Company believes that it is reasonably possible that unrecognized tax benefits of approximately $14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9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0.3% of Net income attributable to Wabtec shareholders being allocated to non-vested restricted stock in all periods presented. Additionally, the dilutive impact of the assumed conversion of non-vested restricted stock is excluded from the denominator of the diluted weighted average shares outstanding. The computation of basic and diluted earnings per common share for Net income attributable to Wabtec shareholders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9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320" w:type="dxa"/>
            <w:vAlign w:val="bottom"/>
          </w:tcPr>
          <w:p>
            <w:pPr>
              <w:spacing w:after="0"/>
              <w:rPr>
                <w:sz w:val="10"/>
                <w:szCs w:val="10"/>
                <w:color w:val="auto"/>
              </w:rPr>
            </w:pPr>
          </w:p>
        </w:tc>
        <w:tc>
          <w:tcPr>
            <w:tcW w:w="1060" w:type="dxa"/>
            <w:vAlign w:val="bottom"/>
          </w:tcPr>
          <w:p>
            <w:pPr>
              <w:jc w:val="right"/>
              <w:ind w:right="49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right="37"/>
              <w:spacing w:after="0" w:line="107"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ind w:right="49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9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Numerator</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attributable to Wabtec shareholders</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allocated to non-vested restricted stock</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2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Numerator for basic and diluted earnings per common share</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shares outstanding - basic</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conversion of dilutive stock-based compensation plans excluding non-vested restricted stock</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0"/>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conversion of dilutive non-vested restricted stock</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3"/>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shares outstanding - diluted</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698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Earnings per common share attributable to Wabtec shareholders</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STOCK-BASED COMPENSATION PLANS</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As of December 31, 2024,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2024, the number of shares available for future grants under the 2011 Plan was approximately 4.4 million shares. The Company also maintains a 1995 Non-Employee Directors’ Fee and Stock Option Plan as amended and restated (“the Directors Plan”). The Directors Plan, as amended, authorizes a total of 1.1 million shares of Common Stock to be issued. Under the Directors Plan, options issued become exercisable over a three-year vesting period and expire ten years from the date of grant, and restricted stock issued under the plan vests one year from the date of grant. The amount of restricted stock issued to non-employee directors as compensation for directors’ fees was as follows: 9,320 shares for 2024; 14,856 shares for 2023; and 14,269 shares for 2022. The total number of shares issued under the Directors Plan as of December 31, 2024 was approximately 1.0 million shares.</w:t>
      </w:r>
    </w:p>
    <w:p>
      <w:pPr>
        <w:spacing w:after="0" w:line="62"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Stock-based compensation expense for all of the plans was $85 million, $59 million and $49 million for the years ended December 31, 2024, 2023 and 2022, respectively. Associated tax benefits related to the stock-based compensation plans for the years ended December 31, 2024, 2023 and 2022 were not material.</w:t>
      </w:r>
    </w:p>
    <w:p>
      <w:pPr>
        <w:spacing w:after="0" w:line="39"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Included in the stock-based compensation expense for 2024 above is $37 million of expense related to incentive stock units, $28 million of expense related to non-vested restricted stock, $19 million related to restricted stock units, and $1 million related to units issued for Directors’ fees. At December 31, 2024, unamortized compensation expense related to those non-vested restricted shares and incentive stock units expected to vest totaled $79 million and will be recognized over a weighted period of 1.4 years.</w:t>
      </w:r>
    </w:p>
    <w:p>
      <w:pPr>
        <w:spacing w:after="0" w:line="49" w:lineRule="exact"/>
        <w:rPr>
          <w:sz w:val="20"/>
          <w:szCs w:val="20"/>
          <w:color w:val="auto"/>
        </w:rPr>
      </w:pPr>
    </w:p>
    <w:p>
      <w:pPr>
        <w:ind w:right="22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Options </w:t>
      </w:r>
      <w:r>
        <w:rPr>
          <w:rFonts w:ascii="Times New Roman" w:cs="Times New Roman" w:eastAsia="Times New Roman" w:hAnsi="Times New Roman"/>
          <w:sz w:val="14"/>
          <w:szCs w:val="14"/>
          <w:color w:val="auto"/>
        </w:rPr>
        <w:t>Stock options are granted to eligible employees and directors at fair market value, which is the average of the high and low Wabtec stock price on the date of grant. Under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2011 Plan and the 2000 Plan, options become exercisable over a three year vesting period and expire 10 years from the date of grant. There were no stock options granted in the years ended December 31, 2024, 2023 and 2022. At December 31, 2024, there were 172,196 shares issuable pursuant to exercisable stock options.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Restricted Stock Units and Incentive Stock </w:t>
      </w:r>
      <w:r>
        <w:rPr>
          <w:rFonts w:ascii="Times New Roman" w:cs="Times New Roman" w:eastAsia="Times New Roman" w:hAnsi="Times New Roman"/>
          <w:sz w:val="14"/>
          <w:szCs w:val="14"/>
          <w:color w:val="auto"/>
        </w:rPr>
        <w:t>As provided for under the 2011 Plan and 2000 Plan, eligible employees are granted restricted stock that generally vests over three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years from the date of grant. Under the Directors Plan, restricted stock awards vest one year from the date of grant. The restricted stock units are liability-classified equity awards as they can be settled in cash.</w:t>
      </w:r>
    </w:p>
    <w:p>
      <w:pPr>
        <w:spacing w:after="0" w:line="51"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In addition, the Company has issued incentive stock units to eligible employees that vest upon attainment of certain cumulative three-year performance goals, including a Relative Total Stockholder Return ("RTSR") modifier. The RTSR can increase or decrease the payment by 10% to 20% depending on the plan year.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2024, the Company estimates that it will achieve approximately 184%, 181% and 200% for the incentive stock awards expected to vest, inclusive of the RTSR modifier, based on the estimated performance for the three year periods ending December 31, 2024, 2025, and 2026,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63"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restricted stock and incentive stock units activity and related information 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Incentive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67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27"/>
        </w:trPr>
        <w:tc>
          <w:tcPr>
            <w:tcW w:w="6720" w:type="dxa"/>
            <w:vAlign w:val="bottom"/>
          </w:tcPr>
          <w:p>
            <w:pPr>
              <w:spacing w:after="0"/>
              <w:rPr>
                <w:sz w:val="11"/>
                <w:szCs w:val="11"/>
                <w:color w:val="auto"/>
              </w:rPr>
            </w:pPr>
          </w:p>
        </w:tc>
        <w:tc>
          <w:tcPr>
            <w:tcW w:w="15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507,698</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607,101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w:t>
            </w:r>
          </w:p>
        </w:tc>
        <w:tc>
          <w:tcPr>
            <w:tcW w:w="0" w:type="dxa"/>
            <w:vAlign w:val="bottom"/>
          </w:tcPr>
          <w:p>
            <w:pPr>
              <w:spacing w:after="0"/>
              <w:rPr>
                <w:sz w:val="1"/>
                <w:szCs w:val="1"/>
                <w:color w:val="auto"/>
              </w:rPr>
            </w:pPr>
          </w:p>
        </w:tc>
      </w:tr>
      <w:tr>
        <w:trPr>
          <w:trHeight w:val="168"/>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460,841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176,657</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(234,597)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(43,039)</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75.14</w:t>
            </w:r>
          </w:p>
        </w:tc>
        <w:tc>
          <w:tcPr>
            <w:tcW w:w="0" w:type="dxa"/>
            <w:vAlign w:val="bottom"/>
          </w:tcPr>
          <w:p>
            <w:pPr>
              <w:spacing w:after="0"/>
              <w:rPr>
                <w:sz w:val="1"/>
                <w:szCs w:val="1"/>
                <w:color w:val="auto"/>
              </w:rPr>
            </w:pPr>
          </w:p>
        </w:tc>
      </w:tr>
      <w:tr>
        <w:trPr>
          <w:trHeight w:val="168"/>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 for incentive stock awards expected to vest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45,301</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(44,522)</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(41,176)</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76.84</w:t>
            </w:r>
          </w:p>
        </w:tc>
        <w:tc>
          <w:tcPr>
            <w:tcW w:w="0" w:type="dxa"/>
            <w:vAlign w:val="bottom"/>
          </w:tcPr>
          <w:p>
            <w:pPr>
              <w:spacing w:after="0"/>
              <w:rPr>
                <w:sz w:val="1"/>
                <w:szCs w:val="1"/>
                <w:color w:val="auto"/>
              </w:rPr>
            </w:pPr>
          </w:p>
        </w:tc>
      </w:tr>
      <w:tr>
        <w:trPr>
          <w:trHeight w:val="15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Outstanding at December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689,420</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744,844</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368,209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192,751</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104.70</w:t>
            </w:r>
          </w:p>
        </w:tc>
        <w:tc>
          <w:tcPr>
            <w:tcW w:w="0" w:type="dxa"/>
            <w:vAlign w:val="bottom"/>
          </w:tcPr>
          <w:p>
            <w:pPr>
              <w:spacing w:after="0"/>
              <w:rPr>
                <w:sz w:val="1"/>
                <w:szCs w:val="1"/>
                <w:color w:val="auto"/>
              </w:rPr>
            </w:pPr>
          </w:p>
        </w:tc>
      </w:tr>
      <w:tr>
        <w:trPr>
          <w:trHeight w:val="168"/>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(262,339)</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(265,678)</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 for incentive stock awards expected to vest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31,011</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88.02</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(34,721)</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(10,196)</w:t>
            </w:r>
          </w:p>
        </w:tc>
        <w:tc>
          <w:tcPr>
            <w:tcW w:w="280" w:type="dxa"/>
            <w:vAlign w:val="bottom"/>
            <w:tcBorders>
              <w:bottom w:val="single" w:sz="8" w:color="CCEEFF"/>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93.44</w:t>
            </w:r>
          </w:p>
        </w:tc>
        <w:tc>
          <w:tcPr>
            <w:tcW w:w="0" w:type="dxa"/>
            <w:vAlign w:val="bottom"/>
          </w:tcPr>
          <w:p>
            <w:pPr>
              <w:spacing w:after="0"/>
              <w:rPr>
                <w:sz w:val="1"/>
                <w:szCs w:val="1"/>
                <w:color w:val="auto"/>
              </w:rPr>
            </w:pPr>
          </w:p>
        </w:tc>
      </w:tr>
      <w:tr>
        <w:trPr>
          <w:trHeight w:val="16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760,569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692,732</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93.65</w:t>
            </w:r>
          </w:p>
        </w:tc>
        <w:tc>
          <w:tcPr>
            <w:tcW w:w="0" w:type="dxa"/>
            <w:vAlign w:val="bottom"/>
          </w:tcPr>
          <w:p>
            <w:pPr>
              <w:spacing w:after="0"/>
              <w:rPr>
                <w:sz w:val="1"/>
                <w:szCs w:val="1"/>
                <w:color w:val="auto"/>
              </w:rPr>
            </w:pPr>
          </w:p>
        </w:tc>
      </w:tr>
      <w:tr>
        <w:trPr>
          <w:trHeight w:val="168"/>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310,461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193,661</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142.55</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(296,463)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(298,756)</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87.23</w:t>
            </w:r>
          </w:p>
        </w:tc>
        <w:tc>
          <w:tcPr>
            <w:tcW w:w="0" w:type="dxa"/>
            <w:vAlign w:val="bottom"/>
          </w:tcPr>
          <w:p>
            <w:pPr>
              <w:spacing w:after="0"/>
              <w:rPr>
                <w:sz w:val="1"/>
                <w:szCs w:val="1"/>
                <w:color w:val="auto"/>
              </w:rPr>
            </w:pPr>
          </w:p>
        </w:tc>
      </w:tr>
      <w:tr>
        <w:trPr>
          <w:trHeight w:val="168"/>
        </w:trPr>
        <w:tc>
          <w:tcPr>
            <w:tcW w:w="6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 for incentive stock awards expected to vest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313,519</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118.53</w:t>
            </w:r>
          </w:p>
        </w:tc>
        <w:tc>
          <w:tcPr>
            <w:tcW w:w="0" w:type="dxa"/>
            <w:vAlign w:val="bottom"/>
          </w:tcPr>
          <w:p>
            <w:pPr>
              <w:spacing w:after="0"/>
              <w:rPr>
                <w:sz w:val="1"/>
                <w:szCs w:val="1"/>
                <w:color w:val="auto"/>
              </w:rPr>
            </w:pPr>
          </w:p>
        </w:tc>
      </w:tr>
      <w:tr>
        <w:trPr>
          <w:trHeight w:val="17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(46,531)</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(24,092)</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w:t>
            </w:r>
          </w:p>
        </w:tc>
        <w:tc>
          <w:tcPr>
            <w:tcW w:w="0" w:type="dxa"/>
            <w:vAlign w:val="bottom"/>
          </w:tcPr>
          <w:p>
            <w:pPr>
              <w:spacing w:after="0"/>
              <w:rPr>
                <w:sz w:val="1"/>
                <w:szCs w:val="1"/>
                <w:color w:val="auto"/>
              </w:rPr>
            </w:pPr>
          </w:p>
        </w:tc>
      </w:tr>
      <w:tr>
        <w:trPr>
          <w:trHeight w:val="163"/>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Outstanding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728,036</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877,064</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14. ACCUMULATED OTHER COMPREHENSIVE LOSS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Comprehensive income (loss) comprises both Net income and the Other Comprehensive (loss) income resulting from the change in equity from transactions and other events and circumstances from non-owner sources.</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net of tax, for the years ended December 31, 2024, 2023, and 2022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Pension and post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2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Derivative contracts</w:t>
            </w:r>
          </w:p>
        </w:tc>
        <w:tc>
          <w:tcPr>
            <w:tcW w:w="100" w:type="dxa"/>
            <w:vAlign w:val="bottom"/>
          </w:tcPr>
          <w:p>
            <w:pPr>
              <w:spacing w:after="0"/>
              <w:rPr>
                <w:sz w:val="5"/>
                <w:szCs w:val="5"/>
                <w:color w:val="auto"/>
              </w:rPr>
            </w:pPr>
          </w:p>
        </w:tc>
        <w:tc>
          <w:tcPr>
            <w:tcW w:w="1240" w:type="dxa"/>
            <w:vAlign w:val="bottom"/>
            <w:gridSpan w:val="2"/>
            <w:vMerge w:val="restart"/>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retirement benefit</w:t>
            </w:r>
          </w:p>
        </w:tc>
        <w:tc>
          <w:tcPr>
            <w:tcW w:w="260" w:type="dxa"/>
            <w:vAlign w:val="bottom"/>
          </w:tcPr>
          <w:p>
            <w:pPr>
              <w:spacing w:after="0"/>
              <w:rPr>
                <w:sz w:val="5"/>
                <w:szCs w:val="5"/>
                <w:color w:val="auto"/>
              </w:rPr>
            </w:pPr>
          </w:p>
        </w:tc>
        <w:tc>
          <w:tcPr>
            <w:tcW w:w="960" w:type="dxa"/>
            <w:vAlign w:val="bottom"/>
            <w:vMerge w:val="restart"/>
          </w:tcPr>
          <w:p>
            <w:pPr>
              <w:jc w:val="right"/>
              <w:ind w:right="416"/>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3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040" w:type="dxa"/>
            <w:vAlign w:val="bottom"/>
            <w:gridSpan w:val="2"/>
            <w:vMerge w:val="restart"/>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jc w:val="center"/>
              <w:ind w:right="200"/>
              <w:spacing w:after="0" w:line="107" w:lineRule="exact"/>
              <w:rPr>
                <w:sz w:val="20"/>
                <w:szCs w:val="20"/>
                <w:color w:val="auto"/>
              </w:rPr>
            </w:pPr>
            <w:r>
              <w:rPr>
                <w:rFonts w:ascii="Times New Roman" w:cs="Times New Roman" w:eastAsia="Times New Roman" w:hAnsi="Times New Roman"/>
                <w:sz w:val="12"/>
                <w:szCs w:val="12"/>
                <w:b w:val="1"/>
                <w:bCs w:val="1"/>
                <w:color w:val="auto"/>
              </w:rPr>
              <w:t>plans</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(loss) income before reclassifications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loss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6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(loss) income, net</w:t>
            </w: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00" w:type="dxa"/>
            <w:vAlign w:val="bottom"/>
          </w:tcPr>
          <w:p>
            <w:pPr>
              <w:spacing w:after="0"/>
              <w:rPr>
                <w:sz w:val="14"/>
                <w:szCs w:val="14"/>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loss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6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income, net</w:t>
            </w: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(loss) income before reclassifications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loss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6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(loss) income, net</w:t>
            </w: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Amounts reclassified from Accumulated other comprehensive loss are recognized in "Other income, net" with the tax impact recognized in "Income tax expense" on the Consolidated Statements of Income.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15. LEASES</w:t>
      </w:r>
    </w:p>
    <w:p>
      <w:pPr>
        <w:spacing w:after="0" w:line="96" w:lineRule="exact"/>
        <w:rPr>
          <w:sz w:val="20"/>
          <w:szCs w:val="20"/>
          <w:color w:val="auto"/>
        </w:rPr>
      </w:pPr>
    </w:p>
    <w:p>
      <w:pPr>
        <w:ind w:right="40" w:firstLine="382"/>
        <w:spacing w:after="0" w:line="250" w:lineRule="auto"/>
        <w:rPr>
          <w:sz w:val="20"/>
          <w:szCs w:val="20"/>
          <w:color w:val="auto"/>
        </w:rPr>
      </w:pPr>
      <w:r>
        <w:rPr>
          <w:rFonts w:ascii="Times New Roman" w:cs="Times New Roman" w:eastAsia="Times New Roman" w:hAnsi="Times New Roman"/>
          <w:sz w:val="14"/>
          <w:szCs w:val="14"/>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Operating lease expense for the years ended December 31, 2024, 2023, and 2022 was $71 million, $64 million, and $60 million, respectively. During 2024 and 2023, new operating leases of $76 million and $37 million, respectively, were added during the year. As most of the Company's leases do not provide a readily stated discount rate, the Company must estimate the rate to discount lease payments using its incremental borrowing rate. Wabtec does not have material financing leases, short-term or variable leases or sublease income.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Scheduled payments of operating lease liabilities are as follows:</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20" w:type="dxa"/>
            <w:vAlign w:val="bottom"/>
          </w:tcPr>
          <w:p>
            <w:pPr>
              <w:spacing w:after="0"/>
              <w:rPr>
                <w:sz w:val="14"/>
                <w:szCs w:val="14"/>
                <w:color w:val="auto"/>
              </w:rPr>
            </w:pPr>
          </w:p>
        </w:tc>
        <w:tc>
          <w:tcPr>
            <w:tcW w:w="144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9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0"/>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90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9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9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8"/>
        </w:trPr>
        <w:tc>
          <w:tcPr>
            <w:tcW w:w="20" w:type="dxa"/>
            <w:vAlign w:val="bottom"/>
            <w:tcBorders>
              <w:bottom w:val="single" w:sz="8" w:color="CCEEFF"/>
            </w:tcBorders>
          </w:tcPr>
          <w:p>
            <w:pPr>
              <w:spacing w:after="0"/>
              <w:rPr>
                <w:sz w:val="14"/>
                <w:szCs w:val="14"/>
                <w:color w:val="auto"/>
              </w:rPr>
            </w:pPr>
          </w:p>
        </w:tc>
        <w:tc>
          <w:tcPr>
            <w:tcW w:w="9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3"/>
        </w:trPr>
        <w:tc>
          <w:tcPr>
            <w:tcW w:w="20" w:type="dxa"/>
            <w:vAlign w:val="bottom"/>
            <w:shd w:val="clear" w:color="auto" w:fill="CCEEFF"/>
          </w:tcPr>
          <w:p>
            <w:pPr>
              <w:spacing w:after="0"/>
              <w:rPr>
                <w:sz w:val="14"/>
                <w:szCs w:val="14"/>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lease payments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8"/>
        </w:trPr>
        <w:tc>
          <w:tcPr>
            <w:tcW w:w="20" w:type="dxa"/>
            <w:vAlign w:val="bottom"/>
            <w:tcBorders>
              <w:bottom w:val="single" w:sz="8" w:color="CCEEFF"/>
            </w:tcBorders>
          </w:tcPr>
          <w:p>
            <w:pPr>
              <w:spacing w:after="0"/>
              <w:rPr>
                <w:sz w:val="14"/>
                <w:szCs w:val="14"/>
                <w:color w:val="auto"/>
              </w:rPr>
            </w:pPr>
          </w:p>
        </w:tc>
        <w:tc>
          <w:tcPr>
            <w:tcW w:w="9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Present value discount</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Present value lease liabilities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remaining lease term and discount rate assumptions used to develop the present value of operating lease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60" w:type="dxa"/>
            <w:vAlign w:val="bottom"/>
            <w:tcBorders>
              <w:bottom w:val="single" w:sz="8" w:color="auto"/>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4"/>
        </w:trPr>
        <w:tc>
          <w:tcPr>
            <w:tcW w:w="20" w:type="dxa"/>
            <w:vAlign w:val="bottom"/>
          </w:tcPr>
          <w:p>
            <w:pPr>
              <w:spacing w:after="0"/>
              <w:rPr>
                <w:sz w:val="16"/>
                <w:szCs w:val="16"/>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431"/>
        </w:trPr>
        <w:tc>
          <w:tcPr>
            <w:tcW w:w="7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16. WARRANTIES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The following table reconciles the changes in the Company’s product warranty reserve as follows:</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57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555"/>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beginning of year</w:t>
            </w:r>
          </w:p>
        </w:tc>
        <w:tc>
          <w:tcPr>
            <w:tcW w:w="780" w:type="dxa"/>
            <w:vAlign w:val="bottom"/>
            <w:gridSpan w:val="3"/>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68"/>
        </w:trPr>
        <w:tc>
          <w:tcPr>
            <w:tcW w:w="20" w:type="dxa"/>
            <w:vAlign w:val="bottom"/>
          </w:tcPr>
          <w:p>
            <w:pPr>
              <w:spacing w:after="0"/>
              <w:rPr>
                <w:sz w:val="14"/>
                <w:szCs w:val="14"/>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Warranty expense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2"/>
        </w:trPr>
        <w:tc>
          <w:tcPr>
            <w:tcW w:w="20" w:type="dxa"/>
            <w:vAlign w:val="bottom"/>
            <w:shd w:val="clear" w:color="auto" w:fill="CCEEFF"/>
          </w:tcPr>
          <w:p>
            <w:pPr>
              <w:spacing w:after="0"/>
              <w:rPr>
                <w:sz w:val="14"/>
                <w:szCs w:val="14"/>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Warranty claim payments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8"/>
        </w:trPr>
        <w:tc>
          <w:tcPr>
            <w:tcW w:w="20" w:type="dxa"/>
            <w:vAlign w:val="bottom"/>
          </w:tcPr>
          <w:p>
            <w:pPr>
              <w:spacing w:after="0"/>
              <w:rPr>
                <w:sz w:val="14"/>
                <w:szCs w:val="14"/>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impact/other</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0"/>
        </w:trPr>
        <w:tc>
          <w:tcPr>
            <w:tcW w:w="20" w:type="dxa"/>
            <w:vAlign w:val="bottom"/>
          </w:tcPr>
          <w:p>
            <w:pPr>
              <w:spacing w:after="0"/>
              <w:rPr>
                <w:sz w:val="13"/>
                <w:szCs w:val="13"/>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Balance at end of year</w:t>
            </w:r>
          </w:p>
        </w:tc>
        <w:tc>
          <w:tcPr>
            <w:tcW w:w="780" w:type="dxa"/>
            <w:vAlign w:val="bottom"/>
            <w:gridSpan w:val="3"/>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FAIR VALUE MEASUREMENT AND DERIVATIVE INSTRUMENTS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49" w:lineRule="exact"/>
        <w:rPr>
          <w:sz w:val="20"/>
          <w:szCs w:val="20"/>
          <w:color w:val="auto"/>
        </w:rPr>
      </w:pPr>
    </w:p>
    <w:p>
      <w:pPr>
        <w:jc w:val="both"/>
        <w:ind w:right="40"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Valuation Hierarchy. </w:t>
      </w:r>
      <w:r>
        <w:rPr>
          <w:rFonts w:ascii="Times New Roman" w:cs="Times New Roman" w:eastAsia="Times New Roman" w:hAnsi="Times New Roman"/>
          <w:sz w:val="14"/>
          <w:szCs w:val="14"/>
          <w:color w:val="auto"/>
        </w:rPr>
        <w:t>ASC 820 establishes a valuation hierarchy for disclosure of the inputs to valuation used to measure fair value. This hierarchy prioritizes the inputs into three broad levels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December 31, 2024 and 2023. The Senior Notes are considered Level 2 based on the fair value valuation hierarchy. Contingent consideration related to the GE Transportation acquisition was considered Level 3 based on the fair value valuation hierarchy. At December 31, 2023, $42 million was classified as "Other accrued liabilities" on the Company's Consolidated Balance Sheets, which approximates fair value. There was no contingent consideration outstanding at December 31, 2024.</w:t>
      </w:r>
    </w:p>
    <w:p>
      <w:pPr>
        <w:spacing w:after="0" w:line="56" w:lineRule="exact"/>
        <w:rPr>
          <w:sz w:val="20"/>
          <w:szCs w:val="20"/>
          <w:color w:val="auto"/>
        </w:rPr>
      </w:pPr>
    </w:p>
    <w:p>
      <w:pPr>
        <w:ind w:right="6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Hedging Activities </w:t>
      </w:r>
      <w:r>
        <w:rPr>
          <w:rFonts w:ascii="Times New Roman" w:cs="Times New Roman" w:eastAsia="Times New Roman" w:hAnsi="Times New Roman"/>
          <w:sz w:val="14"/>
          <w:szCs w:val="14"/>
          <w:color w:val="auto"/>
        </w:rPr>
        <w:t>In the normal course of business, the Company is exposed to market risks related to interest rates, commodity prices and foreign currency exchange rate fluctuations,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 counter markets. As such, these derivative instruments are classified within Level 2. In accordance with our policy, derivatives are only used for hedging purposes. We do not use derivatives for trading or speculative purposes.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years ended December 31, 2024, 2023 and 2022, the amounts reclassified into income were not material.</w:t>
      </w:r>
    </w:p>
    <w:p>
      <w:pPr>
        <w:spacing w:after="0" w:line="56"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4"/>
          <w:szCs w:val="14"/>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enters into certain derivative contracts in accordance with its risk management strategy that do not meet the criteria for hedge accounting, but which have the impact of largely</w:t>
      </w:r>
    </w:p>
    <w:p>
      <w:pPr>
        <w:spacing w:after="0" w:line="4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mitigating foreign currency exposure. These foreign exchange contracts are accounted for on a full mark-to-market basis through earnings, with gains and losses recorded as a component of Other income, net. The net gains and losses related to these contracts were not material for the years ended December 31, 2024, 2023 and 2022. These contracts typically mature within one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may use interest rate hedge contracts on certain investing and borrowing transactions to manage its net exposure to interest rate changes and to manage its overall cost of</w:t>
      </w:r>
    </w:p>
    <w:p>
      <w:pPr>
        <w:spacing w:after="0" w:line="4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borrowing. The Company does not use leveraged swaps and, in general, does not leverage any of its investment activities that would put principal capital at risk. During the first quarter of 2024, the Company utilized all outstanding interest rate hedge contracts to help manage interest expense for the 2034 Notes issued in the first quarter of 2024. In the third quarter of 2024, the Company entered into new interest rate hedge contracts to manage interest rate risk for a portion of future expected debt transactions. For the years ended December 31, 2024, 2023 and 2022, the amounts reclassified into income were not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Company may use commodity forward swaps to manage its exposure to commodity price changes and to reduce its overall cost of manufacturing. For the years ended December 31, 2024, 2023 and 2022, the amounts reclassified into income were not material.</w:t>
      </w:r>
    </w:p>
    <w:p>
      <w:pPr>
        <w:spacing w:after="0" w:line="39"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assets, liabilities, gross notional amounts, fair values, and fair value hierarchy classification of the designated and non-designated hedges discussed in the above sections as of December 31, 2024, which are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auto"/>
        </w:rPr>
        <w:t>included in Other current assets and liabilities on the Consolidated Balance Sheets: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27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74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280" w:type="dxa"/>
            <w:vAlign w:val="bottom"/>
          </w:tcPr>
          <w:p>
            <w:pPr>
              <w:spacing w:after="0"/>
              <w:rPr>
                <w:sz w:val="10"/>
                <w:szCs w:val="10"/>
                <w:color w:val="auto"/>
              </w:rPr>
            </w:pPr>
          </w:p>
        </w:tc>
        <w:tc>
          <w:tcPr>
            <w:tcW w:w="140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300" w:type="dxa"/>
            <w:vAlign w:val="bottom"/>
          </w:tcPr>
          <w:p>
            <w:pPr>
              <w:spacing w:after="0"/>
              <w:rPr>
                <w:sz w:val="10"/>
                <w:szCs w:val="10"/>
                <w:color w:val="auto"/>
              </w:rPr>
            </w:pPr>
          </w:p>
        </w:tc>
        <w:tc>
          <w:tcPr>
            <w:tcW w:w="130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ind w:left="22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20" w:type="dxa"/>
            <w:vAlign w:val="bottom"/>
          </w:tcPr>
          <w:p>
            <w:pPr>
              <w:spacing w:after="0"/>
              <w:rPr>
                <w:sz w:val="10"/>
                <w:szCs w:val="10"/>
                <w:color w:val="auto"/>
              </w:rPr>
            </w:pPr>
          </w:p>
        </w:tc>
        <w:tc>
          <w:tcPr>
            <w:tcW w:w="1360" w:type="dxa"/>
            <w:vAlign w:val="bottom"/>
          </w:tcPr>
          <w:p>
            <w:pPr>
              <w:jc w:val="right"/>
              <w:ind w:right="276"/>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76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Foreign Exchange Contracts</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center"/>
              <w:ind w:left="107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172"/>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left="1057"/>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Rate Contracts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3"/>
        </w:trPr>
        <w:tc>
          <w:tcPr>
            <w:tcW w:w="2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10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center"/>
              <w:ind w:left="10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6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assets, liabilities, gross notional amounts, fair values, and fair value hierarchy classification of the designated and non-designated hedges discussed in the above sections as of December 31, 2023, which are included in other current assets and liabilities on the Consolidated Balance Sheets:</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937"/>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27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720" w:type="dxa"/>
            <w:vAlign w:val="bottom"/>
            <w:gridSpan w:val="2"/>
          </w:tcPr>
          <w:p>
            <w:pPr>
              <w:jc w:val="center"/>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300" w:type="dxa"/>
            <w:vAlign w:val="bottom"/>
          </w:tcPr>
          <w:p>
            <w:pPr>
              <w:spacing w:after="0"/>
              <w:rPr>
                <w:sz w:val="10"/>
                <w:szCs w:val="10"/>
                <w:color w:val="auto"/>
              </w:rPr>
            </w:pPr>
          </w:p>
        </w:tc>
        <w:tc>
          <w:tcPr>
            <w:tcW w:w="1420" w:type="dxa"/>
            <w:vAlign w:val="bottom"/>
            <w:gridSpan w:val="2"/>
          </w:tcPr>
          <w:p>
            <w:pPr>
              <w:ind w:left="22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60" w:type="dxa"/>
            <w:vAlign w:val="bottom"/>
          </w:tcPr>
          <w:p>
            <w:pPr>
              <w:spacing w:after="0"/>
              <w:rPr>
                <w:sz w:val="10"/>
                <w:szCs w:val="10"/>
                <w:color w:val="auto"/>
              </w:rPr>
            </w:pPr>
          </w:p>
        </w:tc>
        <w:tc>
          <w:tcPr>
            <w:tcW w:w="130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20" w:type="dxa"/>
            <w:vAlign w:val="bottom"/>
          </w:tcPr>
          <w:p>
            <w:pPr>
              <w:spacing w:after="0"/>
              <w:rPr>
                <w:sz w:val="10"/>
                <w:szCs w:val="10"/>
                <w:color w:val="auto"/>
              </w:rPr>
            </w:pPr>
          </w:p>
        </w:tc>
        <w:tc>
          <w:tcPr>
            <w:tcW w:w="1360" w:type="dxa"/>
            <w:vAlign w:val="bottom"/>
          </w:tcPr>
          <w:p>
            <w:pPr>
              <w:jc w:val="right"/>
              <w:ind w:right="297"/>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76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Foreign Exchange Contracts</w:t>
            </w: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2"/>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68"/>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Rate Contracts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COMMITMENTS AND CONTINGENCIES</w:t>
      </w:r>
    </w:p>
    <w:p>
      <w:pPr>
        <w:spacing w:after="0" w:line="96"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5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6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Wabtec intends to vigorously defend itself against this lawsuit and believes that it has meritorious defenses to the claims asserted by Progress. The case is still at an early stage; Wabtec filed a motion to dismiss, briefing on this motion was completed in early 2024. The Court has not yet issued a decision on Wabtec’s motion.</w:t>
      </w:r>
    </w:p>
    <w:p>
      <w:pPr>
        <w:spacing w:after="0" w:line="62"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6" w:name="page77"/>
    <w:bookmarkEnd w:id="76"/>
    <w:p>
      <w:pPr>
        <w:spacing w:after="0" w:line="256" w:lineRule="auto"/>
        <w:rPr>
          <w:sz w:val="20"/>
          <w:szCs w:val="20"/>
          <w:color w:val="auto"/>
        </w:rPr>
      </w:pPr>
      <w:r>
        <w:rPr>
          <w:rFonts w:ascii="Times New Roman" w:cs="Times New Roman" w:eastAsia="Times New Roman" w:hAnsi="Times New Roman"/>
          <w:sz w:val="14"/>
          <w:szCs w:val="14"/>
          <w:color w:val="auto"/>
        </w:rPr>
        <w:t>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filed an appeal to the Colorado Court of Appeals; on May 13, 2024, the Court of Appeals upheld the trial Court’s decision in favor of RTD; DTC filed a Writ of Certiorari with the Colorado Supreme Court seeking another appeal; the Writ was denied on February 4, 2025. DTC has informally indicated that they intend to send an updated claim notice to Xorail.</w:t>
      </w:r>
    </w:p>
    <w:p>
      <w:pPr>
        <w:spacing w:after="0" w:line="65"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INFORMATION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two reportable segments—the Freight Segment and the Transit Segment. The key factors used to identify these reportable segments are the organization and alignment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internal operations, the nature of the products and services and customer type. The Company’s business segments are:</w:t>
      </w:r>
    </w:p>
    <w:p>
      <w:pPr>
        <w:spacing w:after="0" w:line="7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Freight Segment </w:t>
      </w:r>
      <w:r>
        <w:rPr>
          <w:rFonts w:ascii="Times New Roman" w:cs="Times New Roman" w:eastAsia="Times New Roman" w:hAnsi="Times New Roman"/>
          <w:sz w:val="14"/>
          <w:szCs w:val="14"/>
          <w:color w:val="auto"/>
        </w:rPr>
        <w:t>builds, rebuilds, upgrades, and overhauls locomotives, services locomotives and freight cars, and provides a range of component and digital solutions for customers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228"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Transit Segment </w:t>
      </w:r>
      <w:r>
        <w:rPr>
          <w:rFonts w:ascii="Times New Roman" w:cs="Times New Roman" w:eastAsia="Times New Roman" w:hAnsi="Times New Roman"/>
          <w:sz w:val="14"/>
          <w:szCs w:val="14"/>
          <w:color w:val="auto"/>
        </w:rPr>
        <w:t>primarily manufactures and services components for new and existing passenger transit vehicles, typically regional trains, high speed trains, subway cars, light-rail vehicles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buses. It also refurbishes subway cars and provides heating, ventilation, and air conditioning equipment and doors for buses and subway cars. Customers include public transit authorities and municipalities, leasing companies, manufacturers of passenger transit vehicles and buses, and companies in the electrical generation, distribution, and charging industries.</w:t>
      </w:r>
    </w:p>
    <w:p>
      <w:pPr>
        <w:spacing w:after="0" w:line="51" w:lineRule="exact"/>
        <w:rPr>
          <w:sz w:val="20"/>
          <w:szCs w:val="20"/>
          <w:color w:val="auto"/>
        </w:rPr>
      </w:pPr>
    </w:p>
    <w:p>
      <w:pPr>
        <w:ind w:right="260" w:firstLine="382"/>
        <w:spacing w:after="0" w:line="259" w:lineRule="auto"/>
        <w:rPr>
          <w:sz w:val="20"/>
          <w:szCs w:val="20"/>
          <w:color w:val="auto"/>
        </w:rPr>
      </w:pPr>
      <w:r>
        <w:rPr>
          <w:rFonts w:ascii="Times New Roman" w:cs="Times New Roman" w:eastAsia="Times New Roman" w:hAnsi="Times New Roman"/>
          <w:sz w:val="14"/>
          <w:szCs w:val="14"/>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61"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 During 2024, management changed the presentation of segment assets below to show intercompany balances eliminated. As such, segment assets for 2023 have been updated to conform to the current period presentation.</w:t>
      </w:r>
    </w:p>
    <w:p>
      <w:pPr>
        <w:spacing w:after="0" w:line="61"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Cost of sales for both segments represents costs directly related to manufacturing products and providing services. Primary costs include raw materials, direct labor, overhead, shipping and handling, warehousing, and the depreciation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7" w:name="page78"/>
    <w:bookmarkEnd w:id="77"/>
    <w:p>
      <w:pPr>
        <w:ind w:right="60"/>
        <w:spacing w:after="0" w:line="270" w:lineRule="auto"/>
        <w:rPr>
          <w:sz w:val="20"/>
          <w:szCs w:val="20"/>
          <w:color w:val="auto"/>
        </w:rPr>
      </w:pPr>
      <w:r>
        <w:rPr>
          <w:rFonts w:ascii="Times New Roman" w:cs="Times New Roman" w:eastAsia="Times New Roman" w:hAnsi="Times New Roman"/>
          <w:sz w:val="14"/>
          <w:szCs w:val="14"/>
          <w:color w:val="auto"/>
        </w:rPr>
        <w:t>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51"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During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Segment financial information for 2024 is as follows: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Freight Segment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Transit Segment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jc w:val="right"/>
              <w:ind w:right="60"/>
              <w:spacing w:after="0" w:line="132" w:lineRule="exact"/>
              <w:rPr>
                <w:sz w:val="20"/>
                <w:szCs w:val="20"/>
                <w:color w:val="auto"/>
              </w:rPr>
            </w:pPr>
            <w:r>
              <w:rPr>
                <w:rFonts w:ascii="Times New Roman" w:cs="Times New Roman" w:eastAsia="Times New Roman" w:hAnsi="Times New Roman"/>
                <w:sz w:val="13"/>
                <w:szCs w:val="13"/>
                <w:b w:val="1"/>
                <w:bCs w:val="1"/>
                <w:color w:val="auto"/>
              </w:rPr>
              <w:t>Corporate Activities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and Elimination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to external customers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7,468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2,919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10,387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(4,945)</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(2,076)</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(7,021)</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843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3"/>
                <w:szCs w:val="13"/>
                <w:i w:val="1"/>
                <w:iCs w:val="1"/>
                <w:color w:val="auto"/>
              </w:rPr>
              <w:t>Gross margin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33.8 %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28.9 %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&amp; administrative expenses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(664)</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(433)</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34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Engineering expenses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net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1,422</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338</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Intersegment sales/(elimination)</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413</w:t>
            </w:r>
          </w:p>
        </w:tc>
        <w:tc>
          <w:tcPr>
            <w:tcW w:w="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34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140</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Segment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13,176</w:t>
            </w:r>
          </w:p>
        </w:tc>
        <w:tc>
          <w:tcPr>
            <w:tcW w:w="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3,861</w:t>
            </w:r>
          </w:p>
        </w:tc>
        <w:tc>
          <w:tcPr>
            <w:tcW w:w="4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60" w:type="dxa"/>
            <w:vAlign w:val="bottom"/>
          </w:tcPr>
          <w:p>
            <w:pPr>
              <w:spacing w:after="0"/>
              <w:rPr>
                <w:sz w:val="14"/>
                <w:szCs w:val="14"/>
                <w:color w:val="auto"/>
              </w:rPr>
            </w:pPr>
          </w:p>
        </w:tc>
        <w:tc>
          <w:tcPr>
            <w:tcW w:w="34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18,702</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Segment financial information for 2023 is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Freight Segment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Transit Segment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Corporate Activities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20"/>
              <w:spacing w:after="0" w:line="107" w:lineRule="exact"/>
              <w:rPr>
                <w:sz w:val="20"/>
                <w:szCs w:val="20"/>
                <w:color w:val="auto"/>
              </w:rPr>
            </w:pPr>
            <w:r>
              <w:rPr>
                <w:rFonts w:ascii="Times New Roman" w:cs="Times New Roman" w:eastAsia="Times New Roman" w:hAnsi="Times New Roman"/>
                <w:sz w:val="12"/>
                <w:szCs w:val="12"/>
                <w:b w:val="1"/>
                <w:bCs w:val="1"/>
                <w:color w:val="auto"/>
              </w:rPr>
              <w:t>and Elimination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to external customers</w:t>
            </w: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6,923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2,754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(1,991)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8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2,181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763</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3"/>
                <w:szCs w:val="13"/>
                <w:i w:val="1"/>
                <w:iCs w:val="1"/>
                <w:color w:val="auto"/>
              </w:rPr>
              <w:t>Gross margin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31.5 %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27.7 %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&amp; administrative expenses</w:t>
            </w: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(637)</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(408)</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Engineering expenses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net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Intersegment sales/(elimination)</w:t>
            </w: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442</w:t>
            </w:r>
          </w:p>
        </w:tc>
        <w:tc>
          <w:tcPr>
            <w:tcW w:w="40" w:type="dxa"/>
            <w:vAlign w:val="bottom"/>
          </w:tcPr>
          <w:p>
            <w:pPr>
              <w:spacing w:after="0"/>
              <w:rPr>
                <w:sz w:val="14"/>
                <w:szCs w:val="14"/>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72</w:t>
            </w:r>
          </w:p>
        </w:tc>
        <w:tc>
          <w:tcPr>
            <w:tcW w:w="40" w:type="dxa"/>
            <w:vAlign w:val="bottom"/>
          </w:tcPr>
          <w:p>
            <w:pPr>
              <w:spacing w:after="0"/>
              <w:rPr>
                <w:sz w:val="14"/>
                <w:szCs w:val="14"/>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34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119</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Segment assets</w:t>
            </w: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13,417</w:t>
            </w:r>
          </w:p>
        </w:tc>
        <w:tc>
          <w:tcPr>
            <w:tcW w:w="40" w:type="dxa"/>
            <w:vAlign w:val="bottom"/>
          </w:tcPr>
          <w:p>
            <w:pPr>
              <w:spacing w:after="0"/>
              <w:rPr>
                <w:sz w:val="14"/>
                <w:szCs w:val="14"/>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3,944</w:t>
            </w:r>
          </w:p>
        </w:tc>
        <w:tc>
          <w:tcPr>
            <w:tcW w:w="40" w:type="dxa"/>
            <w:vAlign w:val="bottom"/>
          </w:tcPr>
          <w:p>
            <w:pPr>
              <w:spacing w:after="0"/>
              <w:rPr>
                <w:sz w:val="14"/>
                <w:szCs w:val="14"/>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60" w:type="dxa"/>
            <w:vAlign w:val="bottom"/>
          </w:tcPr>
          <w:p>
            <w:pPr>
              <w:spacing w:after="0"/>
              <w:rPr>
                <w:sz w:val="14"/>
                <w:szCs w:val="14"/>
                <w:color w:val="auto"/>
              </w:rPr>
            </w:pPr>
          </w:p>
        </w:tc>
        <w:tc>
          <w:tcPr>
            <w:tcW w:w="34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Segment financial information for 2022 is as follows: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Freight Segment</w:t>
            </w:r>
          </w:p>
        </w:tc>
        <w:tc>
          <w:tcPr>
            <w:tcW w:w="160" w:type="dxa"/>
            <w:vAlign w:val="bottom"/>
          </w:tcPr>
          <w:p>
            <w:pPr>
              <w:spacing w:after="0"/>
              <w:rPr>
                <w:sz w:val="24"/>
                <w:szCs w:val="24"/>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Transit Segment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Corporate Activities</w:t>
            </w:r>
          </w:p>
        </w:tc>
        <w:tc>
          <w:tcPr>
            <w:tcW w:w="260" w:type="dxa"/>
            <w:vAlign w:val="bottom"/>
          </w:tcPr>
          <w:p>
            <w:pPr>
              <w:spacing w:after="0"/>
              <w:rPr>
                <w:sz w:val="24"/>
                <w:szCs w:val="24"/>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rPr>
              <w:t>and Elimination</w:t>
            </w: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5,979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14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(4,090)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(5,822)</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1,889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gridSpan w:val="2"/>
          </w:tcPr>
          <w:p>
            <w:pPr>
              <w:ind w:left="160"/>
              <w:spacing w:after="0"/>
              <w:rPr>
                <w:sz w:val="20"/>
                <w:szCs w:val="20"/>
                <w:color w:val="auto"/>
              </w:rPr>
            </w:pPr>
            <w:r>
              <w:rPr>
                <w:rFonts w:ascii="Times New Roman" w:cs="Times New Roman" w:eastAsia="Times New Roman" w:hAnsi="Times New Roman"/>
                <w:sz w:val="13"/>
                <w:szCs w:val="13"/>
                <w:i w:val="1"/>
                <w:iCs w:val="1"/>
                <w:color w:val="auto"/>
              </w:rPr>
              <w:t>Gross margin</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31.6 %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27.3 %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&amp; administrative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Engineering expenses</w:t>
            </w:r>
          </w:p>
        </w:tc>
        <w:tc>
          <w:tcPr>
            <w:tcW w:w="14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net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9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Intersegment sales/(elimination)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79" w:name="page80"/>
    <w:bookmarkEnd w:id="79"/>
    <w:p>
      <w:pPr>
        <w:ind w:right="300" w:firstLine="382"/>
        <w:spacing w:after="0" w:line="278" w:lineRule="auto"/>
        <w:rPr>
          <w:sz w:val="20"/>
          <w:szCs w:val="20"/>
          <w:color w:val="auto"/>
        </w:rPr>
      </w:pPr>
      <w:r>
        <w:rPr>
          <w:rFonts w:ascii="Times New Roman" w:cs="Times New Roman" w:eastAsia="Times New Roman" w:hAnsi="Times New Roman"/>
          <w:sz w:val="14"/>
          <w:szCs w:val="14"/>
          <w:color w:val="auto"/>
        </w:rPr>
        <w:t>The following geographic area data as of and for the years ended December 31, 2024, 2023 and 2022, respectively, includes net sales based on product shipment destination and long-lived assets, which consist of property, plant and equipment, net of depreciation, resident in their respective countries:</w:t>
      </w: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Long-Lived Assets</w:t>
            </w:r>
          </w:p>
        </w:tc>
        <w:tc>
          <w:tcPr>
            <w:tcW w:w="96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34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0"/>
                <w:szCs w:val="10"/>
                <w:color w:val="auto"/>
              </w:rPr>
            </w:pPr>
          </w:p>
        </w:tc>
        <w:tc>
          <w:tcPr>
            <w:tcW w:w="116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0"/>
                <w:szCs w:val="10"/>
                <w:color w:val="auto"/>
              </w:rPr>
            </w:pPr>
          </w:p>
        </w:tc>
        <w:tc>
          <w:tcPr>
            <w:tcW w:w="960" w:type="dxa"/>
            <w:vAlign w:val="bottom"/>
          </w:tcPr>
          <w:p>
            <w:pPr>
              <w:jc w:val="right"/>
              <w:ind w:right="18"/>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United States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r>
      <w:tr>
        <w:trPr>
          <w:trHeight w:val="168"/>
        </w:trPr>
        <w:tc>
          <w:tcPr>
            <w:tcW w:w="20" w:type="dxa"/>
            <w:vAlign w:val="bottom"/>
          </w:tcPr>
          <w:p>
            <w:pPr>
              <w:spacing w:after="0"/>
              <w:rPr>
                <w:sz w:val="14"/>
                <w:szCs w:val="14"/>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Canada</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20" w:type="dxa"/>
            <w:vAlign w:val="bottom"/>
            <w:tcBorders>
              <w:bottom w:val="single" w:sz="8" w:color="CCEEFF"/>
            </w:tcBorders>
          </w:tcPr>
          <w:p>
            <w:pPr>
              <w:spacing w:after="0"/>
              <w:rPr>
                <w:sz w:val="13"/>
                <w:szCs w:val="13"/>
                <w:color w:val="auto"/>
              </w:rPr>
            </w:pPr>
          </w:p>
        </w:tc>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North America</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4,475</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978</w:t>
            </w:r>
          </w:p>
        </w:tc>
      </w:tr>
      <w:tr>
        <w:trPr>
          <w:trHeight w:val="99"/>
        </w:trPr>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 America</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19"/>
        </w:trPr>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Germany</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2"/>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France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8"/>
        </w:trPr>
        <w:tc>
          <w:tcPr>
            <w:tcW w:w="20" w:type="dxa"/>
            <w:vAlign w:val="bottom"/>
          </w:tcPr>
          <w:p>
            <w:pPr>
              <w:spacing w:after="0"/>
              <w:rPr>
                <w:sz w:val="14"/>
                <w:szCs w:val="14"/>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United Kingdom</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Italy</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8"/>
        </w:trPr>
        <w:tc>
          <w:tcPr>
            <w:tcW w:w="2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Other Europe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0"/>
        </w:trPr>
        <w:tc>
          <w:tcPr>
            <w:tcW w:w="20" w:type="dxa"/>
            <w:vAlign w:val="bottom"/>
            <w:shd w:val="clear" w:color="auto" w:fill="CCEEFF"/>
          </w:tcPr>
          <w:p>
            <w:pPr>
              <w:spacing w:after="0"/>
              <w:rPr>
                <w:sz w:val="13"/>
                <w:szCs w:val="13"/>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Europe</w:t>
            </w: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r>
      <w:tr>
        <w:trPr>
          <w:trHeight w:val="99"/>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70"/>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India</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Kazakhstan / CIS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2"/>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 / New Zealand</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China</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19"/>
        </w:trPr>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Asia / Middle East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9"/>
        </w:trPr>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Egypt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Africa</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17"/>
        </w:trPr>
        <w:tc>
          <w:tcPr>
            <w:tcW w:w="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28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sales to external customers by product line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Freight Segment: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r>
      <w:tr>
        <w:trPr>
          <w:trHeight w:val="168"/>
        </w:trPr>
        <w:tc>
          <w:tcPr>
            <w:tcW w:w="20" w:type="dxa"/>
            <w:vAlign w:val="bottom"/>
          </w:tcPr>
          <w:p>
            <w:pPr>
              <w:spacing w:after="0"/>
              <w:rPr>
                <w:sz w:val="14"/>
                <w:szCs w:val="14"/>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Components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170"/>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Digital Intelligence</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r>
      <w:tr>
        <w:trPr>
          <w:trHeight w:val="163"/>
        </w:trPr>
        <w:tc>
          <w:tcPr>
            <w:tcW w:w="20" w:type="dxa"/>
            <w:vAlign w:val="bottom"/>
          </w:tcPr>
          <w:p>
            <w:pPr>
              <w:spacing w:after="0"/>
              <w:rPr>
                <w:sz w:val="14"/>
                <w:szCs w:val="14"/>
                <w:color w:val="auto"/>
              </w:rPr>
            </w:pPr>
          </w:p>
        </w:tc>
        <w:tc>
          <w:tcPr>
            <w:tcW w:w="6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Freight Segment sales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Transit Segment:</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Original Equipment Manufacturer</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Aftermarket</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Transit Segment sales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20. 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Other income, net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65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5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(loss) gain</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income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pension assets/amortization</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2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miscellaneous income (expense)</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Other income, net</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20" w:firstLine="382"/>
        <w:spacing w:after="0" w:line="271" w:lineRule="auto"/>
        <w:rPr>
          <w:sz w:val="20"/>
          <w:szCs w:val="20"/>
          <w:color w:val="auto"/>
        </w:rPr>
      </w:pPr>
      <w:r>
        <w:rPr>
          <w:rFonts w:ascii="Times New Roman" w:cs="Times New Roman" w:eastAsia="Times New Roman" w:hAnsi="Times New Roman"/>
          <w:sz w:val="14"/>
          <w:szCs w:val="14"/>
          <w:color w:val="auto"/>
        </w:rPr>
        <w:t>As a result of the change in ownership interest and obtaining control of LKZ, Wabtec's previously held equity interest balance was remeasured to fair value, resulting in a gain of approximately $35 million recorded to Other income, net and is included in Other miscellaneous income (expense) in 2023. See Note 3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RESTRUCTURING</w:t>
      </w:r>
    </w:p>
    <w:p>
      <w:pPr>
        <w:spacing w:after="0" w:line="74" w:lineRule="exact"/>
        <w:rPr>
          <w:sz w:val="20"/>
          <w:szCs w:val="20"/>
          <w:color w:val="auto"/>
        </w:rPr>
      </w:pPr>
    </w:p>
    <w:p>
      <w:pPr>
        <w:ind w:right="80" w:firstLine="382"/>
        <w:spacing w:after="0" w:line="248" w:lineRule="auto"/>
        <w:rPr>
          <w:sz w:val="20"/>
          <w:szCs w:val="20"/>
          <w:color w:val="auto"/>
        </w:rPr>
      </w:pPr>
      <w:r>
        <w:rPr>
          <w:rFonts w:ascii="Times New Roman" w:cs="Times New Roman" w:eastAsia="Times New Roman" w:hAnsi="Times New Roman"/>
          <w:sz w:val="14"/>
          <w:szCs w:val="14"/>
          <w:color w:val="auto"/>
        </w:rPr>
        <w:t>During the first quarter of 2022, Wabtec announced a multi-year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has evaluated additional capital investments to further simplify and streamline the business. The Company now anticipates that it will incur one-time charges related to Integration 2.0 up to approximately $170 million.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restructuring charges related to the Integration 2.0 initiative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5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center"/>
              <w:ind w:right="11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51"/>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52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Freight Segment: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Cost of goods sold</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income, net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5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Freight Segment</w:t>
            </w: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0"/>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Transit Segment: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Cost of goods sold</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20" w:type="dxa"/>
            <w:vAlign w:val="bottom"/>
            <w:shd w:val="clear" w:color="auto" w:fill="CCEEFF"/>
          </w:tcPr>
          <w:p>
            <w:pPr>
              <w:spacing w:after="0"/>
              <w:rPr>
                <w:sz w:val="15"/>
                <w:szCs w:val="15"/>
                <w:color w:val="auto"/>
              </w:rPr>
            </w:pPr>
          </w:p>
        </w:tc>
        <w:tc>
          <w:tcPr>
            <w:tcW w:w="6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0" w:type="dxa"/>
            <w:vAlign w:val="bottom"/>
            <w:tcBorders>
              <w:bottom w:val="single" w:sz="8" w:color="CCEEFF"/>
            </w:tcBorders>
          </w:tcPr>
          <w:p>
            <w:pPr>
              <w:spacing w:after="0"/>
              <w:rPr>
                <w:sz w:val="15"/>
                <w:szCs w:val="15"/>
                <w:color w:val="auto"/>
              </w:rPr>
            </w:pPr>
          </w:p>
        </w:tc>
        <w:tc>
          <w:tcPr>
            <w:tcW w:w="6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Amortization expense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Transit Segment</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Integration 2.0 restructuring charges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20" w:firstLine="382"/>
        <w:spacing w:after="0" w:line="271" w:lineRule="auto"/>
        <w:rPr>
          <w:sz w:val="20"/>
          <w:szCs w:val="20"/>
          <w:color w:val="auto"/>
        </w:rPr>
      </w:pPr>
      <w:r>
        <w:rPr>
          <w:rFonts w:ascii="Times New Roman" w:cs="Times New Roman" w:eastAsia="Times New Roman" w:hAnsi="Times New Roman"/>
          <w:sz w:val="14"/>
          <w:szCs w:val="14"/>
          <w:color w:val="auto"/>
        </w:rPr>
        <w:t>Total charges related to Integration 2.0 to date are approximately $146 million which includes amounts recorded in the fourth quarter 2021 for similar actions in Europe. Cash payments made during 2024 were approximately $48 million, primarily for employee related costs. Cash payments made during 2023 were approximately $39 million.</w:t>
      </w:r>
    </w:p>
    <w:p>
      <w:pPr>
        <w:spacing w:after="0" w:line="50"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In addition to Integration 2.0, Wabtec is focused on exiting various low margin product offerings through Portfolio Optimization to improve profitability while reducing manufacturing complexity. Wabtec now expects to incur approximately $70 million in net exit charges related to Portfolio Optimization, which will be predominately non-cash asset write downs. Total charges related to Portfolio Optimization to date are approximately $56 million, which includes approximately $28 million charged in 2024 and in 2023. During 2024, approximately $18 million is related to the Freight Segment and approximately $10 million is related to the Transit Segment. Charges are primarily related to asset write 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22. SUBSEQUENT EVENTS</w:t>
      </w:r>
    </w:p>
    <w:p>
      <w:pPr>
        <w:spacing w:after="0" w:line="85" w:lineRule="exact"/>
        <w:rPr>
          <w:sz w:val="20"/>
          <w:szCs w:val="20"/>
          <w:color w:val="auto"/>
        </w:rPr>
      </w:pPr>
    </w:p>
    <w:p>
      <w:pPr>
        <w:ind w:firstLine="382"/>
        <w:spacing w:after="0" w:line="244" w:lineRule="auto"/>
        <w:rPr>
          <w:sz w:val="20"/>
          <w:szCs w:val="20"/>
          <w:color w:val="auto"/>
        </w:rPr>
      </w:pPr>
      <w:r>
        <w:rPr>
          <w:rFonts w:ascii="Times New Roman" w:cs="Times New Roman" w:eastAsia="Times New Roman" w:hAnsi="Times New Roman"/>
          <w:sz w:val="14"/>
          <w:szCs w:val="14"/>
          <w:color w:val="auto"/>
        </w:rPr>
        <w:t>On January 14, 2025, Wabtec announced a definitive agreement to acquire Evident’s Inspection Technologies division (Inspection Technologies), formerly part of the Scientific Solutions Division of Olympus Corporation, a global leader in Non-Destructive Testing, Remote Visual Inspection and Analytical Instruments solutions for mission critical assets, for $1.78 billion.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Upon acquisition, Inspection Technologies will be reported within the Digital Intelligence product line of the Freight Segment. The Company anticipates financing the acquisition with a combination of cash on hand, utilization of the Revolving Credit Facility and an additional term loan. The transaction is subject to customary closing conditions and regulatory approvals, with the Company expecting to finalize the acquisition of Inspection Technologies by the end of the first half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17" w:right="439" w:bottom="1440" w:gutter="0" w:footer="0" w:header="0"/>
        </w:sectPr>
      </w:pPr>
    </w:p>
    <w:bookmarkStart w:id="82" w:name="page83"/>
    <w:bookmarkEnd w:id="82"/>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have been no disagreements with our independent registered public accountants.</w:t>
      </w:r>
    </w:p>
    <w:p>
      <w:pPr>
        <w:spacing w:after="0" w:line="12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Wabtec’s principal executive officer and its principal financial officer have evaluated the effectiveness of Wabtec’s “disclosure controls and procedures,” (as defined in Exchange Act Rule 13a-15(e)) as of December 31, 2024.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There was no change in Wabtec’s “internal control over financial reporting” (as defined in Rule 13a-15(f) under the Exchange Act) that occurred during the quarter ended December 31, 2024,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II, Item 8 of this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Management’s Report on Internal Control Over Financial Reporting is included in Part II, Item 8 of this report on page </w:t>
      </w:r>
      <w:r>
        <w:rPr>
          <w:rFonts w:ascii="Times New Roman" w:cs="Times New Roman" w:eastAsia="Times New Roman" w:hAnsi="Times New Roman"/>
          <w:sz w:val="14"/>
          <w:szCs w:val="14"/>
          <w:u w:val="single" w:color="auto"/>
          <w:color w:val="0000FF"/>
        </w:rPr>
        <w:t>42</w:t>
      </w:r>
      <w:r>
        <w:rPr>
          <w:rFonts w:ascii="Times New Roman" w:cs="Times New Roman" w:eastAsia="Times New Roman" w:hAnsi="Times New Roman"/>
          <w:sz w:val="14"/>
          <w:szCs w:val="14"/>
          <w:color w:val="auto"/>
        </w:rPr>
        <w:t xml:space="preserve"> and is incorporated by reference herein.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 on Internal Control over Financial Reporting</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Ernst &amp; Young LLP's attestation report on internal control over financial reporting is included on Part II, Item 8 of this report on page </w:t>
      </w:r>
      <w:r>
        <w:rPr>
          <w:rFonts w:ascii="Times New Roman" w:cs="Times New Roman" w:eastAsia="Times New Roman" w:hAnsi="Times New Roman"/>
          <w:sz w:val="14"/>
          <w:szCs w:val="14"/>
          <w:u w:val="single" w:color="auto"/>
          <w:color w:val="0000FF"/>
        </w:rPr>
        <w:t>45</w:t>
      </w:r>
      <w:r>
        <w:rPr>
          <w:rFonts w:ascii="Times New Roman" w:cs="Times New Roman" w:eastAsia="Times New Roman" w:hAnsi="Times New Roman"/>
          <w:sz w:val="14"/>
          <w:szCs w:val="14"/>
          <w:color w:val="auto"/>
        </w:rPr>
        <w:t xml:space="preserve"> and is incorporated by reference herein.</w:t>
      </w:r>
    </w:p>
    <w:p>
      <w:pPr>
        <w:spacing w:after="0" w:line="23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70"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On November 26, 2024, Rafael Santana, Wabtec’s President and Chief Executive Officer, entered into a stock trading plan (the “Plan”) designed to comply with Rule 10b5-1(c) under the Securities Exchange Act of 1934, as amended. Under the terms of the plan, shares may be sold from February 26, 2025 to August 21, 2025. Two types of shares are being sold: (i) up to 10,640 shares jointly owned by Mr. Santana and his spouse, and (ii) shares issued to Mr. Santana with respect to the three year performance units granted to him on February 28, 2022 that will vest on March 31, 2025. A performance unit is equal to a share of Wabtec common stock and the number of performance units granted to Mr. Santana on February 28, 2022 was 53,012. The maximum number of shares that may be issued to Mr. Santana with respect to these performance units is 200%, net of shares traded or withheld for tax or other reasons. Under the Plan, 100% of the performance unit shares issued to Mr. Santana are to be sold.</w:t>
      </w:r>
    </w:p>
    <w:p>
      <w:pPr>
        <w:spacing w:after="0" w:line="282"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 through 14.</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15, 2025, except for the Equity Compensation Plan Information required by Item 12, which is set forth in the table below. The definitive Proxy Statement will be filed with the Securities and Exchange Commission not later than 120 days after December 31, 2024. Information relating to the executive officers of the Company is set forth in Part I.</w:t>
      </w:r>
    </w:p>
    <w:p>
      <w:pPr>
        <w:spacing w:after="0" w:line="58" w:lineRule="exact"/>
        <w:rPr>
          <w:sz w:val="20"/>
          <w:szCs w:val="20"/>
          <w:color w:val="auto"/>
        </w:rPr>
      </w:pPr>
    </w:p>
    <w:p>
      <w:pPr>
        <w:jc w:val="both"/>
        <w:ind w:right="120" w:firstLine="382"/>
        <w:spacing w:after="0" w:line="287" w:lineRule="auto"/>
        <w:rPr>
          <w:sz w:val="20"/>
          <w:szCs w:val="20"/>
          <w:color w:val="auto"/>
        </w:rPr>
      </w:pPr>
      <w:r>
        <w:rPr>
          <w:rFonts w:ascii="Times New Roman" w:cs="Times New Roman" w:eastAsia="Times New Roman" w:hAnsi="Times New Roman"/>
          <w:sz w:val="14"/>
          <w:szCs w:val="14"/>
          <w:color w:val="auto"/>
        </w:rPr>
        <w:t xml:space="preserve">Wabtec has adopted a Code of Business Conduct and Ethics which is applicable to all of our employees, including our executive officers. This Code of Business Conduct and Ethics is posted on our website at </w:t>
      </w:r>
      <w:r>
        <w:rPr>
          <w:rFonts w:ascii="Times New Roman" w:cs="Times New Roman" w:eastAsia="Times New Roman" w:hAnsi="Times New Roman"/>
          <w:sz w:val="14"/>
          <w:szCs w:val="14"/>
          <w:i w:val="1"/>
          <w:iCs w:val="1"/>
          <w:color w:val="auto"/>
        </w:rPr>
        <w:t>www.wabteccorp.com</w:t>
      </w:r>
      <w:r>
        <w:rPr>
          <w:rFonts w:ascii="Times New Roman" w:cs="Times New Roman" w:eastAsia="Times New Roman" w:hAnsi="Times New Roman"/>
          <w:sz w:val="14"/>
          <w:szCs w:val="14"/>
          <w:color w:val="auto"/>
        </w:rPr>
        <w:t>. In the event that we make any amendments to or waivers from this code, we will disclose the amendment or waiver and the reasons for such on our website.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also adopted an insider trading policy and procedures applicable to directors, officers, employees, and other covered persons, and have implemented processes applicable to us, that we believe are reasonably designed to promote compliance with insider trading laws, rules and regulations, and listing standards of The New York Stock Exchange. A copy of our insider trading policy is filed as Exhibit 19.1 to this Annual Report.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This table provides aggregate information as of December 31, 2024 concerning equity awards under Wabtec’s compensation plans and arrangements.</w:t>
      </w:r>
    </w:p>
    <w:p>
      <w:pPr>
        <w:sectPr>
          <w:pgSz w:w="11900" w:h="16838" w:orient="portrait"/>
          <w:cols w:equalWidth="0" w:num="1">
            <w:col w:w="11280"/>
          </w:cols>
          <w:pgMar w:left="300" w:top="7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p>
      <w:pPr>
        <w:spacing w:after="0" w:line="37" w:lineRule="exact"/>
        <w:rPr>
          <w:sz w:val="20"/>
          <w:szCs w:val="20"/>
          <w:color w:val="auto"/>
        </w:rPr>
      </w:pPr>
    </w:p>
    <w:p>
      <w:pPr>
        <w:ind w:left="20" w:right="700"/>
        <w:spacing w:after="0" w:line="292" w:lineRule="auto"/>
        <w:rPr>
          <w:sz w:val="20"/>
          <w:szCs w:val="20"/>
          <w:color w:val="auto"/>
        </w:rPr>
      </w:pPr>
      <w:r>
        <w:rPr>
          <w:rFonts w:ascii="Times New Roman" w:cs="Times New Roman" w:eastAsia="Times New Roman" w:hAnsi="Times New Roman"/>
          <w:sz w:val="14"/>
          <w:szCs w:val="14"/>
          <w:color w:val="auto"/>
        </w:rPr>
        <w:t>Equity compensation plans approved by shareholders Equity compensation plans not approved by shareholders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w:t>
            </w:r>
          </w:p>
        </w:tc>
        <w:tc>
          <w:tcPr>
            <w:tcW w:w="0" w:type="dxa"/>
            <w:vAlign w:val="bottom"/>
          </w:tcPr>
          <w:p>
            <w:pPr>
              <w:spacing w:after="0"/>
              <w:rPr>
                <w:sz w:val="1"/>
                <w:szCs w:val="1"/>
                <w:color w:val="auto"/>
              </w:rPr>
            </w:pPr>
          </w:p>
        </w:tc>
      </w:tr>
      <w:tr>
        <w:trPr>
          <w:trHeight w:val="115"/>
        </w:trPr>
        <w:tc>
          <w:tcPr>
            <w:tcW w:w="2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w:t>
            </w:r>
          </w:p>
        </w:tc>
        <w:tc>
          <w:tcPr>
            <w:tcW w:w="22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1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55"/>
        </w:trPr>
        <w:tc>
          <w:tcPr>
            <w:tcW w:w="2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980" w:type="dxa"/>
            <w:vAlign w:val="bottom"/>
            <w:gridSpan w:val="2"/>
            <w:vMerge w:val="restart"/>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2140" w:type="dxa"/>
            <w:vAlign w:val="bottom"/>
            <w:vMerge w:val="restart"/>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remaining available for</w:t>
            </w:r>
          </w:p>
        </w:tc>
        <w:tc>
          <w:tcPr>
            <w:tcW w:w="0" w:type="dxa"/>
            <w:vAlign w:val="bottom"/>
          </w:tcPr>
          <w:p>
            <w:pPr>
              <w:spacing w:after="0"/>
              <w:rPr>
                <w:sz w:val="1"/>
                <w:szCs w:val="1"/>
                <w:color w:val="auto"/>
              </w:rPr>
            </w:pPr>
          </w:p>
        </w:tc>
      </w:tr>
      <w:tr>
        <w:trPr>
          <w:trHeight w:val="62"/>
        </w:trPr>
        <w:tc>
          <w:tcPr>
            <w:tcW w:w="22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 to</w:t>
            </w:r>
          </w:p>
        </w:tc>
        <w:tc>
          <w:tcPr>
            <w:tcW w:w="22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980" w:type="dxa"/>
            <w:vAlign w:val="bottom"/>
            <w:gridSpan w:val="2"/>
            <w:vMerge w:val="restart"/>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rPr>
              <w:t>exercise price of</w:t>
            </w:r>
          </w:p>
        </w:tc>
        <w:tc>
          <w:tcPr>
            <w:tcW w:w="21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future issuance</w:t>
            </w:r>
          </w:p>
        </w:tc>
        <w:tc>
          <w:tcPr>
            <w:tcW w:w="0" w:type="dxa"/>
            <w:vAlign w:val="bottom"/>
          </w:tcPr>
          <w:p>
            <w:pPr>
              <w:spacing w:after="0"/>
              <w:rPr>
                <w:sz w:val="1"/>
                <w:szCs w:val="1"/>
                <w:color w:val="auto"/>
              </w:rPr>
            </w:pPr>
          </w:p>
        </w:tc>
      </w:tr>
      <w:tr>
        <w:trPr>
          <w:trHeight w:val="55"/>
        </w:trPr>
        <w:tc>
          <w:tcPr>
            <w:tcW w:w="222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be issued upon exercise</w:t>
            </w:r>
          </w:p>
        </w:tc>
        <w:tc>
          <w:tcPr>
            <w:tcW w:w="22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980" w:type="dxa"/>
            <w:vAlign w:val="bottom"/>
            <w:gridSpan w:val="2"/>
            <w:vMerge w:val="restart"/>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214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under equity compensation</w:t>
            </w:r>
          </w:p>
        </w:tc>
        <w:tc>
          <w:tcPr>
            <w:tcW w:w="0" w:type="dxa"/>
            <w:vAlign w:val="bottom"/>
          </w:tcPr>
          <w:p>
            <w:pPr>
              <w:spacing w:after="0"/>
              <w:rPr>
                <w:sz w:val="1"/>
                <w:szCs w:val="1"/>
                <w:color w:val="auto"/>
              </w:rPr>
            </w:pPr>
          </w:p>
        </w:tc>
      </w:tr>
      <w:tr>
        <w:trPr>
          <w:trHeight w:val="62"/>
        </w:trPr>
        <w:tc>
          <w:tcPr>
            <w:tcW w:w="2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of outstanding options, warrants and rights</w:t>
            </w:r>
          </w:p>
        </w:tc>
        <w:tc>
          <w:tcPr>
            <w:tcW w:w="22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2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980" w:type="dxa"/>
            <w:vAlign w:val="bottom"/>
            <w:gridSpan w:val="2"/>
            <w:vMerge w:val="restart"/>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options warrants and rights</w:t>
            </w:r>
          </w:p>
        </w:tc>
        <w:tc>
          <w:tcPr>
            <w:tcW w:w="2140" w:type="dxa"/>
            <w:vAlign w:val="bottom"/>
            <w:vMerge w:val="restart"/>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plans (excluding securities reflected in</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column (a))</w:t>
            </w:r>
          </w:p>
        </w:tc>
        <w:tc>
          <w:tcPr>
            <w:tcW w:w="0" w:type="dxa"/>
            <w:vAlign w:val="bottom"/>
          </w:tcPr>
          <w:p>
            <w:pPr>
              <w:spacing w:after="0"/>
              <w:rPr>
                <w:sz w:val="1"/>
                <w:szCs w:val="1"/>
                <w:color w:val="auto"/>
              </w:rPr>
            </w:pPr>
          </w:p>
        </w:tc>
      </w:tr>
      <w:tr>
        <w:trPr>
          <w:trHeight w:val="187"/>
        </w:trPr>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4,400,000</w:t>
            </w:r>
          </w:p>
        </w:tc>
        <w:tc>
          <w:tcPr>
            <w:tcW w:w="0" w:type="dxa"/>
            <w:vAlign w:val="bottom"/>
          </w:tcPr>
          <w:p>
            <w:pPr>
              <w:spacing w:after="0"/>
              <w:rPr>
                <w:sz w:val="1"/>
                <w:szCs w:val="1"/>
                <w:color w:val="auto"/>
              </w:rPr>
            </w:pPr>
          </w:p>
        </w:tc>
      </w:tr>
      <w:tr>
        <w:trPr>
          <w:trHeight w:val="184"/>
        </w:trPr>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80" w:type="dxa"/>
            <w:vAlign w:val="bottom"/>
          </w:tcPr>
          <w:p>
            <w:pPr>
              <w:spacing w:after="0"/>
              <w:rPr>
                <w:sz w:val="14"/>
                <w:szCs w:val="14"/>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4,400,000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-376555</wp:posOffset>
            </wp:positionV>
            <wp:extent cx="7127875"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7875"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-147320</wp:posOffset>
            </wp:positionV>
            <wp:extent cx="7127875"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875"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600"/>
          </w:cols>
          <w:pgMar w:left="300" w:top="727" w:right="31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4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financial statements filed as part of this report are included in Part II Item 8 of this report. Financial statement schedules and exhibits listed below are filed as part of this annual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0"/>
        </w:trPr>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97"/>
              </w:rPr>
              <w:t>(1)</w:t>
            </w:r>
          </w:p>
        </w:tc>
        <w:tc>
          <w:tcPr>
            <w:tcW w:w="9800" w:type="dxa"/>
            <w:vAlign w:val="bottom"/>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Financial Statements and Reports on Internal Control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Management’s Reports to Westinghouse Air Brake Technologies Corporation Shareholders</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rPr>
              <w:t>42</w:t>
            </w:r>
          </w:p>
        </w:tc>
      </w:tr>
      <w:tr>
        <w:trPr>
          <w:trHeight w:val="32"/>
        </w:trPr>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0000FF"/>
          </w:tcPr>
          <w:p>
            <w:pPr>
              <w:spacing w:after="0"/>
              <w:rPr>
                <w:sz w:val="2"/>
                <w:szCs w:val="2"/>
                <w:color w:val="auto"/>
              </w:rPr>
            </w:pPr>
          </w:p>
        </w:tc>
      </w:tr>
      <w:tr>
        <w:trPr>
          <w:trHeight w:val="154"/>
        </w:trPr>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42, Pittsburgh, Pennsylvania)</w:t>
            </w:r>
          </w:p>
        </w:tc>
        <w:tc>
          <w:tcPr>
            <w:tcW w:w="360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43</w:t>
            </w:r>
          </w:p>
        </w:tc>
      </w:tr>
      <w:tr>
        <w:trPr>
          <w:trHeight w:val="166"/>
        </w:trPr>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920" w:type="dxa"/>
            <w:vAlign w:val="bottom"/>
            <w:tcBorders>
              <w:bottom w:val="single" w:sz="8" w:color="0000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Internal Control Over Financial Reporting</w:t>
            </w:r>
          </w:p>
        </w:tc>
        <w:tc>
          <w:tcPr>
            <w:tcW w:w="3480" w:type="dxa"/>
            <w:vAlign w:val="bottom"/>
            <w:tcBorders>
              <w:bottom w:val="single" w:sz="8" w:color="CCEEFF"/>
            </w:tcBorders>
            <w:gridSpan w:val="3"/>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45</w:t>
            </w:r>
          </w:p>
        </w:tc>
      </w:tr>
      <w:tr>
        <w:trPr>
          <w:trHeight w:val="154"/>
        </w:trPr>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6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2024 and 2023</w:t>
            </w:r>
          </w:p>
        </w:tc>
        <w:tc>
          <w:tcPr>
            <w:tcW w:w="574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47</w:t>
            </w:r>
          </w:p>
        </w:tc>
      </w:tr>
      <w:tr>
        <w:trPr>
          <w:trHeight w:val="166"/>
        </w:trPr>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20" w:type="dxa"/>
            <w:vAlign w:val="bottom"/>
            <w:tcBorders>
              <w:bottom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Income for the three years ended December 31, 2024, 2023 and 2022</w:t>
            </w:r>
          </w:p>
        </w:tc>
        <w:tc>
          <w:tcPr>
            <w:tcW w:w="3880" w:type="dxa"/>
            <w:vAlign w:val="bottom"/>
            <w:tcBorders>
              <w:bottom w:val="single" w:sz="8" w:color="CCEEFF"/>
            </w:tcBorders>
            <w:gridSpan w:val="6"/>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48</w:t>
            </w:r>
          </w:p>
        </w:tc>
      </w:tr>
      <w:tr>
        <w:trPr>
          <w:trHeight w:val="154"/>
        </w:trPr>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Borders>
              <w:bottom w:val="single" w:sz="8" w:color="0000FF"/>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Comprehensive Income for the three years ended December 31, 2024, 2023 and 2022</w:t>
            </w:r>
          </w:p>
        </w:tc>
        <w:tc>
          <w:tcPr>
            <w:tcW w:w="2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49</w:t>
            </w:r>
          </w:p>
        </w:tc>
      </w:tr>
      <w:tr>
        <w:trPr>
          <w:trHeight w:val="166"/>
        </w:trPr>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760" w:type="dxa"/>
            <w:vAlign w:val="bottom"/>
            <w:tcBorders>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Cash Flows for the three years ended December 31, 2024, 2023 and 2022</w:t>
            </w:r>
          </w:p>
        </w:tc>
        <w:tc>
          <w:tcPr>
            <w:tcW w:w="3640" w:type="dxa"/>
            <w:vAlign w:val="bottom"/>
            <w:tcBorders>
              <w:bottom w:val="single" w:sz="8" w:color="CCEEFF"/>
            </w:tcBorders>
            <w:gridSpan w:val="5"/>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50</w:t>
            </w:r>
          </w:p>
        </w:tc>
      </w:tr>
      <w:tr>
        <w:trPr>
          <w:trHeight w:val="154"/>
        </w:trPr>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Shareholders’ Equity for the three years ended December 31, 2024, 2023 and 2022</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51</w:t>
            </w:r>
          </w:p>
        </w:tc>
      </w:tr>
      <w:tr>
        <w:trPr>
          <w:trHeight w:val="166"/>
        </w:trPr>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80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3120" w:type="dxa"/>
            <w:vAlign w:val="bottom"/>
            <w:tcBorders>
              <w:bottom w:val="single" w:sz="8" w:color="CCEEFF"/>
            </w:tcBorders>
            <w:gridSpan w:val="2"/>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52</w:t>
            </w:r>
          </w:p>
        </w:tc>
      </w:tr>
    </w:tbl>
    <w:p>
      <w:pPr>
        <w:ind w:left="1000" w:hanging="981"/>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Financial Statement Schedules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FF"/>
              </w:rPr>
              <w:t>Schedule II—Valuation and Qualifying Accounts</w:t>
            </w:r>
          </w:p>
        </w:tc>
        <w:tc>
          <w:tcPr>
            <w:tcW w:w="6600" w:type="dxa"/>
            <w:vAlign w:val="bottom"/>
            <w:tcBorders>
              <w:bottom w:val="single" w:sz="8" w:color="CCEEFF"/>
            </w:tcBorders>
            <w:gridSpan w:val="19"/>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w w:val="85"/>
              </w:rPr>
              <w:t>90</w:t>
            </w:r>
          </w:p>
        </w:tc>
        <w:tc>
          <w:tcPr>
            <w:tcW w:w="20" w:type="dxa"/>
            <w:vAlign w:val="bottom"/>
          </w:tcPr>
          <w:p>
            <w:pPr>
              <w:spacing w:after="0"/>
              <w:rPr>
                <w:sz w:val="15"/>
                <w:szCs w:val="15"/>
                <w:color w:val="auto"/>
              </w:rPr>
            </w:pPr>
          </w:p>
        </w:tc>
      </w:tr>
      <w:tr>
        <w:trPr>
          <w:trHeight w:val="106"/>
        </w:trPr>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Filing</w:t>
            </w:r>
          </w:p>
        </w:tc>
        <w:tc>
          <w:tcPr>
            <w:tcW w:w="20" w:type="dxa"/>
            <w:vAlign w:val="bottom"/>
          </w:tcPr>
          <w:p>
            <w:pPr>
              <w:spacing w:after="0"/>
              <w:rPr>
                <w:sz w:val="9"/>
                <w:szCs w:val="9"/>
                <w:color w:val="auto"/>
              </w:rPr>
            </w:pPr>
          </w:p>
        </w:tc>
      </w:tr>
      <w:tr>
        <w:trPr>
          <w:trHeight w:val="154"/>
        </w:trPr>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Method</w:t>
            </w:r>
          </w:p>
        </w:tc>
      </w:tr>
      <w:tr>
        <w:trPr>
          <w:trHeight w:val="166"/>
        </w:trPr>
        <w:tc>
          <w:tcPr>
            <w:tcW w:w="100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660" w:type="dxa"/>
            <w:vAlign w:val="bottom"/>
            <w:tcBorders>
              <w:bottom w:val="single" w:sz="8" w:color="0000FF"/>
            </w:tcBorders>
            <w:gridSpan w:val="13"/>
          </w:tcPr>
          <w:p>
            <w:pPr>
              <w:spacing w:after="0" w:line="149"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Shareholder's Agreement among Financiere Faiveley S.A., FW Acquisition, LLC, and Wabtec Corporation dated as of October 6, 2015</w:t>
              </w:r>
            </w:hyperlink>
          </w:p>
        </w:tc>
        <w:tc>
          <w:tcPr>
            <w:tcW w:w="1740" w:type="dxa"/>
            <w:vAlign w:val="bottom"/>
            <w:gridSpan w:val="9"/>
          </w:tcPr>
          <w:p>
            <w:pPr>
              <w:spacing w:after="0"/>
              <w:rPr>
                <w:sz w:val="13"/>
                <w:szCs w:val="13"/>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3"/>
                <w:szCs w:val="13"/>
                <w:color w:val="auto"/>
              </w:rPr>
            </w:pPr>
          </w:p>
        </w:tc>
      </w:tr>
      <w:tr>
        <w:trPr>
          <w:trHeight w:val="154"/>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940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 xml:space="preserve">Amendment No. 1 to Shareholder's Agreement among Financiere </w:t>
              </w:r>
            </w:hyperlink>
            <w:r>
              <w:rPr>
                <w:rFonts w:ascii="Times New Roman" w:cs="Times New Roman" w:eastAsia="Times New Roman" w:hAnsi="Times New Roman"/>
                <w:sz w:val="14"/>
                <w:szCs w:val="14"/>
                <w:color w:val="0000FF"/>
              </w:rPr>
              <w:t>Faiveley S.A., Famille Faiveley Participations, Francois Faiveley, Erwan Faiveley, and Wabtec</w:t>
            </w:r>
          </w:p>
        </w:tc>
        <w:tc>
          <w:tcPr>
            <w:tcW w:w="86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3"/>
                <w:szCs w:val="13"/>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18"/>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Corporation dated as of dated as of October 24, 2016</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400" w:type="dxa"/>
            <w:vAlign w:val="bottom"/>
            <w:gridSpan w:val="22"/>
          </w:tcPr>
          <w:p>
            <w:pPr>
              <w:spacing w:after="0" w:line="14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Employee Matters Agreement among General Electric Company, Transportation Systems Holdings Inc., Westinghouse Air Brake Technologies Corporation and</w:t>
              </w:r>
            </w:hyperlink>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90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Wabtec US Rail, Inc.</w:t>
              </w:r>
            </w:hyperlink>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40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Tax Matters Agreement among General Electric Company, Transportation Systems Holdings Inc., Westinghouse Air Brake Technologies Corporation and Wabtec US</w:t>
              </w:r>
            </w:hyperlink>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2"/>
                <w:szCs w:val="12"/>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9380" w:type="dxa"/>
            <w:vAlign w:val="bottom"/>
            <w:tcBorders>
              <w:top w:val="single" w:sz="8" w:color="0000FF"/>
            </w:tcBorders>
            <w:gridSpan w:val="21"/>
            <w:shd w:val="clear" w:color="auto" w:fill="CCEEFF"/>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Rail, Inc.</w:t>
              </w:r>
            </w:hyperlink>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6260" w:type="dxa"/>
            <w:vAlign w:val="bottom"/>
            <w:tcBorders>
              <w:bottom w:val="single" w:sz="8" w:color="0000FF"/>
            </w:tcBorders>
            <w:gridSpan w:val="11"/>
          </w:tcPr>
          <w:p>
            <w:pPr>
              <w:spacing w:after="0" w:line="149"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Restated Certificate of Incorporation of the Company dated January 30, 1995, as amended December 31, 2003</w:t>
              </w:r>
            </w:hyperlink>
          </w:p>
        </w:tc>
        <w:tc>
          <w:tcPr>
            <w:tcW w:w="3140" w:type="dxa"/>
            <w:vAlign w:val="bottom"/>
            <w:gridSpan w:val="11"/>
          </w:tcPr>
          <w:p>
            <w:pPr>
              <w:spacing w:after="0"/>
              <w:rPr>
                <w:sz w:val="13"/>
                <w:szCs w:val="13"/>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3"/>
                <w:szCs w:val="13"/>
                <w:color w:val="auto"/>
              </w:rPr>
            </w:pPr>
          </w:p>
        </w:tc>
      </w:tr>
      <w:tr>
        <w:trPr>
          <w:trHeight w:val="166"/>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940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Certificate of Amendment of Restated Certificate of Incorporation dated May 14, 2013</w:t>
              </w:r>
            </w:hyperlink>
          </w:p>
        </w:tc>
        <w:tc>
          <w:tcPr>
            <w:tcW w:w="86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r>
      <w:tr>
        <w:trPr>
          <w:trHeight w:val="149"/>
        </w:trPr>
        <w:tc>
          <w:tcPr>
            <w:tcW w:w="100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920" w:type="dxa"/>
            <w:vAlign w:val="bottom"/>
            <w:tcBorders>
              <w:top w:val="single" w:sz="8" w:color="0000FF"/>
            </w:tcBorders>
            <w:gridSpan w:val="9"/>
          </w:tcPr>
          <w:p>
            <w:pPr>
              <w:spacing w:after="0" w:line="149"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 xml:space="preserve">Amended and Restated By-Laws of the Company, effective </w:t>
              </w:r>
            </w:hyperlink>
            <w:r>
              <w:rPr>
                <w:rFonts w:ascii="Times New Roman" w:cs="Times New Roman" w:eastAsia="Times New Roman" w:hAnsi="Times New Roman"/>
                <w:sz w:val="14"/>
                <w:szCs w:val="14"/>
                <w:color w:val="0000FF"/>
              </w:rPr>
              <w:t>February 10, 2023</w:t>
            </w:r>
          </w:p>
        </w:tc>
        <w:tc>
          <w:tcPr>
            <w:tcW w:w="4480" w:type="dxa"/>
            <w:vAlign w:val="bottom"/>
            <w:tcBorders>
              <w:top w:val="single" w:sz="8" w:color="CCEEFF"/>
            </w:tcBorders>
            <w:gridSpan w:val="13"/>
          </w:tcPr>
          <w:p>
            <w:pPr>
              <w:spacing w:after="0"/>
              <w:rPr>
                <w:sz w:val="12"/>
                <w:szCs w:val="12"/>
                <w:color w:val="auto"/>
              </w:rPr>
            </w:pPr>
          </w:p>
        </w:tc>
        <w:tc>
          <w:tcPr>
            <w:tcW w:w="860" w:type="dxa"/>
            <w:vAlign w:val="bottom"/>
            <w:tcBorders>
              <w:top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r>
      <w:tr>
        <w:trPr>
          <w:trHeight w:val="26"/>
        </w:trPr>
        <w:tc>
          <w:tcPr>
            <w:tcW w:w="100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5260" w:type="dxa"/>
            <w:vAlign w:val="bottom"/>
            <w:tcBorders>
              <w:bottom w:val="single" w:sz="8" w:color="0000FF"/>
            </w:tcBorders>
            <w:gridSpan w:val="10"/>
            <w:shd w:val="clear" w:color="auto" w:fill="CCEEFF"/>
          </w:tcPr>
          <w:p>
            <w:pPr>
              <w:spacing w:after="0" w:line="155"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Certificate of Amendment to Restated Certificate of Incorporation dated November 19, 2018</w:t>
              </w:r>
            </w:hyperlink>
          </w:p>
        </w:tc>
        <w:tc>
          <w:tcPr>
            <w:tcW w:w="4140" w:type="dxa"/>
            <w:vAlign w:val="bottom"/>
            <w:tcBorders>
              <w:bottom w:val="single" w:sz="8" w:color="CCEEFF"/>
            </w:tcBorders>
            <w:gridSpan w:val="12"/>
            <w:shd w:val="clear" w:color="auto" w:fill="CCEEFF"/>
          </w:tcPr>
          <w:p>
            <w:pPr>
              <w:spacing w:after="0"/>
              <w:rPr>
                <w:sz w:val="14"/>
                <w:szCs w:val="14"/>
                <w:color w:val="auto"/>
              </w:rPr>
            </w:pPr>
          </w:p>
        </w:tc>
        <w:tc>
          <w:tcPr>
            <w:tcW w:w="860" w:type="dxa"/>
            <w:vAlign w:val="bottom"/>
            <w:tcBorders>
              <w:bottom w:val="single" w:sz="8" w:color="CCEEFF"/>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9060" w:type="dxa"/>
            <w:vAlign w:val="bottom"/>
            <w:tcBorders>
              <w:bottom w:val="single" w:sz="8" w:color="0000FF"/>
            </w:tcBorders>
            <w:gridSpan w:val="16"/>
          </w:tcPr>
          <w:p>
            <w:pPr>
              <w:spacing w:after="0" w:line="14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Certificate of Designations of Series A Non-Voting Convertible Preferred Stock of Westinghouse Air Brake Technologies Corporation, dated February 22, 2019</w:t>
              </w:r>
            </w:hyperlink>
          </w:p>
        </w:tc>
        <w:tc>
          <w:tcPr>
            <w:tcW w:w="340" w:type="dxa"/>
            <w:vAlign w:val="bottom"/>
            <w:gridSpan w:val="6"/>
          </w:tcPr>
          <w:p>
            <w:pPr>
              <w:spacing w:after="0"/>
              <w:rPr>
                <w:sz w:val="13"/>
                <w:szCs w:val="13"/>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3"/>
                <w:szCs w:val="13"/>
                <w:color w:val="auto"/>
              </w:rPr>
            </w:pPr>
          </w:p>
        </w:tc>
      </w:tr>
      <w:tr>
        <w:trPr>
          <w:trHeight w:val="154"/>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940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Indenture, dated August 8, 2013 by and between the Company and Wells Fargo, National Association, as Trustee</w:t>
              </w:r>
            </w:hyperlink>
          </w:p>
        </w:tc>
        <w:tc>
          <w:tcPr>
            <w:tcW w:w="86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3"/>
                <w:szCs w:val="13"/>
                <w:color w:val="auto"/>
              </w:rPr>
            </w:pPr>
          </w:p>
        </w:tc>
      </w:tr>
      <w:tr>
        <w:trPr>
          <w:trHeight w:val="32"/>
        </w:trPr>
        <w:tc>
          <w:tcPr>
            <w:tcW w:w="100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9400" w:type="dxa"/>
            <w:vAlign w:val="bottom"/>
            <w:gridSpan w:val="22"/>
          </w:tcPr>
          <w:p>
            <w:pPr>
              <w:spacing w:after="0" w:line="14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First Supplemental Indenture, dated August 8, 2013, by and between the Company and Wells Fargo Bank, National Association, as Trustee</w:t>
              </w:r>
            </w:hyperlink>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3"/>
                <w:szCs w:val="13"/>
                <w:color w:val="auto"/>
              </w:rPr>
            </w:pPr>
          </w:p>
        </w:tc>
      </w:tr>
      <w:tr>
        <w:trPr>
          <w:trHeight w:val="18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7880" w:type="dxa"/>
            <w:vAlign w:val="bottom"/>
            <w:tcBorders>
              <w:top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w:t>
            </w:r>
          </w:p>
        </w:tc>
        <w:tc>
          <w:tcPr>
            <w:tcW w:w="1520" w:type="dxa"/>
            <w:vAlign w:val="bottom"/>
            <w:gridSpan w:val="8"/>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9400" w:type="dxa"/>
            <w:vAlign w:val="bottom"/>
            <w:gridSpan w:val="22"/>
          </w:tcPr>
          <w:p>
            <w:pPr>
              <w:spacing w:after="0" w:line="14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Second Supplemental Indenture, dated November 3, 2016, by and among Westinghouse Air Brake Technologies Corporation, the subsidiary guarantors named</w:t>
              </w:r>
            </w:hyperlink>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898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therein and Wells Fargo Bank, National Association, as Trustee</w:t>
              </w:r>
            </w:hyperlink>
          </w:p>
        </w:tc>
        <w:tc>
          <w:tcPr>
            <w:tcW w:w="30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40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Third Supplemental Indenture, dated November 3, 2016, by and among Westinghouse Air Brake Technologies Corporation, the subsidiary guarantors named therein</w:t>
              </w:r>
            </w:hyperlink>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9320" w:type="dxa"/>
            <w:vAlign w:val="bottom"/>
            <w:tcBorders>
              <w:top w:val="single" w:sz="8" w:color="0000FF"/>
            </w:tcBorders>
            <w:gridSpan w:val="20"/>
            <w:shd w:val="clear" w:color="auto" w:fill="CCEEFF"/>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and Wells Fargo Bank, National Association, as Trustee</w:t>
              </w:r>
            </w:hyperlink>
          </w:p>
        </w:tc>
        <w:tc>
          <w:tcPr>
            <w:tcW w:w="80" w:type="dxa"/>
            <w:vAlign w:val="bottom"/>
            <w:tcBorders>
              <w:top w:val="single" w:sz="8" w:color="CCEEFF"/>
            </w:tcBorders>
            <w:gridSpan w:val="2"/>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640" w:type="dxa"/>
            <w:vAlign w:val="bottom"/>
            <w:tcBorders>
              <w:bottom w:val="single" w:sz="8" w:color="0000FF"/>
            </w:tcBorders>
            <w:gridSpan w:val="7"/>
          </w:tcPr>
          <w:p>
            <w:pPr>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Form of 3.450% Senior Note due 2026 (included in Exhibit 4.5)</w:t>
              </w:r>
            </w:hyperlink>
          </w:p>
        </w:tc>
        <w:tc>
          <w:tcPr>
            <w:tcW w:w="5760" w:type="dxa"/>
            <w:vAlign w:val="bottom"/>
            <w:gridSpan w:val="15"/>
          </w:tcPr>
          <w:p>
            <w:pPr>
              <w:spacing w:after="0"/>
              <w:rPr>
                <w:sz w:val="13"/>
                <w:szCs w:val="13"/>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3"/>
                <w:szCs w:val="13"/>
                <w:color w:val="auto"/>
              </w:rPr>
            </w:pPr>
          </w:p>
        </w:tc>
      </w:tr>
      <w:tr>
        <w:trPr>
          <w:trHeight w:val="154"/>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940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Fourth Supplemental Indenture, dated February 9, 2017, by and among Westinghouse Air Brake Technologies Corporation, the subsidiary guarantors named therein</w:t>
              </w:r>
            </w:hyperlink>
          </w:p>
        </w:tc>
        <w:tc>
          <w:tcPr>
            <w:tcW w:w="86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3"/>
                <w:szCs w:val="13"/>
                <w:color w:val="auto"/>
              </w:rPr>
            </w:pPr>
          </w:p>
        </w:tc>
      </w:tr>
      <w:tr>
        <w:trPr>
          <w:trHeight w:val="140"/>
        </w:trPr>
        <w:tc>
          <w:tcPr>
            <w:tcW w:w="1000" w:type="dxa"/>
            <w:vAlign w:val="bottom"/>
            <w:tcBorders>
              <w:top w:val="single" w:sz="8" w:color="CCEEFF"/>
            </w:tcBorders>
            <w:shd w:val="clear" w:color="auto" w:fill="CCEEFF"/>
          </w:tcPr>
          <w:p>
            <w:pPr>
              <w:spacing w:after="0"/>
              <w:rPr>
                <w:sz w:val="12"/>
                <w:szCs w:val="12"/>
                <w:color w:val="auto"/>
              </w:rPr>
            </w:pPr>
          </w:p>
        </w:tc>
        <w:tc>
          <w:tcPr>
            <w:tcW w:w="9280" w:type="dxa"/>
            <w:vAlign w:val="bottom"/>
            <w:tcBorders>
              <w:top w:val="single" w:sz="8" w:color="0000FF"/>
            </w:tcBorders>
            <w:gridSpan w:val="19"/>
            <w:shd w:val="clear" w:color="auto" w:fill="CCEEFF"/>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and Wells Fargo Bank, National Association, as Trustee</w:t>
              </w:r>
            </w:hyperlink>
          </w:p>
        </w:tc>
        <w:tc>
          <w:tcPr>
            <w:tcW w:w="120" w:type="dxa"/>
            <w:vAlign w:val="bottom"/>
            <w:tcBorders>
              <w:top w:val="single" w:sz="8" w:color="CCEEFF"/>
            </w:tcBorders>
            <w:gridSpan w:val="3"/>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668"/>
        </w:trPr>
        <w:tc>
          <w:tcPr>
            <w:tcW w:w="1000" w:type="dxa"/>
            <w:vAlign w:val="bottom"/>
            <w:tcBorders>
              <w:top w:val="single" w:sz="8" w:color="CCEEFF"/>
            </w:tcBorders>
          </w:tcPr>
          <w:p>
            <w:pPr>
              <w:spacing w:after="0"/>
              <w:rPr>
                <w:sz w:val="24"/>
                <w:szCs w:val="24"/>
                <w:color w:val="auto"/>
              </w:rPr>
            </w:pPr>
          </w:p>
        </w:tc>
        <w:tc>
          <w:tcPr>
            <w:tcW w:w="3160" w:type="dxa"/>
            <w:vAlign w:val="bottom"/>
            <w:tcBorders>
              <w:top w:val="single" w:sz="8" w:color="0000FF"/>
            </w:tcBorders>
            <w:gridSpan w:val="5"/>
          </w:tcPr>
          <w:p>
            <w:pPr>
              <w:spacing w:after="0"/>
              <w:rPr>
                <w:sz w:val="24"/>
                <w:szCs w:val="24"/>
                <w:color w:val="auto"/>
              </w:rPr>
            </w:pPr>
          </w:p>
        </w:tc>
        <w:tc>
          <w:tcPr>
            <w:tcW w:w="1760" w:type="dxa"/>
            <w:vAlign w:val="bottom"/>
            <w:tcBorders>
              <w:top w:val="single" w:sz="8" w:color="CCEEFF"/>
            </w:tcBorders>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85</w:t>
            </w:r>
          </w:p>
        </w:tc>
        <w:tc>
          <w:tcPr>
            <w:tcW w:w="3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9720" w:type="dxa"/>
            <w:vAlign w:val="bottom"/>
            <w:gridSpan w:val="28"/>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Fifth Supplemental Indenture, dated April 28, 2017, by and among Westinghouse Air Brake Technologies Corporation, the subsidiary guarantors named therein and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3"/>
                <w:szCs w:val="13"/>
                <w:color w:val="auto"/>
              </w:rPr>
            </w:pPr>
          </w:p>
        </w:tc>
      </w:tr>
      <w:tr>
        <w:trPr>
          <w:trHeight w:val="118"/>
        </w:trPr>
        <w:tc>
          <w:tcPr>
            <w:tcW w:w="1000" w:type="dxa"/>
            <w:vAlign w:val="bottom"/>
          </w:tcPr>
          <w:p>
            <w:pPr>
              <w:spacing w:after="0"/>
              <w:rPr>
                <w:sz w:val="10"/>
                <w:szCs w:val="10"/>
                <w:color w:val="auto"/>
              </w:rPr>
            </w:pPr>
          </w:p>
        </w:tc>
        <w:tc>
          <w:tcPr>
            <w:tcW w:w="93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Wells Fargo Bank, National Association, as Trustee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720" w:type="dxa"/>
            <w:vAlign w:val="bottom"/>
            <w:gridSpan w:val="28"/>
            <w:shd w:val="clear" w:color="auto" w:fill="CCEEFF"/>
          </w:tcPr>
          <w:p>
            <w:pPr>
              <w:spacing w:after="0" w:line="14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Sixth Supplemental Indenture, dated June 21, 2017, by and among Westinghouse Air Brake Technologies Corporation, the subsidiary guarantors named therein and</w:t>
              </w:r>
            </w:hyperlink>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r>
      <w:tr>
        <w:trPr>
          <w:trHeight w:val="140"/>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2960" w:type="dxa"/>
            <w:vAlign w:val="bottom"/>
            <w:tcBorders>
              <w:top w:val="single" w:sz="8" w:color="0000FF"/>
              <w:bottom w:val="single" w:sz="8" w:color="0000FF"/>
            </w:tcBorders>
            <w:gridSpan w:val="7"/>
            <w:shd w:val="clear" w:color="auto" w:fill="CCEEFF"/>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Wells Fargo Bank, National Association, as Trustee.</w:t>
              </w:r>
            </w:hyperlink>
          </w:p>
        </w:tc>
        <w:tc>
          <w:tcPr>
            <w:tcW w:w="6320" w:type="dxa"/>
            <w:vAlign w:val="bottom"/>
            <w:tcBorders>
              <w:top w:val="single" w:sz="8" w:color="0000FF"/>
              <w:bottom w:val="single" w:sz="8" w:color="CCEEFF"/>
            </w:tcBorders>
            <w:gridSpan w:val="15"/>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Seventh Supplemental Indenture, dated June 8, 2018, by and among Westinghouse Air Brake Technologies Corporation, the subsidiary guarantors named therein and</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93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Wells Fargo Bank, National Association, as Trustee</w:t>
              </w:r>
            </w:hyperlink>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9720" w:type="dxa"/>
            <w:vAlign w:val="bottom"/>
            <w:gridSpan w:val="28"/>
            <w:shd w:val="clear" w:color="auto" w:fill="CCEEFF"/>
          </w:tcPr>
          <w:p>
            <w:pPr>
              <w:spacing w:after="0" w:line="149"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Eighth Supplemental Indenture, dated June 29, 2018, by and among Westinghouse Air Brake Technologies Corporation, the subsidiary guarantors named therein and</w:t>
              </w:r>
            </w:hyperlink>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9340" w:type="dxa"/>
            <w:vAlign w:val="bottom"/>
            <w:tcBorders>
              <w:top w:val="single" w:sz="8" w:color="0000FF"/>
            </w:tcBorders>
            <w:gridSpan w:val="25"/>
            <w:shd w:val="clear" w:color="auto" w:fill="CCEEFF"/>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Wells Fargo Bank, National Association, as Trustee</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Ninth Supplemental Indenture, dated September 14, 2018, by and among the Company, the guarantors party thereto and Wells Fargo Bank, National Association, as</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93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Trustee.</w:t>
              </w:r>
            </w:hyperlink>
          </w:p>
        </w:tc>
        <w:tc>
          <w:tcPr>
            <w:tcW w:w="60" w:type="dxa"/>
            <w:vAlign w:val="bottom"/>
            <w:gridSpan w:val="3"/>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4.13</w:t>
            </w:r>
          </w:p>
        </w:tc>
        <w:tc>
          <w:tcPr>
            <w:tcW w:w="97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Form of 4.700% Senior Note due 2028 (included in Exhibit 4.12)</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r>
      <w:tr>
        <w:trPr>
          <w:trHeight w:val="26"/>
        </w:trPr>
        <w:tc>
          <w:tcPr>
            <w:tcW w:w="10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4.15</w:t>
            </w:r>
          </w:p>
        </w:tc>
        <w:tc>
          <w:tcPr>
            <w:tcW w:w="9340" w:type="dxa"/>
            <w:vAlign w:val="bottom"/>
            <w:tcBorders>
              <w:bottom w:val="single" w:sz="8" w:color="0000FF"/>
            </w:tcBorders>
            <w:gridSpan w:val="25"/>
            <w:shd w:val="clear" w:color="auto" w:fill="CCEEFF"/>
          </w:tcPr>
          <w:p>
            <w:pPr>
              <w:spacing w:after="0" w:line="155"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Tenth Supplemental Indenture, dated June 6, 2019, by and among the Company, the guarantors party thereto and Wells Fargo Bank, National Association, as Trustee</w:t>
              </w:r>
            </w:hyperlink>
          </w:p>
        </w:tc>
        <w:tc>
          <w:tcPr>
            <w:tcW w:w="380" w:type="dxa"/>
            <w:vAlign w:val="bottom"/>
            <w:tcBorders>
              <w:bottom w:val="single" w:sz="8" w:color="CCEEFF"/>
            </w:tcBorders>
            <w:gridSpan w:val="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4"/>
                <w:szCs w:val="14"/>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Eleventh Supplement Indenture, dated June 29, 2020, by and among the Company, the guarantors party thereto and Wells Fargo Bank, National Association, as</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90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Trustee</w:t>
              </w:r>
            </w:hyperlink>
          </w:p>
        </w:tc>
        <w:tc>
          <w:tcPr>
            <w:tcW w:w="24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9720" w:type="dxa"/>
            <w:vAlign w:val="bottom"/>
            <w:gridSpan w:val="28"/>
            <w:shd w:val="clear" w:color="auto" w:fill="CCEEFF"/>
          </w:tcPr>
          <w:p>
            <w:pPr>
              <w:spacing w:after="0" w:line="14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3.200% Senior Note due 2025 (included in Exhibit 4.16)</w:t>
              </w:r>
            </w:hyperlink>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r>
      <w:tr>
        <w:trPr>
          <w:trHeight w:val="32"/>
        </w:trPr>
        <w:tc>
          <w:tcPr>
            <w:tcW w:w="10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5760" w:type="dxa"/>
            <w:vAlign w:val="bottom"/>
            <w:tcBorders>
              <w:bottom w:val="single" w:sz="8" w:color="0000FF"/>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Description of Wabtec Common Stock registered pursuant to Section 12 of the Securities Act of 1934</w:t>
            </w:r>
          </w:p>
        </w:tc>
        <w:tc>
          <w:tcPr>
            <w:tcW w:w="3960" w:type="dxa"/>
            <w:vAlign w:val="bottom"/>
            <w:gridSpan w:val="16"/>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54"/>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4.19</w:t>
            </w:r>
          </w:p>
        </w:tc>
        <w:tc>
          <w:tcPr>
            <w:tcW w:w="9720" w:type="dxa"/>
            <w:vAlign w:val="bottom"/>
            <w:gridSpan w:val="28"/>
            <w:shd w:val="clear" w:color="auto" w:fill="CCEEFF"/>
          </w:tcPr>
          <w:p>
            <w:pPr>
              <w:spacing w:after="0" w:line="155"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Base Indenture, dated as of June 3, 2021, among Wabtec Transportation Netherlands B.V., as issuer, Westinghouse Air Brake Technologies Corporation, as guarantor,</w:t>
              </w:r>
            </w:hyperlink>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3"/>
                <w:szCs w:val="13"/>
                <w:color w:val="auto"/>
              </w:rPr>
            </w:pPr>
          </w:p>
        </w:tc>
      </w:tr>
      <w:tr>
        <w:trPr>
          <w:trHeight w:val="140"/>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2700" w:type="dxa"/>
            <w:vAlign w:val="bottom"/>
            <w:tcBorders>
              <w:top w:val="single" w:sz="8" w:color="0000FF"/>
              <w:bottom w:val="single" w:sz="8" w:color="0000FF"/>
            </w:tcBorders>
            <w:gridSpan w:val="5"/>
            <w:shd w:val="clear" w:color="auto" w:fill="CCEEFF"/>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and U.S. Bank National Association, as Trustee</w:t>
              </w:r>
            </w:hyperlink>
          </w:p>
        </w:tc>
        <w:tc>
          <w:tcPr>
            <w:tcW w:w="6680" w:type="dxa"/>
            <w:vAlign w:val="bottom"/>
            <w:tcBorders>
              <w:top w:val="single" w:sz="8" w:color="0000FF"/>
              <w:bottom w:val="single" w:sz="8" w:color="CCEEFF"/>
            </w:tcBorders>
            <w:gridSpan w:val="22"/>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First Supplemental Indenture, dated as of June 3, 2021, among Wabtec Transportation Netherlands B.V., as issuer, Westinghouse Air Brake Technologies</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86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Corporation, as guarantor, and U.S. Bank National Association, as Trustee</w:t>
              </w:r>
            </w:hyperlink>
          </w:p>
        </w:tc>
        <w:tc>
          <w:tcPr>
            <w:tcW w:w="26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46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9720" w:type="dxa"/>
            <w:vAlign w:val="bottom"/>
            <w:gridSpan w:val="28"/>
            <w:shd w:val="clear" w:color="auto" w:fill="CCEEFF"/>
          </w:tcPr>
          <w:p>
            <w:pPr>
              <w:spacing w:after="0" w:line="14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of 1.250% Notes due 2027 (included in Exhibit 4.20 hereof).</w:t>
              </w:r>
            </w:hyperlink>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32"/>
        </w:trPr>
        <w:tc>
          <w:tcPr>
            <w:tcW w:w="10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Twelfth Supplemental Indenture, dated March 11, 2024, by and among the Company, the subsidiary guarantors party thereto, Computershare Trust Company,</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89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National Association (as successor to Wells Fargo Bank, National Association) and U.S. Bank Trust Company, National Association, as trustee for the Notes.</w:t>
              </w:r>
            </w:hyperlink>
          </w:p>
        </w:tc>
        <w:tc>
          <w:tcPr>
            <w:tcW w:w="340" w:type="dxa"/>
            <w:vAlign w:val="bottom"/>
            <w:gridSpan w:val="2"/>
          </w:tcPr>
          <w:p>
            <w:pPr>
              <w:spacing w:after="0"/>
              <w:rPr>
                <w:sz w:val="10"/>
                <w:szCs w:val="10"/>
                <w:color w:val="auto"/>
              </w:rPr>
            </w:pPr>
          </w:p>
        </w:tc>
        <w:tc>
          <w:tcPr>
            <w:tcW w:w="46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3700" w:type="dxa"/>
            <w:vAlign w:val="bottom"/>
            <w:tcBorders>
              <w:bottom w:val="single" w:sz="8" w:color="0000FF"/>
            </w:tcBorders>
            <w:gridSpan w:val="8"/>
            <w:shd w:val="clear" w:color="auto" w:fill="CCEEFF"/>
          </w:tcPr>
          <w:p>
            <w:pPr>
              <w:spacing w:after="0" w:line="149" w:lineRule="exact"/>
              <w:rPr>
                <w:rFonts w:ascii="Times New Roman" w:cs="Times New Roman" w:eastAsia="Times New Roman" w:hAnsi="Times New Roman"/>
                <w:sz w:val="14"/>
                <w:szCs w:val="14"/>
                <w:color w:val="0000FF"/>
                <w:w w:val="98"/>
              </w:rPr>
            </w:pPr>
            <w:hyperlink r:id="rId125">
              <w:r>
                <w:rPr>
                  <w:rFonts w:ascii="Times New Roman" w:cs="Times New Roman" w:eastAsia="Times New Roman" w:hAnsi="Times New Roman"/>
                  <w:sz w:val="14"/>
                  <w:szCs w:val="14"/>
                  <w:color w:val="0000FF"/>
                  <w:w w:val="98"/>
                </w:rPr>
                <w:t>Form of 5.611% Senior Note due 2034 (included in Exhibit 4.22).</w:t>
              </w:r>
            </w:hyperlink>
          </w:p>
        </w:tc>
        <w:tc>
          <w:tcPr>
            <w:tcW w:w="6020" w:type="dxa"/>
            <w:vAlign w:val="bottom"/>
            <w:tcBorders>
              <w:left w:val="single" w:sz="8" w:color="CCEEFF"/>
              <w:bottom w:val="single" w:sz="8" w:color="CCEEFF"/>
            </w:tcBorders>
            <w:gridSpan w:val="20"/>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3"/>
                <w:szCs w:val="13"/>
                <w:color w:val="auto"/>
              </w:rPr>
            </w:pPr>
          </w:p>
        </w:tc>
      </w:tr>
      <w:tr>
        <w:trPr>
          <w:trHeight w:val="138"/>
        </w:trPr>
        <w:tc>
          <w:tcPr>
            <w:tcW w:w="1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10.1</w:t>
            </w:r>
          </w:p>
        </w:tc>
        <w:tc>
          <w:tcPr>
            <w:tcW w:w="9720" w:type="dxa"/>
            <w:vAlign w:val="bottom"/>
            <w:gridSpan w:val="28"/>
          </w:tcPr>
          <w:p>
            <w:pPr>
              <w:spacing w:after="0" w:line="138" w:lineRule="exact"/>
              <w:rPr>
                <w:sz w:val="20"/>
                <w:szCs w:val="20"/>
                <w:color w:val="auto"/>
              </w:rPr>
            </w:pPr>
            <w:r>
              <w:rPr>
                <w:rFonts w:ascii="Times New Roman" w:cs="Times New Roman" w:eastAsia="Times New Roman" w:hAnsi="Times New Roman"/>
                <w:sz w:val="14"/>
                <w:szCs w:val="14"/>
                <w:color w:val="auto"/>
              </w:rPr>
              <w:t>Agreement of Sale and Purchase of the North American Operations of the Railway Products Group, an operating division of American Standard Inc. (now known as</w:t>
            </w: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r>
      <w:tr>
        <w:trPr>
          <w:trHeight w:val="187"/>
        </w:trPr>
        <w:tc>
          <w:tcPr>
            <w:tcW w:w="1000" w:type="dxa"/>
            <w:vAlign w:val="bottom"/>
          </w:tcPr>
          <w:p>
            <w:pPr>
              <w:spacing w:after="0"/>
              <w:rPr>
                <w:sz w:val="16"/>
                <w:szCs w:val="16"/>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Trane), dated as of 1990 between Rail Acquisition Corp. and American Standard Inc. (only provisions on indemnification are reproduced)</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97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Letter Agreement (undated) between the Company and American Standard Inc. (now known as Trane) on environmental costs and sharing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r>
      <w:tr>
        <w:trPr>
          <w:trHeight w:val="138"/>
        </w:trPr>
        <w:tc>
          <w:tcPr>
            <w:tcW w:w="1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10.3</w:t>
            </w:r>
          </w:p>
        </w:tc>
        <w:tc>
          <w:tcPr>
            <w:tcW w:w="9720" w:type="dxa"/>
            <w:vAlign w:val="bottom"/>
            <w:gridSpan w:val="28"/>
          </w:tcPr>
          <w:p>
            <w:pPr>
              <w:spacing w:after="0" w:line="138" w:lineRule="exact"/>
              <w:rPr>
                <w:sz w:val="20"/>
                <w:szCs w:val="20"/>
                <w:color w:val="auto"/>
              </w:rPr>
            </w:pPr>
            <w:r>
              <w:rPr>
                <w:rFonts w:ascii="Times New Roman" w:cs="Times New Roman" w:eastAsia="Times New Roman" w:hAnsi="Times New Roman"/>
                <w:sz w:val="14"/>
                <w:szCs w:val="14"/>
                <w:color w:val="auto"/>
              </w:rPr>
              <w:t>Purchase Agreement dated as of June 17, 1992 among the Company, Schuller International, Inc., Manville Corporation and European Overseas Corporation (only</w:t>
            </w: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r>
      <w:tr>
        <w:trPr>
          <w:trHeight w:val="187"/>
        </w:trPr>
        <w:tc>
          <w:tcPr>
            <w:tcW w:w="1000" w:type="dxa"/>
            <w:vAlign w:val="bottom"/>
          </w:tcPr>
          <w:p>
            <w:pPr>
              <w:spacing w:after="0"/>
              <w:rPr>
                <w:sz w:val="16"/>
                <w:szCs w:val="16"/>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provisions on indemnification are reproduced)</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4"/>
        </w:trPr>
        <w:tc>
          <w:tcPr>
            <w:tcW w:w="100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10.4</w:t>
            </w:r>
          </w:p>
        </w:tc>
        <w:tc>
          <w:tcPr>
            <w:tcW w:w="6880" w:type="dxa"/>
            <w:vAlign w:val="bottom"/>
            <w:tcBorders>
              <w:bottom w:val="single" w:sz="8" w:color="0000FF"/>
            </w:tcBorders>
            <w:gridSpan w:val="14"/>
            <w:shd w:val="clear" w:color="auto" w:fill="CCEEFF"/>
          </w:tcPr>
          <w:p>
            <w:pPr>
              <w:spacing w:after="0" w:line="152"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Westinghouse Air Brake Company 1995 Non-Employee Directors’ Fee and Stock Option Plan, as amended and restated*</w:t>
              </w:r>
            </w:hyperlink>
          </w:p>
        </w:tc>
        <w:tc>
          <w:tcPr>
            <w:tcW w:w="2840" w:type="dxa"/>
            <w:vAlign w:val="bottom"/>
            <w:tcBorders>
              <w:bottom w:val="single" w:sz="8" w:color="CCEEFF"/>
            </w:tcBorders>
            <w:gridSpan w:val="14"/>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Westinghouse Air Brake Technologies Corporation 2000 Stock Incentive Plan, as Westinghouse Air Brake Technologies Corporation 2000 Stock Incentive Plan, as</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r>
      <w:tr>
        <w:trPr>
          <w:trHeight w:val="118"/>
        </w:trPr>
        <w:tc>
          <w:tcPr>
            <w:tcW w:w="1000" w:type="dxa"/>
            <w:vAlign w:val="bottom"/>
          </w:tcPr>
          <w:p>
            <w:pPr>
              <w:spacing w:after="0"/>
              <w:rPr>
                <w:sz w:val="10"/>
                <w:szCs w:val="10"/>
                <w:color w:val="auto"/>
              </w:rPr>
            </w:pPr>
          </w:p>
        </w:tc>
        <w:tc>
          <w:tcPr>
            <w:tcW w:w="92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 xml:space="preserve">amended * </w:t>
              </w:r>
            </w:hyperlink>
            <w:hyperlink r:id="rId128">
              <w:r>
                <w:rPr>
                  <w:rFonts w:ascii="Times New Roman" w:cs="Times New Roman" w:eastAsia="Times New Roman" w:hAnsi="Times New Roman"/>
                  <w:sz w:val="13"/>
                  <w:szCs w:val="13"/>
                  <w:color w:val="0000FF"/>
                </w:rPr>
                <w:t>*</w:t>
              </w:r>
            </w:hyperlink>
          </w:p>
        </w:tc>
        <w:tc>
          <w:tcPr>
            <w:tcW w:w="46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4420" w:type="dxa"/>
            <w:vAlign w:val="bottom"/>
            <w:tcBorders>
              <w:bottom w:val="single" w:sz="8" w:color="0000FF"/>
            </w:tcBorders>
            <w:gridSpan w:val="11"/>
            <w:shd w:val="clear" w:color="auto" w:fill="CCEEFF"/>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Employment Agreement with Albert J. Neupaver, dated December 16, 2005 *</w:t>
              </w:r>
            </w:hyperlink>
          </w:p>
        </w:tc>
        <w:tc>
          <w:tcPr>
            <w:tcW w:w="5300" w:type="dxa"/>
            <w:vAlign w:val="bottom"/>
            <w:tcBorders>
              <w:bottom w:val="single" w:sz="8" w:color="CCEEFF"/>
            </w:tcBorders>
            <w:gridSpan w:val="17"/>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9720" w:type="dxa"/>
            <w:vAlign w:val="bottom"/>
            <w:gridSpan w:val="28"/>
          </w:tcPr>
          <w:p>
            <w:pPr>
              <w:spacing w:after="0" w:line="14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Restricted Stock Agreement *</w:t>
              </w:r>
            </w:hyperlink>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r>
      <w:tr>
        <w:trPr>
          <w:trHeight w:val="26"/>
        </w:trPr>
        <w:tc>
          <w:tcPr>
            <w:tcW w:w="10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7180" w:type="dxa"/>
            <w:vAlign w:val="bottom"/>
            <w:tcBorders>
              <w:bottom w:val="single" w:sz="8" w:color="0000FF"/>
            </w:tcBorders>
            <w:gridSpan w:val="15"/>
            <w:shd w:val="clear" w:color="auto" w:fill="CCEEFF"/>
          </w:tcPr>
          <w:p>
            <w:pPr>
              <w:spacing w:after="0" w:line="155"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Westinghouse Air Brake Technologies Corporation 2011 Stock Incentive Plan as amended and restated, as of March 31, 2022*</w:t>
              </w:r>
            </w:hyperlink>
          </w:p>
        </w:tc>
        <w:tc>
          <w:tcPr>
            <w:tcW w:w="2540" w:type="dxa"/>
            <w:vAlign w:val="bottom"/>
            <w:tcBorders>
              <w:bottom w:val="single" w:sz="8" w:color="CCEEFF"/>
            </w:tcBorders>
            <w:gridSpan w:val="1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r>
      <w:tr>
        <w:trPr>
          <w:trHeight w:val="154"/>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7500" w:type="dxa"/>
            <w:vAlign w:val="bottom"/>
            <w:tcBorders>
              <w:bottom w:val="single" w:sz="8" w:color="0000FF"/>
            </w:tcBorders>
            <w:gridSpan w:val="16"/>
          </w:tcPr>
          <w:p>
            <w:pPr>
              <w:spacing w:after="0" w:line="14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Stock Purchase Agreement, by and among the Company, Standard Car Truck Company and Robclif, Inc., dated September 12, 2008</w:t>
              </w:r>
            </w:hyperlink>
          </w:p>
        </w:tc>
        <w:tc>
          <w:tcPr>
            <w:tcW w:w="2220" w:type="dxa"/>
            <w:vAlign w:val="bottom"/>
            <w:gridSpan w:val="12"/>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3"/>
                <w:szCs w:val="13"/>
                <w:color w:val="auto"/>
              </w:rPr>
            </w:pPr>
          </w:p>
        </w:tc>
      </w:tr>
      <w:tr>
        <w:trPr>
          <w:trHeight w:val="166"/>
        </w:trPr>
        <w:tc>
          <w:tcPr>
            <w:tcW w:w="1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10.10</w:t>
            </w:r>
          </w:p>
        </w:tc>
        <w:tc>
          <w:tcPr>
            <w:tcW w:w="9720" w:type="dxa"/>
            <w:vAlign w:val="bottom"/>
            <w:gridSpan w:val="28"/>
            <w:shd w:val="clear" w:color="auto" w:fill="CCEEFF"/>
          </w:tcPr>
          <w:p>
            <w:pPr>
              <w:spacing w:after="0" w:line="155"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Employment Continuation Agreement entered into by the Company with Nicole Theophilus, Michael E. Fetsko, and John A Mastalerz Jr.*</w:t>
              </w:r>
            </w:hyperlink>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r>
      <w:tr>
        <w:trPr>
          <w:trHeight w:val="149"/>
        </w:trPr>
        <w:tc>
          <w:tcPr>
            <w:tcW w:w="100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8360" w:type="dxa"/>
            <w:vAlign w:val="bottom"/>
            <w:tcBorders>
              <w:top w:val="single" w:sz="8" w:color="0000FF"/>
            </w:tcBorders>
            <w:gridSpan w:val="17"/>
          </w:tcPr>
          <w:p>
            <w:pPr>
              <w:spacing w:after="0" w:line="14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Wabtec Corporation Deferred Compensation Plan for Executive Officers and Directors as adopted December 10, 2009 *</w:t>
              </w:r>
            </w:hyperlink>
          </w:p>
        </w:tc>
        <w:tc>
          <w:tcPr>
            <w:tcW w:w="1360" w:type="dxa"/>
            <w:vAlign w:val="bottom"/>
            <w:tcBorders>
              <w:top w:val="single" w:sz="8" w:color="CCEEFF"/>
            </w:tcBorders>
            <w:gridSpan w:val="11"/>
          </w:tcPr>
          <w:p>
            <w:pPr>
              <w:spacing w:after="0"/>
              <w:rPr>
                <w:sz w:val="12"/>
                <w:szCs w:val="12"/>
                <w:color w:val="auto"/>
              </w:rPr>
            </w:pPr>
          </w:p>
        </w:tc>
        <w:tc>
          <w:tcPr>
            <w:tcW w:w="5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r>
      <w:tr>
        <w:trPr>
          <w:trHeight w:val="690"/>
        </w:trPr>
        <w:tc>
          <w:tcPr>
            <w:tcW w:w="1000" w:type="dxa"/>
            <w:vAlign w:val="bottom"/>
          </w:tcPr>
          <w:p>
            <w:pPr>
              <w:spacing w:after="0"/>
              <w:rPr>
                <w:sz w:val="24"/>
                <w:szCs w:val="24"/>
                <w:color w:val="auto"/>
              </w:rPr>
            </w:pPr>
          </w:p>
        </w:tc>
        <w:tc>
          <w:tcPr>
            <w:tcW w:w="5760" w:type="dxa"/>
            <w:vAlign w:val="bottom"/>
            <w:tcBorders>
              <w:top w:val="single" w:sz="8" w:color="0000FF"/>
            </w:tcBorders>
            <w:gridSpan w:val="12"/>
          </w:tcPr>
          <w:p>
            <w:pPr>
              <w:ind w:left="4580"/>
              <w:spacing w:after="0"/>
              <w:rPr>
                <w:sz w:val="20"/>
                <w:szCs w:val="20"/>
                <w:color w:val="auto"/>
              </w:rPr>
            </w:pPr>
            <w:r>
              <w:rPr>
                <w:rFonts w:ascii="Times New Roman" w:cs="Times New Roman" w:eastAsia="Times New Roman" w:hAnsi="Times New Roman"/>
                <w:sz w:val="14"/>
                <w:szCs w:val="14"/>
                <w:color w:val="auto"/>
              </w:rPr>
              <w:t>86</w:t>
            </w:r>
          </w:p>
        </w:tc>
        <w:tc>
          <w:tcPr>
            <w:tcW w:w="10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320" w:type="dxa"/>
            <w:vAlign w:val="bottom"/>
            <w:tcBorders>
              <w:bottom w:val="single" w:sz="8" w:color="CCEEFF"/>
            </w:tcBorders>
            <w:shd w:val="clear" w:color="auto" w:fill="CCEEFF"/>
          </w:tcPr>
          <w:p>
            <w:pPr>
              <w:spacing w:after="0"/>
              <w:rPr>
                <w:sz w:val="15"/>
                <w:szCs w:val="15"/>
                <w:color w:val="auto"/>
              </w:rPr>
            </w:pPr>
          </w:p>
        </w:tc>
        <w:tc>
          <w:tcPr>
            <w:tcW w:w="8360" w:type="dxa"/>
            <w:vAlign w:val="bottom"/>
            <w:tcBorders>
              <w:bottom w:val="single" w:sz="8" w:color="0000FF"/>
            </w:tcBorders>
            <w:gridSpan w:val="19"/>
            <w:shd w:val="clear" w:color="auto" w:fill="CCEEFF"/>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Agreement for Nonstatutory Stock Option under the 1995 Non-Employee Directors’ Fee and Stock Option Plan, as amended and restated*</w:t>
              </w:r>
            </w:hyperlink>
          </w:p>
        </w:tc>
        <w:tc>
          <w:tcPr>
            <w:tcW w:w="1320" w:type="dxa"/>
            <w:vAlign w:val="bottom"/>
            <w:tcBorders>
              <w:bottom w:val="single" w:sz="8" w:color="CCEEFF"/>
            </w:tcBorders>
            <w:gridSpan w:val="6"/>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49"/>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320" w:type="dxa"/>
            <w:vAlign w:val="bottom"/>
          </w:tcPr>
          <w:p>
            <w:pPr>
              <w:spacing w:after="0"/>
              <w:rPr>
                <w:sz w:val="12"/>
                <w:szCs w:val="12"/>
                <w:color w:val="auto"/>
              </w:rPr>
            </w:pPr>
          </w:p>
        </w:tc>
        <w:tc>
          <w:tcPr>
            <w:tcW w:w="9680" w:type="dxa"/>
            <w:vAlign w:val="bottom"/>
            <w:gridSpan w:val="25"/>
          </w:tcPr>
          <w:p>
            <w:pPr>
              <w:spacing w:after="0" w:line="14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Agreement for Nonstatutory Stock Options under 2000 Stock Incentive Plan, as amended *</w:t>
              </w:r>
            </w:hyperlink>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26"/>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4"/>
        </w:trPr>
        <w:tc>
          <w:tcPr>
            <w:tcW w:w="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10.14</w:t>
            </w:r>
          </w:p>
        </w:tc>
        <w:tc>
          <w:tcPr>
            <w:tcW w:w="320" w:type="dxa"/>
            <w:vAlign w:val="bottom"/>
            <w:shd w:val="clear" w:color="auto" w:fill="CCEEFF"/>
          </w:tcPr>
          <w:p>
            <w:pPr>
              <w:spacing w:after="0"/>
              <w:rPr>
                <w:sz w:val="13"/>
                <w:szCs w:val="13"/>
                <w:color w:val="auto"/>
              </w:rPr>
            </w:pPr>
          </w:p>
        </w:tc>
        <w:tc>
          <w:tcPr>
            <w:tcW w:w="9680" w:type="dxa"/>
            <w:vAlign w:val="bottom"/>
            <w:gridSpan w:val="25"/>
            <w:shd w:val="clear" w:color="auto" w:fill="CCEEFF"/>
          </w:tcPr>
          <w:p>
            <w:pPr>
              <w:spacing w:after="0" w:line="155"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Agreement for Nonstatutory Stock Options under 2011 Stock Incentive Plan as amended and restated*</w:t>
              </w:r>
            </w:hyperlink>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r>
      <w:tr>
        <w:trPr>
          <w:trHeight w:val="32"/>
        </w:trPr>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49"/>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320" w:type="dxa"/>
            <w:vAlign w:val="bottom"/>
          </w:tcPr>
          <w:p>
            <w:pPr>
              <w:spacing w:after="0"/>
              <w:rPr>
                <w:sz w:val="12"/>
                <w:szCs w:val="12"/>
                <w:color w:val="auto"/>
              </w:rPr>
            </w:pPr>
          </w:p>
        </w:tc>
        <w:tc>
          <w:tcPr>
            <w:tcW w:w="9680" w:type="dxa"/>
            <w:vAlign w:val="bottom"/>
            <w:gridSpan w:val="25"/>
          </w:tcPr>
          <w:p>
            <w:pPr>
              <w:spacing w:after="0" w:line="14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Amendment and Restatement Agreement, dated as of August 15, 2022, among Westinghouse Air Brake Technologies Corporation, Wabtec Transportation</w:t>
              </w:r>
            </w:hyperlink>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r>
      <w:tr>
        <w:trPr>
          <w:trHeight w:val="118"/>
        </w:trPr>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7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Netherlands BV, the other loan parties hereto, the lenders party thereto, the issuing banks thereto, the swingline lender and PNC Bank, National Association</w:t>
              </w:r>
            </w:hyperlink>
          </w:p>
        </w:tc>
        <w:tc>
          <w:tcPr>
            <w:tcW w:w="940" w:type="dxa"/>
            <w:vAlign w:val="bottom"/>
            <w:gridSpan w:val="4"/>
          </w:tcPr>
          <w:p>
            <w:pPr>
              <w:ind w:left="120"/>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as</w:t>
              </w:r>
            </w:hyperlink>
          </w:p>
        </w:tc>
        <w:tc>
          <w:tcPr>
            <w:tcW w:w="580" w:type="dxa"/>
            <w:vAlign w:val="bottom"/>
          </w:tcPr>
          <w:p>
            <w:pPr>
              <w:spacing w:after="0"/>
              <w:rPr>
                <w:sz w:val="10"/>
                <w:szCs w:val="10"/>
                <w:color w:val="auto"/>
              </w:rPr>
            </w:pPr>
          </w:p>
        </w:tc>
      </w:tr>
      <w:tr>
        <w:trPr>
          <w:trHeight w:val="134"/>
        </w:trPr>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administrative agent (including the Amended and Restated Credit Agreement, as Annex I thereto).</w:t>
              </w:r>
            </w:hyperlink>
          </w:p>
        </w:tc>
        <w:tc>
          <w:tcPr>
            <w:tcW w:w="3400" w:type="dxa"/>
            <w:vAlign w:val="bottom"/>
            <w:tcBorders>
              <w:top w:val="single" w:sz="8" w:color="0000FF"/>
            </w:tcBorders>
            <w:gridSpan w:val="9"/>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4"/>
        </w:trPr>
        <w:tc>
          <w:tcPr>
            <w:tcW w:w="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10.16</w:t>
            </w:r>
          </w:p>
        </w:tc>
        <w:tc>
          <w:tcPr>
            <w:tcW w:w="320" w:type="dxa"/>
            <w:vAlign w:val="bottom"/>
            <w:shd w:val="clear" w:color="auto" w:fill="CCEEFF"/>
          </w:tcPr>
          <w:p>
            <w:pPr>
              <w:spacing w:after="0"/>
              <w:rPr>
                <w:sz w:val="13"/>
                <w:szCs w:val="13"/>
                <w:color w:val="auto"/>
              </w:rPr>
            </w:pPr>
          </w:p>
        </w:tc>
        <w:tc>
          <w:tcPr>
            <w:tcW w:w="9680" w:type="dxa"/>
            <w:vAlign w:val="bottom"/>
            <w:gridSpan w:val="2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Letter of Offer of Employment with Nicole Theophilus, dated July 9, 2024*</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r>
      <w:tr>
        <w:trPr>
          <w:trHeight w:val="32"/>
        </w:trPr>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49"/>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320" w:type="dxa"/>
            <w:vAlign w:val="bottom"/>
          </w:tcPr>
          <w:p>
            <w:pPr>
              <w:spacing w:after="0"/>
              <w:rPr>
                <w:sz w:val="12"/>
                <w:szCs w:val="12"/>
                <w:color w:val="auto"/>
              </w:rPr>
            </w:pPr>
          </w:p>
        </w:tc>
        <w:tc>
          <w:tcPr>
            <w:tcW w:w="9680" w:type="dxa"/>
            <w:vAlign w:val="bottom"/>
            <w:gridSpan w:val="25"/>
          </w:tcPr>
          <w:p>
            <w:pPr>
              <w:spacing w:after="0" w:line="14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Term Credit Agreement, dated as of March 14, 2024, among Westinghouse Air Brake Technologies Corporation, lenders party thereto and PNC Bank, National</w:t>
              </w:r>
            </w:hyperlink>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18"/>
        </w:trPr>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Association as administrative agent.</w:t>
              </w:r>
            </w:hyperlink>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2"/>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9"/>
        </w:trPr>
        <w:tc>
          <w:tcPr>
            <w:tcW w:w="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320" w:type="dxa"/>
            <w:vAlign w:val="bottom"/>
            <w:shd w:val="clear" w:color="auto" w:fill="CCEEFF"/>
          </w:tcPr>
          <w:p>
            <w:pPr>
              <w:spacing w:after="0"/>
              <w:rPr>
                <w:sz w:val="12"/>
                <w:szCs w:val="12"/>
                <w:color w:val="auto"/>
              </w:rPr>
            </w:pPr>
          </w:p>
        </w:tc>
        <w:tc>
          <w:tcPr>
            <w:tcW w:w="9680" w:type="dxa"/>
            <w:vAlign w:val="bottom"/>
            <w:gridSpan w:val="25"/>
            <w:shd w:val="clear" w:color="auto" w:fill="CCEEFF"/>
          </w:tcPr>
          <w:p>
            <w:pPr>
              <w:spacing w:after="0" w:line="149"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Severance and Employment Continuation Agreement entered into by the Company with John Olin, David DeNinno, Pascal Schweitzer, Eric Gebhardt, and</w:t>
              </w:r>
            </w:hyperlink>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r>
      <w:tr>
        <w:trPr>
          <w:trHeight w:val="118"/>
        </w:trPr>
        <w:tc>
          <w:tcPr>
            <w:tcW w:w="6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928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Nicole Theophilus*</w:t>
              </w:r>
            </w:hyperlink>
          </w:p>
        </w:tc>
        <w:tc>
          <w:tcPr>
            <w:tcW w:w="4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r>
      <w:tr>
        <w:trPr>
          <w:trHeight w:val="22"/>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320" w:type="dxa"/>
            <w:vAlign w:val="bottom"/>
          </w:tcPr>
          <w:p>
            <w:pPr>
              <w:spacing w:after="0"/>
              <w:rPr>
                <w:sz w:val="12"/>
                <w:szCs w:val="12"/>
                <w:color w:val="auto"/>
              </w:rPr>
            </w:pPr>
          </w:p>
        </w:tc>
        <w:tc>
          <w:tcPr>
            <w:tcW w:w="9680" w:type="dxa"/>
            <w:vAlign w:val="bottom"/>
            <w:gridSpan w:val="25"/>
          </w:tcPr>
          <w:p>
            <w:pPr>
              <w:spacing w:after="0" w:line="14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Westinghouse Air Brake Technologies Corporation Deferred Compensation Plan for Executives, dated October 21, 2021</w:t>
              </w:r>
            </w:hyperlink>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r>
      <w:tr>
        <w:trPr>
          <w:trHeight w:val="26"/>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6"/>
        </w:trPr>
        <w:tc>
          <w:tcPr>
            <w:tcW w:w="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10.20</w:t>
            </w:r>
          </w:p>
        </w:tc>
        <w:tc>
          <w:tcPr>
            <w:tcW w:w="320" w:type="dxa"/>
            <w:vAlign w:val="bottom"/>
            <w:shd w:val="clear" w:color="auto" w:fill="CCEEFF"/>
          </w:tcPr>
          <w:p>
            <w:pPr>
              <w:spacing w:after="0"/>
              <w:rPr>
                <w:sz w:val="14"/>
                <w:szCs w:val="14"/>
                <w:color w:val="auto"/>
              </w:rPr>
            </w:pPr>
          </w:p>
        </w:tc>
        <w:tc>
          <w:tcPr>
            <w:tcW w:w="9680" w:type="dxa"/>
            <w:vAlign w:val="bottom"/>
            <w:gridSpan w:val="25"/>
            <w:shd w:val="clear" w:color="auto" w:fill="CCEEFF"/>
          </w:tcPr>
          <w:p>
            <w:pPr>
              <w:spacing w:after="0" w:line="155"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Separation Agreement between Stephane Rambaud-Measson and Westinghouse Air Brake Technologies Corporation, dated as of February 13, 2019</w:t>
              </w:r>
            </w:hyperlink>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r>
      <w:tr>
        <w:trPr>
          <w:trHeight w:val="154"/>
        </w:trPr>
        <w:tc>
          <w:tcPr>
            <w:tcW w:w="68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320" w:type="dxa"/>
            <w:vAlign w:val="bottom"/>
            <w:tcBorders>
              <w:top w:val="single" w:sz="8" w:color="CCEEFF"/>
            </w:tcBorders>
          </w:tcPr>
          <w:p>
            <w:pPr>
              <w:spacing w:after="0"/>
              <w:rPr>
                <w:sz w:val="13"/>
                <w:szCs w:val="13"/>
                <w:color w:val="auto"/>
              </w:rPr>
            </w:pPr>
          </w:p>
        </w:tc>
        <w:tc>
          <w:tcPr>
            <w:tcW w:w="7580" w:type="dxa"/>
            <w:vAlign w:val="bottom"/>
            <w:tcBorders>
              <w:top w:val="single" w:sz="8" w:color="0000FF"/>
              <w:bottom w:val="single" w:sz="8" w:color="0000FF"/>
            </w:tcBorders>
            <w:gridSpan w:val="18"/>
          </w:tcPr>
          <w:p>
            <w:pPr>
              <w:spacing w:after="0" w:line="14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Transition Agreement between Raymond T. Betler and Westinghouse Air Brake Technologies Corporation, dated as of April 24, 2019</w:t>
              </w:r>
            </w:hyperlink>
          </w:p>
        </w:tc>
        <w:tc>
          <w:tcPr>
            <w:tcW w:w="800" w:type="dxa"/>
            <w:vAlign w:val="bottom"/>
            <w:tcBorders>
              <w:top w:val="single" w:sz="8" w:color="0000FF"/>
            </w:tcBorders>
            <w:gridSpan w:val="2"/>
          </w:tcPr>
          <w:p>
            <w:pPr>
              <w:spacing w:after="0"/>
              <w:rPr>
                <w:sz w:val="13"/>
                <w:szCs w:val="13"/>
                <w:color w:val="auto"/>
              </w:rPr>
            </w:pPr>
          </w:p>
        </w:tc>
        <w:tc>
          <w:tcPr>
            <w:tcW w:w="130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66"/>
        </w:trPr>
        <w:tc>
          <w:tcPr>
            <w:tcW w:w="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10.22</w:t>
            </w:r>
          </w:p>
        </w:tc>
        <w:tc>
          <w:tcPr>
            <w:tcW w:w="320" w:type="dxa"/>
            <w:vAlign w:val="bottom"/>
            <w:shd w:val="clear" w:color="auto" w:fill="CCEEFF"/>
          </w:tcPr>
          <w:p>
            <w:pPr>
              <w:spacing w:after="0"/>
              <w:rPr>
                <w:sz w:val="14"/>
                <w:szCs w:val="14"/>
                <w:color w:val="auto"/>
              </w:rPr>
            </w:pPr>
          </w:p>
        </w:tc>
        <w:tc>
          <w:tcPr>
            <w:tcW w:w="9680" w:type="dxa"/>
            <w:vAlign w:val="bottom"/>
            <w:gridSpan w:val="25"/>
            <w:shd w:val="clear" w:color="auto" w:fill="CCEEFF"/>
          </w:tcPr>
          <w:p>
            <w:pPr>
              <w:spacing w:after="0" w:line="155"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Severance and Employment Continuation Agreement of Rafael Santana dated as of December 5, 2022*</w:t>
              </w:r>
            </w:hyperlink>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w:t>
            </w:r>
          </w:p>
        </w:tc>
      </w:tr>
      <w:tr>
        <w:trPr>
          <w:trHeight w:val="154"/>
        </w:trPr>
        <w:tc>
          <w:tcPr>
            <w:tcW w:w="68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320" w:type="dxa"/>
            <w:vAlign w:val="bottom"/>
            <w:tcBorders>
              <w:top w:val="single" w:sz="8" w:color="CCEEFF"/>
            </w:tcBorders>
          </w:tcPr>
          <w:p>
            <w:pPr>
              <w:spacing w:after="0"/>
              <w:rPr>
                <w:sz w:val="13"/>
                <w:szCs w:val="13"/>
                <w:color w:val="auto"/>
              </w:rPr>
            </w:pPr>
          </w:p>
        </w:tc>
        <w:tc>
          <w:tcPr>
            <w:tcW w:w="5860" w:type="dxa"/>
            <w:vAlign w:val="bottom"/>
            <w:tcBorders>
              <w:top w:val="single" w:sz="8" w:color="0000FF"/>
            </w:tcBorders>
            <w:gridSpan w:val="15"/>
          </w:tcPr>
          <w:p>
            <w:pPr>
              <w:spacing w:after="0" w:line="14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Transition Agreement of Scott Wahlstrom dated as of November 25, 2020</w:t>
              </w:r>
            </w:hyperlink>
          </w:p>
        </w:tc>
        <w:tc>
          <w:tcPr>
            <w:tcW w:w="3820" w:type="dxa"/>
            <w:vAlign w:val="bottom"/>
            <w:tcBorders>
              <w:top w:val="single" w:sz="8" w:color="CCEEFF"/>
            </w:tcBorders>
            <w:gridSpan w:val="10"/>
          </w:tcPr>
          <w:p>
            <w:pPr>
              <w:spacing w:after="0"/>
              <w:rPr>
                <w:sz w:val="13"/>
                <w:szCs w:val="13"/>
                <w:color w:val="auto"/>
              </w:rPr>
            </w:pPr>
          </w:p>
        </w:tc>
        <w:tc>
          <w:tcPr>
            <w:tcW w:w="58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186"/>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320" w:type="dxa"/>
            <w:vAlign w:val="bottom"/>
            <w:shd w:val="clear" w:color="auto" w:fill="CCEEFF"/>
          </w:tcPr>
          <w:p>
            <w:pPr>
              <w:spacing w:after="0"/>
              <w:rPr>
                <w:sz w:val="16"/>
                <w:szCs w:val="16"/>
                <w:color w:val="auto"/>
              </w:rPr>
            </w:pPr>
          </w:p>
        </w:tc>
        <w:tc>
          <w:tcPr>
            <w:tcW w:w="4180" w:type="dxa"/>
            <w:vAlign w:val="bottom"/>
            <w:tcBorders>
              <w:top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w:t>
            </w:r>
          </w:p>
        </w:tc>
        <w:tc>
          <w:tcPr>
            <w:tcW w:w="5500" w:type="dxa"/>
            <w:vAlign w:val="bottom"/>
            <w:gridSpan w:val="15"/>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54"/>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320" w:type="dxa"/>
            <w:vAlign w:val="bottom"/>
          </w:tcPr>
          <w:p>
            <w:pPr>
              <w:spacing w:after="0"/>
              <w:rPr>
                <w:sz w:val="13"/>
                <w:szCs w:val="13"/>
                <w:color w:val="auto"/>
              </w:rPr>
            </w:pPr>
          </w:p>
        </w:tc>
        <w:tc>
          <w:tcPr>
            <w:tcW w:w="9680" w:type="dxa"/>
            <w:vAlign w:val="bottom"/>
            <w:gridSpan w:val="25"/>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Transition Agreement of Patrick A. Dugan, dated as of September 9, 2021</w:t>
              </w:r>
            </w:hyperlink>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r>
      <w:tr>
        <w:trPr>
          <w:trHeight w:val="166"/>
        </w:trPr>
        <w:tc>
          <w:tcPr>
            <w:tcW w:w="6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19.1</w:t>
            </w:r>
          </w:p>
        </w:tc>
        <w:tc>
          <w:tcPr>
            <w:tcW w:w="32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top w:val="single" w:sz="8" w:color="0000FF"/>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Wabtec Corporation Insider Trading Policy dated February 8, 2024</w:t>
            </w:r>
          </w:p>
        </w:tc>
        <w:tc>
          <w:tcPr>
            <w:tcW w:w="4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5480" w:type="dxa"/>
            <w:vAlign w:val="bottom"/>
            <w:tcBorders>
              <w:bottom w:val="single" w:sz="8" w:color="CCEEFF"/>
            </w:tcBorders>
            <w:gridSpan w:val="14"/>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r>
      <w:tr>
        <w:trPr>
          <w:trHeight w:val="154"/>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320" w:type="dxa"/>
            <w:vAlign w:val="bottom"/>
          </w:tcPr>
          <w:p>
            <w:pPr>
              <w:spacing w:after="0"/>
              <w:rPr>
                <w:sz w:val="13"/>
                <w:szCs w:val="13"/>
                <w:color w:val="auto"/>
              </w:rPr>
            </w:pPr>
          </w:p>
        </w:tc>
        <w:tc>
          <w:tcPr>
            <w:tcW w:w="968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List of subsidiaries of the Company</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54"/>
        </w:trPr>
        <w:tc>
          <w:tcPr>
            <w:tcW w:w="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22.0</w:t>
            </w:r>
          </w:p>
        </w:tc>
        <w:tc>
          <w:tcPr>
            <w:tcW w:w="320" w:type="dxa"/>
            <w:vAlign w:val="bottom"/>
            <w:shd w:val="clear" w:color="auto" w:fill="CCEEFF"/>
          </w:tcPr>
          <w:p>
            <w:pPr>
              <w:spacing w:after="0"/>
              <w:rPr>
                <w:sz w:val="13"/>
                <w:szCs w:val="13"/>
                <w:color w:val="auto"/>
              </w:rPr>
            </w:pPr>
          </w:p>
        </w:tc>
        <w:tc>
          <w:tcPr>
            <w:tcW w:w="2020" w:type="dxa"/>
            <w:vAlign w:val="bottom"/>
            <w:tcBorders>
              <w:top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List of Subsidiary Guarantors</w:t>
            </w:r>
          </w:p>
        </w:tc>
        <w:tc>
          <w:tcPr>
            <w:tcW w:w="7660" w:type="dxa"/>
            <w:vAlign w:val="bottom"/>
            <w:gridSpan w:val="20"/>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r>
      <w:tr>
        <w:trPr>
          <w:trHeight w:val="32"/>
        </w:trPr>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54"/>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3"/>
                <w:szCs w:val="13"/>
                <w:color w:val="auto"/>
              </w:rPr>
            </w:pPr>
          </w:p>
        </w:tc>
        <w:tc>
          <w:tcPr>
            <w:tcW w:w="180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9"/>
              </w:rPr>
              <w:t>Consent of Ernst &amp; Young LLP</w:t>
            </w:r>
          </w:p>
        </w:tc>
        <w:tc>
          <w:tcPr>
            <w:tcW w:w="7880" w:type="dxa"/>
            <w:vAlign w:val="bottom"/>
            <w:gridSpan w:val="21"/>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66"/>
        </w:trPr>
        <w:tc>
          <w:tcPr>
            <w:tcW w:w="6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31.1</w:t>
            </w:r>
          </w:p>
        </w:tc>
        <w:tc>
          <w:tcPr>
            <w:tcW w:w="3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0000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Rule 13a-14(a)/15d-14(a) Certifications</w:t>
            </w:r>
          </w:p>
        </w:tc>
        <w:tc>
          <w:tcPr>
            <w:tcW w:w="7420" w:type="dxa"/>
            <w:vAlign w:val="bottom"/>
            <w:tcBorders>
              <w:bottom w:val="single" w:sz="8" w:color="CCEEFF"/>
            </w:tcBorders>
            <w:gridSpan w:val="18"/>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r>
      <w:tr>
        <w:trPr>
          <w:trHeight w:val="154"/>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320" w:type="dxa"/>
            <w:vAlign w:val="bottom"/>
          </w:tcPr>
          <w:p>
            <w:pPr>
              <w:spacing w:after="0"/>
              <w:rPr>
                <w:sz w:val="13"/>
                <w:szCs w:val="13"/>
                <w:color w:val="auto"/>
              </w:rPr>
            </w:pPr>
          </w:p>
        </w:tc>
        <w:tc>
          <w:tcPr>
            <w:tcW w:w="226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Rule 13a-14(a)/15d-14(a) Certifications</w:t>
            </w:r>
          </w:p>
        </w:tc>
        <w:tc>
          <w:tcPr>
            <w:tcW w:w="7420" w:type="dxa"/>
            <w:vAlign w:val="bottom"/>
            <w:gridSpan w:val="18"/>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66"/>
        </w:trPr>
        <w:tc>
          <w:tcPr>
            <w:tcW w:w="6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32.1</w:t>
            </w:r>
          </w:p>
        </w:tc>
        <w:tc>
          <w:tcPr>
            <w:tcW w:w="3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Section 1350 Certifications</w:t>
            </w:r>
          </w:p>
        </w:tc>
        <w:tc>
          <w:tcPr>
            <w:tcW w:w="8120" w:type="dxa"/>
            <w:vAlign w:val="bottom"/>
            <w:tcBorders>
              <w:bottom w:val="single" w:sz="8" w:color="CCEEFF"/>
            </w:tcBorders>
            <w:gridSpan w:val="23"/>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r>
      <w:tr>
        <w:trPr>
          <w:trHeight w:val="154"/>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320" w:type="dxa"/>
            <w:vAlign w:val="bottom"/>
          </w:tcPr>
          <w:p>
            <w:pPr>
              <w:spacing w:after="0"/>
              <w:rPr>
                <w:sz w:val="13"/>
                <w:szCs w:val="13"/>
                <w:color w:val="auto"/>
              </w:rPr>
            </w:pPr>
          </w:p>
        </w:tc>
        <w:tc>
          <w:tcPr>
            <w:tcW w:w="3620" w:type="dxa"/>
            <w:vAlign w:val="bottom"/>
            <w:tcBorders>
              <w:bottom w:val="single" w:sz="8" w:color="0000FF"/>
            </w:tcBorders>
            <w:gridSpan w:val="8"/>
          </w:tcPr>
          <w:p>
            <w:pPr>
              <w:spacing w:after="0" w:line="14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Wabtec Corporation Clawback Policy effective October 2, 2023</w:t>
              </w:r>
            </w:hyperlink>
          </w:p>
        </w:tc>
        <w:tc>
          <w:tcPr>
            <w:tcW w:w="6060" w:type="dxa"/>
            <w:vAlign w:val="bottom"/>
            <w:gridSpan w:val="17"/>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86"/>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320" w:type="dxa"/>
            <w:vAlign w:val="bottom"/>
            <w:shd w:val="clear" w:color="auto" w:fill="CCEEFF"/>
          </w:tcPr>
          <w:p>
            <w:pPr>
              <w:spacing w:after="0"/>
              <w:rPr>
                <w:sz w:val="16"/>
                <w:szCs w:val="16"/>
                <w:color w:val="auto"/>
              </w:rPr>
            </w:pPr>
          </w:p>
        </w:tc>
        <w:tc>
          <w:tcPr>
            <w:tcW w:w="96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320" w:type="dxa"/>
            <w:vAlign w:val="bottom"/>
          </w:tcPr>
          <w:p>
            <w:pPr>
              <w:spacing w:after="0"/>
              <w:rPr>
                <w:sz w:val="15"/>
                <w:szCs w:val="15"/>
                <w:color w:val="auto"/>
              </w:rPr>
            </w:pPr>
          </w:p>
        </w:tc>
        <w:tc>
          <w:tcPr>
            <w:tcW w:w="968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320" w:type="dxa"/>
            <w:vAlign w:val="bottom"/>
            <w:shd w:val="clear" w:color="auto" w:fill="CCEEFF"/>
          </w:tcPr>
          <w:p>
            <w:pPr>
              <w:spacing w:after="0"/>
              <w:rPr>
                <w:sz w:val="15"/>
                <w:szCs w:val="15"/>
                <w:color w:val="auto"/>
              </w:rPr>
            </w:pPr>
          </w:p>
        </w:tc>
        <w:tc>
          <w:tcPr>
            <w:tcW w:w="96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320" w:type="dxa"/>
            <w:vAlign w:val="bottom"/>
          </w:tcPr>
          <w:p>
            <w:pPr>
              <w:spacing w:after="0"/>
              <w:rPr>
                <w:sz w:val="15"/>
                <w:szCs w:val="15"/>
                <w:color w:val="auto"/>
              </w:rPr>
            </w:pPr>
          </w:p>
        </w:tc>
        <w:tc>
          <w:tcPr>
            <w:tcW w:w="968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320" w:type="dxa"/>
            <w:vAlign w:val="bottom"/>
            <w:shd w:val="clear" w:color="auto" w:fill="CCEEFF"/>
          </w:tcPr>
          <w:p>
            <w:pPr>
              <w:spacing w:after="0"/>
              <w:rPr>
                <w:sz w:val="15"/>
                <w:szCs w:val="15"/>
                <w:color w:val="auto"/>
              </w:rPr>
            </w:pPr>
          </w:p>
        </w:tc>
        <w:tc>
          <w:tcPr>
            <w:tcW w:w="96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320" w:type="dxa"/>
            <w:vAlign w:val="bottom"/>
          </w:tcPr>
          <w:p>
            <w:pPr>
              <w:spacing w:after="0"/>
              <w:rPr>
                <w:sz w:val="15"/>
                <w:szCs w:val="15"/>
                <w:color w:val="auto"/>
              </w:rPr>
            </w:pPr>
          </w:p>
        </w:tc>
        <w:tc>
          <w:tcPr>
            <w:tcW w:w="968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shd w:val="clear" w:color="auto" w:fill="CCEEFF"/>
          </w:tcPr>
          <w:p>
            <w:pPr>
              <w:spacing w:after="0"/>
              <w:rPr>
                <w:sz w:val="15"/>
                <w:szCs w:val="15"/>
                <w:color w:val="auto"/>
              </w:rPr>
            </w:pPr>
          </w:p>
        </w:tc>
        <w:tc>
          <w:tcPr>
            <w:tcW w:w="96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Cover Page Interactive Data (embedded within the Inline XBRL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6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w:t>
            </w:r>
          </w:p>
        </w:tc>
        <w:tc>
          <w:tcPr>
            <w:tcW w:w="10000" w:type="dxa"/>
            <w:vAlign w:val="bottom"/>
            <w:gridSpan w:val="26"/>
          </w:tcPr>
          <w:p>
            <w:pPr>
              <w:ind w:left="40"/>
              <w:spacing w:after="0"/>
              <w:rPr>
                <w:sz w:val="20"/>
                <w:szCs w:val="20"/>
                <w:color w:val="auto"/>
              </w:rPr>
            </w:pPr>
            <w:r>
              <w:rPr>
                <w:rFonts w:ascii="Times New Roman" w:cs="Times New Roman" w:eastAsia="Times New Roman" w:hAnsi="Times New Roman"/>
                <w:sz w:val="14"/>
                <w:szCs w:val="14"/>
                <w:color w:val="auto"/>
              </w:rPr>
              <w:t>Filed herewith.</w:t>
            </w:r>
          </w:p>
        </w:tc>
        <w:tc>
          <w:tcPr>
            <w:tcW w:w="580" w:type="dxa"/>
            <w:vAlign w:val="bottom"/>
          </w:tcPr>
          <w:p>
            <w:pPr>
              <w:spacing w:after="0"/>
              <w:rPr>
                <w:sz w:val="23"/>
                <w:szCs w:val="23"/>
                <w:color w:val="auto"/>
              </w:rPr>
            </w:pPr>
          </w:p>
        </w:tc>
      </w:tr>
      <w:tr>
        <w:trPr>
          <w:trHeight w:val="297"/>
        </w:trPr>
        <w:tc>
          <w:tcPr>
            <w:tcW w:w="6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2</w:t>
            </w:r>
          </w:p>
        </w:tc>
        <w:tc>
          <w:tcPr>
            <w:tcW w:w="10000" w:type="dxa"/>
            <w:vAlign w:val="bottom"/>
            <w:gridSpan w:val="26"/>
          </w:tcPr>
          <w:p>
            <w:pPr>
              <w:ind w:left="40"/>
              <w:spacing w:after="0"/>
              <w:rPr>
                <w:sz w:val="20"/>
                <w:szCs w:val="20"/>
                <w:color w:val="auto"/>
              </w:rPr>
            </w:pPr>
            <w:r>
              <w:rPr>
                <w:rFonts w:ascii="Times New Roman" w:cs="Times New Roman" w:eastAsia="Times New Roman" w:hAnsi="Times New Roman"/>
                <w:sz w:val="14"/>
                <w:szCs w:val="14"/>
                <w:color w:val="auto"/>
              </w:rPr>
              <w:t>Filed as an exhibit to the Company’s Registration Statement on Form S-1 (File No. 033-90866).</w:t>
            </w:r>
          </w:p>
        </w:tc>
        <w:tc>
          <w:tcPr>
            <w:tcW w:w="580" w:type="dxa"/>
            <w:vAlign w:val="bottom"/>
          </w:tcPr>
          <w:p>
            <w:pPr>
              <w:spacing w:after="0"/>
              <w:rPr>
                <w:sz w:val="24"/>
                <w:szCs w:val="24"/>
                <w:color w:val="auto"/>
              </w:rPr>
            </w:pPr>
          </w:p>
        </w:tc>
      </w:tr>
    </w:tbl>
    <w:p>
      <w:pPr>
        <w:spacing w:after="0" w:line="113" w:lineRule="exact"/>
        <w:rPr>
          <w:sz w:val="20"/>
          <w:szCs w:val="20"/>
          <w:color w:val="auto"/>
        </w:rPr>
      </w:pPr>
    </w:p>
    <w:p>
      <w:pPr>
        <w:ind w:left="720" w:hanging="142"/>
        <w:spacing w:after="0"/>
        <w:tabs>
          <w:tab w:leader="none" w:pos="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for the period ended March 31, 2006.</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Filed as an Annex to the Company’s Schedule 14A Proxy Statement (File No. 033-90866) filed on March 31, 2017.</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Filed as an exhibit to the Company’s Current Report on Form 8-K (File No. 033-90866) filed on April 6, 2022.</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Filed as an exhibit to the Company’s Quarterly Report on Form 10-Q (File No. 033-90866) for the period ended September 30, 2008.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8" w:right="339" w:bottom="1440" w:gutter="0" w:footer="0" w:header="0"/>
        </w:sectPr>
      </w:pPr>
    </w:p>
    <w:bookmarkStart w:id="87" w:name="page88"/>
    <w:bookmarkEnd w:id="87"/>
    <w:p>
      <w:pPr>
        <w:ind w:left="74"/>
        <w:spacing w:after="0"/>
        <w:rPr>
          <w:sz w:val="20"/>
          <w:szCs w:val="20"/>
          <w:color w:val="auto"/>
        </w:rPr>
      </w:pPr>
      <w:r>
        <w:rPr>
          <w:rFonts w:ascii="Times New Roman" w:cs="Times New Roman" w:eastAsia="Times New Roman" w:hAnsi="Times New Roman"/>
          <w:sz w:val="14"/>
          <w:szCs w:val="14"/>
          <w:color w:val="auto"/>
        </w:rPr>
        <w:t>7 Filed as an exhibit to the Company’s Current Report on Form 8-K (File No. 033-90866) dated July 2, 2009.</w:t>
      </w:r>
    </w:p>
    <w:p>
      <w:pPr>
        <w:spacing w:after="0" w:line="136" w:lineRule="exact"/>
        <w:rPr>
          <w:sz w:val="20"/>
          <w:szCs w:val="20"/>
          <w:color w:val="auto"/>
        </w:rPr>
      </w:pPr>
    </w:p>
    <w:p>
      <w:pPr>
        <w:ind w:left="214" w:hanging="143"/>
        <w:spacing w:after="0"/>
        <w:tabs>
          <w:tab w:leader="none" w:pos="21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February 14, 2023.</w:t>
      </w:r>
    </w:p>
    <w:p>
      <w:pPr>
        <w:spacing w:after="0" w:line="136" w:lineRule="exact"/>
        <w:rPr>
          <w:rFonts w:ascii="Times New Roman" w:cs="Times New Roman" w:eastAsia="Times New Roman" w:hAnsi="Times New Roman"/>
          <w:sz w:val="14"/>
          <w:szCs w:val="14"/>
          <w:color w:val="auto"/>
        </w:rPr>
      </w:pPr>
    </w:p>
    <w:p>
      <w:pPr>
        <w:ind w:left="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Filed as an exhibit to the Company’s Annual Report on Form 10-K (File No. 033-90866), dated February 25, 2011.</w:t>
      </w:r>
    </w:p>
    <w:p>
      <w:pPr>
        <w:spacing w:after="0" w:line="136" w:lineRule="exact"/>
        <w:rPr>
          <w:sz w:val="20"/>
          <w:szCs w:val="20"/>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Annual Report on Form 10-K (File No. 033-90866), dated February 22, 2013.</w:t>
      </w:r>
    </w:p>
    <w:p>
      <w:pPr>
        <w:spacing w:after="0" w:line="136" w:lineRule="exact"/>
        <w:rPr>
          <w:rFonts w:ascii="Times New Roman" w:cs="Times New Roman" w:eastAsia="Times New Roman" w:hAnsi="Times New Roman"/>
          <w:sz w:val="14"/>
          <w:szCs w:val="14"/>
          <w:color w:val="auto"/>
        </w:rPr>
      </w:pPr>
    </w:p>
    <w:p>
      <w:pPr>
        <w:ind w:left="214" w:hanging="209"/>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September 9, 2019.</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August 8, 2013.</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October 6,2015.</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October 26, 2016.</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November 3, 2016.</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10-K (File No. 033-90866), dated February 28, 2017.</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for the period ended March 31, 2017.</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Registration Statement on Form S-4 (File No. 0333-219354).</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for the period ended June 30, 2018.</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September 14, 2018.</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February 25, 2019.</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Annual Report on Form 10-K (File No. 033-90866), dated February 27, 2019.</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dated August 1, 2019.</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dated May 9, 2019.</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June 29, 2020.</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December 7, 2022.</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June 2, 2021</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dated November 1, 2022.</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Current Report on Form 8-K (File No 033-90866), dated October 21, 2021</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for the period ended September 30, 2021.</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Annual Report on Form 10-K (File No. 033-90866), dated February 19, 2021.</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Registration Statement on Form S-8 (File No. 033-90866), dated March 2, 2012.</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Annual Report on Form 10-K (File No. 033-90866), dated February 14, 2024.</w:t>
      </w:r>
    </w:p>
    <w:p>
      <w:pPr>
        <w:spacing w:after="0" w:line="136" w:lineRule="exact"/>
        <w:rPr>
          <w:rFonts w:ascii="Times New Roman" w:cs="Times New Roman" w:eastAsia="Times New Roman" w:hAnsi="Times New Roman"/>
          <w:sz w:val="14"/>
          <w:szCs w:val="14"/>
          <w:color w:val="auto"/>
        </w:rPr>
      </w:pPr>
    </w:p>
    <w:p>
      <w:pPr>
        <w:ind w:left="214" w:hanging="214"/>
        <w:spacing w:after="0"/>
        <w:tabs>
          <w:tab w:leader="none" w:pos="21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Company's Quarterly Report on Form 10-Q (File No. 033-90866), dated April 24, 2024.</w:t>
      </w:r>
    </w:p>
    <w:p>
      <w:pPr>
        <w:spacing w:after="0" w:line="200" w:lineRule="exact"/>
        <w:rPr>
          <w:sz w:val="20"/>
          <w:szCs w:val="20"/>
          <w:color w:val="auto"/>
        </w:rPr>
      </w:pPr>
    </w:p>
    <w:p>
      <w:pPr>
        <w:spacing w:after="0" w:line="360" w:lineRule="exact"/>
        <w:rPr>
          <w:sz w:val="20"/>
          <w:szCs w:val="20"/>
          <w:color w:val="auto"/>
        </w:rPr>
      </w:pPr>
    </w:p>
    <w:p>
      <w:pPr>
        <w:ind w:left="5094"/>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73"/>
          </w:cols>
          <w:pgMar w:left="786" w:top="761" w:right="1440" w:bottom="1440" w:gutter="0" w:footer="0" w:header="0"/>
        </w:sectPr>
      </w:pPr>
    </w:p>
    <w:bookmarkStart w:id="88" w:name="page89"/>
    <w:bookmarkEnd w:id="88"/>
    <w:p>
      <w:pPr>
        <w:ind w:left="681" w:hanging="681"/>
        <w:spacing w:after="0"/>
        <w:tabs>
          <w:tab w:leader="none" w:pos="68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w:t>
      </w:r>
    </w:p>
    <w:p>
      <w:pPr>
        <w:spacing w:after="0" w:line="23" w:lineRule="exact"/>
        <w:rPr>
          <w:sz w:val="20"/>
          <w:szCs w:val="20"/>
          <w:color w:val="auto"/>
        </w:rPr>
      </w:pPr>
    </w:p>
    <w:p>
      <w:pPr>
        <w:ind w:left="681" w:hanging="681"/>
        <w:spacing w:after="0" w:line="237" w:lineRule="auto"/>
        <w:tabs>
          <w:tab w:leader="none" w:pos="68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1"/>
          </w:cols>
          <w:pgMar w:left="319" w:top="761" w:right="6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SCHEDULE II</w:t>
            </w: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80" w:type="dxa"/>
            <w:vAlign w:val="bottom"/>
            <w:gridSpan w:val="8"/>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80" w:type="dxa"/>
            <w:vAlign w:val="bottom"/>
            <w:gridSpan w:val="8"/>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each of the three years ended December 31</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Charged to</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Charged/ (credited) to</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Deductions</w:t>
            </w:r>
          </w:p>
        </w:tc>
        <w:tc>
          <w:tcPr>
            <w:tcW w:w="26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0" w:type="dxa"/>
            <w:vAlign w:val="bottom"/>
          </w:tcPr>
          <w:p>
            <w:pPr>
              <w:spacing w:after="0"/>
              <w:rPr>
                <w:sz w:val="1"/>
                <w:szCs w:val="1"/>
                <w:color w:val="auto"/>
              </w:rPr>
            </w:pPr>
          </w:p>
        </w:tc>
      </w:tr>
      <w:tr>
        <w:trPr>
          <w:trHeight w:val="127"/>
        </w:trPr>
        <w:tc>
          <w:tcPr>
            <w:tcW w:w="5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beginning</w:t>
            </w: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0" w:type="dxa"/>
            <w:vAlign w:val="bottom"/>
          </w:tcPr>
          <w:p>
            <w:pPr>
              <w:ind w:left="48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26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at end of</w:t>
            </w:r>
          </w:p>
        </w:tc>
        <w:tc>
          <w:tcPr>
            <w:tcW w:w="0" w:type="dxa"/>
            <w:vAlign w:val="bottom"/>
          </w:tcPr>
          <w:p>
            <w:pPr>
              <w:spacing w:after="0"/>
              <w:rPr>
                <w:sz w:val="1"/>
                <w:szCs w:val="1"/>
                <w:color w:val="auto"/>
              </w:rPr>
            </w:pPr>
          </w:p>
        </w:tc>
      </w:tr>
      <w:tr>
        <w:trPr>
          <w:trHeight w:val="127"/>
        </w:trPr>
        <w:tc>
          <w:tcPr>
            <w:tcW w:w="25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of period</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expense</w:t>
            </w:r>
          </w:p>
        </w:tc>
        <w:tc>
          <w:tcPr>
            <w:tcW w:w="1000" w:type="dxa"/>
            <w:vAlign w:val="bottom"/>
          </w:tcPr>
          <w:p>
            <w:pPr>
              <w:ind w:left="300"/>
              <w:spacing w:after="0" w:line="107" w:lineRule="exact"/>
              <w:rPr>
                <w:sz w:val="20"/>
                <w:szCs w:val="20"/>
                <w:color w:val="auto"/>
              </w:rPr>
            </w:pPr>
            <w:r>
              <w:rPr>
                <w:rFonts w:ascii="Times New Roman" w:cs="Times New Roman" w:eastAsia="Times New Roman" w:hAnsi="Times New Roman"/>
                <w:sz w:val="12"/>
                <w:szCs w:val="12"/>
                <w:b w:val="1"/>
                <w:bCs w:val="1"/>
                <w:color w:val="auto"/>
              </w:rPr>
              <w:t>accounts (1)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reserves (2)</w:t>
            </w:r>
          </w:p>
        </w:tc>
        <w:tc>
          <w:tcPr>
            <w:tcW w:w="260" w:type="dxa"/>
            <w:vAlign w:val="bottom"/>
          </w:tcPr>
          <w:p>
            <w:pPr>
              <w:spacing w:after="0"/>
              <w:rPr>
                <w:sz w:val="11"/>
                <w:szCs w:val="11"/>
                <w:color w:val="auto"/>
              </w:rPr>
            </w:pPr>
          </w:p>
        </w:tc>
        <w:tc>
          <w:tcPr>
            <w:tcW w:w="1120" w:type="dxa"/>
            <w:vAlign w:val="bottom"/>
            <w:gridSpan w:val="2"/>
          </w:tcPr>
          <w:p>
            <w:pPr>
              <w:jc w:val="center"/>
              <w:ind w:right="300"/>
              <w:spacing w:after="0" w:line="107" w:lineRule="exact"/>
              <w:rPr>
                <w:sz w:val="20"/>
                <w:szCs w:val="20"/>
                <w:color w:val="auto"/>
              </w:rPr>
            </w:pPr>
            <w:r>
              <w:rPr>
                <w:rFonts w:ascii="Times New Roman" w:cs="Times New Roman" w:eastAsia="Times New Roman" w:hAnsi="Times New Roman"/>
                <w:sz w:val="12"/>
                <w:szCs w:val="12"/>
                <w:b w:val="1"/>
                <w:bCs w:val="1"/>
                <w:color w:val="auto"/>
              </w:rPr>
              <w:t>period</w:t>
            </w:r>
          </w:p>
        </w:tc>
        <w:tc>
          <w:tcPr>
            <w:tcW w:w="0" w:type="dxa"/>
            <w:vAlign w:val="bottom"/>
          </w:tcPr>
          <w:p>
            <w:pPr>
              <w:spacing w:after="0"/>
              <w:rPr>
                <w:sz w:val="1"/>
                <w:szCs w:val="1"/>
                <w:color w:val="auto"/>
              </w:rPr>
            </w:pPr>
          </w:p>
        </w:tc>
      </w:tr>
      <w:tr>
        <w:trPr>
          <w:trHeight w:val="22"/>
        </w:trPr>
        <w:tc>
          <w:tcPr>
            <w:tcW w:w="52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2024</w:t>
            </w:r>
          </w:p>
        </w:tc>
        <w:tc>
          <w:tcPr>
            <w:tcW w:w="20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80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2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allowance-taxes</w:t>
            </w:r>
          </w:p>
        </w:tc>
        <w:tc>
          <w:tcPr>
            <w:tcW w:w="18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8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Valuation allowance-taxes</w:t>
            </w:r>
          </w:p>
        </w:tc>
        <w:tc>
          <w:tcPr>
            <w:tcW w:w="180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2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80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2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allowance-taxes</w:t>
            </w:r>
          </w:p>
        </w:tc>
        <w:tc>
          <w:tcPr>
            <w:tcW w:w="18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hanging="252"/>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fluctuations in foreign currency exchange rates.</w:t>
      </w:r>
    </w:p>
    <w:p>
      <w:pPr>
        <w:spacing w:after="0" w:line="23" w:lineRule="exact"/>
        <w:rPr>
          <w:rFonts w:ascii="Times New Roman" w:cs="Times New Roman" w:eastAsia="Times New Roman" w:hAnsi="Times New Roman"/>
          <w:sz w:val="14"/>
          <w:szCs w:val="14"/>
          <w:color w:val="auto"/>
        </w:rPr>
      </w:pPr>
    </w:p>
    <w:p>
      <w:pPr>
        <w:ind w:left="440" w:right="420" w:hanging="252"/>
        <w:spacing w:after="0" w:line="266" w:lineRule="auto"/>
        <w:tabs>
          <w:tab w:leader="none" w:pos="43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in Allowance for doubtful accounts are from amounts written off as uncollectible or proceeds from subsequent collections. Deductions for Valuation allowances-taxes were primarily from changes in expected deferred tax utilization.</w:t>
      </w:r>
    </w:p>
    <w:p>
      <w:pPr>
        <w:spacing w:after="0" w:line="83"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40" w:top="727" w:right="319" w:bottom="1440" w:gutter="0" w:footer="0" w:header="0"/>
        </w:sectPr>
      </w:pPr>
    </w:p>
    <w:bookmarkStart w:id="90" w:name="page91"/>
    <w:bookmarkEnd w:id="90"/>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4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WESTINGHOUSE AIR BRAKE</w:t>
      </w:r>
    </w:p>
    <w:p>
      <w:pPr>
        <w:ind w:left="5720"/>
        <w:spacing w:after="0"/>
        <w:rPr>
          <w:sz w:val="20"/>
          <w:szCs w:val="20"/>
          <w:color w:val="auto"/>
        </w:rPr>
      </w:pPr>
      <w:r>
        <w:rPr>
          <w:rFonts w:ascii="Times New Roman" w:cs="Times New Roman" w:eastAsia="Times New Roman" w:hAnsi="Times New Roman"/>
          <w:sz w:val="14"/>
          <w:szCs w:val="14"/>
          <w:color w:val="auto"/>
        </w:rPr>
        <w:t>TECHNOLOGIES CORPORATION</w:t>
      </w:r>
    </w:p>
    <w:p>
      <w:pPr>
        <w:spacing w:after="0" w:line="194" w:lineRule="exact"/>
        <w:rPr>
          <w:sz w:val="20"/>
          <w:szCs w:val="20"/>
          <w:color w:val="auto"/>
        </w:rPr>
      </w:pPr>
    </w:p>
    <w:p>
      <w:pPr>
        <w:ind w:left="60"/>
        <w:spacing w:after="0"/>
        <w:tabs>
          <w:tab w:leader="none" w:pos="760" w:val="left"/>
          <w:tab w:leader="none" w:pos="6080" w:val="left"/>
          <w:tab w:leader="none" w:pos="8020" w:val="left"/>
          <w:tab w:leader="none" w:pos="83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55245</wp:posOffset>
            </wp:positionV>
            <wp:extent cx="31527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6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1"/>
          <w:szCs w:val="11"/>
          <w:b w:val="1"/>
          <w:bCs w:val="1"/>
          <w:color w:val="auto"/>
        </w:rPr>
        <w:t>Rafael Santana,</w:t>
      </w:r>
    </w:p>
    <w:p>
      <w:pPr>
        <w:spacing w:after="0" w:line="3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727" w:right="499" w:bottom="1440" w:gutter="0" w:footer="0" w:header="0"/>
        </w:sectPr>
      </w:pPr>
    </w:p>
    <w:bookmarkStart w:id="91" w:name="page92"/>
    <w:bookmarkEnd w:id="91"/>
    <w:p>
      <w:pPr>
        <w:ind w:right="280" w:firstLine="38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Company and in the capacities and on the dates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20" w:type="dxa"/>
            <w:vAlign w:val="bottom"/>
            <w:gridSpan w:val="2"/>
          </w:tcPr>
          <w:p>
            <w:pPr>
              <w:jc w:val="center"/>
              <w:ind w:right="2041"/>
              <w:spacing w:after="0"/>
              <w:rPr>
                <w:sz w:val="20"/>
                <w:szCs w:val="20"/>
                <w:color w:val="auto"/>
              </w:rPr>
            </w:pPr>
            <w:r>
              <w:rPr>
                <w:rFonts w:ascii="Times New Roman" w:cs="Times New Roman" w:eastAsia="Times New Roman" w:hAnsi="Times New Roman"/>
                <w:sz w:val="11"/>
                <w:szCs w:val="11"/>
                <w:b w:val="1"/>
                <w:bCs w:val="1"/>
                <w:color w:val="auto"/>
              </w:rPr>
              <w:t>Signature and Title</w:t>
            </w:r>
          </w:p>
        </w:tc>
        <w:tc>
          <w:tcPr>
            <w:tcW w:w="5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72"/>
        </w:trPr>
        <w:tc>
          <w:tcPr>
            <w:tcW w:w="1020" w:type="dxa"/>
            <w:vAlign w:val="bottom"/>
          </w:tcPr>
          <w:p>
            <w:pPr>
              <w:spacing w:after="0"/>
              <w:rPr>
                <w:sz w:val="6"/>
                <w:szCs w:val="6"/>
                <w:color w:val="auto"/>
              </w:rPr>
            </w:pPr>
          </w:p>
        </w:tc>
        <w:tc>
          <w:tcPr>
            <w:tcW w:w="5220" w:type="dxa"/>
            <w:vAlign w:val="bottom"/>
            <w:tcBorders>
              <w:bottom w:val="single" w:sz="8" w:color="auto"/>
            </w:tcBorders>
            <w:gridSpan w:val="4"/>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r>
      <w:tr>
        <w:trPr>
          <w:trHeight w:val="29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/S/  ALBERT J. NEUPAVER</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120" w:type="dxa"/>
            <w:vAlign w:val="bottom"/>
            <w:gridSpan w:val="2"/>
          </w:tcPr>
          <w:p>
            <w:pPr>
              <w:jc w:val="center"/>
              <w:ind w:right="2041"/>
              <w:spacing w:after="0" w:line="99" w:lineRule="exact"/>
              <w:rPr>
                <w:sz w:val="20"/>
                <w:szCs w:val="20"/>
                <w:color w:val="auto"/>
              </w:rPr>
            </w:pPr>
            <w:r>
              <w:rPr>
                <w:rFonts w:ascii="Times New Roman" w:cs="Times New Roman" w:eastAsia="Times New Roman" w:hAnsi="Times New Roman"/>
                <w:sz w:val="11"/>
                <w:szCs w:val="11"/>
                <w:b w:val="1"/>
                <w:bCs w:val="1"/>
                <w:color w:val="auto"/>
              </w:rPr>
              <w:t>Albert J. Neupaver,</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40" w:type="dxa"/>
            <w:vAlign w:val="bottom"/>
            <w:gridSpan w:val="3"/>
          </w:tcPr>
          <w:p>
            <w:pPr>
              <w:jc w:val="center"/>
              <w:ind w:right="1721"/>
              <w:spacing w:after="0"/>
              <w:rPr>
                <w:sz w:val="20"/>
                <w:szCs w:val="20"/>
                <w:color w:val="auto"/>
              </w:rPr>
            </w:pPr>
            <w:r>
              <w:rPr>
                <w:rFonts w:ascii="Times New Roman" w:cs="Times New Roman" w:eastAsia="Times New Roman" w:hAnsi="Times New Roman"/>
                <w:sz w:val="11"/>
                <w:szCs w:val="11"/>
                <w:b w:val="1"/>
                <w:bCs w:val="1"/>
                <w:color w:val="auto"/>
              </w:rPr>
              <w:t>Chairman of the Board</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w:t>
            </w:r>
          </w:p>
        </w:tc>
        <w:tc>
          <w:tcPr>
            <w:tcW w:w="3120" w:type="dxa"/>
            <w:vAlign w:val="bottom"/>
            <w:tcBorders>
              <w:bottom w:val="single" w:sz="8" w:color="auto"/>
            </w:tcBorders>
            <w:gridSpan w:val="2"/>
          </w:tcPr>
          <w:p>
            <w:pPr>
              <w:jc w:val="center"/>
              <w:ind w:right="1741"/>
              <w:spacing w:after="0"/>
              <w:rPr>
                <w:sz w:val="20"/>
                <w:szCs w:val="20"/>
                <w:color w:val="auto"/>
              </w:rPr>
            </w:pPr>
            <w:r>
              <w:rPr>
                <w:rFonts w:ascii="Times New Roman" w:cs="Times New Roman" w:eastAsia="Times New Roman" w:hAnsi="Times New Roman"/>
                <w:sz w:val="14"/>
                <w:szCs w:val="14"/>
                <w:color w:val="auto"/>
                <w:w w:val="99"/>
              </w:rPr>
              <w:t>RAFAEL SANTANA</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Rafael Santana,</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52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 and Director (Principal Executive Officer)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/S/</w:t>
            </w:r>
          </w:p>
        </w:tc>
        <w:tc>
          <w:tcPr>
            <w:tcW w:w="3020" w:type="dxa"/>
            <w:vAlign w:val="bottom"/>
            <w:tcBorders>
              <w:bottom w:val="single" w:sz="8" w:color="auto"/>
            </w:tcBorders>
          </w:tcPr>
          <w:p>
            <w:pPr>
              <w:jc w:val="center"/>
              <w:ind w:right="1881"/>
              <w:spacing w:after="0"/>
              <w:rPr>
                <w:sz w:val="20"/>
                <w:szCs w:val="20"/>
                <w:color w:val="auto"/>
              </w:rPr>
            </w:pPr>
            <w:r>
              <w:rPr>
                <w:rFonts w:ascii="Times New Roman" w:cs="Times New Roman" w:eastAsia="Times New Roman" w:hAnsi="Times New Roman"/>
                <w:sz w:val="14"/>
                <w:szCs w:val="14"/>
                <w:color w:val="auto"/>
              </w:rPr>
              <w:t>JOHN A. OLIN</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John A. Olin,</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52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 (Principal Financial Officer)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/S/</w:t>
            </w:r>
          </w:p>
        </w:tc>
        <w:tc>
          <w:tcPr>
            <w:tcW w:w="3440" w:type="dxa"/>
            <w:vAlign w:val="bottom"/>
            <w:tcBorders>
              <w:bottom w:val="single" w:sz="8" w:color="auto"/>
            </w:tcBorders>
            <w:gridSpan w:val="3"/>
          </w:tcPr>
          <w:p>
            <w:pPr>
              <w:jc w:val="center"/>
              <w:ind w:right="1741"/>
              <w:spacing w:after="0"/>
              <w:rPr>
                <w:sz w:val="20"/>
                <w:szCs w:val="20"/>
                <w:color w:val="auto"/>
              </w:rPr>
            </w:pPr>
            <w:r>
              <w:rPr>
                <w:rFonts w:ascii="Times New Roman" w:cs="Times New Roman" w:eastAsia="Times New Roman" w:hAnsi="Times New Roman"/>
                <w:sz w:val="14"/>
                <w:szCs w:val="14"/>
                <w:color w:val="auto"/>
                <w:w w:val="99"/>
              </w:rPr>
              <w:t>JOHN A. MASTALERZ</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120" w:type="dxa"/>
            <w:vAlign w:val="bottom"/>
            <w:gridSpan w:val="2"/>
          </w:tcPr>
          <w:p>
            <w:pPr>
              <w:jc w:val="center"/>
              <w:ind w:right="2041"/>
              <w:spacing w:after="0" w:line="99" w:lineRule="exact"/>
              <w:rPr>
                <w:sz w:val="20"/>
                <w:szCs w:val="20"/>
                <w:color w:val="auto"/>
              </w:rPr>
            </w:pPr>
            <w:r>
              <w:rPr>
                <w:rFonts w:ascii="Times New Roman" w:cs="Times New Roman" w:eastAsia="Times New Roman" w:hAnsi="Times New Roman"/>
                <w:sz w:val="11"/>
                <w:szCs w:val="11"/>
                <w:b w:val="1"/>
                <w:bCs w:val="1"/>
                <w:color w:val="auto"/>
              </w:rPr>
              <w:t>John A. Mastalerz,</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52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Senior Vice President and Principal Accounting Officer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w:t>
            </w:r>
          </w:p>
        </w:tc>
        <w:tc>
          <w:tcPr>
            <w:tcW w:w="3120" w:type="dxa"/>
            <w:vAlign w:val="bottom"/>
            <w:tcBorders>
              <w:bottom w:val="single" w:sz="8" w:color="auto"/>
            </w:tcBorders>
            <w:gridSpan w:val="2"/>
          </w:tcPr>
          <w:p>
            <w:pPr>
              <w:jc w:val="center"/>
              <w:ind w:right="1741"/>
              <w:spacing w:after="0"/>
              <w:rPr>
                <w:sz w:val="20"/>
                <w:szCs w:val="20"/>
                <w:color w:val="auto"/>
              </w:rPr>
            </w:pPr>
            <w:r>
              <w:rPr>
                <w:rFonts w:ascii="Times New Roman" w:cs="Times New Roman" w:eastAsia="Times New Roman" w:hAnsi="Times New Roman"/>
                <w:sz w:val="14"/>
                <w:szCs w:val="14"/>
                <w:color w:val="auto"/>
                <w:w w:val="99"/>
              </w:rPr>
              <w:t>LINDA A. HARTY</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Linda A. Harty,</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61"/>
              <w:spacing w:after="0"/>
              <w:rPr>
                <w:sz w:val="20"/>
                <w:szCs w:val="20"/>
                <w:color w:val="auto"/>
              </w:rPr>
            </w:pPr>
            <w:r>
              <w:rPr>
                <w:rFonts w:ascii="Times New Roman" w:cs="Times New Roman" w:eastAsia="Times New Roman" w:hAnsi="Times New Roman"/>
                <w:sz w:val="11"/>
                <w:szCs w:val="11"/>
                <w:b w:val="1"/>
                <w:bCs w:val="1"/>
                <w:color w:val="auto"/>
              </w:rPr>
              <w:t>Lead Director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/S/</w:t>
            </w:r>
          </w:p>
        </w:tc>
        <w:tc>
          <w:tcPr>
            <w:tcW w:w="3440" w:type="dxa"/>
            <w:vAlign w:val="bottom"/>
            <w:tcBorders>
              <w:bottom w:val="single" w:sz="8" w:color="auto"/>
            </w:tcBorders>
            <w:gridSpan w:val="3"/>
          </w:tcPr>
          <w:p>
            <w:pPr>
              <w:jc w:val="center"/>
              <w:ind w:right="1721"/>
              <w:spacing w:after="0"/>
              <w:rPr>
                <w:sz w:val="20"/>
                <w:szCs w:val="20"/>
                <w:color w:val="auto"/>
              </w:rPr>
            </w:pPr>
            <w:r>
              <w:rPr>
                <w:rFonts w:ascii="Times New Roman" w:cs="Times New Roman" w:eastAsia="Times New Roman" w:hAnsi="Times New Roman"/>
                <w:sz w:val="14"/>
                <w:szCs w:val="14"/>
                <w:color w:val="auto"/>
              </w:rPr>
              <w:t>BEVERLEY BABCOCK</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120" w:type="dxa"/>
            <w:vAlign w:val="bottom"/>
            <w:gridSpan w:val="2"/>
          </w:tcPr>
          <w:p>
            <w:pPr>
              <w:jc w:val="center"/>
              <w:ind w:right="2041"/>
              <w:spacing w:after="0" w:line="99" w:lineRule="exact"/>
              <w:rPr>
                <w:sz w:val="20"/>
                <w:szCs w:val="20"/>
                <w:color w:val="auto"/>
              </w:rPr>
            </w:pPr>
            <w:r>
              <w:rPr>
                <w:rFonts w:ascii="Times New Roman" w:cs="Times New Roman" w:eastAsia="Times New Roman" w:hAnsi="Times New Roman"/>
                <w:sz w:val="11"/>
                <w:szCs w:val="11"/>
                <w:b w:val="1"/>
                <w:bCs w:val="1"/>
                <w:color w:val="auto"/>
              </w:rPr>
              <w:t>Beverley Babcock,</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w:t>
            </w: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2161"/>
              <w:spacing w:after="0"/>
              <w:rPr>
                <w:sz w:val="20"/>
                <w:szCs w:val="20"/>
                <w:color w:val="auto"/>
              </w:rPr>
            </w:pPr>
            <w:r>
              <w:rPr>
                <w:rFonts w:ascii="Times New Roman" w:cs="Times New Roman" w:eastAsia="Times New Roman" w:hAnsi="Times New Roman"/>
                <w:sz w:val="14"/>
                <w:szCs w:val="14"/>
                <w:color w:val="auto"/>
                <w:w w:val="99"/>
              </w:rPr>
              <w:t>LEE BANKS</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Lee Banks,</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89"/>
              </w:rPr>
              <w:t>/S/</w:t>
            </w: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841"/>
              <w:spacing w:after="0"/>
              <w:rPr>
                <w:sz w:val="20"/>
                <w:szCs w:val="20"/>
                <w:color w:val="auto"/>
              </w:rPr>
            </w:pPr>
            <w:r>
              <w:rPr>
                <w:rFonts w:ascii="Times New Roman" w:cs="Times New Roman" w:eastAsia="Times New Roman" w:hAnsi="Times New Roman"/>
                <w:sz w:val="14"/>
                <w:szCs w:val="14"/>
                <w:color w:val="auto"/>
                <w:w w:val="99"/>
              </w:rPr>
              <w:t>BYRON FOSTER</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Byron Foster,</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05"/>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3120" w:type="dxa"/>
            <w:vAlign w:val="bottom"/>
            <w:tcBorders>
              <w:bottom w:val="single" w:sz="8" w:color="auto"/>
            </w:tcBorders>
            <w:gridSpan w:val="2"/>
          </w:tcPr>
          <w:p>
            <w:pPr>
              <w:jc w:val="center"/>
              <w:ind w:right="2021"/>
              <w:spacing w:after="0"/>
              <w:rPr>
                <w:sz w:val="20"/>
                <w:szCs w:val="20"/>
                <w:color w:val="auto"/>
              </w:rPr>
            </w:pPr>
            <w:r>
              <w:rPr>
                <w:rFonts w:ascii="Times New Roman" w:cs="Times New Roman" w:eastAsia="Times New Roman" w:hAnsi="Times New Roman"/>
                <w:sz w:val="14"/>
                <w:szCs w:val="14"/>
                <w:color w:val="auto"/>
                <w:w w:val="99"/>
              </w:rPr>
              <w:t>BRIAN P. HEHIR</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61"/>
              <w:spacing w:after="0" w:line="99" w:lineRule="exact"/>
              <w:rPr>
                <w:sz w:val="20"/>
                <w:szCs w:val="20"/>
                <w:color w:val="auto"/>
              </w:rPr>
            </w:pPr>
            <w:r>
              <w:rPr>
                <w:rFonts w:ascii="Times New Roman" w:cs="Times New Roman" w:eastAsia="Times New Roman" w:hAnsi="Times New Roman"/>
                <w:sz w:val="11"/>
                <w:szCs w:val="11"/>
                <w:b w:val="1"/>
                <w:bCs w:val="1"/>
                <w:color w:val="auto"/>
                <w:w w:val="99"/>
              </w:rPr>
              <w:t>Brian P. Hehir,</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4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/S/</w:t>
            </w:r>
          </w:p>
        </w:tc>
        <w:tc>
          <w:tcPr>
            <w:tcW w:w="3440" w:type="dxa"/>
            <w:vAlign w:val="bottom"/>
            <w:tcBorders>
              <w:bottom w:val="single" w:sz="8" w:color="auto"/>
            </w:tcBorders>
            <w:gridSpan w:val="3"/>
          </w:tcPr>
          <w:p>
            <w:pPr>
              <w:jc w:val="center"/>
              <w:ind w:right="1701"/>
              <w:spacing w:after="0"/>
              <w:rPr>
                <w:sz w:val="20"/>
                <w:szCs w:val="20"/>
                <w:color w:val="auto"/>
              </w:rPr>
            </w:pPr>
            <w:r>
              <w:rPr>
                <w:rFonts w:ascii="Times New Roman" w:cs="Times New Roman" w:eastAsia="Times New Roman" w:hAnsi="Times New Roman"/>
                <w:sz w:val="14"/>
                <w:szCs w:val="14"/>
                <w:color w:val="auto"/>
              </w:rPr>
              <w:t>WILLIAM E. KASSLING</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120" w:type="dxa"/>
            <w:vAlign w:val="bottom"/>
            <w:gridSpan w:val="2"/>
          </w:tcPr>
          <w:p>
            <w:pPr>
              <w:jc w:val="center"/>
              <w:ind w:right="2041"/>
              <w:spacing w:after="0" w:line="99" w:lineRule="exact"/>
              <w:rPr>
                <w:sz w:val="20"/>
                <w:szCs w:val="20"/>
                <w:color w:val="auto"/>
              </w:rPr>
            </w:pPr>
            <w:r>
              <w:rPr>
                <w:rFonts w:ascii="Times New Roman" w:cs="Times New Roman" w:eastAsia="Times New Roman" w:hAnsi="Times New Roman"/>
                <w:sz w:val="11"/>
                <w:szCs w:val="11"/>
                <w:b w:val="1"/>
                <w:bCs w:val="1"/>
                <w:color w:val="auto"/>
              </w:rPr>
              <w:t>William E. Kassling,</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w:t>
            </w:r>
          </w:p>
        </w:tc>
        <w:tc>
          <w:tcPr>
            <w:tcW w:w="3120" w:type="dxa"/>
            <w:vAlign w:val="bottom"/>
            <w:tcBorders>
              <w:bottom w:val="single" w:sz="8" w:color="auto"/>
            </w:tcBorders>
            <w:gridSpan w:val="2"/>
          </w:tcPr>
          <w:p>
            <w:pPr>
              <w:jc w:val="center"/>
              <w:ind w:right="2041"/>
              <w:spacing w:after="0"/>
              <w:rPr>
                <w:sz w:val="20"/>
                <w:szCs w:val="20"/>
                <w:color w:val="auto"/>
              </w:rPr>
            </w:pPr>
            <w:r>
              <w:rPr>
                <w:rFonts w:ascii="Times New Roman" w:cs="Times New Roman" w:eastAsia="Times New Roman" w:hAnsi="Times New Roman"/>
                <w:sz w:val="14"/>
                <w:szCs w:val="14"/>
                <w:color w:val="auto"/>
              </w:rPr>
              <w:t>ANN R. KLEE</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Ann R. Klee,</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r>
        <w:trPr>
          <w:trHeight w:val="31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w w:val="89"/>
              </w:rPr>
              <w:t>/S/</w:t>
            </w:r>
          </w:p>
        </w:tc>
        <w:tc>
          <w:tcPr>
            <w:tcW w:w="3020" w:type="dxa"/>
            <w:vAlign w:val="bottom"/>
            <w:tcBorders>
              <w:bottom w:val="single" w:sz="8" w:color="auto"/>
            </w:tcBorders>
          </w:tcPr>
          <w:p>
            <w:pPr>
              <w:jc w:val="center"/>
              <w:ind w:right="1841"/>
              <w:spacing w:after="0"/>
              <w:rPr>
                <w:sz w:val="20"/>
                <w:szCs w:val="20"/>
                <w:color w:val="auto"/>
              </w:rPr>
            </w:pPr>
            <w:r>
              <w:rPr>
                <w:rFonts w:ascii="Times New Roman" w:cs="Times New Roman" w:eastAsia="Times New Roman" w:hAnsi="Times New Roman"/>
                <w:sz w:val="14"/>
                <w:szCs w:val="14"/>
                <w:color w:val="auto"/>
              </w:rPr>
              <w:t>JUAN PEREZ</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99"/>
        </w:trPr>
        <w:tc>
          <w:tcPr>
            <w:tcW w:w="10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tcPr>
          <w:p>
            <w:pPr>
              <w:jc w:val="center"/>
              <w:ind w:right="2141"/>
              <w:spacing w:after="0" w:line="99" w:lineRule="exact"/>
              <w:rPr>
                <w:sz w:val="20"/>
                <w:szCs w:val="20"/>
                <w:color w:val="auto"/>
              </w:rPr>
            </w:pPr>
            <w:r>
              <w:rPr>
                <w:rFonts w:ascii="Times New Roman" w:cs="Times New Roman" w:eastAsia="Times New Roman" w:hAnsi="Times New Roman"/>
                <w:sz w:val="11"/>
                <w:szCs w:val="11"/>
                <w:b w:val="1"/>
                <w:bCs w:val="1"/>
                <w:color w:val="auto"/>
              </w:rPr>
              <w:t>Juan Perez,</w:t>
            </w:r>
          </w:p>
        </w:tc>
        <w:tc>
          <w:tcPr>
            <w:tcW w:w="5000" w:type="dxa"/>
            <w:vAlign w:val="bottom"/>
          </w:tcPr>
          <w:p>
            <w:pPr>
              <w:spacing w:after="0"/>
              <w:rPr>
                <w:sz w:val="8"/>
                <w:szCs w:val="8"/>
                <w:color w:val="auto"/>
              </w:rPr>
            </w:pPr>
          </w:p>
        </w:tc>
      </w:tr>
      <w:tr>
        <w:trPr>
          <w:trHeight w:val="149"/>
        </w:trPr>
        <w:tc>
          <w:tcPr>
            <w:tcW w:w="1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jc w:val="center"/>
              <w:ind w:right="2141"/>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50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260"/>
          </w:cols>
          <w:pgMar w:left="300" w:top="899" w:right="339" w:bottom="1440"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86" w:lineRule="exact"/>
        <w:rPr>
          <w:sz w:val="20"/>
          <w:szCs w:val="20"/>
          <w:color w:val="auto"/>
        </w:rPr>
      </w:pPr>
    </w:p>
    <w:p>
      <w:pPr>
        <w:ind w:left="260" w:right="20" w:hanging="260"/>
        <w:spacing w:after="0" w:line="231" w:lineRule="auto"/>
        <w:tabs>
          <w:tab w:leader="none" w:pos="26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The Wabtec Board of Directors believes that any appearance of improper conduct on the part of any officers, directors or employees of Wabtec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subsidiary of Wabtec as a result of their transacting in any securities of Wabtec (“Wabtec securities”) must be avoided. The Board has adopted this Insider Trading Policy to accomplish this result and help assure that Wabtec’s representatives will at all times be perceived as having the highest character and integrity. This Insider Trading Policy, as well as certain U.S. federal securities laws, also applies to family members, trusts, estates or other entities controlled by an officer, director or employee.</w:t>
      </w:r>
    </w:p>
    <w:p>
      <w:pPr>
        <w:spacing w:after="0" w:line="156" w:lineRule="exact"/>
        <w:rPr>
          <w:rFonts w:ascii="Times New Roman" w:cs="Times New Roman" w:eastAsia="Times New Roman" w:hAnsi="Times New Roman"/>
          <w:sz w:val="17"/>
          <w:szCs w:val="17"/>
          <w:b w:val="1"/>
          <w:bCs w:val="1"/>
          <w:color w:val="auto"/>
        </w:rPr>
      </w:pPr>
    </w:p>
    <w:p>
      <w:pPr>
        <w:ind w:left="260" w:right="140"/>
        <w:spacing w:after="0" w:line="24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obligation to adhere to U.S. federal securities laws and this policy as it relates to Wabtec securities will survive your separation from Wabtec. Upon separation from Wabtec, if you hold Wabtec securities, you should contact the Legal Department to understand your post-separation obligations with respect to compliance with this policy and U.S. federal securities laws.</w:t>
      </w:r>
    </w:p>
    <w:p>
      <w:pPr>
        <w:spacing w:after="0" w:line="147" w:lineRule="exact"/>
        <w:rPr>
          <w:rFonts w:ascii="Times New Roman" w:cs="Times New Roman" w:eastAsia="Times New Roman" w:hAnsi="Times New Roman"/>
          <w:sz w:val="17"/>
          <w:szCs w:val="17"/>
          <w:b w:val="1"/>
          <w:bCs w:val="1"/>
          <w:color w:val="auto"/>
        </w:rPr>
      </w:pPr>
    </w:p>
    <w:p>
      <w:pPr>
        <w:ind w:left="260" w:right="100" w:hanging="260"/>
        <w:spacing w:after="0" w:line="234" w:lineRule="auto"/>
        <w:tabs>
          <w:tab w:leader="none" w:pos="26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Scope. </w:t>
      </w:r>
      <w:r>
        <w:rPr>
          <w:rFonts w:ascii="Times New Roman" w:cs="Times New Roman" w:eastAsia="Times New Roman" w:hAnsi="Times New Roman"/>
          <w:sz w:val="17"/>
          <w:szCs w:val="17"/>
          <w:color w:val="auto"/>
        </w:rPr>
        <w:t>This Policy applies to all Wabtec directors, officers, and employees, including individuals employed at domestic and foreign subsidiaries and joint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ventures controlled by the Company (collectively “Company Personnel”), to family members of or trusts, estates or other entities controlled by Company Personnel and, where necessary and appropriate, to any outside parties who act on behalf of the Company (collectively “Associated Parties”), further defined below in Definitions.</w:t>
      </w:r>
    </w:p>
    <w:p>
      <w:pPr>
        <w:spacing w:after="0" w:line="154" w:lineRule="exact"/>
        <w:rPr>
          <w:rFonts w:ascii="Times New Roman" w:cs="Times New Roman" w:eastAsia="Times New Roman" w:hAnsi="Times New Roman"/>
          <w:sz w:val="17"/>
          <w:szCs w:val="17"/>
          <w:b w:val="1"/>
          <w:bCs w:val="1"/>
          <w:color w:val="auto"/>
        </w:rPr>
      </w:pPr>
    </w:p>
    <w:p>
      <w:pPr>
        <w:ind w:left="2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Responsibilities: All Company Personnel and Associated Parties must:</w:t>
      </w:r>
    </w:p>
    <w:p>
      <w:pPr>
        <w:spacing w:after="0" w:line="175" w:lineRule="exact"/>
        <w:rPr>
          <w:rFonts w:ascii="Times New Roman" w:cs="Times New Roman" w:eastAsia="Times New Roman" w:hAnsi="Times New Roman"/>
          <w:sz w:val="17"/>
          <w:szCs w:val="17"/>
          <w:b w:val="1"/>
          <w:bCs w:val="1"/>
          <w:color w:val="auto"/>
        </w:rPr>
      </w:pPr>
    </w:p>
    <w:p>
      <w:pPr>
        <w:ind w:left="740" w:hanging="231"/>
        <w:spacing w:after="0"/>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Read, understand and comply with the mandates set forth in this Policy (Adherence is Mandatory);</w:t>
      </w:r>
    </w:p>
    <w:p>
      <w:pPr>
        <w:spacing w:after="0" w:line="13" w:lineRule="exact"/>
        <w:rPr>
          <w:rFonts w:ascii="Times New Roman" w:cs="Times New Roman" w:eastAsia="Times New Roman" w:hAnsi="Times New Roman"/>
          <w:sz w:val="16"/>
          <w:szCs w:val="16"/>
          <w:color w:val="auto"/>
        </w:rPr>
      </w:pPr>
    </w:p>
    <w:p>
      <w:pPr>
        <w:ind w:left="740" w:hanging="231"/>
        <w:spacing w:after="0" w:line="234" w:lineRule="auto"/>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Communicate and reinforce the mandates with individuals they supervise;</w:t>
      </w:r>
    </w:p>
    <w:p>
      <w:pPr>
        <w:ind w:left="740" w:hanging="231"/>
        <w:spacing w:after="0" w:line="221" w:lineRule="auto"/>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Properly manage and monitor business activities;</w:t>
      </w:r>
    </w:p>
    <w:p>
      <w:pPr>
        <w:ind w:left="740" w:hanging="231"/>
        <w:spacing w:after="0" w:line="234" w:lineRule="auto"/>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Be alert to indications or evidence of possible wrongdoings; and</w:t>
      </w:r>
    </w:p>
    <w:p>
      <w:pPr>
        <w:ind w:left="740" w:hanging="231"/>
        <w:spacing w:after="0"/>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Immediately report any actual or suspected violations.</w:t>
      </w:r>
    </w:p>
    <w:p>
      <w:pPr>
        <w:spacing w:after="0" w:line="164" w:lineRule="exact"/>
        <w:rPr>
          <w:sz w:val="20"/>
          <w:szCs w:val="20"/>
          <w:color w:val="auto"/>
        </w:rPr>
      </w:pPr>
    </w:p>
    <w:p>
      <w:pPr>
        <w:ind w:left="260" w:right="100"/>
        <w:spacing w:after="0" w:line="255" w:lineRule="auto"/>
        <w:rPr>
          <w:sz w:val="20"/>
          <w:szCs w:val="20"/>
          <w:color w:val="auto"/>
        </w:rPr>
      </w:pPr>
      <w:r>
        <w:rPr>
          <w:rFonts w:ascii="Times New Roman" w:cs="Times New Roman" w:eastAsia="Times New Roman" w:hAnsi="Times New Roman"/>
          <w:sz w:val="17"/>
          <w:szCs w:val="17"/>
          <w:i w:val="1"/>
          <w:iCs w:val="1"/>
          <w:color w:val="auto"/>
        </w:rPr>
        <w:t>Non-Compliance</w:t>
      </w:r>
      <w:r>
        <w:rPr>
          <w:rFonts w:ascii="Times New Roman" w:cs="Times New Roman" w:eastAsia="Times New Roman" w:hAnsi="Times New Roman"/>
          <w:sz w:val="17"/>
          <w:szCs w:val="17"/>
          <w:color w:val="auto"/>
        </w:rPr>
        <w:t>: All Company Personnel must always comply with this policy. Non-compliance with this policy may result in disciplinary action, up to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termination of employment or contract, as well as legal consequences in the case of any violation of laws, rules, or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Policy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General Insider Trading Policy</w:t>
      </w:r>
    </w:p>
    <w:p>
      <w:pPr>
        <w:spacing w:after="0" w:line="176" w:lineRule="exact"/>
        <w:rPr>
          <w:sz w:val="20"/>
          <w:szCs w:val="20"/>
          <w:color w:val="auto"/>
        </w:rPr>
      </w:pPr>
    </w:p>
    <w:p>
      <w:pPr>
        <w:jc w:val="both"/>
        <w:ind w:left="260" w:right="200" w:hanging="260"/>
        <w:spacing w:after="0" w:line="238" w:lineRule="auto"/>
        <w:tabs>
          <w:tab w:leader="none" w:pos="26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Prohibition on Insider Trading</w:t>
      </w:r>
      <w:r>
        <w:rPr>
          <w:rFonts w:ascii="Times New Roman" w:cs="Times New Roman" w:eastAsia="Times New Roman" w:hAnsi="Times New Roman"/>
          <w:sz w:val="17"/>
          <w:szCs w:val="17"/>
          <w:color w:val="auto"/>
        </w:rPr>
        <w:t>. The U.S. federal securities laws prohibit anyone from purchasing or selling securities of a publicly-held company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Wabtec, either in the open market or in private transactions, if they possess material, non-public information about the company. Because of their positions, directors, officers and employees may routinely be aware of material, non-public information about Wabtec. The U.S. federal</w:t>
      </w:r>
    </w:p>
    <w:p>
      <w:pPr>
        <w:sectPr>
          <w:pgSz w:w="11900" w:h="16838" w:orient="portrait"/>
          <w:cols w:equalWidth="0" w:num="1">
            <w:col w:w="11020"/>
          </w:cols>
          <w:pgMar w:left="560" w:top="123" w:right="319" w:bottom="1440" w:gutter="0" w:footer="0" w:header="0"/>
        </w:sectPr>
      </w:pPr>
    </w:p>
    <w:bookmarkStart w:id="97" w:name="page98"/>
    <w:bookmarkEnd w:id="97"/>
    <w:p>
      <w:pPr>
        <w:ind w:left="260" w:right="140"/>
        <w:spacing w:after="0" w:line="230" w:lineRule="auto"/>
        <w:rPr>
          <w:sz w:val="20"/>
          <w:szCs w:val="20"/>
          <w:color w:val="auto"/>
        </w:rPr>
      </w:pPr>
      <w:r>
        <w:rPr>
          <w:rFonts w:ascii="Times New Roman" w:cs="Times New Roman" w:eastAsia="Times New Roman" w:hAnsi="Times New Roman"/>
          <w:sz w:val="17"/>
          <w:szCs w:val="17"/>
          <w:color w:val="auto"/>
        </w:rPr>
        <w:t>securities laws also prohibit giving tips to others based upon such information and prohibit the receiver of tips, the “tippee,” from acting on corporate inside information. Similarly, you may learn of material, non-public information about other companies as a result of your position with Wabtec. Investments in or sales of securities of other companies with which Wabtec transacts business must not be based on inside information. Prohibitions against insider trading apply equally to transactions in those companies while you are in possession of their material, nonpublic information. Such investments or sales may violate the law as well as the trust which Wabtec places in those persons with access to non-public information.</w:t>
      </w:r>
    </w:p>
    <w:p>
      <w:pPr>
        <w:spacing w:after="0" w:line="163" w:lineRule="exact"/>
        <w:rPr>
          <w:sz w:val="20"/>
          <w:szCs w:val="20"/>
          <w:color w:val="auto"/>
        </w:rPr>
      </w:pPr>
    </w:p>
    <w:p>
      <w:pPr>
        <w:ind w:left="260" w:right="120" w:hanging="260"/>
        <w:spacing w:after="0" w:line="231" w:lineRule="auto"/>
        <w:tabs>
          <w:tab w:leader="none" w:pos="2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Applicability/Employee Benefit Plans</w:t>
      </w:r>
      <w:r>
        <w:rPr>
          <w:rFonts w:ascii="Times New Roman" w:cs="Times New Roman" w:eastAsia="Times New Roman" w:hAnsi="Times New Roman"/>
          <w:sz w:val="17"/>
          <w:szCs w:val="17"/>
          <w:color w:val="auto"/>
        </w:rPr>
        <w:t>. This Policy applies to all transactions in Wabtec securities, including purchases, sales and gifts. This Policy applies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all Wabtec securities including, but not limited to, common stock and options to purchase common stock. The prohibitions and restrictions set forth in this Policy do not apply to periodic contributions by employees to employee benefit plans (e.g. 401K Plans) which are used to purchase Wabtec securities pursuant to the employees’ advance instructions. However, employees may not alter their instructions regarding the purchase or sale of Wabtec securities in such plans, or make discretionary transfers into or out of Wabtec securities in such plans, while in the possession of material, non-public information.</w:t>
      </w:r>
    </w:p>
    <w:p>
      <w:pPr>
        <w:spacing w:after="0" w:line="152" w:lineRule="exact"/>
        <w:rPr>
          <w:rFonts w:ascii="Times New Roman" w:cs="Times New Roman" w:eastAsia="Times New Roman" w:hAnsi="Times New Roman"/>
          <w:sz w:val="17"/>
          <w:szCs w:val="17"/>
          <w:b w:val="1"/>
          <w:bCs w:val="1"/>
          <w:color w:val="auto"/>
        </w:rPr>
      </w:pPr>
    </w:p>
    <w:p>
      <w:pPr>
        <w:ind w:left="260" w:right="120" w:hanging="260"/>
        <w:spacing w:after="0" w:line="238" w:lineRule="auto"/>
        <w:tabs>
          <w:tab w:leader="none" w:pos="2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w:t>
      </w:r>
      <w:r>
        <w:rPr>
          <w:rFonts w:ascii="Times New Roman" w:cs="Times New Roman" w:eastAsia="Times New Roman" w:hAnsi="Times New Roman"/>
          <w:sz w:val="17"/>
          <w:szCs w:val="17"/>
          <w:color w:val="auto"/>
        </w:rPr>
        <w:t>. This Policy is not intended to replace your responsibility to understand and comply with the legal prohibition on insider trading. The misuse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inside information or engaging in insider trading may result in disciplinary action, including termination, as well as the imposition of civil and criminal penalties. If you have specific questions regarding this Policy or the applicable law, please contact Wabtec’s Legal Department.</w:t>
      </w:r>
    </w:p>
    <w:p>
      <w:pPr>
        <w:spacing w:after="0" w:line="150" w:lineRule="exact"/>
        <w:rPr>
          <w:rFonts w:ascii="Times New Roman" w:cs="Times New Roman" w:eastAsia="Times New Roman" w:hAnsi="Times New Roman"/>
          <w:sz w:val="17"/>
          <w:szCs w:val="17"/>
          <w:b w:val="1"/>
          <w:bCs w:val="1"/>
          <w:color w:val="auto"/>
        </w:rPr>
      </w:pPr>
    </w:p>
    <w:p>
      <w:pPr>
        <w:ind w:left="260" w:hanging="260"/>
        <w:spacing w:after="0" w:line="234" w:lineRule="auto"/>
        <w:tabs>
          <w:tab w:leader="none" w:pos="2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Non-Public Information</w:t>
      </w:r>
      <w:r>
        <w:rPr>
          <w:rFonts w:ascii="Times New Roman" w:cs="Times New Roman" w:eastAsia="Times New Roman" w:hAnsi="Times New Roman"/>
          <w:sz w:val="17"/>
          <w:szCs w:val="17"/>
          <w:color w:val="auto"/>
        </w:rPr>
        <w:t>. Information is considered material if it would be deemed important by a reasonable investor in deciding whether to buy,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 or refrain from any activity regarding Wabtec securities. Information also is considered to be material if it likely would have a significant impact on the market price of Wabtec securities. Information is considered non-public until it has been effectively disclosed to the public and there has been adequate time for the market as a whole to digest the information. Effective disclosures typically include Wabtec’s filings with the Securities and Exchange Commission (the “SEC”), press releases, and conference calls or webcasts that are open to the public.</w:t>
      </w:r>
    </w:p>
    <w:p>
      <w:pPr>
        <w:spacing w:after="0" w:line="154" w:lineRule="exact"/>
        <w:rPr>
          <w:rFonts w:ascii="Times New Roman" w:cs="Times New Roman" w:eastAsia="Times New Roman" w:hAnsi="Times New Roman"/>
          <w:sz w:val="17"/>
          <w:szCs w:val="17"/>
          <w:b w:val="1"/>
          <w:bCs w:val="1"/>
          <w:color w:val="auto"/>
        </w:rPr>
      </w:pPr>
    </w:p>
    <w:p>
      <w:pPr>
        <w:ind w:left="260" w:right="20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While it is not possible to compile an exhaustive list, information concerning any of the following items should be reviewed carefully to determine whether such information is material:</w:t>
      </w:r>
    </w:p>
    <w:p>
      <w:pPr>
        <w:spacing w:after="0" w:line="144" w:lineRule="exact"/>
        <w:rPr>
          <w:rFonts w:ascii="Times New Roman" w:cs="Times New Roman" w:eastAsia="Times New Roman" w:hAnsi="Times New Roman"/>
          <w:sz w:val="17"/>
          <w:szCs w:val="17"/>
          <w:b w:val="1"/>
          <w:bCs w:val="1"/>
          <w:color w:val="auto"/>
        </w:rPr>
      </w:pPr>
    </w:p>
    <w:p>
      <w:pPr>
        <w:ind w:left="500" w:hanging="246"/>
        <w:spacing w:after="0"/>
        <w:tabs>
          <w:tab w:leader="none" w:pos="500" w:val="left"/>
        </w:tabs>
        <w:numPr>
          <w:ilvl w:val="1"/>
          <w:numId w:val="39"/>
        </w:numPr>
        <w:rPr>
          <w:rFonts w:ascii="Arial" w:cs="Arial" w:eastAsia="Arial" w:hAnsi="Arial"/>
          <w:sz w:val="16"/>
          <w:szCs w:val="16"/>
          <w:color w:val="auto"/>
        </w:rPr>
      </w:pPr>
      <w:r>
        <w:rPr>
          <w:rFonts w:ascii="Times New Roman" w:cs="Times New Roman" w:eastAsia="Times New Roman" w:hAnsi="Times New Roman"/>
          <w:sz w:val="17"/>
          <w:szCs w:val="17"/>
          <w:color w:val="auto"/>
        </w:rPr>
        <w:t>annual or quarterly financial results;</w:t>
      </w:r>
    </w:p>
    <w:p>
      <w:pPr>
        <w:spacing w:after="0" w:line="13" w:lineRule="exact"/>
        <w:rPr>
          <w:rFonts w:ascii="Arial" w:cs="Arial" w:eastAsia="Arial" w:hAnsi="Arial"/>
          <w:sz w:val="16"/>
          <w:szCs w:val="16"/>
          <w:color w:val="auto"/>
        </w:rPr>
      </w:pPr>
    </w:p>
    <w:p>
      <w:pPr>
        <w:ind w:left="480" w:hanging="226"/>
        <w:spacing w:after="0" w:line="234"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significant change in earnings or earnings projections;</w:t>
      </w:r>
    </w:p>
    <w:p>
      <w:pPr>
        <w:ind w:left="480" w:hanging="226"/>
        <w:spacing w:after="0" w:line="221"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changes in Wabtec’s debt ratings;</w:t>
      </w:r>
    </w:p>
    <w:p>
      <w:pPr>
        <w:ind w:left="480" w:hanging="226"/>
        <w:spacing w:after="0" w:line="234"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unusual gains or losses in major operations;</w:t>
      </w:r>
    </w:p>
    <w:p>
      <w:pPr>
        <w:ind w:left="480" w:hanging="226"/>
        <w:spacing w:after="0" w:line="234"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negotiations and agreements regarding significant customer contracts,</w:t>
      </w:r>
    </w:p>
    <w:p>
      <w:pPr>
        <w:ind w:left="480" w:hanging="226"/>
        <w:spacing w:after="0" w:line="221"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acquisitions, divestitures, or business combinations;</w:t>
      </w:r>
    </w:p>
    <w:p>
      <w:pPr>
        <w:ind w:left="480" w:hanging="226"/>
        <w:spacing w:after="0" w:line="234"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significant increase or decrease in dividends on Wabtec’s stock;</w:t>
      </w:r>
    </w:p>
    <w:p>
      <w:pPr>
        <w:ind w:left="480" w:hanging="226"/>
        <w:spacing w:after="0" w:line="234" w:lineRule="auto"/>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planned stock splits or debt or equity offerings;</w:t>
      </w:r>
    </w:p>
    <w:p>
      <w:pPr>
        <w:ind w:left="480" w:hanging="226"/>
        <w:spacing w:after="0"/>
        <w:tabs>
          <w:tab w:leader="none" w:pos="4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actual or threatened significant litigation or government proceedings or the resolution thereof;</w:t>
      </w:r>
    </w:p>
    <w:p>
      <w:pPr>
        <w:sectPr>
          <w:pgSz w:w="11900" w:h="16838" w:orient="portrait"/>
          <w:cols w:equalWidth="0" w:num="1">
            <w:col w:w="11020"/>
          </w:cols>
          <w:pgMar w:left="560" w:top="1137" w:right="319" w:bottom="1440" w:gutter="0" w:footer="0" w:header="0"/>
        </w:sectPr>
      </w:pPr>
    </w:p>
    <w:bookmarkStart w:id="98" w:name="page99"/>
    <w:bookmarkEnd w:id="98"/>
    <w:p>
      <w:pPr>
        <w:ind w:left="480" w:hanging="226"/>
        <w:spacing w:after="0"/>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major management changes; and</w:t>
      </w:r>
    </w:p>
    <w:p>
      <w:pPr>
        <w:spacing w:after="0" w:line="13" w:lineRule="exact"/>
        <w:rPr>
          <w:rFonts w:ascii="Times New Roman" w:cs="Times New Roman" w:eastAsia="Times New Roman" w:hAnsi="Times New Roman"/>
          <w:sz w:val="16"/>
          <w:szCs w:val="16"/>
          <w:color w:val="auto"/>
        </w:rPr>
      </w:pPr>
    </w:p>
    <w:p>
      <w:pPr>
        <w:ind w:left="480" w:hanging="226"/>
        <w:spacing w:after="0" w:line="221" w:lineRule="auto"/>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cybersecurity incidents or other significant disruptions in operations.</w:t>
      </w:r>
    </w:p>
    <w:p>
      <w:pPr>
        <w:ind w:left="260"/>
        <w:spacing w:after="0" w:line="234" w:lineRule="auto"/>
        <w:rPr>
          <w:sz w:val="20"/>
          <w:szCs w:val="20"/>
          <w:color w:val="auto"/>
        </w:rPr>
      </w:pPr>
      <w:r>
        <w:rPr>
          <w:rFonts w:ascii="Times New Roman" w:cs="Times New Roman" w:eastAsia="Times New Roman" w:hAnsi="Times New Roman"/>
          <w:sz w:val="17"/>
          <w:szCs w:val="17"/>
          <w:color w:val="auto"/>
        </w:rPr>
        <w:t>You should remember that if transactions in Wabtec securities become the subject of scrutiny, they will be viewed after the fact. As a result, before engaging in any transaction, you should carefully consider how regulators and others might view a transaction with the benefit of hindsight. When in doubt, information should be presumed to be 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Additional Securities Law Responsibilities of Officers and Directors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260" w:right="300"/>
        <w:spacing w:after="0" w:line="258" w:lineRule="auto"/>
        <w:rPr>
          <w:sz w:val="20"/>
          <w:szCs w:val="20"/>
          <w:color w:val="auto"/>
        </w:rPr>
      </w:pPr>
      <w:r>
        <w:rPr>
          <w:rFonts w:ascii="Times New Roman" w:cs="Times New Roman" w:eastAsia="Times New Roman" w:hAnsi="Times New Roman"/>
          <w:sz w:val="16"/>
          <w:szCs w:val="16"/>
          <w:color w:val="auto"/>
        </w:rPr>
        <w:t>Certain aspects of the U.S. federal securities laws are particularly applicable to corporate officers and directors. Compliance with these laws is essential to avoid criminal penalties or civil injunctions against Wabtec, with similar penalties, possibly including jail sentences, for officers or directors of Wabtec. Substantial monetary damages may also be imposed on Wabtec, its officers or directors, especially in connection with shareholder derivative suits.</w:t>
      </w:r>
    </w:p>
    <w:p>
      <w:pPr>
        <w:spacing w:after="0" w:line="135" w:lineRule="exact"/>
        <w:rPr>
          <w:sz w:val="20"/>
          <w:szCs w:val="20"/>
          <w:color w:val="auto"/>
        </w:rPr>
      </w:pPr>
    </w:p>
    <w:p>
      <w:pPr>
        <w:ind w:left="260" w:right="260" w:hanging="260"/>
        <w:spacing w:after="0" w:line="255" w:lineRule="auto"/>
        <w:tabs>
          <w:tab w:leader="none" w:pos="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Restrictions on Transactions in Wabtec Securities</w:t>
      </w:r>
      <w:r>
        <w:rPr>
          <w:rFonts w:ascii="Times New Roman" w:cs="Times New Roman" w:eastAsia="Times New Roman" w:hAnsi="Times New Roman"/>
          <w:sz w:val="17"/>
          <w:szCs w:val="17"/>
          <w:color w:val="auto"/>
        </w:rPr>
        <w:t>. To help prevent inadvertent violations of insider trading laws and to avoid even the appearance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improper transaction, Wabtec has adopted the following policies:</w:t>
      </w:r>
    </w:p>
    <w:p>
      <w:pPr>
        <w:spacing w:after="0" w:line="140" w:lineRule="exact"/>
        <w:rPr>
          <w:rFonts w:ascii="Times New Roman" w:cs="Times New Roman" w:eastAsia="Times New Roman" w:hAnsi="Times New Roman"/>
          <w:sz w:val="17"/>
          <w:szCs w:val="17"/>
          <w:color w:val="auto"/>
        </w:rPr>
      </w:pPr>
    </w:p>
    <w:p>
      <w:pPr>
        <w:ind w:left="500" w:right="20" w:hanging="246"/>
        <w:spacing w:after="0" w:line="231" w:lineRule="auto"/>
        <w:tabs>
          <w:tab w:leader="none" w:pos="491" w:val="left"/>
        </w:tabs>
        <w:numPr>
          <w:ilvl w:val="1"/>
          <w:numId w:val="41"/>
        </w:numPr>
        <w:rPr>
          <w:rFonts w:ascii="Arial" w:cs="Arial" w:eastAsia="Arial" w:hAnsi="Arial"/>
          <w:sz w:val="16"/>
          <w:szCs w:val="16"/>
          <w:color w:val="auto"/>
        </w:rPr>
      </w:pPr>
      <w:r>
        <w:rPr>
          <w:rFonts w:ascii="Times New Roman" w:cs="Times New Roman" w:eastAsia="Times New Roman" w:hAnsi="Times New Roman"/>
          <w:sz w:val="17"/>
          <w:szCs w:val="17"/>
          <w:color w:val="auto"/>
        </w:rPr>
        <w:t>No officer or director may transact in Wabtec securities beginning on the 15</w:t>
      </w:r>
      <w:r>
        <w:rPr>
          <w:rFonts w:ascii="Times New Roman" w:cs="Times New Roman" w:eastAsia="Times New Roman" w:hAnsi="Times New Roman"/>
          <w:sz w:val="9"/>
          <w:szCs w:val="9"/>
          <w:color w:val="auto"/>
        </w:rPr>
        <w:t>th</w:t>
      </w:r>
      <w:r>
        <w:rPr>
          <w:rFonts w:ascii="Times New Roman" w:cs="Times New Roman" w:eastAsia="Times New Roman" w:hAnsi="Times New Roman"/>
          <w:sz w:val="17"/>
          <w:szCs w:val="17"/>
          <w:color w:val="auto"/>
        </w:rPr>
        <w:t xml:space="preserve"> calendar day of the third month of each reporting calendar quarter and continuing until at least one full trading day has elapsed after Wabtec’s financial results for that quarter have been made public. Any day on which the New York Stock Exchange is open counts as a business day for this purpose. Generally, officers and directors would be able to transact beginning after the first business day after financial results are made public. Wabtec may on occasion issue interim earnings guidance or other potentially material information by means of a press release or filing with the SEC. Officers and directors should anticipate that trading will be blacked out while Wabtec is in the process of assembling the information to be released and that officers and directors would be able to transact beginning after the second business day after such information is made public. Additional event-specific blackouts may be instituted from time to time at the discretion of the Legal Department.</w:t>
      </w:r>
    </w:p>
    <w:p>
      <w:pPr>
        <w:spacing w:after="0" w:line="157" w:lineRule="exact"/>
        <w:rPr>
          <w:rFonts w:ascii="Arial" w:cs="Arial" w:eastAsia="Arial" w:hAnsi="Arial"/>
          <w:sz w:val="16"/>
          <w:szCs w:val="16"/>
          <w:color w:val="auto"/>
        </w:rPr>
      </w:pPr>
    </w:p>
    <w:p>
      <w:pPr>
        <w:jc w:val="both"/>
        <w:ind w:left="500" w:right="660" w:hanging="246"/>
        <w:spacing w:after="0" w:line="281" w:lineRule="auto"/>
        <w:tabs>
          <w:tab w:leader="none" w:pos="48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All officers and directors must contact the Wabtec Legal Department and obtain clearance before initiating any transaction involving any Wabtec securities, including the exercise or sale of stock options, restricted stock or performance shares under Wabtec’s stock based compensation plans.</w:t>
      </w:r>
    </w:p>
    <w:p>
      <w:pPr>
        <w:spacing w:after="0" w:line="127" w:lineRule="exact"/>
        <w:rPr>
          <w:rFonts w:ascii="Times New Roman" w:cs="Times New Roman" w:eastAsia="Times New Roman" w:hAnsi="Times New Roman"/>
          <w:sz w:val="15"/>
          <w:szCs w:val="15"/>
          <w:color w:val="auto"/>
        </w:rPr>
      </w:pPr>
    </w:p>
    <w:p>
      <w:pPr>
        <w:ind w:left="260" w:right="40" w:hanging="260"/>
        <w:spacing w:after="0" w:line="234" w:lineRule="auto"/>
        <w:tabs>
          <w:tab w:leader="none" w:pos="2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Prohibited Transactions</w:t>
      </w:r>
      <w:r>
        <w:rPr>
          <w:rFonts w:ascii="Times New Roman" w:cs="Times New Roman" w:eastAsia="Times New Roman" w:hAnsi="Times New Roman"/>
          <w:sz w:val="17"/>
          <w:szCs w:val="17"/>
          <w:color w:val="auto"/>
        </w:rPr>
        <w:t>. Wabtec considers it improper and inappropriate for any of its officers or directors to engage in short-term or speculative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in Wabtec securities or in other transactions in Wabtec securities that may lead to inadvertent violations of the insider trading laws or do not align an officer’s or a director’s interest in the long-term growth of Wabtec with those of our stockholders. Therefore, it is Wabtec’s policy that officers and directors may not engage in any of the following transactions:</w:t>
      </w:r>
    </w:p>
    <w:p>
      <w:pPr>
        <w:spacing w:after="0" w:line="150" w:lineRule="exact"/>
        <w:rPr>
          <w:rFonts w:ascii="Times New Roman" w:cs="Times New Roman" w:eastAsia="Times New Roman" w:hAnsi="Times New Roman"/>
          <w:sz w:val="17"/>
          <w:szCs w:val="17"/>
          <w:b w:val="1"/>
          <w:bCs w:val="1"/>
          <w:color w:val="auto"/>
        </w:rPr>
      </w:pPr>
    </w:p>
    <w:p>
      <w:pPr>
        <w:ind w:left="760" w:right="100" w:hanging="251"/>
        <w:spacing w:after="0" w:line="255" w:lineRule="auto"/>
        <w:tabs>
          <w:tab w:leader="none" w:pos="751"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Short Sales</w:t>
      </w:r>
      <w:r>
        <w:rPr>
          <w:rFonts w:ascii="Times New Roman" w:cs="Times New Roman" w:eastAsia="Times New Roman" w:hAnsi="Times New Roman"/>
          <w:sz w:val="17"/>
          <w:szCs w:val="17"/>
          <w:color w:val="auto"/>
        </w:rPr>
        <w:t>. Short sales of Wabtec securities (i.e., sales of securities that are not then owned) evidence an expectation on the part of the seller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will decline in value, and therefore signal to the market that the seller has no</w:t>
      </w:r>
    </w:p>
    <w:p>
      <w:pPr>
        <w:sectPr>
          <w:pgSz w:w="11900" w:h="16838" w:orient="portrait"/>
          <w:cols w:equalWidth="0" w:num="1">
            <w:col w:w="11020"/>
          </w:cols>
          <w:pgMar w:left="560" w:top="1137" w:right="319" w:bottom="1440" w:gutter="0" w:footer="0" w:header="0"/>
        </w:sectPr>
      </w:pPr>
    </w:p>
    <w:bookmarkStart w:id="99" w:name="page100"/>
    <w:bookmarkEnd w:id="99"/>
    <w:p>
      <w:pPr>
        <w:ind w:left="760" w:right="40"/>
        <w:spacing w:after="0" w:line="228" w:lineRule="auto"/>
        <w:rPr>
          <w:sz w:val="20"/>
          <w:szCs w:val="20"/>
          <w:color w:val="auto"/>
        </w:rPr>
      </w:pPr>
      <w:r>
        <w:rPr>
          <w:rFonts w:ascii="Times New Roman" w:cs="Times New Roman" w:eastAsia="Times New Roman" w:hAnsi="Times New Roman"/>
          <w:sz w:val="17"/>
          <w:szCs w:val="17"/>
          <w:color w:val="auto"/>
        </w:rPr>
        <w:t>confidence in the company or its short-term prospects. In addition, short sales may reduce the seller’s incentive to improve Wabtec’s performance. For these and other reasons, short sales of Wabtec securities are prohibited. In addition, Section 16 of the Securities Exchange Act of 1934 prohibits executive officers and directors from engaging in short sales. (See Section C.1 below.)</w:t>
      </w:r>
    </w:p>
    <w:p>
      <w:pPr>
        <w:spacing w:after="0" w:line="2" w:lineRule="exact"/>
        <w:rPr>
          <w:sz w:val="20"/>
          <w:szCs w:val="20"/>
          <w:color w:val="auto"/>
        </w:rPr>
      </w:pPr>
    </w:p>
    <w:p>
      <w:pPr>
        <w:ind w:left="760" w:right="180" w:hanging="251"/>
        <w:spacing w:after="0" w:line="224" w:lineRule="auto"/>
        <w:tabs>
          <w:tab w:leader="none" w:pos="7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Publicly Traded Options</w:t>
      </w:r>
      <w:r>
        <w:rPr>
          <w:rFonts w:ascii="Times New Roman" w:cs="Times New Roman" w:eastAsia="Times New Roman" w:hAnsi="Times New Roman"/>
          <w:sz w:val="17"/>
          <w:szCs w:val="17"/>
          <w:color w:val="auto"/>
        </w:rPr>
        <w:t>. A transaction in options is, in effect, a bet on the short-term movement of Wabtec securities and therefore creates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appearance that the officer or director is trading based on inside information. Transactions in options also may focus the officer’s or director’s attention on short-term performance at the expense of long- term objectives. Accordingly, transactions in puts, calls or other derivative securities, on an exchange or in any other organized market, are prohibited.</w:t>
      </w:r>
    </w:p>
    <w:p>
      <w:pPr>
        <w:spacing w:after="0" w:line="2" w:lineRule="exact"/>
        <w:rPr>
          <w:rFonts w:ascii="Times New Roman" w:cs="Times New Roman" w:eastAsia="Times New Roman" w:hAnsi="Times New Roman"/>
          <w:sz w:val="17"/>
          <w:szCs w:val="17"/>
          <w:color w:val="auto"/>
        </w:rPr>
      </w:pPr>
    </w:p>
    <w:p>
      <w:pPr>
        <w:ind w:left="760" w:right="40" w:hanging="251"/>
        <w:spacing w:after="0" w:line="221" w:lineRule="auto"/>
        <w:tabs>
          <w:tab w:leader="none" w:pos="7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Standing Orders</w:t>
      </w:r>
      <w:r>
        <w:rPr>
          <w:rFonts w:ascii="Times New Roman" w:cs="Times New Roman" w:eastAsia="Times New Roman" w:hAnsi="Times New Roman"/>
          <w:sz w:val="17"/>
          <w:szCs w:val="17"/>
          <w:color w:val="auto"/>
        </w:rPr>
        <w:t>. Standing orders placed by an officer or director with a broker are prohibited, other than in the context of a Rule 10b5-1 trading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(see below). A standing order placed by an officer or director with a broker to sell or purchase Wabtec securities at a specified price leaves the officer or director with no control over the timing of the transaction. A standing order transaction executed by the broker when the officer or director is aware of material, non-public information could result in unlawful insider trading.</w:t>
      </w:r>
    </w:p>
    <w:p>
      <w:pPr>
        <w:spacing w:after="0" w:line="1" w:lineRule="exact"/>
        <w:rPr>
          <w:rFonts w:ascii="Times New Roman" w:cs="Times New Roman" w:eastAsia="Times New Roman" w:hAnsi="Times New Roman"/>
          <w:sz w:val="17"/>
          <w:szCs w:val="17"/>
          <w:color w:val="auto"/>
        </w:rPr>
      </w:pPr>
    </w:p>
    <w:p>
      <w:pPr>
        <w:ind w:left="760" w:hanging="251"/>
        <w:spacing w:after="0" w:line="224" w:lineRule="auto"/>
        <w:tabs>
          <w:tab w:leader="none" w:pos="7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Hedging Transactions</w:t>
      </w:r>
      <w:r>
        <w:rPr>
          <w:rFonts w:ascii="Times New Roman" w:cs="Times New Roman" w:eastAsia="Times New Roman" w:hAnsi="Times New Roman"/>
          <w:sz w:val="17"/>
          <w:szCs w:val="17"/>
          <w:color w:val="auto"/>
        </w:rPr>
        <w:t>. Certain forms of hedging or monetization transactions, such as zero-cost collars and forward sale contracts, allow an officer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to lock in much of the value of his or her shares of Wabtec stock, often in exchange for all or part of the potential for upside appreciation in the shares. These transactions allow the officer or director to continue to own the covered shares, but without the full risks and rewards of ownership. When that occurs, the officer or director may no longer have the same objectives as our other shareholders. Therefore, officers and directors of Wabtec are prohibited from engaging in any such transactions.</w:t>
      </w:r>
    </w:p>
    <w:p>
      <w:pPr>
        <w:ind w:left="760" w:right="200" w:hanging="251"/>
        <w:spacing w:after="0" w:line="221" w:lineRule="auto"/>
        <w:tabs>
          <w:tab w:leader="none" w:pos="7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Margin Accounts and Pledges</w:t>
      </w:r>
      <w:r>
        <w:rPr>
          <w:rFonts w:ascii="Times New Roman" w:cs="Times New Roman" w:eastAsia="Times New Roman" w:hAnsi="Times New Roman"/>
          <w:sz w:val="17"/>
          <w:szCs w:val="17"/>
          <w:color w:val="auto"/>
        </w:rPr>
        <w:t>. Because a margin sale or foreclosure sale may occur at a time when an officer is aware of material, non-public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or otherwise is not permitted to transact in Wabtec securities, officers and directors are prohibited from pledging Wabtec securities as collateral for a loan. This includes holding Wabtec securities in a margin account if those securities serve as collateral for a loan. It does not prohibit holding Wabtec securities in a margin account if they are not eligible to be used as collateral in such account.</w:t>
      </w:r>
    </w:p>
    <w:p>
      <w:pPr>
        <w:spacing w:after="0" w:line="1" w:lineRule="exact"/>
        <w:rPr>
          <w:rFonts w:ascii="Times New Roman" w:cs="Times New Roman" w:eastAsia="Times New Roman" w:hAnsi="Times New Roman"/>
          <w:sz w:val="17"/>
          <w:szCs w:val="17"/>
          <w:color w:val="auto"/>
        </w:rPr>
      </w:pPr>
    </w:p>
    <w:p>
      <w:pPr>
        <w:ind w:left="760" w:right="200" w:hanging="251"/>
        <w:spacing w:after="0" w:line="231" w:lineRule="auto"/>
        <w:tabs>
          <w:tab w:leader="none" w:pos="75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Rule 10b5-1 Plans</w:t>
      </w:r>
      <w:r>
        <w:rPr>
          <w:rFonts w:ascii="Times New Roman" w:cs="Times New Roman" w:eastAsia="Times New Roman" w:hAnsi="Times New Roman"/>
          <w:sz w:val="17"/>
          <w:szCs w:val="17"/>
          <w:color w:val="auto"/>
        </w:rPr>
        <w:t>. A Rule 10b5-1 trading plan with respect to Wabtec securities may not be entered into, amended or terminated during a blackout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and may only be entered into, amended or terminated when the individual does not possess material, non-public information. Entry into any such plans, along with any amendments or terminations of such plans, by any Company Personnel requires prior approval of the Wabtec Legal Department.</w:t>
      </w:r>
    </w:p>
    <w:p>
      <w:pPr>
        <w:spacing w:after="0" w:line="148" w:lineRule="exact"/>
        <w:rPr>
          <w:rFonts w:ascii="Times New Roman" w:cs="Times New Roman" w:eastAsia="Times New Roman" w:hAnsi="Times New Roman"/>
          <w:sz w:val="17"/>
          <w:szCs w:val="17"/>
          <w:color w:val="auto"/>
        </w:rPr>
      </w:pPr>
    </w:p>
    <w:p>
      <w:pPr>
        <w:ind w:left="260" w:hanging="260"/>
        <w:spacing w:after="0" w:line="234" w:lineRule="auto"/>
        <w:tabs>
          <w:tab w:leader="none" w:pos="26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Permitted Transactions</w:t>
      </w:r>
      <w:r>
        <w:rPr>
          <w:rFonts w:ascii="Times New Roman" w:cs="Times New Roman" w:eastAsia="Times New Roman" w:hAnsi="Times New Roman"/>
          <w:sz w:val="17"/>
          <w:szCs w:val="17"/>
          <w:color w:val="auto"/>
        </w:rPr>
        <w:t>. During a blackout period, directors and officers are permitted to: conduct exercises for cash (exercise and hold) or cashless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exercises if no Wabtec securities are sold in the market to fund the exercise; continue regular and matching contributions in benefit plans; make bona fide gifts of Wabtec securities so long as the director or officer has no reason to believe that the recipient intends to sell the securities during the blackout period; and conduct transactions in previously approved and adopted Rule 10b5-1 trading plans. Before entering into any of these transactions, an officer or</w:t>
      </w:r>
    </w:p>
    <w:p>
      <w:pPr>
        <w:sectPr>
          <w:pgSz w:w="11900" w:h="16838" w:orient="portrait"/>
          <w:cols w:equalWidth="0" w:num="1">
            <w:col w:w="11020"/>
          </w:cols>
          <w:pgMar w:left="560" w:top="1137" w:right="319" w:bottom="1440" w:gutter="0" w:footer="0" w:header="0"/>
        </w:sectPr>
      </w:pPr>
    </w:p>
    <w:bookmarkStart w:id="100" w:name="page101"/>
    <w:bookmarkEnd w:id="100"/>
    <w:p>
      <w:pPr>
        <w:ind w:left="260"/>
        <w:spacing w:after="0"/>
        <w:rPr>
          <w:sz w:val="20"/>
          <w:szCs w:val="20"/>
          <w:color w:val="auto"/>
        </w:rPr>
      </w:pPr>
      <w:r>
        <w:rPr>
          <w:rFonts w:ascii="Times New Roman" w:cs="Times New Roman" w:eastAsia="Times New Roman" w:hAnsi="Times New Roman"/>
          <w:sz w:val="17"/>
          <w:szCs w:val="17"/>
          <w:color w:val="auto"/>
        </w:rPr>
        <w:t>director is required to contact the Wabtec Legal Department for pre-approval of any of the aforementioned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Additional Securities Law Responsibilities of Executive Officers and Directors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In addition to the responsibilities set forth above that are applicable to all officers and directors, executive officers and directors are subject to the following:</w:t>
      </w:r>
    </w:p>
    <w:p>
      <w:pPr>
        <w:spacing w:after="0" w:line="172" w:lineRule="exact"/>
        <w:rPr>
          <w:sz w:val="20"/>
          <w:szCs w:val="20"/>
          <w:color w:val="auto"/>
        </w:rPr>
      </w:pPr>
    </w:p>
    <w:p>
      <w:pPr>
        <w:ind w:left="260" w:hanging="260"/>
        <w:spacing w:after="0" w:line="227" w:lineRule="auto"/>
        <w:tabs>
          <w:tab w:leader="none" w:pos="26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Short Swing Profits and Section 16 Stock Ownership Reports</w:t>
      </w:r>
      <w:r>
        <w:rPr>
          <w:rFonts w:ascii="Times New Roman" w:cs="Times New Roman" w:eastAsia="Times New Roman" w:hAnsi="Times New Roman"/>
          <w:sz w:val="17"/>
          <w:szCs w:val="17"/>
          <w:color w:val="auto"/>
        </w:rPr>
        <w:t>. Officers and directors are subject to Section 16 of the Securities Exchange Act of 1934.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16 seeks to prevent misuse of inside information by imposing profit recovery for so-called “short swing” transactions involving any purchase and sale (or sale and purchase) of any Wabtec securities within any period of less than six months. Section 16 is applied very broadly (i.e., by matching the lowest purchase prices against the highest sales prices) to extract the maximum amount of profit recovery from any matchable purchases and sales within a six month period. To aid in monitoring purchases and sales that may be subject to profit recovery, Section 16 requires each officer and director to file with the SEC statements showing any change in stock ownership (Forms 3, 4 and 5). Because of the complexity in this area, the Human Resources Department, in conjunction with the Legal Department, will prepare and file Section 16 reports for officers and directors. Officers and directors should immediately report any changes in their beneficial ownership of Wabtec securities (including by sale, purchase, gift, contribution to a trust or other entities, among others) to the Human Resources and the Legal Departments so that any required reports can be timely prepared and filed. To avoid becoming subject to Section 16 liability, an officer or director should consult with the Wabtec Legal Department prior to any transaction in Wabtec securities by an officer or director, family members or trusts or other entities associated with an officer or director.</w:t>
      </w:r>
    </w:p>
    <w:p>
      <w:pPr>
        <w:spacing w:after="0" w:line="162" w:lineRule="exact"/>
        <w:rPr>
          <w:rFonts w:ascii="Times New Roman" w:cs="Times New Roman" w:eastAsia="Times New Roman" w:hAnsi="Times New Roman"/>
          <w:sz w:val="17"/>
          <w:szCs w:val="17"/>
          <w:b w:val="1"/>
          <w:bCs w:val="1"/>
          <w:color w:val="auto"/>
        </w:rPr>
      </w:pPr>
    </w:p>
    <w:p>
      <w:pPr>
        <w:ind w:left="260" w:right="20" w:hanging="260"/>
        <w:spacing w:after="0" w:line="228" w:lineRule="auto"/>
        <w:tabs>
          <w:tab w:leader="none" w:pos="26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Preparation and Filing of Form 144 Prior to the Sale of Wabtec Stock</w:t>
      </w:r>
      <w:r>
        <w:rPr>
          <w:rFonts w:ascii="Times New Roman" w:cs="Times New Roman" w:eastAsia="Times New Roman" w:hAnsi="Times New Roman"/>
          <w:sz w:val="17"/>
          <w:szCs w:val="17"/>
          <w:color w:val="auto"/>
        </w:rPr>
        <w:t>. Officers and directors are required to file a Form 144 with the SEC each time they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 to sell Wabtec securities in the market. Typically, the Form 144 will be prepared and filed with the SEC by the seller’s broker. Accordingly, officers and directors should ensure that their brokers have been provided with their EDGAR filing codes. The Form 144 is a notice of a proposed sale of securities. In order to prepare the Form 144, information required to be provided includes the name and address of the broker through which the shares will be sold, the number of shares intended to be sold, the source and date of acquisition of the shares being sold and, if applicable, the date and nature of payment for the shares to be sold. The Form 144 must be electronically filed with the SEC on or prior to the date that an order is placed with a broker to sell shares. Therefore, anytime an officer or director intends to sell Wabtec shares (including a sale which occurs pursuant to a cashless stock award exercise), they should provide the Wabtec Human Resources and Legal Departments with a minimum of two business days prior notice.</w:t>
      </w:r>
    </w:p>
    <w:p>
      <w:pPr>
        <w:spacing w:after="0" w:line="148" w:lineRule="exact"/>
        <w:rPr>
          <w:sz w:val="20"/>
          <w:szCs w:val="20"/>
          <w:color w:val="auto"/>
        </w:rPr>
      </w:pPr>
    </w:p>
    <w:p>
      <w:pPr>
        <w:ind w:left="240" w:hanging="240"/>
        <w:spacing w:after="0"/>
        <w:tabs>
          <w:tab w:leader="none" w:pos="2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Reporting a Concern</w:t>
      </w:r>
    </w:p>
    <w:p>
      <w:pPr>
        <w:spacing w:after="0" w:line="190" w:lineRule="exact"/>
        <w:rPr>
          <w:rFonts w:ascii="Times New Roman" w:cs="Times New Roman" w:eastAsia="Times New Roman" w:hAnsi="Times New Roman"/>
          <w:sz w:val="17"/>
          <w:szCs w:val="17"/>
          <w:b w:val="1"/>
          <w:bCs w:val="1"/>
          <w:color w:val="auto"/>
        </w:rPr>
      </w:pPr>
    </w:p>
    <w:p>
      <w:pPr>
        <w:ind w:left="260" w:right="10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have any questions or suspect any violations to this Policy, please contact your manager, HR, legal, Compliance, or the CCO or designee immediately. Concerns may also be reported confidentially and anonymously by any party, through our Speak Up Wabtec! program.</w:t>
      </w:r>
    </w:p>
    <w:p>
      <w:pPr>
        <w:sectPr>
          <w:pgSz w:w="11900" w:h="16838" w:orient="portrait"/>
          <w:cols w:equalWidth="0" w:num="1">
            <w:col w:w="11020"/>
          </w:cols>
          <w:pgMar w:left="560" w:top="1137" w:right="319" w:bottom="1440" w:gutter="0" w:footer="0" w:header="0"/>
        </w:sectPr>
      </w:pPr>
    </w:p>
    <w:bookmarkStart w:id="101" w:name="page102"/>
    <w:bookmarkEnd w:id="101"/>
    <w:p>
      <w:pPr>
        <w:ind w:left="260"/>
        <w:spacing w:after="0"/>
        <w:rPr>
          <w:sz w:val="20"/>
          <w:szCs w:val="20"/>
          <w:color w:val="auto"/>
        </w:rPr>
      </w:pPr>
      <w:r>
        <w:rPr>
          <w:rFonts w:ascii="Times New Roman" w:cs="Times New Roman" w:eastAsia="Times New Roman" w:hAnsi="Times New Roman"/>
          <w:sz w:val="17"/>
          <w:szCs w:val="17"/>
          <w:color w:val="auto"/>
        </w:rPr>
        <w:t xml:space="preserve">Online Reporting (can be submitted anonymously): http://speakupwabtec.ethicspoint.com/ Email Reporting: </w:t>
      </w:r>
      <w:r>
        <w:rPr>
          <w:rFonts w:ascii="Times New Roman" w:cs="Times New Roman" w:eastAsia="Times New Roman" w:hAnsi="Times New Roman"/>
          <w:sz w:val="17"/>
          <w:szCs w:val="17"/>
          <w:color w:val="467886"/>
        </w:rPr>
        <w:t>speakupwabtec@wabtec.com</w:t>
      </w:r>
    </w:p>
    <w:p>
      <w:pPr>
        <w:spacing w:after="0" w:line="176" w:lineRule="exact"/>
        <w:rPr>
          <w:sz w:val="20"/>
          <w:szCs w:val="20"/>
          <w:color w:val="auto"/>
        </w:rPr>
      </w:pPr>
    </w:p>
    <w:p>
      <w:pPr>
        <w:ind w:left="260" w:right="240"/>
        <w:spacing w:after="0" w:line="250" w:lineRule="auto"/>
        <w:rPr>
          <w:sz w:val="20"/>
          <w:szCs w:val="20"/>
          <w:color w:val="auto"/>
        </w:rPr>
      </w:pPr>
      <w:r>
        <w:rPr>
          <w:rFonts w:ascii="Times New Roman" w:cs="Times New Roman" w:eastAsia="Times New Roman" w:hAnsi="Times New Roman"/>
          <w:sz w:val="17"/>
          <w:szCs w:val="17"/>
          <w:color w:val="auto"/>
        </w:rPr>
        <w:t>Toll-free Helpline (U.S. / Canada – English Speaking): 1-877-860-1054 or 1-800-682-5845 Toll-free Helpline (U.S. / Canada – Non-English Speaking): 1-888-273-6085</w:t>
      </w:r>
    </w:p>
    <w:p>
      <w:pPr>
        <w:spacing w:after="0" w:line="144" w:lineRule="exact"/>
        <w:rPr>
          <w:sz w:val="20"/>
          <w:szCs w:val="20"/>
          <w:color w:val="auto"/>
        </w:rPr>
      </w:pPr>
    </w:p>
    <w:p>
      <w:pPr>
        <w:ind w:left="260" w:right="260"/>
        <w:spacing w:after="0" w:line="250" w:lineRule="auto"/>
        <w:rPr>
          <w:sz w:val="20"/>
          <w:szCs w:val="20"/>
          <w:color w:val="auto"/>
        </w:rPr>
      </w:pPr>
      <w:r>
        <w:rPr>
          <w:rFonts w:ascii="Times New Roman" w:cs="Times New Roman" w:eastAsia="Times New Roman" w:hAnsi="Times New Roman"/>
          <w:sz w:val="17"/>
          <w:szCs w:val="17"/>
          <w:color w:val="auto"/>
        </w:rPr>
        <w:t xml:space="preserve">Toll-free Helpline: Wabtec maintains toll-free Helpline numbers in various countries. Toll-free numbers currently in effect for other countries are posted at </w:t>
      </w:r>
      <w:r>
        <w:rPr>
          <w:rFonts w:ascii="Times New Roman" w:cs="Times New Roman" w:eastAsia="Times New Roman" w:hAnsi="Times New Roman"/>
          <w:sz w:val="17"/>
          <w:szCs w:val="17"/>
          <w:color w:val="467886"/>
        </w:rPr>
        <w:t>http://speakupwabtec.ethicspoint.com/</w:t>
      </w:r>
      <w:r>
        <w:rPr>
          <w:rFonts w:ascii="Times New Roman" w:cs="Times New Roman" w:eastAsia="Times New Roman" w:hAnsi="Times New Roman"/>
          <w:sz w:val="17"/>
          <w:szCs w:val="17"/>
          <w:color w:val="000000"/>
        </w:rPr>
        <w:t>.</w:t>
      </w:r>
    </w:p>
    <w:p>
      <w:pPr>
        <w:spacing w:after="0" w:line="155" w:lineRule="exact"/>
        <w:rPr>
          <w:sz w:val="20"/>
          <w:szCs w:val="20"/>
          <w:color w:val="auto"/>
        </w:rPr>
      </w:pPr>
    </w:p>
    <w:p>
      <w:pPr>
        <w:ind w:left="260" w:right="40"/>
        <w:spacing w:after="0" w:line="237" w:lineRule="auto"/>
        <w:rPr>
          <w:sz w:val="20"/>
          <w:szCs w:val="20"/>
          <w:color w:val="auto"/>
        </w:rPr>
      </w:pPr>
      <w:r>
        <w:rPr>
          <w:rFonts w:ascii="Times New Roman" w:cs="Times New Roman" w:eastAsia="Times New Roman" w:hAnsi="Times New Roman"/>
          <w:sz w:val="17"/>
          <w:szCs w:val="17"/>
          <w:color w:val="auto"/>
        </w:rPr>
        <w:t>You may remain anonymous when you call from a country in which anonymous reporting is allowed. Regardless of the reporting channel, all reported concerns are taken seriously and thoroughly investigated. Wabtec does not tolerate any retaliation by any individual against any party who raises a concern or reports wrongdoing.</w:t>
      </w:r>
    </w:p>
    <w:p>
      <w:pPr>
        <w:spacing w:after="0" w:line="149" w:lineRule="exact"/>
        <w:rPr>
          <w:sz w:val="20"/>
          <w:szCs w:val="20"/>
          <w:color w:val="auto"/>
        </w:rPr>
      </w:pPr>
    </w:p>
    <w:p>
      <w:pPr>
        <w:ind w:left="260" w:hanging="260"/>
        <w:spacing w:after="0"/>
        <w:tabs>
          <w:tab w:leader="none" w:pos="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w:t>
      </w:r>
    </w:p>
    <w:p>
      <w:pPr>
        <w:spacing w:after="0" w:line="6" w:lineRule="exact"/>
        <w:rPr>
          <w:rFonts w:ascii="Times New Roman" w:cs="Times New Roman" w:eastAsia="Times New Roman" w:hAnsi="Times New Roman"/>
          <w:sz w:val="17"/>
          <w:szCs w:val="17"/>
          <w:color w:val="auto"/>
        </w:rPr>
      </w:pPr>
    </w:p>
    <w:p>
      <w:pPr>
        <w:ind w:left="260"/>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“Associated Parties” means any individual or company (whether incorporated or unincorporated) who is associated with the Company and performs services on behalf of the Company. This term is broad in scope and embraces all such individuals or companies providing services for the Company, including (but not limited to) customs brokers, freight forwarders, tax advisors, agents and consultants.</w:t>
      </w:r>
    </w:p>
    <w:p>
      <w:pPr>
        <w:spacing w:after="0" w:line="154" w:lineRule="exact"/>
        <w:rPr>
          <w:rFonts w:ascii="Times New Roman" w:cs="Times New Roman" w:eastAsia="Times New Roman" w:hAnsi="Times New Roman"/>
          <w:sz w:val="17"/>
          <w:szCs w:val="17"/>
          <w:color w:val="auto"/>
        </w:rPr>
      </w:pPr>
    </w:p>
    <w:p>
      <w:pPr>
        <w:ind w:left="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Compliance Officer” (CCO): The individual that the Company has appointed to administer this Policy.</w:t>
      </w:r>
    </w:p>
    <w:p>
      <w:pPr>
        <w:spacing w:after="0" w:line="171" w:lineRule="exact"/>
        <w:rPr>
          <w:rFonts w:ascii="Times New Roman" w:cs="Times New Roman" w:eastAsia="Times New Roman" w:hAnsi="Times New Roman"/>
          <w:sz w:val="17"/>
          <w:szCs w:val="17"/>
          <w:color w:val="auto"/>
        </w:rPr>
      </w:pPr>
    </w:p>
    <w:p>
      <w:pPr>
        <w:ind w:left="260" w:right="300" w:hanging="260"/>
        <w:spacing w:after="0" w:line="268" w:lineRule="auto"/>
        <w:tabs>
          <w:tab w:leader="none" w:pos="2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Roles and Responsibilities</w:t>
      </w:r>
      <w:r>
        <w:rPr>
          <w:rFonts w:ascii="Times New Roman" w:cs="Times New Roman" w:eastAsia="Times New Roman" w:hAnsi="Times New Roman"/>
          <w:sz w:val="17"/>
          <w:szCs w:val="17"/>
          <w:color w:val="auto"/>
        </w:rPr>
        <w:t>. The Company has developed a comprehensive program for implementing this Policy through appropriate guidance, training,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certifications, oversight monitoring and investigations. The CCO or designee is responsible for administering this Policy.</w:t>
      </w:r>
    </w:p>
    <w:p>
      <w:pPr>
        <w:spacing w:after="0" w:line="129" w:lineRule="exact"/>
        <w:rPr>
          <w:rFonts w:ascii="Times New Roman" w:cs="Times New Roman" w:eastAsia="Times New Roman" w:hAnsi="Times New Roman"/>
          <w:sz w:val="17"/>
          <w:szCs w:val="17"/>
          <w:b w:val="1"/>
          <w:bCs w:val="1"/>
          <w:color w:val="auto"/>
        </w:rPr>
      </w:pPr>
    </w:p>
    <w:p>
      <w:pPr>
        <w:ind w:left="260" w:right="180"/>
        <w:spacing w:after="0" w:line="23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CCO or designee - (i) giving advice on the interpretation and application of this Policy, (ii) supporting training and education, (iii) monitoring compliance with the Policy, (iv) providing periodic reporting to the Company’s Board of Directors, (v) responding to inquiries and reported concerns, and (vi) directing the due diligence process.</w:t>
      </w:r>
    </w:p>
    <w:p>
      <w:pPr>
        <w:sectPr>
          <w:pgSz w:w="11900" w:h="16838" w:orient="portrait"/>
          <w:cols w:equalWidth="0" w:num="1">
            <w:col w:w="11000"/>
          </w:cols>
          <w:pgMar w:left="560" w:top="113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21.0</w:t>
            </w:r>
          </w:p>
        </w:tc>
      </w:tr>
      <w:tr>
        <w:trPr>
          <w:trHeight w:val="764"/>
        </w:trPr>
        <w:tc>
          <w:tcPr>
            <w:tcW w:w="3620" w:type="dxa"/>
            <w:vAlign w:val="bottom"/>
          </w:tcPr>
          <w:p>
            <w:pPr>
              <w:spacing w:after="0"/>
              <w:rPr>
                <w:sz w:val="24"/>
                <w:szCs w:val="24"/>
                <w:color w:val="auto"/>
              </w:rPr>
            </w:pPr>
          </w:p>
        </w:tc>
        <w:tc>
          <w:tcPr>
            <w:tcW w:w="49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SUBSIDIARIES AND AFFILIATES</w:t>
            </w:r>
          </w:p>
        </w:tc>
        <w:tc>
          <w:tcPr>
            <w:tcW w:w="2700" w:type="dxa"/>
            <w:vAlign w:val="bottom"/>
          </w:tcPr>
          <w:p>
            <w:pPr>
              <w:spacing w:after="0"/>
              <w:rPr>
                <w:sz w:val="24"/>
                <w:szCs w:val="24"/>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4900" w:type="dxa"/>
            <w:vAlign w:val="bottom"/>
          </w:tcPr>
          <w:p>
            <w:pPr>
              <w:spacing w:after="0"/>
              <w:rPr>
                <w:sz w:val="14"/>
                <w:szCs w:val="14"/>
                <w:color w:val="auto"/>
              </w:rPr>
            </w:pPr>
          </w:p>
        </w:tc>
        <w:tc>
          <w:tcPr>
            <w:tcW w:w="270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Ownership Interest</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ABU GmbH</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Germany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 M Rail Group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UK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 M Signalling Design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UK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Annax GmbH</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Germany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Annax Scheiz AG</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Switzerland</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Annax (Suzhou) Rail Systems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Ateliers Hubert Gerken S.A.</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Belgium</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Austbreck Pty,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Australia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Barber Steel Foundry Corp.</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Bearward Engineering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UK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Becorit GmbH</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Germany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China LLC</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Combustion India Pvt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India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Combustions (Shanghai)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Engineering (Europa) GmbH</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Germany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Engineering Company, Inc.</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Pennsylvania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Bloom Engineering Holdings, Inc.</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Brecknell Willis &amp;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UK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Cambridge Forming and Cutting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Canada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Changzhou CRRC Wabtec Diesel Engine Company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CoFren S.A.S.</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France</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CoFren S.r.l.</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Italy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Datong Faiveley Railway Vehicle Equipment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Deptol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Ireland</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Durox Company</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Ohio</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East Erie Commercial Railroad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Pennsylvania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E-Carbon Asia Sdn. Bhd.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Malaysia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E-Carbon S.A.</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Belgium</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Evand Pty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Australia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Asia Pacific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Hong Kong</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Australia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Australia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Birkenhead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UK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Canada Inc.</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Canada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Czech a.s.</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Czech Republic</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Chile SpA.</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Chile</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Far East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Hong Kong</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Holding Gmbh &amp; co. KG</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Germany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Iberica SA</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Spain</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Italia Spa</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Italy</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Korea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Korea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Metro Technology Shanghai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Metro Technology Taiwan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Taiwan</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Metro Technology Thailand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Thailand</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North America Inc.</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New York</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Plezn s.r.o.</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Czech Republic</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Polska zoo</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Poland</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Rail Technologies India Private Limited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India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Railway Trading Co. Ltd.</w:t>
            </w:r>
          </w:p>
        </w:tc>
        <w:tc>
          <w:tcPr>
            <w:tcW w:w="49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China</w:t>
            </w:r>
          </w:p>
        </w:tc>
        <w:tc>
          <w:tcPr>
            <w:tcW w:w="2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bl>
    <w:p>
      <w:pPr>
        <w:sectPr>
          <w:pgSz w:w="11900" w:h="16838" w:orient="portrait"/>
          <w:cols w:equalWidth="0" w:num="1">
            <w:col w:w="11220"/>
          </w:cols>
          <w:pgMar w:left="360" w:top="504" w:right="31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SAS</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France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Schwab AG</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Switzerland</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Schweiz AG</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Switzerland</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Service Maroc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Morocco</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Systems Technology (Beijing) Co.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Tamworth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Tours</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France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Faiveley Transport USA Inc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South Carolina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Fanox Electronic, S.L.</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Spain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Fanox Middle East Industrial Company</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Saudi Arabia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F.I.P.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FIP Brakes South Africa (Proprietary)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South Africa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Fandstan Electric Group,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Fandstan Electric,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F.T.M.T. Singapore Pte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Singapore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Gerken Group S.A.</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Belgium</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Gerken SAS</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France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GE Transportation, A Wabtec Company</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Graham White Manufacturing Company</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Virginia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Huatie Wabtec Faiveley (Qingdao) Transport Equipment Co.,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Hunan Times Wabtec Transportation Equipment Co.,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Chile S.A.</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Chile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Hong Kong YL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Hong Kong</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Mining Equipment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Mining Technology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Industrea Wadam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Jiaxiang HK Smart Technology Co.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Hong Kong</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JSC Lokomotiv Kurastyru Zauyty</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Kazakhstan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Karbometline s.r.o.</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Slovakia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Keelex 351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Komatsu Wabtec Mining Systems, LLC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Kompozitum s.r.o.</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Slovakia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L&amp;M Industrial Radiators Sudamérica SpA.</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Chile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 &amp; M Radiator, Inc.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Minnesota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 &amp; M Radiator PTY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L&amp;M Radiator,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Canada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LH Group Services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Limited Liability Company Transportation Ukraine</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Ukraine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Locomotive Manufacturing and Services, S.A. de C.V.</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Mexico</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Longwood Elastomers, S.A.</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Spain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Longwood Engineered Products, Inc.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Longwood International, Inc.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LWI Elastomers International, S.L.</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Spain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LWI International B.V.</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Netherlands</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Medagao (Suzhou) Rubber-Metal Components Co., Ltd.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Melett (Changzhou) Precision Machinery Co.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Melett Limited</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Melett North America, Inc.</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Tennessee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Melett Polska Spolka z Ograniczona odpowiedzialnoscia</w:t>
            </w:r>
          </w:p>
        </w:tc>
        <w:tc>
          <w:tcPr>
            <w:tcW w:w="428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Poland</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bl>
    <w:p>
      <w:pPr>
        <w:sectPr>
          <w:pgSz w:w="11900" w:h="16838" w:orient="portrait"/>
          <w:cols w:equalWidth="0" w:num="1">
            <w:col w:w="11180"/>
          </w:cols>
          <w:pgMar w:left="360" w:top="1300" w:right="3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Merz Industrietechnik GmbH</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Austria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Metalocaucho, S.L.</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Spain</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Mors Smitt France S.A.S.</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France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Mors Smitt Holding S.A.S.</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Mors Smitt Technologies,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Connecticut</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Mors Smitt UK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MorsSmitt Asia,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Hong Kong</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MotivePower,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MTC India Rubber Metal Components Private Limited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India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Napier Turbochargers Australia Pty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Australia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Napier Turbochargers Limited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Nordco Enterprises,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Nordco Holding Company</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Nordco Holdings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Nordco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Nordco Rail Services,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Connecticut</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Nowe GmbH</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Germany</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o.o.o. Faiveley Transport</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Russia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Orion Engineering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Pantrac GmbH</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Germany</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Parts Supply Limited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England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Poli S.r.l.</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Italy</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Powerhouse Engine Solutions Holding GmbH</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Switzerland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Powerhouse Engine Solutions Switzerland IP Holdings GmbH</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Switzerland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Pride Bodies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Canada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PT Transportation Solutions Indonesia</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Indonesia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Qingdao Faiveley Sri Rail Brake Co.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Railcar Management,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Georgia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Railroad Controls Construction,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Texas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Railroad Friction Products Corporation</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RCLP Acquisition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Texas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Relay Monitoring Systems Pty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Australia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Relco Land Holdings of Cedar Rapids,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Iowa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Relco Locomotives,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Illinois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RFPC Holding Corp.</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Ricon Corp.</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California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SAB Wabco (Investments)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SAB Wabco UK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SCT Europe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SCT Technology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Shenyang Wabtec Railway Brake Technology Company,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Shijiazhuang Jiaxiang Precision Machinery Co.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ShipXpress Technologies (Private) Limited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Sri Lanka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Shuttlewagon,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Speer Carbon Company, LLC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Pennsylvania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Standard Car Truck-Asia, Inc.</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Stemmann Polska SP Zoo</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Poland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Stemmann-Technik GmbH</w:t>
            </w:r>
          </w:p>
        </w:tc>
        <w:tc>
          <w:tcPr>
            <w:tcW w:w="4320" w:type="dxa"/>
            <w:vAlign w:val="bottom"/>
          </w:tcPr>
          <w:p>
            <w:pPr>
              <w:ind w:left="1860"/>
              <w:spacing w:after="0"/>
              <w:rPr>
                <w:sz w:val="20"/>
                <w:szCs w:val="20"/>
                <w:color w:val="auto"/>
              </w:rPr>
            </w:pPr>
            <w:r>
              <w:rPr>
                <w:rFonts w:ascii="Times New Roman" w:cs="Times New Roman" w:eastAsia="Times New Roman" w:hAnsi="Times New Roman"/>
                <w:sz w:val="11"/>
                <w:szCs w:val="11"/>
                <w:color w:val="auto"/>
              </w:rPr>
              <w:t>Germany</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Stemmann-Technik Hong Kong Company Limited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60" w:type="dxa"/>
            <w:vAlign w:val="bottom"/>
          </w:tcPr>
          <w:p>
            <w:pPr>
              <w:spacing w:after="0"/>
              <w:rPr>
                <w:sz w:val="20"/>
                <w:szCs w:val="20"/>
                <w:color w:val="auto"/>
              </w:rPr>
            </w:pPr>
            <w:r>
              <w:rPr>
                <w:rFonts w:ascii="Times New Roman" w:cs="Times New Roman" w:eastAsia="Times New Roman" w:hAnsi="Times New Roman"/>
                <w:sz w:val="11"/>
                <w:szCs w:val="11"/>
                <w:color w:val="auto"/>
              </w:rPr>
              <w:t>Tehnika Pty Ltd</w:t>
            </w:r>
          </w:p>
        </w:tc>
        <w:tc>
          <w:tcPr>
            <w:tcW w:w="432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Australia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bl>
    <w:p>
      <w:pPr>
        <w:sectPr>
          <w:pgSz w:w="11900" w:h="16838" w:orient="portrait"/>
          <w:cols w:equalWidth="0" w:num="1">
            <w:col w:w="11180"/>
          </w:cols>
          <w:pgMar w:left="360" w:top="1300" w:right="35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Eastern Europe S.r.l.</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Moldova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Global Egypt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Egypt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Global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Holdings UK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IP Holdings,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Kazakhstan Limited Liability Partnership</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Kazakhstan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Poland sp. z o.o</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Poland</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Rus Limited Liability Company</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Russia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Services and Technologies Nigeria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Nigeria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Systems and Services Cameroon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Cameroon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Systems Pakistan (Private)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Pakistan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Systems Services Operations Inc.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Nevada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TransTech of South Carolina, Inc.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TRSP Systems and Services Kenya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Kenya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TRSP Systems (Malaysia) SDN. BHD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Malaysia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Turbonetics Holdings, Inc.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Vapor Ricon Europe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UK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Australia Pty.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(Beijing) Investment Co.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Brasil Fabricacao e Manutencao de Equipamentos Ltda.</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Brazil</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Components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Corporation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New York</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Canada, Inc.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Canada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China Friction Holding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China Rail Products &amp; Services Holding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Control Systems Pty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Australia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de Mexico, S. de R.L. de C.V.</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Mexico</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Economic and Trading (Shanghai) Co.,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China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Egypt for Commercial Agencies</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Egypt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Faiveley Nordic AB</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Sweden</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Faiveley Rayli Sistemleri Ltd. Sti</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Turkey</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Faiveley Turkey Ulaşım Sistemleri ve Hizmetleri AŞ</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Turkey</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France S.A.S.</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France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FRG GmbH</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Germany</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FRG Holdings GmbH &amp; Co. KG</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Germany</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Finance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Germany GmbH</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Germany</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Greenville Real Estate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South Carolina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Guinea Simandou - SARLU</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Guinea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Hauts-de-France</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France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Holding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Holdings South Africa (Pty) Ltd.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South Africa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India Industrial Private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India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International, Inc.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Locomotive Private Limited</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India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Manufacturing,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Manufacturing Mexico S. de R.L. de C.V.</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Mexico</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Manufacturing Solutions, LLC</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Delaware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Mozambique Limitada</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Mozambique</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Wabtec MZT AD Skopje</w:t>
            </w:r>
          </w:p>
        </w:tc>
        <w:tc>
          <w:tcPr>
            <w:tcW w:w="4340" w:type="dxa"/>
            <w:vAlign w:val="bottom"/>
          </w:tcPr>
          <w:p>
            <w:pPr>
              <w:ind w:left="1800"/>
              <w:spacing w:after="0"/>
              <w:rPr>
                <w:sz w:val="20"/>
                <w:szCs w:val="20"/>
                <w:color w:val="auto"/>
              </w:rPr>
            </w:pPr>
            <w:r>
              <w:rPr>
                <w:rFonts w:ascii="Times New Roman" w:cs="Times New Roman" w:eastAsia="Times New Roman" w:hAnsi="Times New Roman"/>
                <w:sz w:val="11"/>
                <w:szCs w:val="11"/>
                <w:color w:val="auto"/>
              </w:rPr>
              <w:t>Macedonia</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87 %</w:t>
            </w:r>
          </w:p>
        </w:tc>
      </w:tr>
    </w:tbl>
    <w:p>
      <w:pPr>
        <w:sectPr>
          <w:pgSz w:w="11900" w:h="16838" w:orient="portrait"/>
          <w:cols w:equalWidth="0" w:num="1">
            <w:col w:w="11180"/>
          </w:cols>
          <w:pgMar w:left="360" w:top="1300" w:right="35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Poland Sp. z.o.o.</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Poland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Netherlands B.V.</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Netherlands Holdings B.V.</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Railway Electronics Corporation</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Canada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Railway Electronics Holdings, LLC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Railway Electronics Manufacturing,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Railway Electronics,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Receivables LLC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(Shijiazhuang) Mining Equipment Co.,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South Africa Proprietary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South Africa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South Africa Technologies (Pty)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South Africa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Texmaco Rail Private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India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(Tianjin) Electrification Technology Co.,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Canada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Canada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Egypt Services LLC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Egypt</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Engines Holding B.V.</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Global Holdings, LLC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GmbH</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Germany</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Group Holdings Pty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Australia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Netherlands B.V.</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Netherlands Holdings B.V.</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Netherlands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Systems Co.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Systems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England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Transportation Systems, LLC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UK Holdings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England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UK Investments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England</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UK Limited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UK</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 US Rail,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Wabtec-UWC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Cyprus</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Westinghouse Air Brake Technologies Corporation Political Action Committee</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Delaware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Westinghouse Railway Holdings (Canada)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Canada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Xorail, Inc.</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Florida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9"/>
        </w:trPr>
        <w:tc>
          <w:tcPr>
            <w:tcW w:w="5020" w:type="dxa"/>
            <w:vAlign w:val="bottom"/>
          </w:tcPr>
          <w:p>
            <w:pPr>
              <w:spacing w:after="0"/>
              <w:rPr>
                <w:sz w:val="20"/>
                <w:szCs w:val="20"/>
                <w:color w:val="auto"/>
              </w:rPr>
            </w:pPr>
            <w:r>
              <w:rPr>
                <w:rFonts w:ascii="Times New Roman" w:cs="Times New Roman" w:eastAsia="Times New Roman" w:hAnsi="Times New Roman"/>
                <w:sz w:val="11"/>
                <w:szCs w:val="11"/>
                <w:color w:val="auto"/>
              </w:rPr>
              <w:t>Zhongshan MorsSmitt Relay Ltd.</w:t>
            </w:r>
          </w:p>
        </w:tc>
        <w:tc>
          <w:tcPr>
            <w:tcW w:w="3960" w:type="dxa"/>
            <w:vAlign w:val="bottom"/>
          </w:tcPr>
          <w:p>
            <w:pPr>
              <w:ind w:left="1460"/>
              <w:spacing w:after="0"/>
              <w:rPr>
                <w:sz w:val="20"/>
                <w:szCs w:val="20"/>
                <w:color w:val="auto"/>
              </w:rPr>
            </w:pPr>
            <w:r>
              <w:rPr>
                <w:rFonts w:ascii="Times New Roman" w:cs="Times New Roman" w:eastAsia="Times New Roman" w:hAnsi="Times New Roman"/>
                <w:sz w:val="11"/>
                <w:szCs w:val="11"/>
                <w:color w:val="auto"/>
              </w:rPr>
              <w:t>China</w:t>
            </w: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bl>
    <w:p>
      <w:pPr>
        <w:sectPr>
          <w:pgSz w:w="11900" w:h="16838" w:orient="portrait"/>
          <w:cols w:equalWidth="0" w:num="1">
            <w:col w:w="11180"/>
          </w:cols>
          <w:pgMar w:left="360" w:top="1300" w:right="35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22.0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Guarantor Subsidiaries of Westinghouse Air Brake Technologies</w:t>
      </w:r>
    </w:p>
    <w:p>
      <w:pPr>
        <w:spacing w:after="0" w:line="101" w:lineRule="exact"/>
        <w:rPr>
          <w:sz w:val="20"/>
          <w:szCs w:val="20"/>
          <w:color w:val="auto"/>
        </w:rPr>
      </w:pPr>
    </w:p>
    <w:p>
      <w:pPr>
        <w:jc w:val="both"/>
        <w:ind w:right="440"/>
        <w:spacing w:after="0" w:line="239" w:lineRule="auto"/>
        <w:rPr>
          <w:sz w:val="20"/>
          <w:szCs w:val="20"/>
          <w:color w:val="auto"/>
        </w:rPr>
      </w:pPr>
      <w:r>
        <w:rPr>
          <w:rFonts w:ascii="Times New Roman" w:cs="Times New Roman" w:eastAsia="Times New Roman" w:hAnsi="Times New Roman"/>
          <w:sz w:val="14"/>
          <w:szCs w:val="14"/>
          <w:color w:val="auto"/>
        </w:rPr>
        <w:t>The obligations under the Company's US Notes, the 2022 Credit Agreement and the 2024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US Notes, 2022 Credit Agreement and 2024 Credit Agreement</w:t>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i w:val="1"/>
          <w:iCs w:val="1"/>
          <w:u w:val="single" w:color="auto"/>
          <w:color w:val="auto"/>
        </w:rPr>
        <w:t>Guarantors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GE Transportation, a Wabtec Company</w:t>
      </w:r>
    </w:p>
    <w:p>
      <w:pPr>
        <w:ind w:left="1020"/>
        <w:spacing w:after="0" w:line="237" w:lineRule="auto"/>
        <w:rPr>
          <w:sz w:val="20"/>
          <w:szCs w:val="20"/>
          <w:color w:val="auto"/>
        </w:rPr>
      </w:pPr>
      <w:r>
        <w:rPr>
          <w:rFonts w:ascii="Times New Roman" w:cs="Times New Roman" w:eastAsia="Times New Roman" w:hAnsi="Times New Roman"/>
          <w:sz w:val="14"/>
          <w:szCs w:val="14"/>
          <w:color w:val="auto"/>
        </w:rPr>
        <w:t>RFPC Holding Corp.</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IP Holdings,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Systems Services Operations Inc.</w:t>
      </w:r>
    </w:p>
    <w:p>
      <w:pPr>
        <w:ind w:left="1020"/>
        <w:spacing w:after="0" w:line="238" w:lineRule="auto"/>
        <w:rPr>
          <w:sz w:val="20"/>
          <w:szCs w:val="20"/>
          <w:color w:val="auto"/>
        </w:rPr>
      </w:pPr>
      <w:r>
        <w:rPr>
          <w:rFonts w:ascii="Times New Roman" w:cs="Times New Roman" w:eastAsia="Times New Roman" w:hAnsi="Times New Roman"/>
          <w:sz w:val="14"/>
          <w:szCs w:val="14"/>
          <w:color w:val="auto"/>
        </w:rPr>
        <w:t>Wabtec Components,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Holding,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Railway Electronics Holdings, LLC</w:t>
      </w:r>
    </w:p>
    <w:p>
      <w:pPr>
        <w:ind w:left="1020"/>
        <w:spacing w:after="0"/>
        <w:rPr>
          <w:sz w:val="20"/>
          <w:szCs w:val="20"/>
          <w:color w:val="auto"/>
        </w:rPr>
      </w:pPr>
      <w:r>
        <w:rPr>
          <w:rFonts w:ascii="Times New Roman" w:cs="Times New Roman" w:eastAsia="Times New Roman" w:hAnsi="Times New Roman"/>
          <w:sz w:val="14"/>
          <w:szCs w:val="14"/>
          <w:color w:val="auto"/>
        </w:rPr>
        <w:t>Wabtec Transportation Systems,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Euro Notes</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Wabtec Transportation Netherlands B.V.</w:t>
      </w:r>
    </w:p>
    <w:p>
      <w:pPr>
        <w:spacing w:after="0"/>
        <w:tabs>
          <w:tab w:leader="none" w:pos="760" w:val="left"/>
        </w:tabs>
        <w:rPr>
          <w:sz w:val="20"/>
          <w:szCs w:val="20"/>
          <w:color w:val="auto"/>
        </w:rPr>
      </w:pPr>
      <w:r>
        <w:rPr>
          <w:rFonts w:ascii="Times New Roman" w:cs="Times New Roman" w:eastAsia="Times New Roman" w:hAnsi="Times New Roman"/>
          <w:sz w:val="14"/>
          <w:szCs w:val="14"/>
          <w:i w:val="1"/>
          <w:iCs w:val="1"/>
          <w:u w:val="single" w:color="auto"/>
          <w:color w:val="auto"/>
        </w:rPr>
        <w:t>Guarantor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ectPr>
          <w:pgSz w:w="11900" w:h="16838" w:orient="portrait"/>
          <w:cols w:equalWidth="0" w:num="1">
            <w:col w:w="11280"/>
          </w:cols>
          <w:pgMar w:left="300" w:top="1141"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36" w:lineRule="exact"/>
        <w:rPr>
          <w:sz w:val="20"/>
          <w:szCs w:val="20"/>
          <w:color w:val="auto"/>
        </w:rPr>
      </w:pPr>
    </w:p>
    <w:p>
      <w:pPr>
        <w:ind w:left="500" w:hanging="240"/>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333-53753) pertaining to the 1998 Employee Stock Purchase Plan of Westinghouse Air Brake Technologies Corporation,</w:t>
      </w:r>
    </w:p>
    <w:p>
      <w:pPr>
        <w:spacing w:after="0" w:line="14" w:lineRule="exact"/>
        <w:rPr>
          <w:rFonts w:ascii="Times New Roman" w:cs="Times New Roman" w:eastAsia="Times New Roman" w:hAnsi="Times New Roman"/>
          <w:sz w:val="14"/>
          <w:szCs w:val="14"/>
          <w:color w:val="auto"/>
        </w:rPr>
      </w:pP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333-39159) pertaining to the 1997 Executive Retirement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333-02979) pertaining to the 1995 Non-Employee Directors’ Fee and Stock Option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333-115014) pertaining to the 2004 Bonus Plan Agreements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333-137985) pertaining to the 2000 Stock Incentive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333-41840) pertaining to the 2000 Stock Inventive Plan of Westinghouse Air Brake Technologies Corporation,</w:t>
      </w:r>
    </w:p>
    <w:p>
      <w:pPr>
        <w:ind w:left="500" w:hanging="240"/>
        <w:spacing w:after="0" w:line="221"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333-40468) pertaining to the 1995 Non-Employee Directors’ Fee and Stock Option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333-35744) pertaining to the 2000 Savings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333-89086) pertaining to the 2002 Employee Stock Ownership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333-179857) pertaining to the 2011 Stock Incentive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219662) pertaining to the 1995 Non-Employee Directors' Fee and Stock Option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219663) pertaining to the 2011 Stock Incentive Plan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333-231125)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333-240166)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333-248731) of Westinghouse Air Brake Technologies Corporation,</w:t>
      </w:r>
    </w:p>
    <w:p>
      <w:pPr>
        <w:ind w:left="520" w:right="260" w:hanging="260"/>
        <w:spacing w:after="0" w:line="237" w:lineRule="auto"/>
        <w:tabs>
          <w:tab w:leader="none" w:pos="51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333-253256) pertaining to the 2011 Stock Incentive Plan (as Amended and Restated effective May 15, 2020) (as amended by Amendment Number One dated January 14, 2021) of Westinghouse Air Brake Technologies Corporation,</w:t>
      </w:r>
    </w:p>
    <w:p>
      <w:pPr>
        <w:ind w:left="500" w:hanging="240"/>
        <w:spacing w:after="0" w:line="237"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333-256296) of Westinghouse Air Brake Technologies Corporation, and</w:t>
      </w:r>
    </w:p>
    <w:p>
      <w:pPr>
        <w:ind w:left="500" w:hanging="240"/>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333-275386) of Westinghouse Air Brake Technologies Corporation;</w:t>
      </w:r>
    </w:p>
    <w:p>
      <w:pPr>
        <w:spacing w:after="0" w:line="12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of our reports dated February 12, 2025,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Pittsburgh,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12, 2025</w:t>
      </w:r>
    </w:p>
    <w:p>
      <w:pPr>
        <w:sectPr>
          <w:pgSz w:w="11900" w:h="16838" w:orient="portrait"/>
          <w:cols w:equalWidth="0" w:num="1">
            <w:col w:w="11280"/>
          </w:cols>
          <w:pgMar w:left="300" w:top="727"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Rafael Santana, certify that:</w:t>
      </w:r>
    </w:p>
    <w:p>
      <w:pPr>
        <w:spacing w:after="0" w:line="94" w:lineRule="exact"/>
        <w:rPr>
          <w:sz w:val="20"/>
          <w:szCs w:val="20"/>
          <w:color w:val="auto"/>
        </w:rPr>
      </w:pPr>
    </w:p>
    <w:p>
      <w:pPr>
        <w:ind w:left="520" w:hanging="133"/>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300" w:firstLine="387"/>
        <w:spacing w:after="0" w:line="287" w:lineRule="auto"/>
        <w:tabs>
          <w:tab w:leader="none" w:pos="52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9" w:lineRule="exact"/>
        <w:rPr>
          <w:rFonts w:ascii="Times New Roman" w:cs="Times New Roman" w:eastAsia="Times New Roman" w:hAnsi="Times New Roman"/>
          <w:sz w:val="14"/>
          <w:szCs w:val="14"/>
          <w:color w:val="auto"/>
        </w:rPr>
      </w:pPr>
    </w:p>
    <w:p>
      <w:pPr>
        <w:ind w:right="400" w:firstLine="387"/>
        <w:spacing w:after="0" w:line="287" w:lineRule="auto"/>
        <w:tabs>
          <w:tab w:leader="none" w:pos="52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9" w:lineRule="exact"/>
        <w:rPr>
          <w:rFonts w:ascii="Times New Roman" w:cs="Times New Roman" w:eastAsia="Times New Roman" w:hAnsi="Times New Roman"/>
          <w:sz w:val="14"/>
          <w:szCs w:val="14"/>
          <w:color w:val="auto"/>
        </w:rPr>
      </w:pPr>
    </w:p>
    <w:p>
      <w:pPr>
        <w:ind w:right="320" w:firstLine="387"/>
        <w:spacing w:after="0" w:line="287" w:lineRule="auto"/>
        <w:tabs>
          <w:tab w:leader="none" w:pos="52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80" w:firstLine="514"/>
        <w:spacing w:after="0" w:line="287" w:lineRule="auto"/>
        <w:tabs>
          <w:tab w:leader="none" w:pos="70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39" w:lineRule="exact"/>
        <w:rPr>
          <w:rFonts w:ascii="Times New Roman" w:cs="Times New Roman" w:eastAsia="Times New Roman" w:hAnsi="Times New Roman"/>
          <w:sz w:val="14"/>
          <w:szCs w:val="14"/>
          <w:color w:val="auto"/>
        </w:rPr>
      </w:pPr>
    </w:p>
    <w:p>
      <w:pPr>
        <w:ind w:right="300" w:firstLine="514"/>
        <w:spacing w:after="0" w:line="287" w:lineRule="auto"/>
        <w:tabs>
          <w:tab w:leader="none" w:pos="71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60" w:firstLine="514"/>
        <w:spacing w:after="0" w:line="287" w:lineRule="auto"/>
        <w:tabs>
          <w:tab w:leader="none" w:pos="70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39" w:lineRule="exact"/>
        <w:rPr>
          <w:rFonts w:ascii="Times New Roman" w:cs="Times New Roman" w:eastAsia="Times New Roman" w:hAnsi="Times New Roman"/>
          <w:sz w:val="14"/>
          <w:szCs w:val="14"/>
          <w:color w:val="auto"/>
        </w:rPr>
      </w:pPr>
    </w:p>
    <w:p>
      <w:pPr>
        <w:ind w:right="260" w:firstLine="514"/>
        <w:spacing w:after="0" w:line="287" w:lineRule="auto"/>
        <w:tabs>
          <w:tab w:leader="none" w:pos="71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160" w:firstLine="514"/>
        <w:spacing w:after="0" w:line="287" w:lineRule="auto"/>
        <w:tabs>
          <w:tab w:leader="none" w:pos="70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February 12, 2025</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0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R</w:t>
            </w:r>
            <w:r>
              <w:rPr>
                <w:rFonts w:ascii="Times New Roman" w:cs="Times New Roman" w:eastAsia="Times New Roman" w:hAnsi="Times New Roman"/>
                <w:sz w:val="11"/>
                <w:szCs w:val="11"/>
                <w:color w:val="auto"/>
              </w:rPr>
              <w:t>AFAEL</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ANTANA</w:t>
            </w:r>
          </w:p>
        </w:tc>
      </w:tr>
      <w:tr>
        <w:trPr>
          <w:trHeight w:val="17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Rafael Santana</w:t>
            </w:r>
          </w:p>
        </w:tc>
      </w:tr>
      <w:tr>
        <w:trPr>
          <w:trHeight w:val="186"/>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060" w:type="dxa"/>
            <w:vAlign w:val="bottom"/>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bl>
    <w:p>
      <w:pPr>
        <w:sectPr>
          <w:pgSz w:w="11900" w:h="16838" w:orient="portrait"/>
          <w:cols w:equalWidth="0" w:num="1">
            <w:col w:w="11280"/>
          </w:cols>
          <w:pgMar w:left="300" w:top="728"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A. Olin, certify that:</w:t>
      </w:r>
    </w:p>
    <w:p>
      <w:pPr>
        <w:spacing w:after="0" w:line="94" w:lineRule="exact"/>
        <w:rPr>
          <w:sz w:val="20"/>
          <w:szCs w:val="20"/>
          <w:color w:val="auto"/>
        </w:rPr>
      </w:pPr>
    </w:p>
    <w:p>
      <w:pPr>
        <w:ind w:left="520" w:hanging="133"/>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300" w:firstLine="387"/>
        <w:spacing w:after="0" w:line="287" w:lineRule="auto"/>
        <w:tabs>
          <w:tab w:leader="none" w:pos="52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9" w:lineRule="exact"/>
        <w:rPr>
          <w:rFonts w:ascii="Times New Roman" w:cs="Times New Roman" w:eastAsia="Times New Roman" w:hAnsi="Times New Roman"/>
          <w:sz w:val="14"/>
          <w:szCs w:val="14"/>
          <w:color w:val="auto"/>
        </w:rPr>
      </w:pPr>
    </w:p>
    <w:p>
      <w:pPr>
        <w:ind w:right="400" w:firstLine="387"/>
        <w:spacing w:after="0" w:line="287" w:lineRule="auto"/>
        <w:tabs>
          <w:tab w:leader="none" w:pos="52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9" w:lineRule="exact"/>
        <w:rPr>
          <w:rFonts w:ascii="Times New Roman" w:cs="Times New Roman" w:eastAsia="Times New Roman" w:hAnsi="Times New Roman"/>
          <w:sz w:val="14"/>
          <w:szCs w:val="14"/>
          <w:color w:val="auto"/>
        </w:rPr>
      </w:pPr>
    </w:p>
    <w:p>
      <w:pPr>
        <w:ind w:right="320" w:firstLine="387"/>
        <w:spacing w:after="0" w:line="287" w:lineRule="auto"/>
        <w:tabs>
          <w:tab w:leader="none" w:pos="52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80" w:firstLine="514"/>
        <w:spacing w:after="0" w:line="287" w:lineRule="auto"/>
        <w:tabs>
          <w:tab w:leader="none" w:pos="70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39" w:lineRule="exact"/>
        <w:rPr>
          <w:rFonts w:ascii="Times New Roman" w:cs="Times New Roman" w:eastAsia="Times New Roman" w:hAnsi="Times New Roman"/>
          <w:sz w:val="14"/>
          <w:szCs w:val="14"/>
          <w:color w:val="auto"/>
        </w:rPr>
      </w:pPr>
    </w:p>
    <w:p>
      <w:pPr>
        <w:ind w:right="300" w:firstLine="514"/>
        <w:spacing w:after="0" w:line="287" w:lineRule="auto"/>
        <w:tabs>
          <w:tab w:leader="none" w:pos="71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60" w:firstLine="514"/>
        <w:spacing w:after="0" w:line="287" w:lineRule="auto"/>
        <w:tabs>
          <w:tab w:leader="none" w:pos="70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39" w:lineRule="exact"/>
        <w:rPr>
          <w:rFonts w:ascii="Times New Roman" w:cs="Times New Roman" w:eastAsia="Times New Roman" w:hAnsi="Times New Roman"/>
          <w:sz w:val="14"/>
          <w:szCs w:val="14"/>
          <w:color w:val="auto"/>
        </w:rPr>
      </w:pPr>
    </w:p>
    <w:p>
      <w:pPr>
        <w:ind w:right="260" w:firstLine="514"/>
        <w:spacing w:after="0" w:line="287" w:lineRule="auto"/>
        <w:tabs>
          <w:tab w:leader="none" w:pos="71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160" w:firstLine="514"/>
        <w:spacing w:after="0" w:line="287" w:lineRule="auto"/>
        <w:tabs>
          <w:tab w:leader="none" w:pos="70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February 12, 2025</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45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J</w:t>
            </w:r>
            <w:r>
              <w:rPr>
                <w:rFonts w:ascii="Times New Roman" w:cs="Times New Roman" w:eastAsia="Times New Roman" w:hAnsi="Times New Roman"/>
                <w:sz w:val="11"/>
                <w:szCs w:val="11"/>
                <w:color w:val="auto"/>
              </w:rPr>
              <w:t>OHN</w:t>
            </w:r>
            <w:r>
              <w:rPr>
                <w:rFonts w:ascii="Times New Roman" w:cs="Times New Roman" w:eastAsia="Times New Roman" w:hAnsi="Times New Roman"/>
                <w:sz w:val="14"/>
                <w:szCs w:val="14"/>
                <w:color w:val="auto"/>
              </w:rPr>
              <w:t xml:space="preserve"> A. O</w:t>
            </w:r>
            <w:r>
              <w:rPr>
                <w:rFonts w:ascii="Times New Roman" w:cs="Times New Roman" w:eastAsia="Times New Roman" w:hAnsi="Times New Roman"/>
                <w:sz w:val="11"/>
                <w:szCs w:val="11"/>
                <w:color w:val="auto"/>
              </w:rPr>
              <w:t>LIN</w:t>
            </w:r>
          </w:p>
        </w:tc>
      </w:tr>
      <w:tr>
        <w:trPr>
          <w:trHeight w:val="16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2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86"/>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52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tc>
      </w:tr>
    </w:tbl>
    <w:p>
      <w:pPr>
        <w:sectPr>
          <w:pgSz w:w="11900" w:h="16838" w:orient="portrait"/>
          <w:cols w:equalWidth="0" w:num="1">
            <w:col w:w="11280"/>
          </w:cols>
          <w:pgMar w:left="300" w:top="727"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9" w:lineRule="exact"/>
        <w:rPr>
          <w:sz w:val="20"/>
          <w:szCs w:val="20"/>
          <w:color w:val="auto"/>
        </w:rPr>
      </w:pPr>
    </w:p>
    <w:p>
      <w:pPr>
        <w:ind w:right="500" w:firstLine="382"/>
        <w:spacing w:after="0" w:line="271" w:lineRule="auto"/>
        <w:rPr>
          <w:sz w:val="20"/>
          <w:szCs w:val="20"/>
          <w:color w:val="auto"/>
        </w:rPr>
      </w:pPr>
      <w:r>
        <w:rPr>
          <w:rFonts w:ascii="Times New Roman" w:cs="Times New Roman" w:eastAsia="Times New Roman" w:hAnsi="Times New Roman"/>
          <w:sz w:val="14"/>
          <w:szCs w:val="14"/>
          <w:color w:val="auto"/>
        </w:rPr>
        <w:t>Pursuant to 18 U.S.C. § 1350, the undersigned officers of Westinghouse Air Brake Technologies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hereby certify, to the best of their knowledge, that the Company’s Annual Report on Form 10-K for the year ended December 31, 2024 (the “</w:t>
      </w:r>
      <w:r>
        <w:rPr>
          <w:rFonts w:ascii="Times New Roman" w:cs="Times New Roman" w:eastAsia="Times New Roman" w:hAnsi="Times New Roman"/>
          <w:sz w:val="14"/>
          <w:szCs w:val="14"/>
          <w:i w:val="1"/>
          <w:iCs w:val="1"/>
          <w:color w:val="auto"/>
        </w:rPr>
        <w:t>Report</w:t>
      </w:r>
      <w:r>
        <w:rPr>
          <w:rFonts w:ascii="Times New Roman" w:cs="Times New Roman" w:eastAsia="Times New Roman" w:hAnsi="Times New Roman"/>
          <w:sz w:val="14"/>
          <w:szCs w:val="14"/>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83" w:lineRule="exact"/>
        <w:rPr>
          <w:sz w:val="20"/>
          <w:szCs w:val="20"/>
          <w:color w:val="auto"/>
        </w:rPr>
      </w:pPr>
    </w:p>
    <w:p>
      <w:pPr>
        <w:ind w:left="1320"/>
        <w:spacing w:after="0"/>
        <w:tabs>
          <w:tab w:leader="none" w:pos="3220" w:val="left"/>
          <w:tab w:leader="none" w:pos="3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R</w:t>
      </w:r>
      <w:r>
        <w:rPr>
          <w:rFonts w:ascii="Times New Roman" w:cs="Times New Roman" w:eastAsia="Times New Roman" w:hAnsi="Times New Roman"/>
          <w:sz w:val="10"/>
          <w:szCs w:val="10"/>
          <w:color w:val="auto"/>
        </w:rPr>
        <w:t>AFAEL</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21590</wp:posOffset>
            </wp:positionV>
            <wp:extent cx="30048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spacing w:after="0" w:line="1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Rafael Santana</w:t>
      </w:r>
    </w:p>
    <w:p>
      <w:pPr>
        <w:spacing w:after="0" w:line="4"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spacing w:after="0" w:line="212" w:lineRule="exact"/>
        <w:rPr>
          <w:sz w:val="20"/>
          <w:szCs w:val="20"/>
          <w:color w:val="auto"/>
        </w:rPr>
      </w:pPr>
    </w:p>
    <w:p>
      <w:pPr>
        <w:ind w:left="118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color w:val="auto"/>
        </w:rPr>
        <w:t>February 12, 2025</w:t>
      </w:r>
    </w:p>
    <w:p>
      <w:pPr>
        <w:spacing w:after="0" w:line="223" w:lineRule="exact"/>
        <w:rPr>
          <w:sz w:val="20"/>
          <w:szCs w:val="20"/>
          <w:color w:val="auto"/>
        </w:rPr>
      </w:pPr>
    </w:p>
    <w:p>
      <w:pPr>
        <w:ind w:left="1320"/>
        <w:spacing w:after="0"/>
        <w:tabs>
          <w:tab w:leader="none" w:pos="34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w:t>
      </w:r>
      <w:r>
        <w:rPr>
          <w:rFonts w:ascii="Times New Roman" w:cs="Times New Roman" w:eastAsia="Times New Roman" w:hAnsi="Times New Roman"/>
          <w:sz w:val="11"/>
          <w:szCs w:val="11"/>
          <w:color w:val="auto"/>
        </w:rPr>
        <w:t>OHN</w:t>
      </w:r>
      <w:r>
        <w:rPr>
          <w:rFonts w:ascii="Times New Roman" w:cs="Times New Roman" w:eastAsia="Times New Roman" w:hAnsi="Times New Roman"/>
          <w:sz w:val="14"/>
          <w:szCs w:val="14"/>
          <w:color w:val="auto"/>
        </w:rPr>
        <w:t xml:space="preserve"> A. O</w:t>
      </w:r>
      <w:r>
        <w:rPr>
          <w:rFonts w:ascii="Times New Roman" w:cs="Times New Roman" w:eastAsia="Times New Roman" w:hAnsi="Times New Roman"/>
          <w:sz w:val="11"/>
          <w:szCs w:val="11"/>
          <w:color w:val="auto"/>
        </w:rPr>
        <w: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21590</wp:posOffset>
            </wp:positionV>
            <wp:extent cx="300482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spacing w:after="0" w:line="1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John A. Olin</w:t>
      </w:r>
    </w:p>
    <w:p>
      <w:pPr>
        <w:spacing w:after="0" w:line="4"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p>
      <w:pPr>
        <w:spacing w:after="0" w:line="53" w:lineRule="exact"/>
        <w:rPr>
          <w:sz w:val="20"/>
          <w:szCs w:val="20"/>
          <w:color w:val="auto"/>
        </w:rPr>
      </w:pPr>
    </w:p>
    <w:p>
      <w:pPr>
        <w:ind w:left="118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color w:val="auto"/>
        </w:rPr>
        <w:t>February 12, 2025</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4"/>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decimal"/>
      <w:start w:val="2"/>
    </w:lvl>
  </w:abstractNum>
  <w:abstractNum w:abstractNumId="30">
    <w:nsid w:val="2D517796"/>
    <w:multiLevelType w:val="hybridMultilevel"/>
    <w:lvl w:ilvl="0">
      <w:lvlJc w:val="left"/>
      <w:lvlText w:val="3"/>
      <w:numFmt w:val="bullet"/>
      <w:start w:val="1"/>
    </w:lvl>
  </w:abstractNum>
  <w:abstractNum w:abstractNumId="31">
    <w:nsid w:val="580BD78F"/>
    <w:multiLevelType w:val="hybridMultilevel"/>
    <w:lvl w:ilvl="0">
      <w:lvlJc w:val="left"/>
      <w:lvlText w:val="8"/>
      <w:numFmt w:val="bullet"/>
      <w:start w:val="1"/>
    </w:lvl>
  </w:abstractNum>
  <w:abstractNum w:abstractNumId="32">
    <w:nsid w:val="153EA438"/>
    <w:multiLevelType w:val="hybridMultilevel"/>
    <w:lvl w:ilvl="0">
      <w:lvlJc w:val="left"/>
      <w:lvlText w:val="%1"/>
      <w:numFmt w:val="decimal"/>
      <w:start w:val="10"/>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2"/>
    </w:lvl>
    <w:lvl w:ilvl="1">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2"/>
    </w:lvl>
  </w:abstractNum>
  <w:abstractNum w:abstractNumId="42">
    <w:nsid w:val="4B588F54"/>
    <w:multiLevelType w:val="hybridMultilevel"/>
    <w:lvl w:ilvl="0">
      <w:lvlJc w:val="left"/>
      <w:lvlText w:val="%1."/>
      <w:numFmt w:val="decimal"/>
      <w:start w:val="3"/>
    </w:lvl>
    <w:lvl w:ilvl="1">
      <w:lvlJc w:val="left"/>
      <w:lvlText w:val="%2"/>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upperLetter"/>
      <w:start w:val="4"/>
    </w:lvl>
  </w:abstractNum>
  <w:abstractNum w:abstractNumId="45">
    <w:nsid w:val="38437FDB"/>
    <w:multiLevelType w:val="hybridMultilevel"/>
    <w:lvl w:ilvl="0">
      <w:lvlJc w:val="left"/>
      <w:lvlText w:val="%1."/>
      <w:numFmt w:val="decimal"/>
      <w:start w:val="4"/>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00" Type="http://schemas.openxmlformats.org/officeDocument/2006/relationships/hyperlink" Target="https://www.sec.gov/Archives/edgar/data/943452/000119312515340255/d40711dex23.htm" TargetMode="External"/><Relationship Id="rId101" Type="http://schemas.openxmlformats.org/officeDocument/2006/relationships/hyperlink" Target="https://www.sec.gov/Archives/edgar/data/943452/000119312516747971/d171024dex23.htm" TargetMode="External"/><Relationship Id="rId102" Type="http://schemas.openxmlformats.org/officeDocument/2006/relationships/hyperlink" Target="https://www.sec.gov/Archives/edgar/data/943452/000114036119003790/s002675x3_ex10-3.htm" TargetMode="External"/><Relationship Id="rId103" Type="http://schemas.openxmlformats.org/officeDocument/2006/relationships/hyperlink" Target="https://www.sec.gov/Archives/edgar/data/943452/000114036119003790/s002675x3_ex10-2.htm" TargetMode="External"/><Relationship Id="rId104" Type="http://schemas.openxmlformats.org/officeDocument/2006/relationships/hyperlink" Target="https://www.sec.gov/Archives/edgar/data/943452/000119312511046939/dex31.htm" TargetMode="External"/><Relationship Id="rId105" Type="http://schemas.openxmlformats.org/officeDocument/2006/relationships/hyperlink" Target="https://www.sec.gov/Archives/edgar/data/943452/000119312513221862/d539211dex31.htm" TargetMode="External"/><Relationship Id="rId106" Type="http://schemas.openxmlformats.org/officeDocument/2006/relationships/hyperlink" Target="https://www.sec.gov/Archives/edgar/data/943452/000114036123006569/ny20007491x1_ex3-1.htm" TargetMode="External"/><Relationship Id="rId107" Type="http://schemas.openxmlformats.org/officeDocument/2006/relationships/hyperlink" Target="https://www.sec.gov/Archives/edgar/data/943452/000162828019002095/wabex34-10k2018.htm" TargetMode="External"/><Relationship Id="rId108" Type="http://schemas.openxmlformats.org/officeDocument/2006/relationships/hyperlink" Target="https://www.sec.gov/Archives/edgar/data/943452/000114036119003790/s002675x3_ex3-1.htm" TargetMode="External"/><Relationship Id="rId109" Type="http://schemas.openxmlformats.org/officeDocument/2006/relationships/hyperlink" Target="https://www.sec.gov/Archives/edgar/data/943452/000119312513326831/d579823dex41.htm" TargetMode="External"/><Relationship Id="rId110" Type="http://schemas.openxmlformats.org/officeDocument/2006/relationships/hyperlink" Target="https://www.sec.gov/Archives/edgar/data/943452/000119312513326831/d579823dex42.htm" TargetMode="External"/><Relationship Id="rId111" Type="http://schemas.openxmlformats.org/officeDocument/2006/relationships/hyperlink" Target="https://www.sec.gov/Archives/edgar/data/943452/000119312516759080/d286174dex42.htm" TargetMode="External"/><Relationship Id="rId112" Type="http://schemas.openxmlformats.org/officeDocument/2006/relationships/hyperlink" Target="https://www.sec.gov/Archives/edgar/data/943452/000119312516759080/d286174dex43.htm" TargetMode="External"/><Relationship Id="rId113" Type="http://schemas.openxmlformats.org/officeDocument/2006/relationships/hyperlink" Target="https://www.sec.gov/Archives/edgar/data/943452/000162828017001863/wabex4910k2016.htm" TargetMode="External"/><Relationship Id="rId116" Type="http://schemas.openxmlformats.org/officeDocument/2006/relationships/hyperlink" Target="https://www.sec.gov/Archives/edgar/data/943452/000162828017004956/exhibit41.htm" TargetMode="External"/><Relationship Id="rId117" Type="http://schemas.openxmlformats.org/officeDocument/2006/relationships/hyperlink" Target="https://www.sec.gov/Archives/edgar/data/943452/000119312517231307/d326636dex410.htm" TargetMode="External"/><Relationship Id="rId118" Type="http://schemas.openxmlformats.org/officeDocument/2006/relationships/hyperlink" Target="https://www.sec.gov/Archives/edgar/data/943452/000162828018009841/wabexseventhsupplemental.htm" TargetMode="External"/><Relationship Id="rId119" Type="http://schemas.openxmlformats.org/officeDocument/2006/relationships/hyperlink" Target="https://www.sec.gov/Archives/edgar/data/943452/000162828018009841/wabexeigthsupplementalin.htm" TargetMode="External"/><Relationship Id="rId120" Type="http://schemas.openxmlformats.org/officeDocument/2006/relationships/hyperlink" Target="https://www.sec.gov/Archives/edgar/data/943452/000114036118038440/s002426x14_ex4-3.htm" TargetMode="External"/><Relationship Id="rId121" Type="http://schemas.openxmlformats.org/officeDocument/2006/relationships/hyperlink" Target="https://www.sec.gov/Archives/edgar/data/943452/000162828019009750/wabex41q22019.htm" TargetMode="External"/><Relationship Id="rId122" Type="http://schemas.openxmlformats.org/officeDocument/2006/relationships/hyperlink" Target="https://www.sec.gov/Archives/edgar/data/943452/000114036120015073/ex4_4.htm" TargetMode="External"/><Relationship Id="rId123" Type="http://schemas.openxmlformats.org/officeDocument/2006/relationships/hyperlink" Target="https://www.sec.gov/Archives/edgar/data/0000943452/000114036121019675/nt10024721x10_ex4-1.htm" TargetMode="External"/><Relationship Id="rId124" Type="http://schemas.openxmlformats.org/officeDocument/2006/relationships/hyperlink" Target="https://www.sec.gov/Archives/edgar/data/0000943452/000114036121019675/nt10024721x10_ex4-2.htm" TargetMode="External"/><Relationship Id="rId125" Type="http://schemas.openxmlformats.org/officeDocument/2006/relationships/hyperlink" Target="https://www.sec.gov/Archives/edgar/data/943452/000114036124012639/ny20023735x1_ex4-3.htm" TargetMode="External"/><Relationship Id="rId126" Type="http://schemas.openxmlformats.org/officeDocument/2006/relationships/hyperlink" Target="https://www.sec.gov/Archives/edgar/data/943452/000119312517105511/d323634ddef14a.htm#toc323634_49" TargetMode="External"/><Relationship Id="rId127" Type="http://schemas.openxmlformats.org/officeDocument/2006/relationships/hyperlink" Target="https://www.sec.gov/Archives/edgar/data/943452/000119312512094184/d309440ds8pos.htm" TargetMode="External"/><Relationship Id="rId128" Type="http://schemas.openxmlformats.org/officeDocument/2006/relationships/hyperlink" Target="https://www.sec.gov/Archives/edgar/data/943452/000119312506079330/ddef14a.htm" TargetMode="External"/><Relationship Id="rId129" Type="http://schemas.openxmlformats.org/officeDocument/2006/relationships/hyperlink" Target="https://www.sec.gov/Archives/edgar/data/943452/000119312506107416/dex101.htm" TargetMode="External"/><Relationship Id="rId130" Type="http://schemas.openxmlformats.org/officeDocument/2006/relationships/hyperlink" Target="https://www.sec.gov/Archives/edgar/data/943452/000119312513071115/d448585dex107.htm" TargetMode="External"/><Relationship Id="rId131" Type="http://schemas.openxmlformats.org/officeDocument/2006/relationships/hyperlink" Target="https://www.sec.gov/Archives/edgar/data/943452/000162828022021268/wabtecex10.htm" TargetMode="External"/><Relationship Id="rId132" Type="http://schemas.openxmlformats.org/officeDocument/2006/relationships/hyperlink" Target="https://www.sec.gov/Archives/edgar/data/943452/000119312508227810/dex101.htm" TargetMode="External"/><Relationship Id="rId133" Type="http://schemas.openxmlformats.org/officeDocument/2006/relationships/hyperlink" Target="https://www.sec.gov/Archives/edgar/data/943452/000119312509143629/dex101.htm" TargetMode="External"/><Relationship Id="rId134" Type="http://schemas.openxmlformats.org/officeDocument/2006/relationships/hyperlink" Target="https://www.sec.gov/Archives/edgar/data/943452/000119312513071115/d448585dex1012.htm" TargetMode="External"/><Relationship Id="rId137" Type="http://schemas.openxmlformats.org/officeDocument/2006/relationships/hyperlink" Target="https://www.sec.gov/Archives/edgar/data/943452/000119312513071115/d448585dex1013.htm" TargetMode="External"/><Relationship Id="rId138" Type="http://schemas.openxmlformats.org/officeDocument/2006/relationships/hyperlink" Target="https://www.sec.gov/Archives/edgar/data/943452/000119312513071115/d448585dex1014.htm" TargetMode="External"/><Relationship Id="rId139" Type="http://schemas.openxmlformats.org/officeDocument/2006/relationships/hyperlink" Target="https://www.sec.gov/Archives/edgar/data/943452/000119312513071115/d448585dex1015.htm" TargetMode="External"/><Relationship Id="rId140" Type="http://schemas.openxmlformats.org/officeDocument/2006/relationships/hyperlink" Target="https://www.sec.gov/Archives/edgar/data/943452/000162828022027500/wabtecex1013q22.htm" TargetMode="External"/><Relationship Id="rId141" Type="http://schemas.openxmlformats.org/officeDocument/2006/relationships/hyperlink" Target="https://www.sec.gov/Archives/edgar/data/943452/000114036124013714/ef20024267_ex10-1.htm" TargetMode="External"/><Relationship Id="rId142" Type="http://schemas.openxmlformats.org/officeDocument/2006/relationships/hyperlink" Target="https://www.sec.gov/Archives/edgar/data/943452/000114036122044669/brhc10045145_ex10-2.htm" TargetMode="External"/><Relationship Id="rId143" Type="http://schemas.openxmlformats.org/officeDocument/2006/relationships/hyperlink" Target="https://www.sec.gov/Archives/edgar/data/0000943452/000114036121035452/brhc10030064_ex99-1.htm" TargetMode="External"/><Relationship Id="rId144" Type="http://schemas.openxmlformats.org/officeDocument/2006/relationships/hyperlink" Target="https://www.sec.gov/Archives/edgar/data/943452/000162828019006382/wabex101q12019.htm" TargetMode="External"/><Relationship Id="rId145" Type="http://schemas.openxmlformats.org/officeDocument/2006/relationships/hyperlink" Target="https://www.sec.gov/Archives/edgar/data/943452/000162828019006382/wabex102q12019.htm" TargetMode="External"/><Relationship Id="rId146" Type="http://schemas.openxmlformats.org/officeDocument/2006/relationships/hyperlink" Target="https://www.sec.gov/Archives/edgar/data/943452/000114036122044669/brhc10045145_ex10-1.htm" TargetMode="External"/><Relationship Id="rId147" Type="http://schemas.openxmlformats.org/officeDocument/2006/relationships/hyperlink" Target="https://www.sec.gov/Archives/edgar/data/943452/000162828021002557/wabex1020-10k2020.htm" TargetMode="External"/><Relationship Id="rId148" Type="http://schemas.openxmlformats.org/officeDocument/2006/relationships/hyperlink" Target="https://www.sec.gov/Archives/edgar/data/943452/000162828021020615/wabex102q32021.htm" TargetMode="External"/><Relationship Id="rId149" Type="http://schemas.openxmlformats.org/officeDocument/2006/relationships/hyperlink" Target="https://www.sec.gov/Archives/edgar/data/943452/000162828024004774/wab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2025-02-12T14:42:31Z</dcterms:created>
  <dcterms:modified xsi:type="dcterms:W3CDTF">2025-02-12T14:42:31Z</dcterms:modified>
</cp:coreProperties>
</file>