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3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92"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8" w:lineRule="exact"/>
        <w:rPr>
          <w:sz w:val="24"/>
          <w:szCs w:val="24"/>
          <w:color w:val="auto"/>
        </w:rPr>
      </w:pPr>
    </w:p>
    <w:p>
      <w:pPr>
        <w:jc w:val="center"/>
        <w:ind w:left="1560" w:right="620"/>
        <w:spacing w:after="0" w:line="237"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 EXCHANGE ACT OF 1934</w:t>
      </w:r>
    </w:p>
    <w:p>
      <w:pPr>
        <w:spacing w:after="0" w:line="22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sec.240.14a-12</w:t>
      </w:r>
    </w:p>
    <w:p>
      <w:pPr>
        <w:spacing w:after="0" w:line="25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8"/>
          <w:szCs w:val="28"/>
          <w:b w:val="1"/>
          <w:bCs w:val="1"/>
          <w:color w:val="auto"/>
        </w:rPr>
        <w:t>WESTINGHOUSE AIR BRAKE TECHNOLOGIES CORPORATION</w:t>
      </w:r>
    </w:p>
    <w:p>
      <w:pPr>
        <w:spacing w:after="0" w:line="15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3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386080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188595</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248920</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683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68362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Notice of Annual Meeting—May 18, 2022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1791335</wp:posOffset>
            </wp:positionH>
            <wp:positionV relativeFrom="paragraph">
              <wp:posOffset>176530</wp:posOffset>
            </wp:positionV>
            <wp:extent cx="2322830" cy="79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2283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0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invite you to attend the annual meeting of stockholders of Westinghouse Air Brake Technologies Corporation, doing business as Wabtec Corporation, on May 18, 2022 at 12:30 p.m. Eastern Time virtually, via a live audio webcast on the Internet at www.virtualshareholdermeeting.com/WAB2022. You will be able to attend and participate in the Annual Meeting online by visiting www.virtualshareholdermeeting.com/WAB2022, where you will be able to vote electronically and submit questions. You will not be able to attend the Annual Meeting in person. You will need the 16-digit control number on your proxy card to attend the Annual Meeting.</w:t>
      </w:r>
    </w:p>
    <w:p>
      <w:pPr>
        <w:spacing w:after="0" w:line="7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This booklet includes the formal notice of the meeting and the proxy statement. Pursuant to the rules adopted by the Securities and Exchange Commission, we have elected to provide access to our proxy materials over the Internet. Accordingly, we are sending a Notice of Internet Availability of Proxy Materials (the “Notice”) to our stockholders. All stockholders will have the ability to access the proxy materials on a website referenced in the Notice or request a printed or e-mailed set of the proxy materials. Instructions regarding how to access the proxy materials over the Internet or to request a printed or e-mailed copy may be found in the Notice. In addition, stockholders may request proxy materials in printed or e-mailed form by mail, telephone or electronically by email on an ongoing basis.</w:t>
      </w:r>
    </w:p>
    <w:p>
      <w:pPr>
        <w:spacing w:after="0" w:line="7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Notice was mailed to stockholders, and the proxy materials were first given to stockholders via Internet access, on or about April 5, 2022. On or before the time that the Notice was sent to stockholders, all materials identified in the Notice were publicly accessible, free of charge, at the website address specified in the Notice. Such materials will remain available on that website until the proxy materials for the 2023 annual meeting of stockholders are made available.</w:t>
      </w:r>
    </w:p>
    <w:p>
      <w:pPr>
        <w:spacing w:after="0" w:line="6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proxy statement tells you more about the items upon which we will vote at the meeting. It also explains how the voting process works and gives information about our director candidates.</w:t>
      </w:r>
    </w:p>
    <w:p>
      <w:pPr>
        <w:spacing w:after="0" w:line="4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Whether or not you plan to attend the Annual Meeting, please cast your vote by proxy over the Internet by following the instructions provided in the Notice, by telephone or by requesting a paper proxy card to sign, date and return by mail. Regardless of the method used, please vote your shares so that enough shares are represented to allow us to conduct the business of the Annual Meeting. Voting over the Internet, by telephone or by proxy card if you request one does not affect your right to vote in person while you attend the virtual Annual Meeting.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2202815" cy="368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028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Albert J. Neupaver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April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58978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sz w:val="1"/>
          <w:szCs w:val="1"/>
          <w:color w:val="auto"/>
        </w:rPr>
        <w:drawing>
          <wp:inline distT="0" distB="0" distL="0" distR="0">
            <wp:extent cx="471805" cy="1803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1805" cy="180340"/>
                    </a:xfrm>
                    <a:prstGeom prst="rect">
                      <a:avLst/>
                    </a:prstGeom>
                    <a:noFill/>
                    <a:ln>
                      <a:noFill/>
                    </a:ln>
                  </pic:spPr>
                </pic:pic>
              </a:graphicData>
            </a:graphic>
          </wp:inline>
        </w:drawing>
      </w:r>
      <w:r>
        <w:rPr>
          <w:rFonts w:ascii="Arial" w:cs="Arial" w:eastAsia="Arial" w:hAnsi="Arial"/>
          <w:sz w:val="12"/>
          <w:szCs w:val="12"/>
          <w:color w:val="EC252A"/>
        </w:rPr>
        <w:t xml:space="preserve"> 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120015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b w:val="1"/>
          <w:bCs w:val="1"/>
          <w:color w:val="EC252A"/>
        </w:rPr>
        <w:t>NOTICE OF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-213995</wp:posOffset>
            </wp:positionV>
            <wp:extent cx="1619885" cy="556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9885" cy="556895"/>
                    </a:xfrm>
                    <a:prstGeom prst="rect">
                      <a:avLst/>
                    </a:prstGeom>
                    <a:noFill/>
                  </pic:spPr>
                </pic:pic>
              </a:graphicData>
            </a:graphic>
          </wp:anchor>
        </w:drawing>
      </w:r>
    </w:p>
    <w:p>
      <w:pPr>
        <w:spacing w:after="0" w:line="357" w:lineRule="exact"/>
        <w:rPr>
          <w:sz w:val="20"/>
          <w:szCs w:val="20"/>
          <w:color w:val="auto"/>
        </w:rPr>
      </w:pPr>
    </w:p>
    <w:p>
      <w:pPr>
        <w:ind w:left="1160"/>
        <w:spacing w:after="0"/>
        <w:tabs>
          <w:tab w:leader="none" w:pos="4020" w:val="left"/>
        </w:tabs>
        <w:rPr>
          <w:sz w:val="20"/>
          <w:szCs w:val="20"/>
          <w:color w:val="auto"/>
        </w:rPr>
      </w:pPr>
      <w:r>
        <w:rPr>
          <w:rFonts w:ascii="Arial" w:cs="Arial" w:eastAsia="Arial" w:hAnsi="Arial"/>
          <w:sz w:val="16"/>
          <w:szCs w:val="16"/>
          <w:b w:val="1"/>
          <w:bCs w:val="1"/>
          <w:color w:val="auto"/>
        </w:rPr>
        <w:t>When:</w:t>
      </w:r>
      <w:r>
        <w:rPr>
          <w:sz w:val="20"/>
          <w:szCs w:val="20"/>
          <w:color w:val="auto"/>
        </w:rPr>
        <w:tab/>
      </w:r>
      <w:r>
        <w:rPr>
          <w:rFonts w:ascii="Arial" w:cs="Arial" w:eastAsia="Arial" w:hAnsi="Arial"/>
          <w:sz w:val="16"/>
          <w:szCs w:val="16"/>
          <w:b w:val="1"/>
          <w:bCs w:val="1"/>
          <w:color w:val="auto"/>
        </w:rPr>
        <w:t>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2547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5475" cy="58293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-107315</wp:posOffset>
            </wp:positionV>
            <wp:extent cx="574040" cy="454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040" cy="454660"/>
                    </a:xfrm>
                    <a:prstGeom prst="rect">
                      <a:avLst/>
                    </a:prstGeom>
                    <a:noFill/>
                  </pic:spPr>
                </pic:pic>
              </a:graphicData>
            </a:graphic>
          </wp:anchor>
        </w:drawing>
      </w:r>
    </w:p>
    <w:p>
      <w:pPr>
        <w:spacing w:after="0" w:line="1" w:lineRule="exact"/>
        <w:rPr>
          <w:sz w:val="20"/>
          <w:szCs w:val="20"/>
          <w:color w:val="auto"/>
        </w:rPr>
      </w:pPr>
    </w:p>
    <w:p>
      <w:pPr>
        <w:ind w:left="1160"/>
        <w:spacing w:after="0"/>
        <w:tabs>
          <w:tab w:leader="none" w:pos="4020" w:val="left"/>
        </w:tabs>
        <w:rPr>
          <w:sz w:val="20"/>
          <w:szCs w:val="20"/>
          <w:color w:val="auto"/>
        </w:rPr>
      </w:pPr>
      <w:r>
        <w:rPr>
          <w:rFonts w:ascii="Arial" w:cs="Arial" w:eastAsia="Arial" w:hAnsi="Arial"/>
          <w:sz w:val="16"/>
          <w:szCs w:val="16"/>
          <w:color w:val="auto"/>
        </w:rPr>
        <w:t>May 18, 2022</w:t>
      </w:r>
      <w:r>
        <w:rPr>
          <w:sz w:val="20"/>
          <w:szCs w:val="20"/>
          <w:color w:val="auto"/>
        </w:rPr>
        <w:tab/>
      </w:r>
      <w:r>
        <w:rPr>
          <w:rFonts w:ascii="Arial" w:cs="Arial" w:eastAsia="Arial" w:hAnsi="Arial"/>
          <w:sz w:val="16"/>
          <w:szCs w:val="16"/>
          <w:color w:val="auto"/>
        </w:rPr>
        <w:t>www.virtual</w:t>
      </w:r>
    </w:p>
    <w:p>
      <w:pPr>
        <w:ind w:left="1160"/>
        <w:spacing w:after="0" w:line="193" w:lineRule="auto"/>
        <w:tabs>
          <w:tab w:leader="none" w:pos="4020" w:val="left"/>
        </w:tabs>
        <w:rPr>
          <w:sz w:val="20"/>
          <w:szCs w:val="20"/>
          <w:color w:val="auto"/>
        </w:rPr>
      </w:pPr>
      <w:r>
        <w:rPr>
          <w:rFonts w:ascii="Arial" w:cs="Arial" w:eastAsia="Arial" w:hAnsi="Arial"/>
          <w:sz w:val="16"/>
          <w:szCs w:val="16"/>
          <w:color w:val="auto"/>
        </w:rPr>
        <w:t>at 12:30 p.m. ET</w:t>
      </w:r>
      <w:r>
        <w:rPr>
          <w:sz w:val="20"/>
          <w:szCs w:val="20"/>
          <w:color w:val="auto"/>
        </w:rPr>
        <w:tab/>
      </w:r>
      <w:r>
        <w:rPr>
          <w:rFonts w:ascii="Arial" w:cs="Arial" w:eastAsia="Arial" w:hAnsi="Arial"/>
          <w:sz w:val="16"/>
          <w:szCs w:val="16"/>
          <w:color w:val="auto"/>
        </w:rPr>
        <w:t>shareholdermeeting.com/WAB2022</w:t>
      </w:r>
    </w:p>
    <w:p>
      <w:pPr>
        <w:jc w:val="center"/>
        <w:ind w:left="6560"/>
        <w:spacing w:after="0" w:line="231" w:lineRule="auto"/>
        <w:rPr>
          <w:sz w:val="20"/>
          <w:szCs w:val="20"/>
          <w:color w:val="auto"/>
        </w:rPr>
      </w:pPr>
      <w:r>
        <w:rPr>
          <w:rFonts w:ascii="Arial" w:cs="Arial" w:eastAsia="Arial" w:hAnsi="Arial"/>
          <w:sz w:val="20"/>
          <w:szCs w:val="20"/>
          <w:b w:val="1"/>
          <w:bCs w:val="1"/>
          <w:color w:val="auto"/>
        </w:rPr>
        <w:t>How to Vote:</w:t>
      </w:r>
    </w:p>
    <w:p>
      <w:pPr>
        <w:jc w:val="right"/>
        <w:ind w:right="120"/>
        <w:spacing w:after="0"/>
        <w:rPr>
          <w:sz w:val="20"/>
          <w:szCs w:val="20"/>
          <w:color w:val="auto"/>
        </w:rPr>
      </w:pPr>
      <w:r>
        <w:rPr>
          <w:rFonts w:ascii="Arial" w:cs="Arial" w:eastAsia="Arial" w:hAnsi="Arial"/>
          <w:sz w:val="16"/>
          <w:szCs w:val="16"/>
          <w:color w:val="auto"/>
        </w:rPr>
        <w:t>You may vote while attending the</w:t>
      </w:r>
    </w:p>
    <w:p>
      <w:pPr>
        <w:spacing w:after="0" w:line="5"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virtual meeting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121920</wp:posOffset>
            </wp:positionV>
            <wp:extent cx="574040" cy="45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040" cy="454025"/>
                    </a:xfrm>
                    <a:prstGeom prst="rect">
                      <a:avLst/>
                    </a:prstGeom>
                    <a:noFill/>
                  </pic:spPr>
                </pic:pic>
              </a:graphicData>
            </a:graphic>
          </wp:anchor>
        </w:drawing>
      </w:r>
    </w:p>
    <w:p>
      <w:pPr>
        <w:sectPr>
          <w:pgSz w:w="11900" w:h="16838" w:orient="portrait"/>
          <w:cols w:equalWidth="0" w:num="1">
            <w:col w:w="9260"/>
          </w:cols>
          <w:pgMar w:left="1300" w:top="263" w:right="1339" w:bottom="1440" w:gutter="0" w:footer="0" w:header="0"/>
        </w:sect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Board</w:t>
            </w:r>
          </w:p>
        </w:tc>
        <w:tc>
          <w:tcPr>
            <w:tcW w:w="11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6"/>
                <w:szCs w:val="16"/>
                <w:b w:val="1"/>
                <w:bCs w:val="1"/>
                <w:color w:val="auto"/>
              </w:rPr>
              <w:t>Purpose</w:t>
            </w:r>
          </w:p>
        </w:tc>
        <w:tc>
          <w:tcPr>
            <w:tcW w:w="2800" w:type="dxa"/>
            <w:vAlign w:val="bottom"/>
          </w:tcPr>
          <w:p>
            <w:pPr>
              <w:spacing w:after="0"/>
              <w:rPr>
                <w:sz w:val="19"/>
                <w:szCs w:val="19"/>
                <w:color w:val="auto"/>
              </w:rPr>
            </w:pPr>
          </w:p>
        </w:tc>
        <w:tc>
          <w:tcPr>
            <w:tcW w:w="1600" w:type="dxa"/>
            <w:vAlign w:val="bottom"/>
          </w:tcPr>
          <w:p>
            <w:pPr>
              <w:ind w:left="100"/>
              <w:spacing w:after="0"/>
              <w:rPr>
                <w:sz w:val="20"/>
                <w:szCs w:val="20"/>
                <w:color w:val="auto"/>
              </w:rPr>
            </w:pPr>
            <w:r>
              <w:rPr>
                <w:rFonts w:ascii="Arial" w:cs="Arial" w:eastAsia="Arial" w:hAnsi="Arial"/>
                <w:sz w:val="16"/>
                <w:szCs w:val="16"/>
                <w:b w:val="1"/>
                <w:bCs w:val="1"/>
                <w:color w:val="auto"/>
              </w:rPr>
              <w:t>Recommendation</w:t>
            </w:r>
          </w:p>
        </w:tc>
        <w:tc>
          <w:tcPr>
            <w:tcW w:w="11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Reference</w:t>
            </w:r>
          </w:p>
        </w:tc>
      </w:tr>
      <w:tr>
        <w:trPr>
          <w:trHeight w:val="34"/>
        </w:trPr>
        <w:tc>
          <w:tcPr>
            <w:tcW w:w="10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b w:val="1"/>
                <w:bCs w:val="1"/>
                <w:color w:val="EC252A"/>
              </w:rPr>
              <w:t>Proposal 1</w:t>
            </w:r>
          </w:p>
        </w:tc>
        <w:tc>
          <w:tcPr>
            <w:tcW w:w="2800" w:type="dxa"/>
            <w:vAlign w:val="bottom"/>
          </w:tcPr>
          <w:p>
            <w:pPr>
              <w:ind w:left="140"/>
              <w:spacing w:after="0"/>
              <w:rPr>
                <w:sz w:val="20"/>
                <w:szCs w:val="20"/>
                <w:color w:val="auto"/>
              </w:rPr>
            </w:pPr>
            <w:r>
              <w:rPr>
                <w:rFonts w:ascii="Arial" w:cs="Arial" w:eastAsia="Arial" w:hAnsi="Arial"/>
                <w:sz w:val="16"/>
                <w:szCs w:val="16"/>
                <w:color w:val="auto"/>
              </w:rPr>
              <w:t>Elect three directors for a term of</w:t>
            </w:r>
          </w:p>
        </w:tc>
        <w:tc>
          <w:tcPr>
            <w:tcW w:w="1600" w:type="dxa"/>
            <w:vAlign w:val="bottom"/>
          </w:tcPr>
          <w:p>
            <w:pPr>
              <w:jc w:val="center"/>
              <w:spacing w:after="0" w:line="184" w:lineRule="exact"/>
              <w:rPr>
                <w:sz w:val="20"/>
                <w:szCs w:val="20"/>
                <w:color w:val="auto"/>
              </w:rPr>
            </w:pPr>
            <w:r>
              <w:rPr>
                <w:rFonts w:ascii="Arial" w:cs="Arial" w:eastAsia="Arial" w:hAnsi="Arial"/>
                <w:sz w:val="16"/>
                <w:szCs w:val="16"/>
                <w:b w:val="1"/>
                <w:bCs w:val="1"/>
                <w:color w:val="EC252A"/>
                <w:w w:val="95"/>
              </w:rPr>
              <w:t xml:space="preserve">For </w:t>
            </w:r>
            <w:r>
              <w:rPr>
                <w:rFonts w:ascii="MS PGothic" w:cs="MS PGothic" w:eastAsia="MS PGothic" w:hAnsi="MS PGothic"/>
                <w:sz w:val="16"/>
                <w:szCs w:val="16"/>
                <w:color w:val="000000"/>
                <w:w w:val="95"/>
                <w:shd w:val="clear" w:color="auto" w:fill="EC252A"/>
              </w:rPr>
              <w:t>✔</w:t>
            </w:r>
          </w:p>
        </w:tc>
        <w:tc>
          <w:tcPr>
            <w:tcW w:w="1180" w:type="dxa"/>
            <w:vAlign w:val="bottom"/>
            <w:gridSpan w:val="5"/>
          </w:tcPr>
          <w:p>
            <w:pPr>
              <w:jc w:val="center"/>
              <w:ind w:right="100"/>
              <w:spacing w:after="0"/>
              <w:rPr>
                <w:rFonts w:ascii="Arial" w:cs="Arial" w:eastAsia="Arial" w:hAnsi="Arial"/>
                <w:sz w:val="16"/>
                <w:szCs w:val="16"/>
                <w:color w:val="auto"/>
              </w:rPr>
            </w:pPr>
            <w:r>
              <w:rPr>
                <w:rFonts w:ascii="Arial" w:cs="Arial" w:eastAsia="Arial" w:hAnsi="Arial"/>
                <w:sz w:val="16"/>
                <w:szCs w:val="16"/>
                <w:color w:val="auto"/>
              </w:rPr>
              <w:t xml:space="preserve">Page </w:t>
            </w:r>
            <w:hyperlink w:anchor="page13">
              <w:r>
                <w:rPr>
                  <w:rFonts w:ascii="Arial" w:cs="Arial" w:eastAsia="Arial" w:hAnsi="Arial"/>
                  <w:sz w:val="16"/>
                  <w:szCs w:val="16"/>
                  <w:color w:val="0000EE"/>
                </w:rPr>
                <w:t>8</w:t>
              </w:r>
            </w:hyperlink>
          </w:p>
        </w:tc>
      </w:tr>
      <w:tr>
        <w:trPr>
          <w:trHeight w:val="208"/>
        </w:trPr>
        <w:tc>
          <w:tcPr>
            <w:tcW w:w="1020" w:type="dxa"/>
            <w:vAlign w:val="bottom"/>
          </w:tcPr>
          <w:p>
            <w:pPr>
              <w:spacing w:after="0"/>
              <w:rPr>
                <w:sz w:val="18"/>
                <w:szCs w:val="18"/>
                <w:color w:val="auto"/>
              </w:rPr>
            </w:pPr>
          </w:p>
        </w:tc>
        <w:tc>
          <w:tcPr>
            <w:tcW w:w="2800" w:type="dxa"/>
            <w:vAlign w:val="bottom"/>
          </w:tcPr>
          <w:p>
            <w:pPr>
              <w:ind w:left="140"/>
              <w:spacing w:after="0"/>
              <w:rPr>
                <w:sz w:val="20"/>
                <w:szCs w:val="20"/>
                <w:color w:val="auto"/>
              </w:rPr>
            </w:pPr>
            <w:r>
              <w:rPr>
                <w:rFonts w:ascii="Arial" w:cs="Arial" w:eastAsia="Arial" w:hAnsi="Arial"/>
                <w:sz w:val="16"/>
                <w:szCs w:val="16"/>
                <w:color w:val="auto"/>
              </w:rPr>
              <w:t>three years</w:t>
            </w:r>
          </w:p>
        </w:tc>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9"/>
        </w:trPr>
        <w:tc>
          <w:tcPr>
            <w:tcW w:w="10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6"/>
                <w:szCs w:val="16"/>
                <w:b w:val="1"/>
                <w:bCs w:val="1"/>
                <w:color w:val="EC252A"/>
              </w:rPr>
              <w:t>Proposal 2</w:t>
            </w:r>
          </w:p>
        </w:tc>
        <w:tc>
          <w:tcPr>
            <w:tcW w:w="2800" w:type="dxa"/>
            <w:vAlign w:val="bottom"/>
          </w:tcPr>
          <w:p>
            <w:pPr>
              <w:ind w:left="140"/>
              <w:spacing w:after="0"/>
              <w:rPr>
                <w:sz w:val="20"/>
                <w:szCs w:val="20"/>
                <w:color w:val="auto"/>
              </w:rPr>
            </w:pPr>
            <w:r>
              <w:rPr>
                <w:rFonts w:ascii="Arial" w:cs="Arial" w:eastAsia="Arial" w:hAnsi="Arial"/>
                <w:sz w:val="16"/>
                <w:szCs w:val="16"/>
                <w:color w:val="auto"/>
              </w:rPr>
              <w:t>Approve an advisory (non-binding)</w:t>
            </w:r>
          </w:p>
        </w:tc>
        <w:tc>
          <w:tcPr>
            <w:tcW w:w="1600" w:type="dxa"/>
            <w:vAlign w:val="bottom"/>
          </w:tcPr>
          <w:p>
            <w:pPr>
              <w:jc w:val="center"/>
              <w:spacing w:after="0" w:line="184" w:lineRule="exact"/>
              <w:rPr>
                <w:sz w:val="20"/>
                <w:szCs w:val="20"/>
                <w:color w:val="auto"/>
              </w:rPr>
            </w:pPr>
            <w:r>
              <w:rPr>
                <w:rFonts w:ascii="Arial" w:cs="Arial" w:eastAsia="Arial" w:hAnsi="Arial"/>
                <w:sz w:val="16"/>
                <w:szCs w:val="16"/>
                <w:b w:val="1"/>
                <w:bCs w:val="1"/>
                <w:color w:val="EC252A"/>
                <w:w w:val="95"/>
              </w:rPr>
              <w:t xml:space="preserve">For </w:t>
            </w:r>
            <w:r>
              <w:rPr>
                <w:rFonts w:ascii="MS PGothic" w:cs="MS PGothic" w:eastAsia="MS PGothic" w:hAnsi="MS PGothic"/>
                <w:sz w:val="16"/>
                <w:szCs w:val="16"/>
                <w:color w:val="000000"/>
                <w:w w:val="95"/>
                <w:shd w:val="clear" w:color="auto" w:fill="EC252A"/>
              </w:rPr>
              <w:t>✔</w:t>
            </w:r>
          </w:p>
        </w:tc>
        <w:tc>
          <w:tcPr>
            <w:tcW w:w="1180" w:type="dxa"/>
            <w:vAlign w:val="bottom"/>
            <w:gridSpan w:val="5"/>
          </w:tcPr>
          <w:p>
            <w:pPr>
              <w:jc w:val="center"/>
              <w:ind w:right="100"/>
              <w:spacing w:after="0"/>
              <w:rPr>
                <w:rFonts w:ascii="Arial" w:cs="Arial" w:eastAsia="Arial" w:hAnsi="Arial"/>
                <w:sz w:val="16"/>
                <w:szCs w:val="16"/>
                <w:color w:val="auto"/>
              </w:rPr>
            </w:pPr>
            <w:r>
              <w:rPr>
                <w:rFonts w:ascii="Arial" w:cs="Arial" w:eastAsia="Arial" w:hAnsi="Arial"/>
                <w:sz w:val="16"/>
                <w:szCs w:val="16"/>
                <w:color w:val="auto"/>
              </w:rPr>
              <w:t xml:space="preserve">Page </w:t>
            </w:r>
            <w:hyperlink w:anchor="page32">
              <w:r>
                <w:rPr>
                  <w:rFonts w:ascii="Arial" w:cs="Arial" w:eastAsia="Arial" w:hAnsi="Arial"/>
                  <w:sz w:val="16"/>
                  <w:szCs w:val="16"/>
                  <w:color w:val="0000EE"/>
                </w:rPr>
                <w:t>27</w:t>
              </w:r>
            </w:hyperlink>
          </w:p>
        </w:tc>
      </w:tr>
      <w:tr>
        <w:trPr>
          <w:trHeight w:val="182"/>
        </w:trPr>
        <w:tc>
          <w:tcPr>
            <w:tcW w:w="1020" w:type="dxa"/>
            <w:vAlign w:val="bottom"/>
          </w:tcPr>
          <w:p>
            <w:pPr>
              <w:spacing w:after="0"/>
              <w:rPr>
                <w:sz w:val="15"/>
                <w:szCs w:val="15"/>
                <w:color w:val="auto"/>
              </w:rPr>
            </w:pPr>
          </w:p>
        </w:tc>
        <w:tc>
          <w:tcPr>
            <w:tcW w:w="2800" w:type="dxa"/>
            <w:vAlign w:val="bottom"/>
          </w:tcPr>
          <w:p>
            <w:pPr>
              <w:ind w:left="140"/>
              <w:spacing w:after="0" w:line="182" w:lineRule="exact"/>
              <w:rPr>
                <w:sz w:val="20"/>
                <w:szCs w:val="20"/>
                <w:color w:val="auto"/>
              </w:rPr>
            </w:pPr>
            <w:r>
              <w:rPr>
                <w:rFonts w:ascii="Arial" w:cs="Arial" w:eastAsia="Arial" w:hAnsi="Arial"/>
                <w:sz w:val="16"/>
                <w:szCs w:val="16"/>
                <w:color w:val="auto"/>
              </w:rPr>
              <w:t>resolution relating to the approval of</w:t>
            </w:r>
          </w:p>
        </w:tc>
        <w:tc>
          <w:tcPr>
            <w:tcW w:w="1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r>
      <w:tr>
        <w:trPr>
          <w:trHeight w:val="189"/>
        </w:trPr>
        <w:tc>
          <w:tcPr>
            <w:tcW w:w="1020" w:type="dxa"/>
            <w:vAlign w:val="bottom"/>
          </w:tcPr>
          <w:p>
            <w:pPr>
              <w:spacing w:after="0"/>
              <w:rPr>
                <w:sz w:val="16"/>
                <w:szCs w:val="16"/>
                <w:color w:val="auto"/>
              </w:rPr>
            </w:pPr>
          </w:p>
        </w:tc>
        <w:tc>
          <w:tcPr>
            <w:tcW w:w="2800" w:type="dxa"/>
            <w:vAlign w:val="bottom"/>
          </w:tcPr>
          <w:p>
            <w:pPr>
              <w:ind w:left="140"/>
              <w:spacing w:after="0"/>
              <w:rPr>
                <w:sz w:val="20"/>
                <w:szCs w:val="20"/>
                <w:color w:val="auto"/>
              </w:rPr>
            </w:pPr>
            <w:r>
              <w:rPr>
                <w:rFonts w:ascii="Arial" w:cs="Arial" w:eastAsia="Arial" w:hAnsi="Arial"/>
                <w:sz w:val="16"/>
                <w:szCs w:val="16"/>
                <w:color w:val="auto"/>
              </w:rPr>
              <w:t>2021 named executive officer</w:t>
            </w:r>
          </w:p>
        </w:tc>
        <w:tc>
          <w:tcPr>
            <w:tcW w:w="1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5"/>
        </w:trPr>
        <w:tc>
          <w:tcPr>
            <w:tcW w:w="1020" w:type="dxa"/>
            <w:vAlign w:val="bottom"/>
          </w:tcPr>
          <w:p>
            <w:pPr>
              <w:spacing w:after="0"/>
              <w:rPr>
                <w:sz w:val="18"/>
                <w:szCs w:val="18"/>
                <w:color w:val="auto"/>
              </w:rPr>
            </w:pPr>
          </w:p>
        </w:tc>
        <w:tc>
          <w:tcPr>
            <w:tcW w:w="280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9"/>
        </w:trPr>
        <w:tc>
          <w:tcPr>
            <w:tcW w:w="10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6"/>
                <w:szCs w:val="16"/>
                <w:b w:val="1"/>
                <w:bCs w:val="1"/>
                <w:color w:val="EC252A"/>
              </w:rPr>
              <w:t>Proposal 3</w:t>
            </w:r>
          </w:p>
        </w:tc>
        <w:tc>
          <w:tcPr>
            <w:tcW w:w="2800" w:type="dxa"/>
            <w:vAlign w:val="bottom"/>
          </w:tcPr>
          <w:p>
            <w:pPr>
              <w:ind w:left="140"/>
              <w:spacing w:after="0"/>
              <w:rPr>
                <w:sz w:val="20"/>
                <w:szCs w:val="20"/>
                <w:color w:val="auto"/>
              </w:rPr>
            </w:pPr>
            <w:r>
              <w:rPr>
                <w:rFonts w:ascii="Arial" w:cs="Arial" w:eastAsia="Arial" w:hAnsi="Arial"/>
                <w:sz w:val="16"/>
                <w:szCs w:val="16"/>
                <w:color w:val="auto"/>
              </w:rPr>
              <w:t>Ratify the appointment of Ernst &amp;</w:t>
            </w:r>
          </w:p>
        </w:tc>
        <w:tc>
          <w:tcPr>
            <w:tcW w:w="1600" w:type="dxa"/>
            <w:vAlign w:val="bottom"/>
          </w:tcPr>
          <w:p>
            <w:pPr>
              <w:jc w:val="center"/>
              <w:spacing w:after="0" w:line="184" w:lineRule="exact"/>
              <w:rPr>
                <w:sz w:val="20"/>
                <w:szCs w:val="20"/>
                <w:color w:val="auto"/>
              </w:rPr>
            </w:pPr>
            <w:r>
              <w:rPr>
                <w:rFonts w:ascii="Arial" w:cs="Arial" w:eastAsia="Arial" w:hAnsi="Arial"/>
                <w:sz w:val="16"/>
                <w:szCs w:val="16"/>
                <w:b w:val="1"/>
                <w:bCs w:val="1"/>
                <w:color w:val="EC252A"/>
                <w:w w:val="95"/>
              </w:rPr>
              <w:t xml:space="preserve">For </w:t>
            </w:r>
            <w:r>
              <w:rPr>
                <w:rFonts w:ascii="MS PGothic" w:cs="MS PGothic" w:eastAsia="MS PGothic" w:hAnsi="MS PGothic"/>
                <w:sz w:val="16"/>
                <w:szCs w:val="16"/>
                <w:color w:val="000000"/>
                <w:w w:val="95"/>
                <w:shd w:val="clear" w:color="auto" w:fill="EC252A"/>
              </w:rPr>
              <w:t>✔</w:t>
            </w:r>
          </w:p>
        </w:tc>
        <w:tc>
          <w:tcPr>
            <w:tcW w:w="1180" w:type="dxa"/>
            <w:vAlign w:val="bottom"/>
            <w:gridSpan w:val="5"/>
          </w:tcPr>
          <w:p>
            <w:pPr>
              <w:jc w:val="center"/>
              <w:ind w:right="100"/>
              <w:spacing w:after="0"/>
              <w:rPr>
                <w:rFonts w:ascii="Arial" w:cs="Arial" w:eastAsia="Arial" w:hAnsi="Arial"/>
                <w:sz w:val="16"/>
                <w:szCs w:val="16"/>
                <w:color w:val="auto"/>
              </w:rPr>
            </w:pPr>
            <w:r>
              <w:rPr>
                <w:rFonts w:ascii="Arial" w:cs="Arial" w:eastAsia="Arial" w:hAnsi="Arial"/>
                <w:sz w:val="16"/>
                <w:szCs w:val="16"/>
                <w:color w:val="auto"/>
              </w:rPr>
              <w:t xml:space="preserve">Page </w:t>
            </w:r>
            <w:hyperlink w:anchor="page58">
              <w:r>
                <w:rPr>
                  <w:rFonts w:ascii="Arial" w:cs="Arial" w:eastAsia="Arial" w:hAnsi="Arial"/>
                  <w:sz w:val="16"/>
                  <w:szCs w:val="16"/>
                  <w:color w:val="0000EE"/>
                </w:rPr>
                <w:t>53</w:t>
              </w:r>
            </w:hyperlink>
          </w:p>
        </w:tc>
      </w:tr>
      <w:tr>
        <w:trPr>
          <w:trHeight w:val="182"/>
        </w:trPr>
        <w:tc>
          <w:tcPr>
            <w:tcW w:w="1020" w:type="dxa"/>
            <w:vAlign w:val="bottom"/>
          </w:tcPr>
          <w:p>
            <w:pPr>
              <w:spacing w:after="0"/>
              <w:rPr>
                <w:sz w:val="15"/>
                <w:szCs w:val="15"/>
                <w:color w:val="auto"/>
              </w:rPr>
            </w:pPr>
          </w:p>
        </w:tc>
        <w:tc>
          <w:tcPr>
            <w:tcW w:w="2800" w:type="dxa"/>
            <w:vAlign w:val="bottom"/>
          </w:tcPr>
          <w:p>
            <w:pPr>
              <w:ind w:left="140"/>
              <w:spacing w:after="0" w:line="182" w:lineRule="exact"/>
              <w:rPr>
                <w:sz w:val="20"/>
                <w:szCs w:val="20"/>
                <w:color w:val="auto"/>
              </w:rPr>
            </w:pPr>
            <w:r>
              <w:rPr>
                <w:rFonts w:ascii="Arial" w:cs="Arial" w:eastAsia="Arial" w:hAnsi="Arial"/>
                <w:sz w:val="16"/>
                <w:szCs w:val="16"/>
                <w:color w:val="auto"/>
              </w:rPr>
              <w:t>Young LLP as our independent</w:t>
            </w:r>
          </w:p>
        </w:tc>
        <w:tc>
          <w:tcPr>
            <w:tcW w:w="1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r>
      <w:tr>
        <w:trPr>
          <w:trHeight w:val="189"/>
        </w:trPr>
        <w:tc>
          <w:tcPr>
            <w:tcW w:w="1020" w:type="dxa"/>
            <w:vAlign w:val="bottom"/>
          </w:tcPr>
          <w:p>
            <w:pPr>
              <w:spacing w:after="0"/>
              <w:rPr>
                <w:sz w:val="16"/>
                <w:szCs w:val="16"/>
                <w:color w:val="auto"/>
              </w:rPr>
            </w:pPr>
          </w:p>
        </w:tc>
        <w:tc>
          <w:tcPr>
            <w:tcW w:w="2800" w:type="dxa"/>
            <w:vAlign w:val="bottom"/>
          </w:tcPr>
          <w:p>
            <w:pPr>
              <w:ind w:left="140"/>
              <w:spacing w:after="0"/>
              <w:rPr>
                <w:sz w:val="20"/>
                <w:szCs w:val="20"/>
                <w:color w:val="auto"/>
              </w:rPr>
            </w:pPr>
            <w:r>
              <w:rPr>
                <w:rFonts w:ascii="Arial" w:cs="Arial" w:eastAsia="Arial" w:hAnsi="Arial"/>
                <w:sz w:val="16"/>
                <w:szCs w:val="16"/>
                <w:color w:val="auto"/>
              </w:rPr>
              <w:t>registered public accounting firm for</w:t>
            </w:r>
          </w:p>
        </w:tc>
        <w:tc>
          <w:tcPr>
            <w:tcW w:w="1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5"/>
        </w:trPr>
        <w:tc>
          <w:tcPr>
            <w:tcW w:w="1020" w:type="dxa"/>
            <w:vAlign w:val="bottom"/>
          </w:tcPr>
          <w:p>
            <w:pPr>
              <w:spacing w:after="0"/>
              <w:rPr>
                <w:sz w:val="18"/>
                <w:szCs w:val="18"/>
                <w:color w:val="auto"/>
              </w:rPr>
            </w:pPr>
          </w:p>
        </w:tc>
        <w:tc>
          <w:tcPr>
            <w:tcW w:w="2800" w:type="dxa"/>
            <w:vAlign w:val="bottom"/>
          </w:tcPr>
          <w:p>
            <w:pPr>
              <w:ind w:left="140"/>
              <w:spacing w:after="0"/>
              <w:rPr>
                <w:sz w:val="20"/>
                <w:szCs w:val="20"/>
                <w:color w:val="auto"/>
              </w:rPr>
            </w:pPr>
            <w:r>
              <w:rPr>
                <w:rFonts w:ascii="Arial" w:cs="Arial" w:eastAsia="Arial" w:hAnsi="Arial"/>
                <w:sz w:val="16"/>
                <w:szCs w:val="16"/>
                <w:color w:val="auto"/>
              </w:rPr>
              <w:t>the 2022 fiscal year</w:t>
            </w:r>
          </w:p>
        </w:tc>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9"/>
        </w:trPr>
        <w:tc>
          <w:tcPr>
            <w:tcW w:w="10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b w:val="1"/>
                <w:bCs w:val="1"/>
                <w:color w:val="EC252A"/>
              </w:rPr>
              <w:t>Misc. Other</w:t>
            </w:r>
          </w:p>
        </w:tc>
        <w:tc>
          <w:tcPr>
            <w:tcW w:w="2800" w:type="dxa"/>
            <w:vAlign w:val="bottom"/>
          </w:tcPr>
          <w:p>
            <w:pPr>
              <w:ind w:left="140"/>
              <w:spacing w:after="0"/>
              <w:rPr>
                <w:sz w:val="20"/>
                <w:szCs w:val="20"/>
                <w:color w:val="auto"/>
              </w:rPr>
            </w:pPr>
            <w:r>
              <w:rPr>
                <w:rFonts w:ascii="Arial" w:cs="Arial" w:eastAsia="Arial" w:hAnsi="Arial"/>
                <w:sz w:val="16"/>
                <w:szCs w:val="16"/>
                <w:color w:val="auto"/>
              </w:rPr>
              <w:t>Conduct other business if properly</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EC252A"/>
              </w:rPr>
              <w:t>NA</w:t>
            </w:r>
          </w:p>
        </w:tc>
        <w:tc>
          <w:tcPr>
            <w:tcW w:w="11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EC252A"/>
              </w:rPr>
              <w:t>NA</w:t>
            </w:r>
          </w:p>
        </w:tc>
      </w:tr>
      <w:tr>
        <w:trPr>
          <w:trHeight w:val="215"/>
        </w:trPr>
        <w:tc>
          <w:tcPr>
            <w:tcW w:w="1020" w:type="dxa"/>
            <w:vAlign w:val="bottom"/>
          </w:tcPr>
          <w:p>
            <w:pPr>
              <w:spacing w:after="0"/>
              <w:rPr>
                <w:sz w:val="18"/>
                <w:szCs w:val="18"/>
                <w:color w:val="auto"/>
              </w:rPr>
            </w:pPr>
          </w:p>
        </w:tc>
        <w:tc>
          <w:tcPr>
            <w:tcW w:w="2800" w:type="dxa"/>
            <w:vAlign w:val="bottom"/>
          </w:tcPr>
          <w:p>
            <w:pPr>
              <w:ind w:left="140"/>
              <w:spacing w:after="0"/>
              <w:rPr>
                <w:sz w:val="20"/>
                <w:szCs w:val="20"/>
                <w:color w:val="auto"/>
              </w:rPr>
            </w:pPr>
            <w:r>
              <w:rPr>
                <w:rFonts w:ascii="Arial" w:cs="Arial" w:eastAsia="Arial" w:hAnsi="Arial"/>
                <w:sz w:val="16"/>
                <w:szCs w:val="16"/>
                <w:color w:val="auto"/>
              </w:rPr>
              <w:t>raised</w:t>
            </w:r>
          </w:p>
        </w:tc>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9"/>
        </w:trPr>
        <w:tc>
          <w:tcPr>
            <w:tcW w:w="102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90"/>
        </w:trPr>
        <w:tc>
          <w:tcPr>
            <w:tcW w:w="1020" w:type="dxa"/>
            <w:vAlign w:val="bottom"/>
          </w:tcPr>
          <w:p>
            <w:pPr>
              <w:spacing w:after="0"/>
              <w:rPr>
                <w:sz w:val="20"/>
                <w:szCs w:val="20"/>
                <w:color w:val="auto"/>
              </w:rPr>
            </w:pPr>
            <w:r>
              <w:rPr>
                <w:rFonts w:ascii="Arial" w:cs="Arial" w:eastAsia="Arial" w:hAnsi="Arial"/>
                <w:sz w:val="16"/>
                <w:szCs w:val="16"/>
                <w:color w:val="auto"/>
              </w:rPr>
              <w:t>Procedures</w:t>
            </w:r>
          </w:p>
        </w:tc>
        <w:tc>
          <w:tcPr>
            <w:tcW w:w="5580" w:type="dxa"/>
            <w:vAlign w:val="bottom"/>
            <w:gridSpan w:val="7"/>
          </w:tcPr>
          <w:p>
            <w:pPr>
              <w:ind w:left="140"/>
              <w:spacing w:after="0"/>
              <w:rPr>
                <w:sz w:val="20"/>
                <w:szCs w:val="20"/>
                <w:color w:val="auto"/>
              </w:rPr>
            </w:pPr>
            <w:r>
              <w:rPr>
                <w:rFonts w:ascii="Arial" w:cs="Arial" w:eastAsia="Arial" w:hAnsi="Arial"/>
                <w:sz w:val="16"/>
                <w:szCs w:val="16"/>
                <w:color w:val="auto"/>
              </w:rPr>
              <w:t>If you own stock directly, please vote by proxy over the Internet, by</w:t>
            </w:r>
          </w:p>
        </w:tc>
      </w:tr>
      <w:tr>
        <w:trPr>
          <w:trHeight w:val="215"/>
        </w:trPr>
        <w:tc>
          <w:tcPr>
            <w:tcW w:w="1020" w:type="dxa"/>
            <w:vAlign w:val="bottom"/>
          </w:tcPr>
          <w:p>
            <w:pPr>
              <w:spacing w:after="0"/>
              <w:rPr>
                <w:sz w:val="18"/>
                <w:szCs w:val="18"/>
                <w:color w:val="auto"/>
              </w:rPr>
            </w:pPr>
          </w:p>
        </w:tc>
        <w:tc>
          <w:tcPr>
            <w:tcW w:w="4400" w:type="dxa"/>
            <w:vAlign w:val="bottom"/>
            <w:gridSpan w:val="2"/>
          </w:tcPr>
          <w:p>
            <w:pPr>
              <w:ind w:left="140"/>
              <w:spacing w:after="0"/>
              <w:rPr>
                <w:sz w:val="20"/>
                <w:szCs w:val="20"/>
                <w:color w:val="auto"/>
              </w:rPr>
            </w:pPr>
            <w:r>
              <w:rPr>
                <w:rFonts w:ascii="Arial" w:cs="Arial" w:eastAsia="Arial" w:hAnsi="Arial"/>
                <w:sz w:val="16"/>
                <w:szCs w:val="16"/>
                <w:color w:val="auto"/>
              </w:rPr>
              <w:t>telephone or by requesting a proxy card.</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69" w:lineRule="exact"/>
        <w:rPr>
          <w:sz w:val="20"/>
          <w:szCs w:val="20"/>
          <w:color w:val="auto"/>
        </w:rPr>
      </w:pPr>
    </w:p>
    <w:p>
      <w:pPr>
        <w:ind w:left="1160" w:right="40"/>
        <w:spacing w:after="0" w:line="266" w:lineRule="auto"/>
        <w:rPr>
          <w:sz w:val="20"/>
          <w:szCs w:val="20"/>
          <w:color w:val="auto"/>
        </w:rPr>
      </w:pPr>
      <w:r>
        <w:rPr>
          <w:rFonts w:ascii="Arial" w:cs="Arial" w:eastAsia="Arial" w:hAnsi="Arial"/>
          <w:sz w:val="16"/>
          <w:szCs w:val="16"/>
          <w:color w:val="auto"/>
        </w:rPr>
        <w:t>If you own stock through a bank, stockbroker or trustee, please vote by following the instructions included in the material that you receive from your bank, stockbroker or trustee.</w:t>
      </w:r>
    </w:p>
    <w:p>
      <w:pPr>
        <w:spacing w:after="0" w:line="36" w:lineRule="exact"/>
        <w:rPr>
          <w:sz w:val="20"/>
          <w:szCs w:val="20"/>
          <w:color w:val="auto"/>
        </w:rPr>
      </w:pPr>
    </w:p>
    <w:p>
      <w:pPr>
        <w:ind w:left="1160" w:right="140"/>
        <w:spacing w:after="0" w:line="286" w:lineRule="auto"/>
        <w:rPr>
          <w:sz w:val="20"/>
          <w:szCs w:val="20"/>
          <w:color w:val="auto"/>
        </w:rPr>
      </w:pPr>
      <w:r>
        <w:rPr>
          <w:rFonts w:ascii="Arial" w:cs="Arial" w:eastAsia="Arial" w:hAnsi="Arial"/>
          <w:sz w:val="16"/>
          <w:szCs w:val="16"/>
          <w:color w:val="auto"/>
        </w:rPr>
        <w:t>Only stockholders of record on March 22, 2022 receive notice of, and may vote at, the meeting.</w:t>
      </w:r>
    </w:p>
    <w:p>
      <w:pPr>
        <w:spacing w:after="0" w:line="29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color w:val="auto"/>
        </w:rPr>
        <w:t xml:space="preserve">How to Vote: </w:t>
      </w:r>
      <w:r>
        <w:rPr>
          <w:rFonts w:ascii="Arial" w:cs="Arial" w:eastAsia="Arial" w:hAnsi="Arial"/>
          <w:sz w:val="16"/>
          <w:szCs w:val="16"/>
          <w:color w:val="auto"/>
        </w:rPr>
        <w:t>You may vote while attending the virtual meeting or by proxy. We recommend</w:t>
      </w:r>
      <w:r>
        <w:rPr>
          <w:rFonts w:ascii="Arial" w:cs="Arial" w:eastAsia="Arial" w:hAnsi="Arial"/>
          <w:sz w:val="16"/>
          <w:szCs w:val="16"/>
          <w:b w:val="1"/>
          <w:bCs w:val="1"/>
          <w:color w:val="auto"/>
        </w:rPr>
        <w:t xml:space="preserve"> </w:t>
      </w:r>
      <w:r>
        <w:rPr>
          <w:rFonts w:ascii="Arial" w:cs="Arial" w:eastAsia="Arial" w:hAnsi="Arial"/>
          <w:sz w:val="16"/>
          <w:szCs w:val="16"/>
          <w:color w:val="auto"/>
        </w:rPr>
        <w:t>you vote by proxy even if you plan to attend the virtual meeting. You can change your vote at the virtual meeting if you are a stockholder whose shares are registered in your name. Your vote is important. If you are a stockholder whose shares are registered in your name, you may vote your shares at the virtual meeting or by one of the three following methods:</w:t>
      </w:r>
    </w:p>
    <w:p>
      <w:pPr>
        <w:spacing w:after="0" w:line="4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by going to the website address www.proxyvote.com and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for Internet voting shown on the website.</w:t>
      </w:r>
    </w:p>
    <w:p>
      <w:pPr>
        <w:spacing w:after="0" w:line="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 xml:space="preserve">Vote by Telephone, </w:t>
      </w:r>
      <w:r>
        <w:rPr>
          <w:rFonts w:ascii="Arial" w:cs="Arial" w:eastAsia="Arial" w:hAnsi="Arial"/>
          <w:sz w:val="16"/>
          <w:szCs w:val="16"/>
          <w:color w:val="auto"/>
        </w:rPr>
        <w:t>by dialing 1-800-690-6903 and following the instructions for telephone</w:t>
      </w:r>
      <w:r>
        <w:rPr>
          <w:rFonts w:ascii="Arial" w:cs="Arial" w:eastAsia="Arial" w:hAnsi="Arial"/>
          <w:sz w:val="16"/>
          <w:szCs w:val="16"/>
          <w:b w:val="1"/>
          <w:bCs w:val="1"/>
          <w:color w:val="auto"/>
        </w:rPr>
        <w:t xml:space="preserve"> </w:t>
      </w:r>
      <w:r>
        <w:rPr>
          <w:rFonts w:ascii="Arial" w:cs="Arial" w:eastAsia="Arial" w:hAnsi="Arial"/>
          <w:sz w:val="16"/>
          <w:szCs w:val="16"/>
          <w:color w:val="auto"/>
        </w:rPr>
        <w:t>voting shown on the proxy card.</w:t>
      </w:r>
    </w:p>
    <w:p>
      <w:pPr>
        <w:spacing w:after="0" w:line="21"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color w:val="auto"/>
        </w:rPr>
        <w:t xml:space="preserve">Vote by Proxy Card, </w:t>
      </w:r>
      <w:r>
        <w:rPr>
          <w:rFonts w:ascii="Arial" w:cs="Arial" w:eastAsia="Arial" w:hAnsi="Arial"/>
          <w:sz w:val="16"/>
          <w:szCs w:val="16"/>
          <w:color w:val="auto"/>
        </w:rPr>
        <w:t>by completing, signing, dating and mailing a proxy card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envelope provided if you requested copies of these proxy materials.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If you vote by Internet or telephone, you do not need to request a proxy card.</w:t>
      </w:r>
    </w:p>
    <w:p>
      <w:pPr>
        <w:spacing w:after="0" w:line="86"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Shares registered in your name are generally covered by one Notice. If you hold shares through someone else, such as a bank, stockbroker, or trustee, you will get a Notice from them asking you to vote. Please follow the instructions on their Notice. Please vote with respect to each Notice you receive.</w:t>
      </w:r>
    </w:p>
    <w:p>
      <w:pPr>
        <w:spacing w:after="0" w:line="4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EC252A"/>
        </w:rPr>
        <w:t xml:space="preserve">Your vote is important. </w:t>
      </w:r>
      <w:r>
        <w:rPr>
          <w:rFonts w:ascii="Arial" w:cs="Arial" w:eastAsia="Arial" w:hAnsi="Arial"/>
          <w:sz w:val="16"/>
          <w:szCs w:val="16"/>
          <w:b w:val="1"/>
          <w:bCs w:val="1"/>
          <w:color w:val="000000"/>
        </w:rPr>
        <w:t>Please vote over the Internet, by telephone or by requesting a</w:t>
      </w:r>
      <w:r>
        <w:rPr>
          <w:rFonts w:ascii="Arial" w:cs="Arial" w:eastAsia="Arial" w:hAnsi="Arial"/>
          <w:sz w:val="16"/>
          <w:szCs w:val="16"/>
          <w:b w:val="1"/>
          <w:bCs w:val="1"/>
          <w:color w:val="EC252A"/>
        </w:rPr>
        <w:t xml:space="preserve"> </w:t>
      </w:r>
      <w:r>
        <w:rPr>
          <w:rFonts w:ascii="Arial" w:cs="Arial" w:eastAsia="Arial" w:hAnsi="Arial"/>
          <w:sz w:val="16"/>
          <w:szCs w:val="16"/>
          <w:b w:val="1"/>
          <w:bCs w:val="1"/>
          <w:color w:val="000000"/>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2014220"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142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David L. DeNinno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April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58978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By Internet: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121920</wp:posOffset>
            </wp:positionV>
            <wp:extent cx="316865" cy="548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68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By Phone: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1-800-690-6903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121920</wp:posOffset>
            </wp:positionV>
            <wp:extent cx="454025"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40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By Mail:</w:t>
      </w:r>
    </w:p>
    <w:p>
      <w:pPr>
        <w:spacing w:after="0" w:line="21" w:lineRule="exact"/>
        <w:rPr>
          <w:sz w:val="20"/>
          <w:szCs w:val="20"/>
          <w:color w:val="auto"/>
        </w:rPr>
      </w:pPr>
    </w:p>
    <w:p>
      <w:pPr>
        <w:jc w:val="center"/>
        <w:spacing w:after="0" w:line="256" w:lineRule="auto"/>
        <w:rPr>
          <w:sz w:val="20"/>
          <w:szCs w:val="20"/>
          <w:color w:val="auto"/>
        </w:rPr>
      </w:pPr>
      <w:r>
        <w:rPr>
          <w:rFonts w:ascii="Arial" w:cs="Arial" w:eastAsia="Arial" w:hAnsi="Arial"/>
          <w:sz w:val="16"/>
          <w:szCs w:val="16"/>
          <w:color w:val="auto"/>
        </w:rPr>
        <w:t>completing, signing, dating and mailing a proxy card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104775</wp:posOffset>
            </wp:positionV>
            <wp:extent cx="539750"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7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Person:</w:t>
      </w:r>
    </w:p>
    <w:p>
      <w:pPr>
        <w:spacing w:after="0" w:line="21" w:lineRule="exact"/>
        <w:rPr>
          <w:sz w:val="20"/>
          <w:szCs w:val="20"/>
          <w:color w:val="auto"/>
        </w:rPr>
      </w:pPr>
    </w:p>
    <w:p>
      <w:pPr>
        <w:ind w:left="300" w:right="120" w:hanging="196"/>
        <w:spacing w:after="0" w:line="265" w:lineRule="auto"/>
        <w:rPr>
          <w:sz w:val="20"/>
          <w:szCs w:val="20"/>
          <w:color w:val="auto"/>
        </w:rPr>
      </w:pPr>
      <w:r>
        <w:rPr>
          <w:rFonts w:ascii="Arial" w:cs="Arial" w:eastAsia="Arial" w:hAnsi="Arial"/>
          <w:sz w:val="16"/>
          <w:szCs w:val="16"/>
          <w:color w:val="auto"/>
        </w:rPr>
        <w:t>You may vote while attending the virtual meeting or by proxy.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follow the instructions on</w:t>
      </w:r>
    </w:p>
    <w:p>
      <w:pPr>
        <w:spacing w:after="0" w:line="21" w:lineRule="exact"/>
        <w:rPr>
          <w:sz w:val="20"/>
          <w:szCs w:val="20"/>
          <w:color w:val="auto"/>
        </w:rPr>
      </w:pPr>
    </w:p>
    <w:p>
      <w:pPr>
        <w:jc w:val="center"/>
        <w:ind w:left="180"/>
        <w:spacing w:after="0" w:line="256" w:lineRule="auto"/>
        <w:rPr>
          <w:sz w:val="20"/>
          <w:szCs w:val="20"/>
          <w:color w:val="auto"/>
        </w:rPr>
      </w:pPr>
      <w:r>
        <w:rPr>
          <w:rFonts w:ascii="Arial" w:cs="Arial" w:eastAsia="Arial" w:hAnsi="Arial"/>
          <w:sz w:val="16"/>
          <w:szCs w:val="16"/>
          <w:b w:val="1"/>
          <w:bCs w:val="1"/>
          <w:color w:val="auto"/>
        </w:rPr>
        <w:t>your Notice. Please vote with respect to each Notice you receive. Your vote is very important.</w:t>
      </w:r>
    </w:p>
    <w:p>
      <w:pPr>
        <w:spacing w:after="0" w:line="3929" w:lineRule="exact"/>
        <w:rPr>
          <w:sz w:val="20"/>
          <w:szCs w:val="20"/>
          <w:color w:val="auto"/>
        </w:rPr>
      </w:pPr>
    </w:p>
    <w:p>
      <w:pPr>
        <w:sectPr>
          <w:pgSz w:w="11900" w:h="16838" w:orient="portrait"/>
          <w:cols w:equalWidth="0" w:num="2">
            <w:col w:w="6600" w:space="60"/>
            <w:col w:w="2600"/>
          </w:cols>
          <w:pgMar w:left="1300" w:top="263" w:right="1339" w:bottom="1440" w:gutter="0" w:footer="0" w:header="0"/>
          <w:type w:val="continuous"/>
        </w:sectPr>
      </w:pPr>
    </w:p>
    <w:p>
      <w:pPr>
        <w:spacing w:after="0" w:line="302" w:lineRule="exact"/>
        <w:rPr>
          <w:sz w:val="20"/>
          <w:szCs w:val="20"/>
          <w:color w:val="auto"/>
        </w:rPr>
      </w:pPr>
    </w:p>
    <w:p>
      <w:pPr>
        <w:spacing w:after="0"/>
        <w:rPr>
          <w:sz w:val="20"/>
          <w:szCs w:val="20"/>
          <w:color w:val="auto"/>
        </w:rPr>
      </w:pPr>
      <w:r>
        <w:rPr>
          <w:sz w:val="1"/>
          <w:szCs w:val="1"/>
          <w:color w:val="auto"/>
        </w:rPr>
        <w:drawing>
          <wp:inline distT="0" distB="0" distL="0" distR="0">
            <wp:extent cx="471170" cy="1803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1170" cy="180340"/>
                    </a:xfrm>
                    <a:prstGeom prst="rect">
                      <a:avLst/>
                    </a:prstGeom>
                    <a:noFill/>
                    <a:ln>
                      <a:noFill/>
                    </a:ln>
                  </pic:spPr>
                </pic:pic>
              </a:graphicData>
            </a:graphic>
          </wp:inline>
        </w:drawing>
      </w:r>
      <w:r>
        <w:rPr>
          <w:rFonts w:ascii="Arial" w:cs="Arial" w:eastAsia="Arial" w:hAnsi="Arial"/>
          <w:sz w:val="12"/>
          <w:szCs w:val="12"/>
          <w:color w:val="EC252A"/>
        </w:rPr>
        <w:t xml:space="preserve"> 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111760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60"/>
          </w:cols>
          <w:pgMar w:left="1300" w:top="263" w:right="1339" w:bottom="1440" w:gutter="0" w:footer="0" w:header="0"/>
          <w:type w:val="continuous"/>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897880"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28"/>
          <w:szCs w:val="28"/>
          <w:b w:val="1"/>
          <w:bCs w:val="1"/>
          <w:color w:val="FFFFFF"/>
        </w:rPr>
        <w:t>Table of Contents</w:t>
      </w:r>
    </w:p>
    <w:p>
      <w:pPr>
        <w:sectPr>
          <w:pgSz w:w="11900" w:h="16838" w:orient="portrait"/>
          <w:cols w:equalWidth="0" w:num="1">
            <w:col w:w="9200"/>
          </w:cols>
          <w:pgMar w:left="1300" w:top="263" w:right="1399" w:bottom="1440" w:gutter="0" w:footer="0" w:header="0"/>
        </w:sectPr>
      </w:pPr>
    </w:p>
    <w:p>
      <w:pPr>
        <w:spacing w:after="0" w:line="274" w:lineRule="exact"/>
        <w:rPr>
          <w:sz w:val="20"/>
          <w:szCs w:val="20"/>
          <w:color w:val="auto"/>
        </w:rPr>
      </w:pPr>
    </w:p>
    <w:p>
      <w:pPr>
        <w:ind w:left="440" w:hanging="373"/>
        <w:spacing w:after="0"/>
        <w:tabs>
          <w:tab w:leader="none" w:pos="440" w:val="left"/>
        </w:tabs>
        <w:numPr>
          <w:ilvl w:val="0"/>
          <w:numId w:val="3"/>
        </w:numPr>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General Information</w:t>
        </w:r>
      </w:hyperlink>
    </w:p>
    <w:p>
      <w:pPr>
        <w:spacing w:after="0" w:line="200" w:lineRule="exact"/>
        <w:rPr>
          <w:sz w:val="20"/>
          <w:szCs w:val="20"/>
          <w:color w:val="auto"/>
        </w:rPr>
      </w:pPr>
    </w:p>
    <w:p>
      <w:pPr>
        <w:spacing w:after="0" w:line="322" w:lineRule="exact"/>
        <w:rPr>
          <w:sz w:val="20"/>
          <w:szCs w:val="20"/>
          <w:color w:val="auto"/>
        </w:rPr>
      </w:pPr>
    </w:p>
    <w:p>
      <w:pPr>
        <w:ind w:left="440" w:hanging="373"/>
        <w:spacing w:after="0"/>
        <w:tabs>
          <w:tab w:leader="none" w:pos="440" w:val="left"/>
        </w:tabs>
        <w:numPr>
          <w:ilvl w:val="0"/>
          <w:numId w:val="4"/>
        </w:numPr>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Common Stock Ownership</w:t>
        </w:r>
      </w:hyperlink>
    </w:p>
    <w:p>
      <w:pPr>
        <w:spacing w:after="0" w:line="157" w:lineRule="exact"/>
        <w:rPr>
          <w:rFonts w:ascii="Arial" w:cs="Arial" w:eastAsia="Arial" w:hAnsi="Arial"/>
          <w:sz w:val="18"/>
          <w:szCs w:val="18"/>
          <w:u w:val="single" w:color="auto"/>
          <w:color w:val="0000EE"/>
        </w:rPr>
      </w:pPr>
    </w:p>
    <w:p>
      <w:pPr>
        <w:ind w:left="820" w:right="740" w:hanging="391"/>
        <w:spacing w:after="0" w:line="271" w:lineRule="auto"/>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5 Director and Executive Officer Stock</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Ownership</w:t>
        </w:r>
      </w:hyperlink>
    </w:p>
    <w:p>
      <w:pPr>
        <w:spacing w:after="0" w:line="99"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6   Owners of More Than 5%</w:t>
        </w:r>
      </w:hyperlink>
    </w:p>
    <w:p>
      <w:pPr>
        <w:spacing w:after="0" w:line="200" w:lineRule="exact"/>
        <w:rPr>
          <w:rFonts w:ascii="Arial" w:cs="Arial" w:eastAsia="Arial" w:hAnsi="Arial"/>
          <w:sz w:val="18"/>
          <w:szCs w:val="18"/>
          <w:u w:val="single" w:color="auto"/>
          <w:color w:val="0000EE"/>
        </w:rPr>
      </w:pPr>
    </w:p>
    <w:p>
      <w:pPr>
        <w:spacing w:after="0" w:line="322" w:lineRule="exact"/>
        <w:rPr>
          <w:rFonts w:ascii="Arial" w:cs="Arial" w:eastAsia="Arial" w:hAnsi="Arial"/>
          <w:sz w:val="18"/>
          <w:szCs w:val="18"/>
          <w:u w:val="single" w:color="auto"/>
          <w:color w:val="0000EE"/>
        </w:rPr>
      </w:pPr>
    </w:p>
    <w:p>
      <w:pPr>
        <w:ind w:left="440" w:hanging="373"/>
        <w:spacing w:after="0"/>
        <w:tabs>
          <w:tab w:leader="none" w:pos="440" w:val="left"/>
        </w:tabs>
        <w:numPr>
          <w:ilvl w:val="0"/>
          <w:numId w:val="5"/>
        </w:numPr>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Proposal 1—Election of Directors</w:t>
        </w:r>
      </w:hyperlink>
    </w:p>
    <w:p>
      <w:pPr>
        <w:spacing w:after="0" w:line="157" w:lineRule="exact"/>
        <w:rPr>
          <w:rFonts w:ascii="Arial" w:cs="Arial" w:eastAsia="Arial" w:hAnsi="Arial"/>
          <w:sz w:val="18"/>
          <w:szCs w:val="18"/>
          <w:u w:val="single" w:color="auto"/>
          <w:color w:val="0000EE"/>
        </w:rPr>
      </w:pPr>
    </w:p>
    <w:p>
      <w:pPr>
        <w:ind w:left="820" w:right="220" w:hanging="391"/>
        <w:spacing w:after="0" w:line="271" w:lineRule="auto"/>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11 Director Nominees to Serve for Three-Year</w:t>
        </w:r>
      </w:hyperlink>
      <w:r>
        <w:rPr>
          <w:rFonts w:ascii="Arial" w:cs="Arial" w:eastAsia="Arial" w:hAnsi="Arial"/>
          <w:sz w:val="18"/>
          <w:szCs w:val="18"/>
          <w:u w:val="single" w:color="auto"/>
          <w:color w:val="0000EE"/>
        </w:rPr>
        <w:t xml:space="preserve"> </w:t>
      </w:r>
      <w:hyperlink w:anchor="page16">
        <w:r>
          <w:rPr>
            <w:rFonts w:ascii="Arial" w:cs="Arial" w:eastAsia="Arial" w:hAnsi="Arial"/>
            <w:sz w:val="18"/>
            <w:szCs w:val="18"/>
            <w:u w:val="single" w:color="auto"/>
            <w:color w:val="0000EE"/>
          </w:rPr>
          <w:t>Term Expiring in 2025</w:t>
        </w:r>
      </w:hyperlink>
    </w:p>
    <w:p>
      <w:pPr>
        <w:spacing w:after="0" w:line="99" w:lineRule="exact"/>
        <w:rPr>
          <w:rFonts w:ascii="Arial" w:cs="Arial" w:eastAsia="Arial" w:hAnsi="Arial"/>
          <w:sz w:val="18"/>
          <w:szCs w:val="18"/>
          <w:u w:val="single" w:color="auto"/>
          <w:color w:val="0000EE"/>
        </w:rPr>
      </w:pPr>
    </w:p>
    <w:p>
      <w:pPr>
        <w:ind w:left="820" w:right="240" w:hanging="391"/>
        <w:spacing w:after="0" w:line="271" w:lineRule="auto"/>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 Continuing Directors with Three-Year Term</w:t>
        </w:r>
      </w:hyperlink>
      <w:r>
        <w:rPr>
          <w:rFonts w:ascii="Arial" w:cs="Arial" w:eastAsia="Arial" w:hAnsi="Arial"/>
          <w:sz w:val="18"/>
          <w:szCs w:val="18"/>
          <w:u w:val="single" w:color="auto"/>
          <w:color w:val="0000EE"/>
        </w:rPr>
        <w:t xml:space="preserve"> </w:t>
      </w:r>
      <w:hyperlink w:anchor="page19">
        <w:r>
          <w:rPr>
            <w:rFonts w:ascii="Arial" w:cs="Arial" w:eastAsia="Arial" w:hAnsi="Arial"/>
            <w:sz w:val="18"/>
            <w:szCs w:val="18"/>
            <w:u w:val="single" w:color="auto"/>
            <w:color w:val="0000EE"/>
          </w:rPr>
          <w:t>Expiring in 2023</w:t>
        </w:r>
      </w:hyperlink>
    </w:p>
    <w:p>
      <w:pPr>
        <w:spacing w:after="0" w:line="99" w:lineRule="exact"/>
        <w:rPr>
          <w:rFonts w:ascii="Arial" w:cs="Arial" w:eastAsia="Arial" w:hAnsi="Arial"/>
          <w:sz w:val="18"/>
          <w:szCs w:val="18"/>
          <w:u w:val="single" w:color="auto"/>
          <w:color w:val="0000EE"/>
        </w:rPr>
      </w:pPr>
    </w:p>
    <w:p>
      <w:pPr>
        <w:ind w:left="820" w:right="240" w:hanging="391"/>
        <w:spacing w:after="0" w:line="271" w:lineRule="auto"/>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16 Continuing Directors with Three-Year Term</w:t>
        </w:r>
      </w:hyperlink>
      <w:r>
        <w:rPr>
          <w:rFonts w:ascii="Arial" w:cs="Arial" w:eastAsia="Arial" w:hAnsi="Arial"/>
          <w:sz w:val="18"/>
          <w:szCs w:val="18"/>
          <w:u w:val="single" w:color="auto"/>
          <w:color w:val="0000EE"/>
        </w:rPr>
        <w:t xml:space="preserve"> </w:t>
      </w:r>
      <w:hyperlink w:anchor="page21">
        <w:r>
          <w:rPr>
            <w:rFonts w:ascii="Arial" w:cs="Arial" w:eastAsia="Arial" w:hAnsi="Arial"/>
            <w:sz w:val="18"/>
            <w:szCs w:val="18"/>
            <w:u w:val="single" w:color="auto"/>
            <w:color w:val="0000EE"/>
          </w:rPr>
          <w:t>Expiring in 2024</w:t>
        </w:r>
      </w:hyperlink>
    </w:p>
    <w:p>
      <w:pPr>
        <w:spacing w:after="0" w:line="200" w:lineRule="exact"/>
        <w:rPr>
          <w:rFonts w:ascii="Arial" w:cs="Arial" w:eastAsia="Arial" w:hAnsi="Arial"/>
          <w:sz w:val="18"/>
          <w:szCs w:val="18"/>
          <w:u w:val="single" w:color="auto"/>
          <w:color w:val="0000EE"/>
        </w:rPr>
      </w:pPr>
    </w:p>
    <w:p>
      <w:pPr>
        <w:spacing w:after="0" w:line="264" w:lineRule="exact"/>
        <w:rPr>
          <w:rFonts w:ascii="Arial" w:cs="Arial" w:eastAsia="Arial" w:hAnsi="Arial"/>
          <w:sz w:val="18"/>
          <w:szCs w:val="18"/>
          <w:u w:val="single" w:color="auto"/>
          <w:color w:val="0000EE"/>
        </w:rPr>
      </w:pPr>
    </w:p>
    <w:p>
      <w:pPr>
        <w:ind w:left="440" w:hanging="373"/>
        <w:spacing w:after="0"/>
        <w:tabs>
          <w:tab w:leader="none" w:pos="440" w:val="left"/>
        </w:tabs>
        <w:numPr>
          <w:ilvl w:val="0"/>
          <w:numId w:val="6"/>
        </w:numPr>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Corporate Governance Matters</w:t>
        </w:r>
      </w:hyperlink>
    </w:p>
    <w:p>
      <w:pPr>
        <w:spacing w:after="0" w:line="157"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19  The Board and Committees</w:t>
        </w:r>
      </w:hyperlink>
    </w:p>
    <w:p>
      <w:pPr>
        <w:spacing w:after="0" w:line="157"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20  Board Leadership Structure</w:t>
        </w:r>
      </w:hyperlink>
    </w:p>
    <w:p>
      <w:pPr>
        <w:spacing w:after="0" w:line="157"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20  The Board’s Role in Risk Oversight</w:t>
        </w:r>
      </w:hyperlink>
    </w:p>
    <w:p>
      <w:pPr>
        <w:spacing w:after="0" w:line="157" w:lineRule="exact"/>
        <w:rPr>
          <w:rFonts w:ascii="Arial" w:cs="Arial" w:eastAsia="Arial" w:hAnsi="Arial"/>
          <w:sz w:val="18"/>
          <w:szCs w:val="18"/>
          <w:u w:val="single" w:color="auto"/>
          <w:color w:val="0000EE"/>
        </w:rPr>
      </w:pPr>
    </w:p>
    <w:p>
      <w:pPr>
        <w:ind w:left="820" w:right="140" w:hanging="391"/>
        <w:spacing w:after="0" w:line="271"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21 The Nominating and Corporate Governance</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Committee</w:t>
        </w:r>
      </w:hyperlink>
    </w:p>
    <w:p>
      <w:pPr>
        <w:spacing w:after="0" w:line="99" w:lineRule="exact"/>
        <w:rPr>
          <w:rFonts w:ascii="Arial" w:cs="Arial" w:eastAsia="Arial" w:hAnsi="Arial"/>
          <w:sz w:val="18"/>
          <w:szCs w:val="18"/>
          <w:u w:val="single" w:color="auto"/>
          <w:color w:val="0000EE"/>
        </w:rPr>
      </w:pPr>
    </w:p>
    <w:p>
      <w:pPr>
        <w:ind w:left="820" w:right="660" w:hanging="391"/>
        <w:spacing w:after="0" w:line="271"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22 Environment, Social and Governance</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Subcommittee</w:t>
        </w:r>
      </w:hyperlink>
    </w:p>
    <w:p>
      <w:pPr>
        <w:spacing w:after="0" w:line="99"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23  The Audit Committee</w:t>
        </w:r>
      </w:hyperlink>
    </w:p>
    <w:p>
      <w:pPr>
        <w:spacing w:after="0" w:line="157"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23  Audit Committee Report</w:t>
        </w:r>
      </w:hyperlink>
    </w:p>
    <w:p>
      <w:pPr>
        <w:spacing w:after="0" w:line="157" w:lineRule="exact"/>
        <w:rPr>
          <w:rFonts w:ascii="Arial" w:cs="Arial" w:eastAsia="Arial" w:hAnsi="Arial"/>
          <w:sz w:val="18"/>
          <w:szCs w:val="18"/>
          <w:u w:val="single" w:color="auto"/>
          <w:color w:val="0000EE"/>
        </w:rPr>
      </w:pPr>
    </w:p>
    <w:p>
      <w:pPr>
        <w:ind w:left="820" w:right="140" w:hanging="391"/>
        <w:spacing w:after="0" w:line="271" w:lineRule="auto"/>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24 The Compensation and Talent Management</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Committee</w:t>
        </w:r>
      </w:hyperlink>
    </w:p>
    <w:p>
      <w:pPr>
        <w:spacing w:after="0" w:line="99" w:lineRule="exact"/>
        <w:rPr>
          <w:rFonts w:ascii="Arial" w:cs="Arial" w:eastAsia="Arial" w:hAnsi="Arial"/>
          <w:sz w:val="18"/>
          <w:szCs w:val="18"/>
          <w:u w:val="single" w:color="auto"/>
          <w:color w:val="0000EE"/>
        </w:rPr>
      </w:pPr>
    </w:p>
    <w:p>
      <w:pPr>
        <w:ind w:left="820" w:right="500" w:hanging="391"/>
        <w:spacing w:after="0" w:line="271" w:lineRule="auto"/>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25 Compensation and Talent Management</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Committee Report</w:t>
        </w:r>
      </w:hyperlink>
    </w:p>
    <w:p>
      <w:pPr>
        <w:spacing w:after="0" w:line="200" w:lineRule="exact"/>
        <w:rPr>
          <w:rFonts w:ascii="Arial" w:cs="Arial" w:eastAsia="Arial" w:hAnsi="Arial"/>
          <w:sz w:val="18"/>
          <w:szCs w:val="18"/>
          <w:u w:val="single" w:color="auto"/>
          <w:color w:val="0000EE"/>
        </w:rPr>
      </w:pPr>
    </w:p>
    <w:p>
      <w:pPr>
        <w:spacing w:after="0" w:line="264" w:lineRule="exact"/>
        <w:rPr>
          <w:rFonts w:ascii="Arial" w:cs="Arial" w:eastAsia="Arial" w:hAnsi="Arial"/>
          <w:sz w:val="18"/>
          <w:szCs w:val="18"/>
          <w:u w:val="single" w:color="auto"/>
          <w:color w:val="0000EE"/>
        </w:rPr>
      </w:pPr>
    </w:p>
    <w:p>
      <w:pPr>
        <w:ind w:left="440" w:hanging="373"/>
        <w:spacing w:after="0" w:line="253" w:lineRule="auto"/>
        <w:tabs>
          <w:tab w:leader="none" w:pos="440" w:val="left"/>
        </w:tabs>
        <w:numPr>
          <w:ilvl w:val="0"/>
          <w:numId w:val="7"/>
        </w:numPr>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Proposal 2—Advisory (Non-Binding) Resolution</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Relating to the Approval of 2021 Named Executive</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Officer Compensation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18" w:lineRule="exact"/>
        <w:rPr>
          <w:rFonts w:ascii="Arial" w:cs="Arial" w:eastAsia="Arial" w:hAnsi="Arial"/>
          <w:sz w:val="18"/>
          <w:szCs w:val="18"/>
          <w:u w:val="single" w:color="auto"/>
          <w:color w:val="0000EE"/>
        </w:rPr>
      </w:pPr>
    </w:p>
    <w:p>
      <w:pPr>
        <w:jc w:val="both"/>
        <w:ind w:left="361" w:right="420" w:hanging="361"/>
        <w:spacing w:after="0" w:line="447" w:lineRule="auto"/>
        <w:tabs>
          <w:tab w:leader="none" w:pos="361" w:val="left"/>
        </w:tabs>
        <w:numPr>
          <w:ilvl w:val="0"/>
          <w:numId w:val="8"/>
        </w:numPr>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Executive Officer and Director Compensation</w:t>
        </w:r>
      </w:hyperlink>
      <w:r>
        <w:rPr>
          <w:rFonts w:ascii="Arial" w:cs="Arial" w:eastAsia="Arial" w:hAnsi="Arial"/>
          <w:sz w:val="17"/>
          <w:szCs w:val="17"/>
          <w:u w:val="single" w:color="auto"/>
          <w:color w:val="0000EE"/>
        </w:rPr>
        <w:t xml:space="preserve"> </w:t>
      </w:r>
      <w:hyperlink w:anchor="page34">
        <w:r>
          <w:rPr>
            <w:rFonts w:ascii="Arial" w:cs="Arial" w:eastAsia="Arial" w:hAnsi="Arial"/>
            <w:sz w:val="17"/>
            <w:szCs w:val="17"/>
            <w:u w:val="single" w:color="auto"/>
            <w:color w:val="0000EE"/>
          </w:rPr>
          <w:t>29 Compensation Discussion and Analysis</w:t>
        </w:r>
      </w:hyperlink>
      <w:r>
        <w:rPr>
          <w:rFonts w:ascii="Arial" w:cs="Arial" w:eastAsia="Arial" w:hAnsi="Arial"/>
          <w:sz w:val="17"/>
          <w:szCs w:val="17"/>
          <w:u w:val="single" w:color="auto"/>
          <w:color w:val="0000EE"/>
        </w:rPr>
        <w:t xml:space="preserve"> </w:t>
      </w:r>
      <w:hyperlink w:anchor="page47">
        <w:r>
          <w:rPr>
            <w:rFonts w:ascii="Arial" w:cs="Arial" w:eastAsia="Arial" w:hAnsi="Arial"/>
            <w:sz w:val="17"/>
            <w:szCs w:val="17"/>
            <w:u w:val="single" w:color="auto"/>
            <w:color w:val="0000EE"/>
          </w:rPr>
          <w:t>42 Summary Compensation Table</w:t>
        </w:r>
      </w:hyperlink>
    </w:p>
    <w:p>
      <w:pPr>
        <w:spacing w:after="0" w:line="1" w:lineRule="exact"/>
        <w:rPr>
          <w:rFonts w:ascii="Arial" w:cs="Arial" w:eastAsia="Arial" w:hAnsi="Arial"/>
          <w:sz w:val="17"/>
          <w:szCs w:val="17"/>
          <w:u w:val="single" w:color="auto"/>
          <w:color w:val="0000EE"/>
        </w:rPr>
      </w:pPr>
    </w:p>
    <w:p>
      <w:pPr>
        <w:ind w:left="361"/>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44  2021 Grants of Plan Based Awards</w:t>
        </w:r>
      </w:hyperlink>
    </w:p>
    <w:p>
      <w:pPr>
        <w:spacing w:after="0" w:line="157" w:lineRule="exact"/>
        <w:rPr>
          <w:rFonts w:ascii="Arial" w:cs="Arial" w:eastAsia="Arial" w:hAnsi="Arial"/>
          <w:sz w:val="18"/>
          <w:szCs w:val="18"/>
          <w:u w:val="single" w:color="auto"/>
          <w:color w:val="0000EE"/>
        </w:rPr>
      </w:pPr>
    </w:p>
    <w:p>
      <w:pPr>
        <w:ind w:left="761" w:right="280" w:hanging="391"/>
        <w:spacing w:after="0" w:line="271"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46 2021 Outstanding Equity Awards at Fiscal</w:t>
        </w:r>
      </w:hyperlink>
      <w:r>
        <w:rPr>
          <w:rFonts w:ascii="Arial" w:cs="Arial" w:eastAsia="Arial" w:hAnsi="Arial"/>
          <w:sz w:val="18"/>
          <w:szCs w:val="18"/>
          <w:u w:val="single" w:color="auto"/>
          <w:color w:val="0000EE"/>
        </w:rPr>
        <w:t xml:space="preserve"> </w:t>
      </w:r>
      <w:hyperlink w:anchor="page51">
        <w:r>
          <w:rPr>
            <w:rFonts w:ascii="Arial" w:cs="Arial" w:eastAsia="Arial" w:hAnsi="Arial"/>
            <w:sz w:val="18"/>
            <w:szCs w:val="18"/>
            <w:u w:val="single" w:color="auto"/>
            <w:color w:val="0000EE"/>
          </w:rPr>
          <w:t>Year-End</w:t>
        </w:r>
      </w:hyperlink>
    </w:p>
    <w:p>
      <w:pPr>
        <w:spacing w:after="0" w:line="99"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47  Option Exercises and Stock Vested</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47  Post-Employment Compensation</w:t>
        </w:r>
      </w:hyperlink>
    </w:p>
    <w:p>
      <w:pPr>
        <w:spacing w:after="0" w:line="157" w:lineRule="exact"/>
        <w:rPr>
          <w:rFonts w:ascii="Arial" w:cs="Arial" w:eastAsia="Arial" w:hAnsi="Arial"/>
          <w:sz w:val="18"/>
          <w:szCs w:val="18"/>
          <w:u w:val="single" w:color="auto"/>
          <w:color w:val="0000EE"/>
        </w:rPr>
      </w:pPr>
    </w:p>
    <w:p>
      <w:pPr>
        <w:ind w:left="761" w:right="400" w:hanging="391"/>
        <w:spacing w:after="0" w:line="271" w:lineRule="auto"/>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47 Potential Payments Upon Termination or</w:t>
        </w:r>
      </w:hyperlink>
      <w:r>
        <w:rPr>
          <w:rFonts w:ascii="Arial" w:cs="Arial" w:eastAsia="Arial" w:hAnsi="Arial"/>
          <w:sz w:val="18"/>
          <w:szCs w:val="18"/>
          <w:u w:val="single" w:color="auto"/>
          <w:color w:val="0000EE"/>
        </w:rPr>
        <w:t xml:space="preserve"> </w:t>
      </w:r>
      <w:hyperlink w:anchor="page52">
        <w:r>
          <w:rPr>
            <w:rFonts w:ascii="Arial" w:cs="Arial" w:eastAsia="Arial" w:hAnsi="Arial"/>
            <w:sz w:val="18"/>
            <w:szCs w:val="18"/>
            <w:u w:val="single" w:color="auto"/>
            <w:color w:val="0000EE"/>
          </w:rPr>
          <w:t>Change in Control</w:t>
        </w:r>
      </w:hyperlink>
    </w:p>
    <w:p>
      <w:pPr>
        <w:spacing w:after="0" w:line="99"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50  Outstanding Stock Awards</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51  CEO Pay Ratio</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52  Director Compensation</w:t>
        </w:r>
      </w:hyperlink>
    </w:p>
    <w:p>
      <w:pPr>
        <w:spacing w:after="0" w:line="200" w:lineRule="exact"/>
        <w:rPr>
          <w:rFonts w:ascii="Arial" w:cs="Arial" w:eastAsia="Arial" w:hAnsi="Arial"/>
          <w:sz w:val="18"/>
          <w:szCs w:val="18"/>
          <w:u w:val="single" w:color="auto"/>
          <w:color w:val="0000EE"/>
        </w:rPr>
      </w:pPr>
    </w:p>
    <w:p>
      <w:pPr>
        <w:spacing w:after="0" w:line="322" w:lineRule="exact"/>
        <w:rPr>
          <w:rFonts w:ascii="Arial" w:cs="Arial" w:eastAsia="Arial" w:hAnsi="Arial"/>
          <w:sz w:val="18"/>
          <w:szCs w:val="18"/>
          <w:u w:val="single" w:color="auto"/>
          <w:color w:val="0000EE"/>
        </w:rPr>
      </w:pPr>
    </w:p>
    <w:p>
      <w:pPr>
        <w:ind w:left="361" w:hanging="361"/>
        <w:spacing w:after="0" w:line="271" w:lineRule="auto"/>
        <w:tabs>
          <w:tab w:leader="none" w:pos="361" w:val="left"/>
        </w:tabs>
        <w:numPr>
          <w:ilvl w:val="0"/>
          <w:numId w:val="9"/>
        </w:numPr>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Proposal 3—Ratify Independent Registered Public</w:t>
        </w:r>
      </w:hyperlink>
      <w:r>
        <w:rPr>
          <w:rFonts w:ascii="Arial" w:cs="Arial" w:eastAsia="Arial" w:hAnsi="Arial"/>
          <w:sz w:val="18"/>
          <w:szCs w:val="18"/>
          <w:u w:val="single" w:color="auto"/>
          <w:color w:val="0000EE"/>
        </w:rPr>
        <w:t xml:space="preserve"> </w:t>
      </w:r>
      <w:hyperlink w:anchor="page58">
        <w:r>
          <w:rPr>
            <w:rFonts w:ascii="Arial" w:cs="Arial" w:eastAsia="Arial" w:hAnsi="Arial"/>
            <w:sz w:val="18"/>
            <w:szCs w:val="18"/>
            <w:u w:val="single" w:color="auto"/>
            <w:color w:val="0000EE"/>
          </w:rPr>
          <w:t>Accounting Firm</w:t>
        </w:r>
      </w:hyperlink>
    </w:p>
    <w:p>
      <w:pPr>
        <w:spacing w:after="0" w:line="200" w:lineRule="exact"/>
        <w:rPr>
          <w:rFonts w:ascii="Arial" w:cs="Arial" w:eastAsia="Arial" w:hAnsi="Arial"/>
          <w:sz w:val="18"/>
          <w:szCs w:val="18"/>
          <w:u w:val="single" w:color="auto"/>
          <w:color w:val="0000EE"/>
        </w:rPr>
      </w:pPr>
    </w:p>
    <w:p>
      <w:pPr>
        <w:spacing w:after="0" w:line="264" w:lineRule="exact"/>
        <w:rPr>
          <w:rFonts w:ascii="Arial" w:cs="Arial" w:eastAsia="Arial" w:hAnsi="Arial"/>
          <w:sz w:val="18"/>
          <w:szCs w:val="18"/>
          <w:u w:val="single" w:color="auto"/>
          <w:color w:val="0000EE"/>
        </w:rPr>
      </w:pPr>
    </w:p>
    <w:p>
      <w:pPr>
        <w:ind w:left="361" w:right="660" w:hanging="361"/>
        <w:spacing w:after="0" w:line="271" w:lineRule="auto"/>
        <w:tabs>
          <w:tab w:leader="none" w:pos="361" w:val="left"/>
        </w:tabs>
        <w:numPr>
          <w:ilvl w:val="0"/>
          <w:numId w:val="10"/>
        </w:numPr>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Business Relationships and Related Party</w:t>
        </w:r>
      </w:hyperlink>
      <w:r>
        <w:rPr>
          <w:rFonts w:ascii="Arial" w:cs="Arial" w:eastAsia="Arial" w:hAnsi="Arial"/>
          <w:sz w:val="18"/>
          <w:szCs w:val="18"/>
          <w:u w:val="single" w:color="auto"/>
          <w:color w:val="0000EE"/>
        </w:rPr>
        <w:t xml:space="preserve"> </w:t>
      </w:r>
      <w:hyperlink w:anchor="page60">
        <w:r>
          <w:rPr>
            <w:rFonts w:ascii="Arial" w:cs="Arial" w:eastAsia="Arial" w:hAnsi="Arial"/>
            <w:sz w:val="18"/>
            <w:szCs w:val="18"/>
            <w:u w:val="single" w:color="auto"/>
            <w:color w:val="0000EE"/>
          </w:rPr>
          <w:t>Transactions</w:t>
        </w:r>
      </w:hyperlink>
    </w:p>
    <w:p>
      <w:pPr>
        <w:spacing w:after="0" w:line="200" w:lineRule="exact"/>
        <w:rPr>
          <w:rFonts w:ascii="Arial" w:cs="Arial" w:eastAsia="Arial" w:hAnsi="Arial"/>
          <w:sz w:val="18"/>
          <w:szCs w:val="18"/>
          <w:u w:val="single" w:color="auto"/>
          <w:color w:val="0000EE"/>
        </w:rPr>
      </w:pPr>
    </w:p>
    <w:p>
      <w:pPr>
        <w:spacing w:after="0" w:line="264" w:lineRule="exact"/>
        <w:rPr>
          <w:rFonts w:ascii="Arial" w:cs="Arial" w:eastAsia="Arial" w:hAnsi="Arial"/>
          <w:sz w:val="18"/>
          <w:szCs w:val="18"/>
          <w:u w:val="single" w:color="auto"/>
          <w:color w:val="0000EE"/>
        </w:rPr>
      </w:pPr>
    </w:p>
    <w:p>
      <w:pPr>
        <w:ind w:left="361" w:hanging="361"/>
        <w:spacing w:after="0"/>
        <w:tabs>
          <w:tab w:leader="none" w:pos="361" w:val="left"/>
        </w:tabs>
        <w:numPr>
          <w:ilvl w:val="0"/>
          <w:numId w:val="10"/>
        </w:numPr>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Other Information</w:t>
        </w:r>
      </w:hyperlink>
    </w:p>
    <w:p>
      <w:pPr>
        <w:spacing w:after="0" w:line="157" w:lineRule="exact"/>
        <w:rPr>
          <w:rFonts w:ascii="Arial" w:cs="Arial" w:eastAsia="Arial" w:hAnsi="Arial"/>
          <w:sz w:val="18"/>
          <w:szCs w:val="18"/>
          <w:u w:val="single" w:color="auto"/>
          <w:color w:val="0000EE"/>
        </w:rPr>
      </w:pPr>
    </w:p>
    <w:p>
      <w:pPr>
        <w:ind w:left="761" w:right="60" w:hanging="391"/>
        <w:spacing w:after="0" w:line="271" w:lineRule="auto"/>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56 Corporate Governance Guidelines and Code</w:t>
        </w:r>
      </w:hyperlink>
      <w:r>
        <w:rPr>
          <w:rFonts w:ascii="Arial" w:cs="Arial" w:eastAsia="Arial" w:hAnsi="Arial"/>
          <w:sz w:val="18"/>
          <w:szCs w:val="18"/>
          <w:u w:val="single" w:color="auto"/>
          <w:color w:val="0000EE"/>
        </w:rPr>
        <w:t xml:space="preserve"> </w:t>
      </w:r>
      <w:hyperlink w:anchor="page61">
        <w:r>
          <w:rPr>
            <w:rFonts w:ascii="Arial" w:cs="Arial" w:eastAsia="Arial" w:hAnsi="Arial"/>
            <w:sz w:val="18"/>
            <w:szCs w:val="18"/>
            <w:u w:val="single" w:color="auto"/>
            <w:color w:val="0000EE"/>
          </w:rPr>
          <w:t>of Business Conduct and Ethics</w:t>
        </w:r>
      </w:hyperlink>
    </w:p>
    <w:p>
      <w:pPr>
        <w:spacing w:after="0" w:line="99"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56  Other Business</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56  Communication with the Board</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56  Expenses of Solicitation</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56  Stockholder Proposals for Next Year</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-3059430</wp:posOffset>
            </wp:positionH>
            <wp:positionV relativeFrom="paragraph">
              <wp:posOffset>866140</wp:posOffset>
            </wp:positionV>
            <wp:extent cx="5897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255" w:lineRule="exact"/>
        <w:rPr>
          <w:rFonts w:ascii="Arial" w:cs="Arial" w:eastAsia="Arial" w:hAnsi="Arial"/>
          <w:sz w:val="18"/>
          <w:szCs w:val="18"/>
          <w:u w:val="single" w:color="auto"/>
          <w:color w:val="0000EE"/>
        </w:rPr>
      </w:pPr>
    </w:p>
    <w:p>
      <w:pPr>
        <w:sectPr>
          <w:pgSz w:w="11900" w:h="16838" w:orient="portrait"/>
          <w:cols w:equalWidth="0" w:num="2">
            <w:col w:w="4460" w:space="359"/>
            <w:col w:w="4381"/>
          </w:cols>
          <w:pgMar w:left="1300" w:top="263" w:right="1399" w:bottom="1440" w:gutter="0" w:footer="0" w:header="0"/>
          <w:type w:val="continuous"/>
        </w:sectPr>
      </w:pPr>
    </w:p>
    <w:p>
      <w:pPr>
        <w:spacing w:after="0" w:line="255" w:lineRule="exact"/>
        <w:rPr>
          <w:rFonts w:ascii="Arial" w:cs="Arial" w:eastAsia="Arial" w:hAnsi="Arial"/>
          <w:sz w:val="18"/>
          <w:szCs w:val="18"/>
          <w:u w:val="single" w:color="auto"/>
          <w:color w:val="0000EE"/>
        </w:rPr>
      </w:pPr>
    </w:p>
    <w:p>
      <w:pPr>
        <w:spacing w:after="0"/>
        <w:tabs>
          <w:tab w:leader="none" w:pos="9040" w:val="left"/>
        </w:tabs>
        <w:rPr>
          <w:sz w:val="20"/>
          <w:szCs w:val="20"/>
          <w:color w:val="auto"/>
        </w:rPr>
      </w:pPr>
      <w:r>
        <w:rPr>
          <w:sz w:val="1"/>
          <w:szCs w:val="1"/>
          <w:color w:val="auto"/>
        </w:rPr>
        <w:drawing>
          <wp:inline distT="0" distB="0" distL="0" distR="0">
            <wp:extent cx="471170" cy="1797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170" cy="179705"/>
                    </a:xfrm>
                    <a:prstGeom prst="rect">
                      <a:avLst/>
                    </a:prstGeom>
                    <a:noFill/>
                    <a:ln>
                      <a:noFill/>
                    </a:ln>
                  </pic:spPr>
                </pic:pic>
              </a:graphicData>
            </a:graphic>
          </wp:inline>
        </w:drawing>
      </w:r>
      <w:r>
        <w:rPr>
          <w:rFonts w:ascii="Arial" w:cs="Arial" w:eastAsia="Arial" w:hAnsi="Arial"/>
          <w:sz w:val="12"/>
          <w:szCs w:val="12"/>
          <w:color w:val="EC252A"/>
        </w:rPr>
        <w:t xml:space="preserve"> 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r>
        <w:rPr>
          <w:sz w:val="20"/>
          <w:szCs w:val="20"/>
          <w:color w:val="auto"/>
        </w:rPr>
        <w:tab/>
      </w:r>
      <w:r>
        <w:rPr>
          <w:rFonts w:ascii="Arial" w:cs="Arial" w:eastAsia="Arial" w:hAnsi="Arial"/>
          <w:sz w:val="21"/>
          <w:szCs w:val="21"/>
          <w:b w:val="1"/>
          <w:bCs w:val="1"/>
          <w:color w:val="auto"/>
          <w:vertAlign w:val="superscript"/>
        </w:rPr>
        <w:t>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-548005</wp:posOffset>
            </wp:positionH>
            <wp:positionV relativeFrom="paragraph">
              <wp:posOffset>120015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00"/>
          </w:cols>
          <w:pgMar w:left="1300" w:top="263" w:right="1399" w:bottom="1440" w:gutter="0" w:footer="0" w:header="0"/>
          <w:type w:val="continuous"/>
        </w:sectPr>
      </w:pPr>
    </w:p>
    <w:bookmarkStart w:id="5" w:name="page6"/>
    <w:bookmarkEnd w:id="5"/>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299085</wp:posOffset>
            </wp:positionV>
            <wp:extent cx="5897880"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FFFFFF"/>
        </w:rPr>
        <w:t>General Information</w:t>
      </w:r>
    </w:p>
    <w:p>
      <w:pPr>
        <w:spacing w:after="0" w:line="195" w:lineRule="exact"/>
        <w:rPr>
          <w:sz w:val="20"/>
          <w:szCs w:val="20"/>
          <w:color w:val="auto"/>
        </w:rPr>
      </w:pPr>
    </w:p>
    <w:p>
      <w:pPr>
        <w:ind w:left="860" w:right="1040"/>
        <w:spacing w:after="0" w:line="253" w:lineRule="auto"/>
        <w:rPr>
          <w:sz w:val="20"/>
          <w:szCs w:val="20"/>
          <w:color w:val="auto"/>
        </w:rPr>
      </w:pPr>
      <w:r>
        <w:rPr>
          <w:rFonts w:ascii="Arial" w:cs="Arial" w:eastAsia="Arial" w:hAnsi="Arial"/>
          <w:sz w:val="18"/>
          <w:szCs w:val="18"/>
          <w:color w:val="auto"/>
        </w:rPr>
        <w:t>We have provided you this booklet and proxy materials on or about April 5, 2022 because the Board of Directors of Westinghouse Air Brake Technologies Corporation, doing business as Wabtec Corporation (“Wabtec” or the “Company”), is soliciting your proxy to vote at the Company’s 2022 annual meeting of stockholders.</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Who is entitled to vote?</w:t>
      </w:r>
    </w:p>
    <w:p>
      <w:pPr>
        <w:spacing w:after="0" w:line="128" w:lineRule="exact"/>
        <w:rPr>
          <w:sz w:val="20"/>
          <w:szCs w:val="20"/>
          <w:color w:val="auto"/>
        </w:rPr>
      </w:pPr>
    </w:p>
    <w:p>
      <w:pPr>
        <w:ind w:left="860" w:right="900"/>
        <w:spacing w:after="0" w:line="266" w:lineRule="auto"/>
        <w:rPr>
          <w:sz w:val="20"/>
          <w:szCs w:val="20"/>
          <w:color w:val="auto"/>
        </w:rPr>
      </w:pPr>
      <w:r>
        <w:rPr>
          <w:rFonts w:ascii="Arial" w:cs="Arial" w:eastAsia="Arial" w:hAnsi="Arial"/>
          <w:sz w:val="17"/>
          <w:szCs w:val="17"/>
          <w:color w:val="auto"/>
        </w:rPr>
        <w:t>Holders of our common stock as of the close of business on March 22, 2022, the record date for this Annual Meeting (the “Record Date”), may vote at the Annual Meeting. As of the Record Date, there were 184,251,524 shares of our common stock outstanding. Stockholders are not permitted to cumulate votes with respect to the election of directors. Each share of common stock is entitled to one vote for each Director nominee and on each proposal.</w:t>
      </w:r>
    </w:p>
    <w:p>
      <w:pPr>
        <w:spacing w:after="0" w:line="51" w:lineRule="exact"/>
        <w:rPr>
          <w:sz w:val="20"/>
          <w:szCs w:val="20"/>
          <w:color w:val="auto"/>
        </w:rPr>
      </w:pPr>
    </w:p>
    <w:p>
      <w:pPr>
        <w:ind w:left="860" w:right="920"/>
        <w:spacing w:after="0" w:line="247" w:lineRule="auto"/>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If shares of our common stock are registered directly in your name with our transfer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you are considered a “registered stockholder” with respect to those shares and the Notice was provided to you directly by us. As the registered stockholder, you have the right to grant your voting proxy directly to the individuals listed on the proxy card or to vote live at the Annual Meeting.</w:t>
      </w:r>
    </w:p>
    <w:p>
      <w:pPr>
        <w:spacing w:after="0" w:line="66" w:lineRule="exact"/>
        <w:rPr>
          <w:sz w:val="20"/>
          <w:szCs w:val="20"/>
          <w:color w:val="auto"/>
        </w:rPr>
      </w:pPr>
    </w:p>
    <w:p>
      <w:pPr>
        <w:ind w:left="860" w:right="1000"/>
        <w:spacing w:after="0"/>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 If you hold shares of our common stock in a brokerage account or by a bank or other nominee,</w:t>
      </w:r>
      <w:r>
        <w:rPr>
          <w:rFonts w:ascii="Arial" w:cs="Arial" w:eastAsia="Arial" w:hAnsi="Arial"/>
          <w:sz w:val="18"/>
          <w:szCs w:val="18"/>
          <w:i w:val="1"/>
          <w:iCs w:val="1"/>
          <w:color w:val="auto"/>
        </w:rPr>
        <w:t xml:space="preserve"> </w:t>
      </w:r>
      <w:r>
        <w:rPr>
          <w:rFonts w:ascii="Arial" w:cs="Arial" w:eastAsia="Arial" w:hAnsi="Arial"/>
          <w:sz w:val="18"/>
          <w:szCs w:val="18"/>
          <w:color w:val="auto"/>
        </w:rPr>
        <w:t>you are considered to be the “beneficial owner” of shares that are held in “street name,” and the Notice was forwarded to you by your broker or nominee, who is considered the registered stockholder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What do I need to be able to attend the Annual Meeting online?</w:t>
      </w:r>
    </w:p>
    <w:p>
      <w:pPr>
        <w:spacing w:after="0" w:line="128" w:lineRule="exact"/>
        <w:rPr>
          <w:sz w:val="20"/>
          <w:szCs w:val="20"/>
          <w:color w:val="auto"/>
        </w:rPr>
      </w:pPr>
    </w:p>
    <w:p>
      <w:pPr>
        <w:ind w:left="860" w:right="940"/>
        <w:spacing w:after="0" w:line="242" w:lineRule="auto"/>
        <w:rPr>
          <w:sz w:val="20"/>
          <w:szCs w:val="20"/>
          <w:color w:val="auto"/>
        </w:rPr>
      </w:pPr>
      <w:r>
        <w:rPr>
          <w:rFonts w:ascii="Arial" w:cs="Arial" w:eastAsia="Arial" w:hAnsi="Arial"/>
          <w:sz w:val="18"/>
          <w:szCs w:val="18"/>
          <w:color w:val="auto"/>
        </w:rPr>
        <w:t>We will be hosting our Annual Meeting via live webcast only. Any stockholder can attend the Annual Meeting live online at www.virtualshareholdermeeting.com/WAB2022. The webcast will open at 12:15 p.m. Eastern Time on May 18, 2022, and the meeting will start shortly thereafter at 12:30 p.m. Eastern Time. Stockholders may vote and ask questions while attending the Annual Meeting online. In order to be able to attend the Annual Meeting, you will need the 16-digit control number, which is located on your Notice or proxy card (if you received a printed copy of the proxy materials).</w:t>
      </w:r>
    </w:p>
    <w:p>
      <w:pPr>
        <w:spacing w:after="0" w:line="191"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How many votes are needed for approval of each proposal?</w:t>
      </w:r>
    </w:p>
    <w:p>
      <w:pPr>
        <w:spacing w:after="0" w:line="128" w:lineRule="exact"/>
        <w:rPr>
          <w:sz w:val="20"/>
          <w:szCs w:val="20"/>
          <w:color w:val="auto"/>
        </w:rPr>
      </w:pPr>
    </w:p>
    <w:p>
      <w:pPr>
        <w:ind w:left="860" w:right="1140"/>
        <w:spacing w:after="0" w:line="247" w:lineRule="auto"/>
        <w:rPr>
          <w:sz w:val="20"/>
          <w:szCs w:val="20"/>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As required by Wabtec’s amended and restated bylaws, each director is to be elected by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votes cast with respect to that director’s election. Each stockholder will have one vote per share to vote for each Director nominee. Abstentions and broker non-votes will have no effect on the outcome of the vote with respect to this Proposal.</w:t>
      </w:r>
    </w:p>
    <w:p>
      <w:pPr>
        <w:spacing w:after="0" w:line="66" w:lineRule="exact"/>
        <w:rPr>
          <w:sz w:val="20"/>
          <w:szCs w:val="20"/>
          <w:color w:val="auto"/>
        </w:rPr>
      </w:pPr>
    </w:p>
    <w:p>
      <w:pPr>
        <w:jc w:val="both"/>
        <w:ind w:left="860" w:right="1020"/>
        <w:spacing w:after="0" w:line="253" w:lineRule="auto"/>
        <w:rPr>
          <w:sz w:val="20"/>
          <w:szCs w:val="20"/>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 The approval of Proposal 2 requires a favorable vote of a majority of the shares present and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on the Proposal. An abstention will have the same effect as a vote against this Proposal. Broker non-votes will have no effect on the outcome of the vote with respect to this Proposal.</w:t>
      </w:r>
    </w:p>
    <w:p>
      <w:pPr>
        <w:spacing w:after="0" w:line="61" w:lineRule="exact"/>
        <w:rPr>
          <w:sz w:val="20"/>
          <w:szCs w:val="20"/>
          <w:color w:val="auto"/>
        </w:rPr>
      </w:pPr>
    </w:p>
    <w:p>
      <w:pPr>
        <w:jc w:val="both"/>
        <w:ind w:left="860" w:right="1020"/>
        <w:spacing w:after="0" w:line="253" w:lineRule="auto"/>
        <w:rPr>
          <w:sz w:val="20"/>
          <w:szCs w:val="20"/>
          <w:color w:val="auto"/>
        </w:rPr>
      </w:pPr>
      <w:r>
        <w:rPr>
          <w:rFonts w:ascii="Arial" w:cs="Arial" w:eastAsia="Arial" w:hAnsi="Arial"/>
          <w:sz w:val="18"/>
          <w:szCs w:val="18"/>
          <w:i w:val="1"/>
          <w:iCs w:val="1"/>
          <w:color w:val="auto"/>
        </w:rPr>
        <w:t xml:space="preserve">Proposal 3: </w:t>
      </w:r>
      <w:r>
        <w:rPr>
          <w:rFonts w:ascii="Arial" w:cs="Arial" w:eastAsia="Arial" w:hAnsi="Arial"/>
          <w:sz w:val="18"/>
          <w:szCs w:val="18"/>
          <w:color w:val="auto"/>
        </w:rPr>
        <w:t>The approval of Proposal 3 requires a favorable vote of a majority of the shares present and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on the Proposal. An abstention will have the same effect as a vote against this Proposal. Broker non-votes will have no effect on the outcome of the vote with respect to this Proposal.</w:t>
      </w:r>
    </w:p>
    <w:p>
      <w:pPr>
        <w:spacing w:after="0" w:line="61" w:lineRule="exact"/>
        <w:rPr>
          <w:sz w:val="20"/>
          <w:szCs w:val="20"/>
          <w:color w:val="auto"/>
        </w:rPr>
      </w:pPr>
    </w:p>
    <w:p>
      <w:pPr>
        <w:ind w:left="860" w:right="880"/>
        <w:spacing w:after="0" w:line="242" w:lineRule="auto"/>
        <w:rPr>
          <w:sz w:val="20"/>
          <w:szCs w:val="20"/>
          <w:color w:val="auto"/>
        </w:rPr>
      </w:pPr>
      <w:r>
        <w:rPr>
          <w:rFonts w:ascii="Arial" w:cs="Arial" w:eastAsia="Arial" w:hAnsi="Arial"/>
          <w:sz w:val="18"/>
          <w:szCs w:val="18"/>
          <w:color w:val="auto"/>
        </w:rPr>
        <w:t>Approval of any other matter that properly comes before the Annual Meeting requires the favorable vote of a majority of shares present and entitled to vote on the matter, unless the matter requires more than a majority vote under statute or our amended and restated by-laws. An abstention will have the same effect as a vote against the proposal. Broker non-votes with respect to any such proposal will have no effect on the outcome of the vote with respect to that proposal. We do not expect any business to come before the Annual Meeting other than the proposals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168275</wp:posOffset>
            </wp:positionV>
            <wp:extent cx="58978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8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40" w:type="dxa"/>
            <w:vAlign w:val="bottom"/>
          </w:tcPr>
          <w:p>
            <w:pPr>
              <w:jc w:val="right"/>
              <w:ind w:right="939"/>
              <w:spacing w:after="0"/>
              <w:rPr>
                <w:sz w:val="20"/>
                <w:szCs w:val="20"/>
                <w:color w:val="auto"/>
              </w:rPr>
            </w:pPr>
            <w:r>
              <w:rPr>
                <w:rFonts w:ascii="Arial" w:cs="Arial" w:eastAsia="Arial" w:hAnsi="Arial"/>
                <w:sz w:val="16"/>
                <w:szCs w:val="16"/>
                <w:b w:val="1"/>
                <w:bCs w:val="1"/>
                <w:color w:val="auto"/>
              </w:rPr>
              <w:t>1</w:t>
            </w:r>
          </w:p>
        </w:tc>
      </w:tr>
      <w:tr>
        <w:trPr>
          <w:trHeight w:val="212"/>
        </w:trPr>
        <w:tc>
          <w:tcPr>
            <w:tcW w:w="7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If your shares are held by a broker, the broker will ask you how you want your shares to be voted. If you give the broker instructions, your shares will be voted as you direct. If you do not give instructions, one of two things can happen, depending on the type of proposal. For the ratification of the independent auditor (Proposal 3), the broker may vote your shares in its discretion. For all other proposals, the broker may not vote your shares at all if you do not give instructions.</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What is the quorum requirement?</w:t>
      </w:r>
    </w:p>
    <w:p>
      <w:pPr>
        <w:spacing w:after="0" w:line="12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A quorum is the minimum number of shares required to be present at the Annual Meeting to properly hold an annual meeting of stockholders and conduct business under our amended and restated bylaws and Delaware law. The presence, in person at the virtual meeting or by proxy, of a majority of the issued and outstanding shares of our common stock entitled to vote on the Record Date will constitute a quorum at the Annual Meeting. Abstentions, withheld votes and broker non-votes are counted as shares present and entitled to vote for purposes of determining a quorum. As of the Record Date, March 22, 2022, we had 184,251,524 shares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How do I vote?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there are four ways to vote:</w:t>
      </w:r>
    </w:p>
    <w:p>
      <w:pPr>
        <w:spacing w:after="0" w:line="239" w:lineRule="exact"/>
        <w:rPr>
          <w:sz w:val="20"/>
          <w:szCs w:val="20"/>
          <w:color w:val="auto"/>
        </w:rPr>
      </w:pPr>
    </w:p>
    <w:p>
      <w:pPr>
        <w:ind w:left="2560" w:right="240" w:hanging="427"/>
        <w:spacing w:after="0" w:line="266" w:lineRule="auto"/>
        <w:tabs>
          <w:tab w:leader="none" w:pos="25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By Internet (Before the Annual Meeting): </w:t>
      </w:r>
      <w:r>
        <w:rPr>
          <w:rFonts w:ascii="Arial" w:cs="Arial" w:eastAsia="Arial" w:hAnsi="Arial"/>
          <w:sz w:val="17"/>
          <w:szCs w:val="17"/>
          <w:color w:val="auto"/>
        </w:rPr>
        <w:t>You may vote over the Internet at</w:t>
      </w:r>
      <w:r>
        <w:rPr>
          <w:rFonts w:ascii="Arial" w:cs="Arial" w:eastAsia="Arial" w:hAnsi="Arial"/>
          <w:sz w:val="17"/>
          <w:szCs w:val="17"/>
          <w:b w:val="1"/>
          <w:bCs w:val="1"/>
          <w:color w:val="auto"/>
        </w:rPr>
        <w:t xml:space="preserve"> </w:t>
      </w:r>
      <w:r>
        <w:rPr>
          <w:rFonts w:ascii="Arial" w:cs="Arial" w:eastAsia="Arial" w:hAnsi="Arial"/>
          <w:sz w:val="17"/>
          <w:szCs w:val="17"/>
          <w:color w:val="auto"/>
        </w:rPr>
        <w:t>www.proxyvote.com, 24 hours a day, seven days a week, until 11:59 p.m. Eastern Time on May 17, 2022. You will need the 16-digit control number included on your Notice or proxy card (if you received a printed copy of the proxy materials);</w:t>
      </w:r>
    </w:p>
    <w:p>
      <w:pPr>
        <w:spacing w:after="0" w:line="199" w:lineRule="exact"/>
        <w:rPr>
          <w:rFonts w:ascii="Arial" w:cs="Arial" w:eastAsia="Arial" w:hAnsi="Arial"/>
          <w:sz w:val="17"/>
          <w:szCs w:val="17"/>
          <w:color w:val="auto"/>
        </w:rPr>
      </w:pPr>
    </w:p>
    <w:p>
      <w:pPr>
        <w:ind w:left="2560" w:right="200" w:hanging="427"/>
        <w:spacing w:after="0" w:line="245" w:lineRule="auto"/>
        <w:tabs>
          <w:tab w:leader="none" w:pos="25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You may vote by toll-free telephone at 1-800-690-6903, until 11:59</w:t>
      </w:r>
      <w:r>
        <w:rPr>
          <w:rFonts w:ascii="Arial" w:cs="Arial" w:eastAsia="Arial" w:hAnsi="Arial"/>
          <w:sz w:val="18"/>
          <w:szCs w:val="18"/>
          <w:b w:val="1"/>
          <w:bCs w:val="1"/>
          <w:color w:val="auto"/>
        </w:rPr>
        <w:t xml:space="preserve"> </w:t>
      </w:r>
      <w:r>
        <w:rPr>
          <w:rFonts w:ascii="Arial" w:cs="Arial" w:eastAsia="Arial" w:hAnsi="Arial"/>
          <w:sz w:val="18"/>
          <w:szCs w:val="18"/>
          <w:color w:val="auto"/>
        </w:rPr>
        <w:t>p.m. Eastern Time on May 17, 2022. You will need the 16-digit control number included on your Notice or proxy card (if you received a printed copy of the proxy materials);</w:t>
      </w:r>
    </w:p>
    <w:p>
      <w:pPr>
        <w:spacing w:after="0" w:line="153" w:lineRule="exact"/>
        <w:rPr>
          <w:rFonts w:ascii="Arial" w:cs="Arial" w:eastAsia="Arial" w:hAnsi="Arial"/>
          <w:sz w:val="18"/>
          <w:szCs w:val="18"/>
          <w:color w:val="auto"/>
        </w:rPr>
      </w:pPr>
    </w:p>
    <w:p>
      <w:pPr>
        <w:ind w:left="2560" w:right="60" w:hanging="427"/>
        <w:spacing w:after="0" w:line="196" w:lineRule="auto"/>
        <w:tabs>
          <w:tab w:leader="none" w:pos="2560" w:val="left"/>
        </w:tabs>
        <w:numPr>
          <w:ilvl w:val="0"/>
          <w:numId w:val="11"/>
        </w:numPr>
        <w:rPr>
          <w:rFonts w:ascii="Arial" w:cs="Arial" w:eastAsia="Arial" w:hAnsi="Arial"/>
          <w:sz w:val="36"/>
          <w:szCs w:val="36"/>
          <w:color w:val="auto"/>
          <w:vertAlign w:val="subscript"/>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printed proxy materials, you may submit your vote by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signing and dating each proxy card received and returning it promptly in the postage-paid envelope we have provided. Proxies submitted by U.S. mail must be received before the start of the Annual Meeting; or</w:t>
      </w:r>
    </w:p>
    <w:p>
      <w:pPr>
        <w:spacing w:after="0" w:line="99" w:lineRule="exact"/>
        <w:rPr>
          <w:rFonts w:ascii="Arial" w:cs="Arial" w:eastAsia="Arial" w:hAnsi="Arial"/>
          <w:sz w:val="36"/>
          <w:szCs w:val="36"/>
          <w:color w:val="auto"/>
          <w:vertAlign w:val="subscript"/>
        </w:rPr>
      </w:pPr>
    </w:p>
    <w:p>
      <w:pPr>
        <w:ind w:left="2560" w:right="140" w:hanging="427"/>
        <w:spacing w:after="0" w:line="261" w:lineRule="auto"/>
        <w:tabs>
          <w:tab w:leader="none" w:pos="25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By Internet (During the Annual Meeting): </w:t>
      </w:r>
      <w:r>
        <w:rPr>
          <w:rFonts w:ascii="Arial" w:cs="Arial" w:eastAsia="Arial" w:hAnsi="Arial"/>
          <w:sz w:val="17"/>
          <w:szCs w:val="17"/>
          <w:color w:val="auto"/>
        </w:rPr>
        <w:t>You may vote during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by going to www.virtualshareholdermeeting.com/WAB2022. You will need the 16-digit control number included on your Notice or proxy card (if you received a printed copy of the proxy materials). If you previously voted via the Internet (or by telephone or mail), you will not limit your right to vote online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-2574290</wp:posOffset>
            </wp:positionV>
            <wp:extent cx="488315" cy="386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8315" cy="386080"/>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-1974215</wp:posOffset>
            </wp:positionV>
            <wp:extent cx="274320" cy="462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4320" cy="462915"/>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-1296670</wp:posOffset>
            </wp:positionV>
            <wp:extent cx="385445" cy="419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5445" cy="41973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-662305</wp:posOffset>
            </wp:positionV>
            <wp:extent cx="488315" cy="386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8315" cy="386080"/>
                    </a:xfrm>
                    <a:prstGeom prst="rect">
                      <a:avLst/>
                    </a:prstGeom>
                    <a:noFill/>
                  </pic:spPr>
                </pic:pic>
              </a:graphicData>
            </a:graphic>
          </wp:anchor>
        </w:drawing>
      </w:r>
    </w:p>
    <w:p>
      <w:pPr>
        <w:spacing w:after="0" w:line="92" w:lineRule="exact"/>
        <w:rPr>
          <w:sz w:val="20"/>
          <w:szCs w:val="20"/>
          <w:color w:val="auto"/>
        </w:rPr>
      </w:pPr>
    </w:p>
    <w:p>
      <w:pPr>
        <w:jc w:val="both"/>
        <w:ind w:right="540"/>
        <w:spacing w:after="0" w:line="253" w:lineRule="auto"/>
        <w:rPr>
          <w:sz w:val="20"/>
          <w:szCs w:val="20"/>
          <w:color w:val="auto"/>
        </w:rPr>
      </w:pPr>
      <w:r>
        <w:rPr>
          <w:rFonts w:ascii="Arial" w:cs="Arial" w:eastAsia="Arial" w:hAnsi="Arial"/>
          <w:sz w:val="18"/>
          <w:szCs w:val="18"/>
          <w:color w:val="auto"/>
        </w:rPr>
        <w:t>If you are a beneficial owner, please follow the instructions from your broker, bank or other nominee to vote by Internet, telephone or mail. Beneficial owners may not vote via the Internet at the Annual Meeting unless they receive a legal proxy from their respective brokers, banks or other nominees.</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Can I change my vote?</w:t>
      </w:r>
    </w:p>
    <w:p>
      <w:pPr>
        <w:spacing w:after="0" w:line="12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Yes. If you are a registered stockholder, you can change your vote or revoke your proxy any time before the Annual Meeting by:</w:t>
      </w:r>
    </w:p>
    <w:p>
      <w:pPr>
        <w:spacing w:after="0" w:line="46" w:lineRule="exact"/>
        <w:rPr>
          <w:sz w:val="20"/>
          <w:szCs w:val="20"/>
          <w:color w:val="auto"/>
        </w:rPr>
      </w:pPr>
    </w:p>
    <w:p>
      <w:pPr>
        <w:ind w:left="720" w:right="760" w:hanging="360"/>
        <w:spacing w:after="0" w:line="271"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notifying our Corporate Secretary, in writing, at Wabtec Corporation, 30 Isabella Street, Pittsburgh, PA 15212;</w:t>
      </w:r>
    </w:p>
    <w:p>
      <w:pPr>
        <w:spacing w:after="0" w:line="45" w:lineRule="exact"/>
        <w:rPr>
          <w:rFonts w:ascii="Arial" w:cs="Arial" w:eastAsia="Arial" w:hAnsi="Arial"/>
          <w:sz w:val="18"/>
          <w:szCs w:val="18"/>
          <w:color w:val="auto"/>
        </w:rPr>
      </w:pPr>
    </w:p>
    <w:p>
      <w:pPr>
        <w:ind w:left="720" w:right="220" w:hanging="360"/>
        <w:spacing w:after="0" w:line="271"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again using the telephone or Internet before 11:59 p.m. Eastern Time on May 17, 2022 (your latest telephone or Internet proxy is the one that will be counted); or</w:t>
      </w:r>
    </w:p>
    <w:p>
      <w:pPr>
        <w:spacing w:after="0" w:line="45" w:lineRule="exact"/>
        <w:rPr>
          <w:rFonts w:ascii="Arial" w:cs="Arial" w:eastAsia="Arial" w:hAnsi="Arial"/>
          <w:sz w:val="18"/>
          <w:szCs w:val="18"/>
          <w:color w:val="auto"/>
        </w:rPr>
      </w:pPr>
    </w:p>
    <w:p>
      <w:pPr>
        <w:ind w:left="720" w:right="80" w:hanging="360"/>
        <w:spacing w:after="0" w:line="271"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attending the virtual Annual Meeting and voting with the ballot provided in the virtual meeting portal. Simply logging into the Annual Meeting online will not, by itself, revoke your proxy.</w:t>
      </w:r>
    </w:p>
    <w:p>
      <w:pPr>
        <w:spacing w:after="0" w:line="46"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If you are a beneficial owner, you may revoke any prior voting instructions by contacting your broker, bank 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8978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303" w:lineRule="exact"/>
        <w:rPr>
          <w:sz w:val="20"/>
          <w:szCs w:val="20"/>
          <w:color w:val="auto"/>
        </w:rPr>
      </w:pPr>
    </w:p>
    <w:p>
      <w:pPr>
        <w:ind w:left="180"/>
        <w:spacing w:after="0"/>
        <w:tabs>
          <w:tab w:leader="none" w:pos="5690" w:val="left"/>
        </w:tabs>
        <w:rPr>
          <w:sz w:val="20"/>
          <w:szCs w:val="20"/>
          <w:color w:val="auto"/>
        </w:rPr>
      </w:pPr>
      <w:r>
        <w:rPr>
          <w:rFonts w:ascii="Arial" w:cs="Arial" w:eastAsia="Arial" w:hAnsi="Arial"/>
          <w:sz w:val="32"/>
          <w:szCs w:val="32"/>
          <w:b w:val="1"/>
          <w:bCs w:val="1"/>
          <w:color w:val="auto"/>
          <w:vertAlign w:val="superscript"/>
        </w:rPr>
        <w:t>2</w:t>
      </w:r>
      <w:r>
        <w:rPr>
          <w:sz w:val="20"/>
          <w:szCs w:val="20"/>
          <w:color w:val="auto"/>
        </w:rPr>
        <w:tab/>
      </w:r>
      <w:r>
        <w:rPr>
          <w:sz w:val="1"/>
          <w:szCs w:val="1"/>
          <w:color w:val="auto"/>
        </w:rPr>
        <w:drawing>
          <wp:inline distT="0" distB="0" distL="0" distR="0">
            <wp:extent cx="471805" cy="18034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1805" cy="180340"/>
                    </a:xfrm>
                    <a:prstGeom prst="rect">
                      <a:avLst/>
                    </a:prstGeom>
                    <a:noFill/>
                    <a:ln>
                      <a:noFill/>
                    </a:ln>
                  </pic:spPr>
                </pic:pic>
              </a:graphicData>
            </a:graphic>
          </wp:inline>
        </w:drawing>
      </w:r>
      <w:r>
        <w:rPr>
          <w:rFonts w:ascii="Arial" w:cs="Arial" w:eastAsia="Arial" w:hAnsi="Arial"/>
          <w:sz w:val="12"/>
          <w:szCs w:val="12"/>
          <w:color w:val="EC252A"/>
        </w:rPr>
        <w:t xml:space="preserve"> 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137795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What is the effect of giving a proxy?</w:t>
      </w:r>
    </w:p>
    <w:p>
      <w:pPr>
        <w:spacing w:after="0" w:line="12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Proxies are solicited by and on behalf of our Board. Mr. Neupaver and Mr. DeNinno have been designated as proxy holders by our Board.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What is the effect of abstentions and broker non-votes?</w:t>
      </w:r>
    </w:p>
    <w:p>
      <w:pPr>
        <w:spacing w:after="0" w:line="12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With regards to Proposal 1 (election of directors) (</w:t>
      </w:r>
      <w:r>
        <w:rPr>
          <w:rFonts w:ascii="Arial" w:cs="Arial" w:eastAsia="Arial" w:hAnsi="Arial"/>
          <w:sz w:val="17"/>
          <w:szCs w:val="17"/>
          <w:i w:val="1"/>
          <w:iCs w:val="1"/>
          <w:color w:val="auto"/>
        </w:rPr>
        <w:t>i.e.</w:t>
      </w:r>
      <w:r>
        <w:rPr>
          <w:rFonts w:ascii="Arial" w:cs="Arial" w:eastAsia="Arial" w:hAnsi="Arial"/>
          <w:sz w:val="17"/>
          <w:szCs w:val="17"/>
          <w:color w:val="auto"/>
        </w:rPr>
        <w:t>, where a broker has not received voting instructions from the beneficial owner and for which the broker does not have discretionary power to vote on a particular matter), abstentions and broker non-votes are counted as present for purposes of determining the presence of a quorum but are not considered votes cast on Proposal 1. For Proposal 2 and Proposal 3, an abstention will have the same effect as a vote against each applicable proposal and broker non-votes will have no effect on the outcome of the vote with respect to each Proposal. 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2022. Absent direction from you, your broker will not have discretion to vote on Proposal 1 (election of directors) or Proposal 2 (Say-On-Pay Advisory Vote), which are “non-routine” matters.</w:t>
      </w:r>
    </w:p>
    <w:p>
      <w:pPr>
        <w:spacing w:after="0" w:line="135" w:lineRule="exact"/>
        <w:rPr>
          <w:sz w:val="20"/>
          <w:szCs w:val="20"/>
          <w:color w:val="auto"/>
        </w:rPr>
      </w:pPr>
    </w:p>
    <w:p>
      <w:pPr>
        <w:ind w:right="40"/>
        <w:spacing w:after="0" w:line="306" w:lineRule="auto"/>
        <w:rPr>
          <w:sz w:val="20"/>
          <w:szCs w:val="20"/>
          <w:color w:val="auto"/>
        </w:rPr>
      </w:pPr>
      <w:r>
        <w:rPr>
          <w:rFonts w:ascii="Arial" w:cs="Arial" w:eastAsia="Arial" w:hAnsi="Arial"/>
          <w:sz w:val="23"/>
          <w:szCs w:val="23"/>
          <w:b w:val="1"/>
          <w:bCs w:val="1"/>
          <w:color w:val="EC252A"/>
        </w:rPr>
        <w:t>Why did I receive a Notice of Internet Availability of Proxy Materials instead of a full set of proxy materials?</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accordance with the rules of the U.S. Securities and Exchange Commission (the “SEC”), we have elected to furnish our proxy materials, including this Proxy Statement and our 2021 Annual Report, primarily via the Internet. On April 5, 2022, we mailed to our stockholders a Notice that contains instructions on how to access our proxy materials on the Internet, how to vote at the meeting and how to request printed copies of the proxy materials and 2021 Annual Report.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Where can I find the voting results of the Annual Meeting?</w:t>
      </w:r>
    </w:p>
    <w:p>
      <w:pPr>
        <w:spacing w:after="0" w:line="12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provide preliminary voting results in the Current Report on Form 8-K and will provide the final results in an amendment to the Current Report on Form 8-K as soon as they become available.</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Why is this Annual Meeting being held virtually?</w:t>
      </w:r>
    </w:p>
    <w:p>
      <w:pPr>
        <w:spacing w:after="0" w:line="128"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The Annual Meeting will be held entirely online this year. We are excited to embrace the latest technology to provide ease of access, real-time communication and cost savings for our stockholders and our Company. Hosting a virtual meeting provides easy access for our stockholders and facilitates participation because stockholders can participate from any location around the world.</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How are proxies solicited for the Annual Meeting?</w:t>
      </w:r>
    </w:p>
    <w:p>
      <w:pPr>
        <w:spacing w:after="0" w:line="128"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Our Board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58978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tabs>
          <w:tab w:leader="none" w:pos="9020" w:val="left"/>
        </w:tabs>
        <w:rPr>
          <w:sz w:val="20"/>
          <w:szCs w:val="20"/>
          <w:color w:val="auto"/>
        </w:rPr>
      </w:pPr>
      <w:r>
        <w:rPr>
          <w:sz w:val="1"/>
          <w:szCs w:val="1"/>
          <w:color w:val="auto"/>
        </w:rPr>
        <w:drawing>
          <wp:inline distT="0" distB="0" distL="0" distR="0">
            <wp:extent cx="471170" cy="18034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1170" cy="180340"/>
                    </a:xfrm>
                    <a:prstGeom prst="rect">
                      <a:avLst/>
                    </a:prstGeom>
                    <a:noFill/>
                    <a:ln>
                      <a:noFill/>
                    </a:ln>
                  </pic:spPr>
                </pic:pic>
              </a:graphicData>
            </a:graphic>
          </wp:inline>
        </w:drawing>
      </w:r>
      <w:r>
        <w:rPr>
          <w:rFonts w:ascii="Arial" w:cs="Arial" w:eastAsia="Arial" w:hAnsi="Arial"/>
          <w:sz w:val="12"/>
          <w:szCs w:val="12"/>
          <w:color w:val="EC252A"/>
        </w:rPr>
        <w:t xml:space="preserve"> 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r>
        <w:rPr>
          <w:sz w:val="20"/>
          <w:szCs w:val="20"/>
          <w:color w:val="auto"/>
        </w:rPr>
        <w:tab/>
      </w:r>
      <w:r>
        <w:rPr>
          <w:rFonts w:ascii="Arial" w:cs="Arial" w:eastAsia="Arial" w:hAnsi="Arial"/>
          <w:sz w:val="26"/>
          <w:szCs w:val="26"/>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110490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How does the Board recommend that you vote your shares?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5897880" cy="591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97880" cy="591820"/>
                    </a:xfrm>
                    <a:prstGeom prst="rect">
                      <a:avLst/>
                    </a:prstGeom>
                    <a:noFill/>
                  </pic:spPr>
                </pic:pic>
              </a:graphicData>
            </a:graphic>
          </wp:anchor>
        </w:drawing>
      </w:r>
    </w:p>
    <w:p>
      <w:pPr>
        <w:spacing w:after="0" w:line="299" w:lineRule="exact"/>
        <w:rPr>
          <w:sz w:val="20"/>
          <w:szCs w:val="20"/>
          <w:color w:val="auto"/>
        </w:rPr>
      </w:pPr>
    </w:p>
    <w:p>
      <w:pPr>
        <w:ind w:left="340" w:right="1220"/>
        <w:spacing w:after="0" w:line="309" w:lineRule="auto"/>
        <w:rPr>
          <w:sz w:val="20"/>
          <w:szCs w:val="20"/>
          <w:color w:val="auto"/>
        </w:rPr>
      </w:pPr>
      <w:r>
        <w:rPr>
          <w:rFonts w:ascii="Arial" w:cs="Arial" w:eastAsia="Arial" w:hAnsi="Arial"/>
          <w:sz w:val="23"/>
          <w:szCs w:val="23"/>
          <w:b w:val="1"/>
          <w:bCs w:val="1"/>
          <w:u w:val="single" w:color="auto"/>
          <w:color w:val="EC252A"/>
        </w:rPr>
        <w:t>FOR PROPOSAL 1</w:t>
      </w:r>
      <w:r>
        <w:rPr>
          <w:rFonts w:ascii="Arial" w:cs="Arial" w:eastAsia="Arial" w:hAnsi="Arial"/>
          <w:sz w:val="23"/>
          <w:szCs w:val="23"/>
          <w:b w:val="1"/>
          <w:bCs w:val="1"/>
          <w:color w:val="000000"/>
        </w:rPr>
        <w:t>, ELECTION OF WILLIAM E. KASSLING, ALBERT J.</w:t>
      </w:r>
      <w:r>
        <w:rPr>
          <w:rFonts w:ascii="Arial" w:cs="Arial" w:eastAsia="Arial" w:hAnsi="Arial"/>
          <w:sz w:val="23"/>
          <w:szCs w:val="23"/>
          <w:b w:val="1"/>
          <w:bCs w:val="1"/>
          <w:color w:val="EC252A"/>
        </w:rPr>
        <w:t xml:space="preserve"> </w:t>
      </w:r>
      <w:r>
        <w:rPr>
          <w:rFonts w:ascii="Arial" w:cs="Arial" w:eastAsia="Arial" w:hAnsi="Arial"/>
          <w:sz w:val="23"/>
          <w:szCs w:val="23"/>
          <w:b w:val="1"/>
          <w:bCs w:val="1"/>
          <w:color w:val="000000"/>
        </w:rPr>
        <w:t>NEUPAVER AND ANN R. KLEE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5897880" cy="771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97880" cy="771525"/>
                    </a:xfrm>
                    <a:prstGeom prst="rect">
                      <a:avLst/>
                    </a:prstGeom>
                    <a:noFill/>
                  </pic:spPr>
                </pic:pic>
              </a:graphicData>
            </a:graphic>
          </wp:anchor>
        </w:drawing>
      </w:r>
    </w:p>
    <w:p>
      <w:pPr>
        <w:spacing w:after="0" w:line="338" w:lineRule="exact"/>
        <w:rPr>
          <w:sz w:val="20"/>
          <w:szCs w:val="20"/>
          <w:color w:val="auto"/>
        </w:rPr>
      </w:pPr>
    </w:p>
    <w:p>
      <w:pPr>
        <w:ind w:left="340" w:right="620"/>
        <w:spacing w:after="0" w:line="283" w:lineRule="auto"/>
        <w:rPr>
          <w:sz w:val="20"/>
          <w:szCs w:val="20"/>
          <w:color w:val="auto"/>
        </w:rPr>
      </w:pPr>
      <w:r>
        <w:rPr>
          <w:rFonts w:ascii="Arial" w:cs="Arial" w:eastAsia="Arial" w:hAnsi="Arial"/>
          <w:sz w:val="23"/>
          <w:szCs w:val="23"/>
          <w:b w:val="1"/>
          <w:bCs w:val="1"/>
          <w:u w:val="single" w:color="auto"/>
          <w:color w:val="EC252A"/>
        </w:rPr>
        <w:t>FOR PROPOSAL 2</w:t>
      </w:r>
      <w:r>
        <w:rPr>
          <w:rFonts w:ascii="Arial" w:cs="Arial" w:eastAsia="Arial" w:hAnsi="Arial"/>
          <w:sz w:val="23"/>
          <w:szCs w:val="23"/>
          <w:b w:val="1"/>
          <w:bCs w:val="1"/>
          <w:color w:val="000000"/>
        </w:rPr>
        <w:t>, APPROVAL OF AN ADVISORY (NON-BINDING)</w:t>
      </w:r>
      <w:r>
        <w:rPr>
          <w:rFonts w:ascii="Arial" w:cs="Arial" w:eastAsia="Arial" w:hAnsi="Arial"/>
          <w:sz w:val="23"/>
          <w:szCs w:val="23"/>
          <w:b w:val="1"/>
          <w:bCs w:val="1"/>
          <w:color w:val="EC252A"/>
        </w:rPr>
        <w:t xml:space="preserve"> </w:t>
      </w:r>
      <w:r>
        <w:rPr>
          <w:rFonts w:ascii="Arial" w:cs="Arial" w:eastAsia="Arial" w:hAnsi="Arial"/>
          <w:sz w:val="23"/>
          <w:szCs w:val="23"/>
          <w:b w:val="1"/>
          <w:bCs w:val="1"/>
          <w:color w:val="000000"/>
        </w:rPr>
        <w:t>RESOLUTION RELATING TO THE APPROVAL OF 2021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5897880" cy="771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97880" cy="771525"/>
                    </a:xfrm>
                    <a:prstGeom prst="rect">
                      <a:avLst/>
                    </a:prstGeom>
                    <a:noFill/>
                  </pic:spPr>
                </pic:pic>
              </a:graphicData>
            </a:graphic>
          </wp:anchor>
        </w:drawing>
      </w:r>
    </w:p>
    <w:p>
      <w:pPr>
        <w:spacing w:after="0" w:line="367" w:lineRule="exact"/>
        <w:rPr>
          <w:sz w:val="20"/>
          <w:szCs w:val="20"/>
          <w:color w:val="auto"/>
        </w:rPr>
      </w:pPr>
    </w:p>
    <w:p>
      <w:pPr>
        <w:ind w:left="340" w:right="320"/>
        <w:spacing w:after="0" w:line="283" w:lineRule="auto"/>
        <w:rPr>
          <w:sz w:val="20"/>
          <w:szCs w:val="20"/>
          <w:color w:val="auto"/>
        </w:rPr>
      </w:pPr>
      <w:r>
        <w:rPr>
          <w:rFonts w:ascii="Arial" w:cs="Arial" w:eastAsia="Arial" w:hAnsi="Arial"/>
          <w:sz w:val="23"/>
          <w:szCs w:val="23"/>
          <w:b w:val="1"/>
          <w:bCs w:val="1"/>
          <w:u w:val="single" w:color="auto"/>
          <w:color w:val="EC252A"/>
        </w:rPr>
        <w:t>FOR PROPOSAL 3</w:t>
      </w:r>
      <w:r>
        <w:rPr>
          <w:rFonts w:ascii="Arial" w:cs="Arial" w:eastAsia="Arial" w:hAnsi="Arial"/>
          <w:sz w:val="23"/>
          <w:szCs w:val="23"/>
          <w:b w:val="1"/>
          <w:bCs w:val="1"/>
          <w:color w:val="000000"/>
        </w:rPr>
        <w:t>, RATIFY THE APPOINTMENT OF ERNST &amp; YOUNG LLP AS</w:t>
      </w:r>
      <w:r>
        <w:rPr>
          <w:rFonts w:ascii="Arial" w:cs="Arial" w:eastAsia="Arial" w:hAnsi="Arial"/>
          <w:sz w:val="23"/>
          <w:szCs w:val="23"/>
          <w:b w:val="1"/>
          <w:bCs w:val="1"/>
          <w:color w:val="EC252A"/>
        </w:rPr>
        <w:t xml:space="preserve"> </w:t>
      </w:r>
      <w:r>
        <w:rPr>
          <w:rFonts w:ascii="Arial" w:cs="Arial" w:eastAsia="Arial" w:hAnsi="Arial"/>
          <w:sz w:val="23"/>
          <w:szCs w:val="23"/>
          <w:b w:val="1"/>
          <w:bCs w:val="1"/>
          <w:color w:val="000000"/>
        </w:rPr>
        <w:t>OUR INDEPENDENT REGISTERED PUBLIC ACCOUNTING FIRM FOR THE 2022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58978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3220" w:type="dxa"/>
            <w:vAlign w:val="bottom"/>
          </w:tcPr>
          <w:p>
            <w:pPr>
              <w:jc w:val="right"/>
              <w:ind w:right="3064"/>
              <w:spacing w:after="0"/>
              <w:rPr>
                <w:sz w:val="20"/>
                <w:szCs w:val="20"/>
                <w:color w:val="auto"/>
              </w:rPr>
            </w:pPr>
            <w:r>
              <w:rPr>
                <w:rFonts w:ascii="Arial" w:cs="Arial" w:eastAsia="Arial" w:hAnsi="Arial"/>
                <w:sz w:val="15"/>
                <w:szCs w:val="15"/>
                <w:b w:val="1"/>
                <w:bCs w:val="1"/>
                <w:color w:val="auto"/>
                <w:w w:val="71"/>
              </w:rPr>
              <w:t>4</w:t>
            </w:r>
          </w:p>
        </w:tc>
        <w:tc>
          <w:tcPr>
            <w:tcW w:w="3180" w:type="dxa"/>
            <w:vAlign w:val="bottom"/>
            <w:vMerge w:val="restart"/>
          </w:tcPr>
          <w:p>
            <w:pPr>
              <w:ind w:left="312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2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9" w:name="page10"/>
    <w:bookmarkEnd w:id="9"/>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299085</wp:posOffset>
            </wp:positionV>
            <wp:extent cx="5897880" cy="3429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3680"/>
        <w:spacing w:after="0"/>
        <w:rPr>
          <w:sz w:val="20"/>
          <w:szCs w:val="20"/>
          <w:color w:val="auto"/>
        </w:rPr>
      </w:pPr>
      <w:r>
        <w:rPr>
          <w:rFonts w:ascii="Arial" w:cs="Arial" w:eastAsia="Arial" w:hAnsi="Arial"/>
          <w:sz w:val="29"/>
          <w:szCs w:val="29"/>
          <w:b w:val="1"/>
          <w:bCs w:val="1"/>
          <w:color w:val="FFFFFF"/>
        </w:rPr>
        <w:t>Common Stock Ownership</w:t>
      </w:r>
    </w:p>
    <w:p>
      <w:pPr>
        <w:spacing w:after="0" w:line="315"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Director and Executive Officer Stock Ownership</w:t>
      </w:r>
    </w:p>
    <w:p>
      <w:pPr>
        <w:spacing w:after="0" w:line="128" w:lineRule="exact"/>
        <w:rPr>
          <w:sz w:val="20"/>
          <w:szCs w:val="20"/>
          <w:color w:val="auto"/>
        </w:rPr>
      </w:pPr>
    </w:p>
    <w:p>
      <w:pPr>
        <w:ind w:left="860" w:right="880"/>
        <w:spacing w:after="0"/>
        <w:rPr>
          <w:sz w:val="20"/>
          <w:szCs w:val="20"/>
          <w:color w:val="auto"/>
        </w:rPr>
      </w:pPr>
      <w:r>
        <w:rPr>
          <w:rFonts w:ascii="Arial" w:cs="Arial" w:eastAsia="Arial" w:hAnsi="Arial"/>
          <w:sz w:val="18"/>
          <w:szCs w:val="18"/>
          <w:color w:val="auto"/>
        </w:rPr>
        <w:t>Under the proxy rules of the SEC, a person beneficially owns Wabtec common stock if the person has the power to vote or dispose of the shares, or if such power may be acquired, by exercising options or otherwise, within 60 days. The table below shows the number of shares of Wabtec common stock beneficially owned as of January 31, 2022 by our directors, nominees for director, Chief Executive Officer, Chief Financial Officer and the other named executive officers, and the directors and executive officers as a group. Each person has sole voting power and sole dispositive power with respect to the shares listed unless indicated otherwise. No directors or executive officers have pledged shares of Wabtec common stock.</w:t>
      </w:r>
    </w:p>
    <w:p>
      <w:pPr>
        <w:spacing w:after="0" w:line="108"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4420" w:type="dxa"/>
            <w:vAlign w:val="bottom"/>
          </w:tcPr>
          <w:p>
            <w:pPr>
              <w:ind w:left="60"/>
              <w:spacing w:after="0"/>
              <w:rPr>
                <w:sz w:val="20"/>
                <w:szCs w:val="20"/>
                <w:color w:val="auto"/>
              </w:rPr>
            </w:pPr>
            <w:r>
              <w:rPr>
                <w:rFonts w:ascii="Arial" w:cs="Arial" w:eastAsia="Arial" w:hAnsi="Arial"/>
                <w:sz w:val="16"/>
                <w:szCs w:val="16"/>
                <w:b w:val="1"/>
                <w:bCs w:val="1"/>
                <w:color w:val="EC252A"/>
              </w:rPr>
              <w:t>Named Executive Officer</w:t>
            </w:r>
          </w:p>
        </w:tc>
        <w:tc>
          <w:tcPr>
            <w:tcW w:w="2860" w:type="dxa"/>
            <w:vAlign w:val="bottom"/>
          </w:tcPr>
          <w:p>
            <w:pPr>
              <w:jc w:val="right"/>
              <w:ind w:right="791"/>
              <w:spacing w:after="0"/>
              <w:rPr>
                <w:sz w:val="20"/>
                <w:szCs w:val="20"/>
                <w:color w:val="auto"/>
              </w:rPr>
            </w:pPr>
            <w:r>
              <w:rPr>
                <w:rFonts w:ascii="Arial" w:cs="Arial" w:eastAsia="Arial" w:hAnsi="Arial"/>
                <w:sz w:val="16"/>
                <w:szCs w:val="16"/>
                <w:b w:val="1"/>
                <w:bCs w:val="1"/>
                <w:color w:val="EC252A"/>
              </w:rPr>
              <w:t>Shares Owned</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EC252A"/>
              </w:rPr>
              <w:t>Percent of Class</w:t>
            </w:r>
          </w:p>
        </w:tc>
      </w:tr>
      <w:tr>
        <w:trPr>
          <w:trHeight w:val="62"/>
        </w:trPr>
        <w:tc>
          <w:tcPr>
            <w:tcW w:w="4420" w:type="dxa"/>
            <w:vAlign w:val="bottom"/>
            <w:tcBorders>
              <w:bottom w:val="single" w:sz="8" w:color="EC252A"/>
            </w:tcBorders>
          </w:tcPr>
          <w:p>
            <w:pPr>
              <w:spacing w:after="0"/>
              <w:rPr>
                <w:sz w:val="5"/>
                <w:szCs w:val="5"/>
                <w:color w:val="auto"/>
              </w:rPr>
            </w:pPr>
          </w:p>
        </w:tc>
        <w:tc>
          <w:tcPr>
            <w:tcW w:w="2860" w:type="dxa"/>
            <w:vAlign w:val="bottom"/>
            <w:tcBorders>
              <w:bottom w:val="single" w:sz="8" w:color="EC252A"/>
            </w:tcBorders>
          </w:tcPr>
          <w:p>
            <w:pPr>
              <w:spacing w:after="0"/>
              <w:rPr>
                <w:sz w:val="5"/>
                <w:szCs w:val="5"/>
                <w:color w:val="auto"/>
              </w:rPr>
            </w:pPr>
          </w:p>
        </w:tc>
        <w:tc>
          <w:tcPr>
            <w:tcW w:w="2000" w:type="dxa"/>
            <w:vAlign w:val="bottom"/>
            <w:tcBorders>
              <w:bottom w:val="single" w:sz="8" w:color="EC252A"/>
            </w:tcBorders>
          </w:tcPr>
          <w:p>
            <w:pPr>
              <w:spacing w:after="0"/>
              <w:rPr>
                <w:sz w:val="5"/>
                <w:szCs w:val="5"/>
                <w:color w:val="auto"/>
              </w:rPr>
            </w:pPr>
          </w:p>
        </w:tc>
      </w:tr>
      <w:tr>
        <w:trPr>
          <w:trHeight w:val="294"/>
        </w:trPr>
        <w:tc>
          <w:tcPr>
            <w:tcW w:w="4420" w:type="dxa"/>
            <w:vAlign w:val="bottom"/>
          </w:tcPr>
          <w:p>
            <w:pPr>
              <w:ind w:left="60"/>
              <w:spacing w:after="0"/>
              <w:rPr>
                <w:sz w:val="20"/>
                <w:szCs w:val="20"/>
                <w:color w:val="auto"/>
              </w:rPr>
            </w:pPr>
            <w:r>
              <w:rPr>
                <w:rFonts w:ascii="Arial" w:cs="Arial" w:eastAsia="Arial" w:hAnsi="Arial"/>
                <w:sz w:val="18"/>
                <w:szCs w:val="18"/>
                <w:color w:val="auto"/>
              </w:rPr>
              <w:t>Rafael Santana</w:t>
            </w:r>
          </w:p>
        </w:tc>
        <w:tc>
          <w:tcPr>
            <w:tcW w:w="2860" w:type="dxa"/>
            <w:vAlign w:val="bottom"/>
          </w:tcPr>
          <w:p>
            <w:pPr>
              <w:jc w:val="right"/>
              <w:ind w:right="791"/>
              <w:spacing w:after="0"/>
              <w:rPr>
                <w:sz w:val="20"/>
                <w:szCs w:val="20"/>
                <w:color w:val="auto"/>
              </w:rPr>
            </w:pPr>
            <w:r>
              <w:rPr>
                <w:rFonts w:ascii="Arial" w:cs="Arial" w:eastAsia="Arial" w:hAnsi="Arial"/>
                <w:sz w:val="18"/>
                <w:szCs w:val="18"/>
                <w:color w:val="auto"/>
              </w:rPr>
              <w:t>134,286(1)(2)</w:t>
            </w:r>
          </w:p>
        </w:tc>
        <w:tc>
          <w:tcPr>
            <w:tcW w:w="2000" w:type="dxa"/>
            <w:vAlign w:val="bottom"/>
          </w:tcPr>
          <w:p>
            <w:pPr>
              <w:jc w:val="right"/>
              <w:ind w:right="531"/>
              <w:spacing w:after="0"/>
              <w:rPr>
                <w:sz w:val="20"/>
                <w:szCs w:val="20"/>
                <w:color w:val="auto"/>
              </w:rPr>
            </w:pPr>
            <w:r>
              <w:rPr>
                <w:rFonts w:ascii="Arial" w:cs="Arial" w:eastAsia="Arial" w:hAnsi="Arial"/>
                <w:sz w:val="18"/>
                <w:szCs w:val="18"/>
                <w:color w:val="auto"/>
              </w:rPr>
              <w:t>*</w:t>
            </w:r>
          </w:p>
        </w:tc>
      </w:tr>
      <w:tr>
        <w:trPr>
          <w:trHeight w:val="50"/>
        </w:trPr>
        <w:tc>
          <w:tcPr>
            <w:tcW w:w="44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318"/>
        </w:trPr>
        <w:tc>
          <w:tcPr>
            <w:tcW w:w="4420" w:type="dxa"/>
            <w:vAlign w:val="bottom"/>
            <w:tcBorders>
              <w:bottom w:val="single" w:sz="8" w:color="FCD3C3"/>
            </w:tcBorders>
            <w:shd w:val="clear" w:color="auto" w:fill="FCD3C3"/>
          </w:tcPr>
          <w:p>
            <w:pPr>
              <w:ind w:left="60"/>
              <w:spacing w:after="0"/>
              <w:rPr>
                <w:sz w:val="20"/>
                <w:szCs w:val="20"/>
                <w:color w:val="auto"/>
              </w:rPr>
            </w:pPr>
            <w:r>
              <w:rPr>
                <w:rFonts w:ascii="Arial" w:cs="Arial" w:eastAsia="Arial" w:hAnsi="Arial"/>
                <w:sz w:val="18"/>
                <w:szCs w:val="18"/>
                <w:color w:val="auto"/>
              </w:rPr>
              <w:t>John Olin</w:t>
            </w:r>
          </w:p>
        </w:tc>
        <w:tc>
          <w:tcPr>
            <w:tcW w:w="2860" w:type="dxa"/>
            <w:vAlign w:val="bottom"/>
            <w:tcBorders>
              <w:bottom w:val="single" w:sz="8" w:color="FCD3C3"/>
            </w:tcBorders>
            <w:shd w:val="clear" w:color="auto" w:fill="FCD3C3"/>
          </w:tcPr>
          <w:p>
            <w:pPr>
              <w:jc w:val="right"/>
              <w:ind w:right="811"/>
              <w:spacing w:after="0"/>
              <w:rPr>
                <w:sz w:val="20"/>
                <w:szCs w:val="20"/>
                <w:color w:val="auto"/>
              </w:rPr>
            </w:pPr>
            <w:r>
              <w:rPr>
                <w:rFonts w:ascii="Arial" w:cs="Arial" w:eastAsia="Arial" w:hAnsi="Arial"/>
                <w:sz w:val="18"/>
                <w:szCs w:val="18"/>
                <w:color w:val="auto"/>
              </w:rPr>
              <w:t>22,109(1)(2)</w:t>
            </w:r>
          </w:p>
        </w:tc>
        <w:tc>
          <w:tcPr>
            <w:tcW w:w="2000" w:type="dxa"/>
            <w:vAlign w:val="bottom"/>
            <w:tcBorders>
              <w:bottom w:val="single" w:sz="8" w:color="FCD3C3"/>
            </w:tcBorders>
            <w:shd w:val="clear" w:color="auto" w:fill="FCD3C3"/>
          </w:tcPr>
          <w:p>
            <w:pPr>
              <w:jc w:val="right"/>
              <w:ind w:right="531"/>
              <w:spacing w:after="0"/>
              <w:rPr>
                <w:sz w:val="20"/>
                <w:szCs w:val="20"/>
                <w:color w:val="auto"/>
              </w:rPr>
            </w:pPr>
            <w:r>
              <w:rPr>
                <w:rFonts w:ascii="Arial" w:cs="Arial" w:eastAsia="Arial" w:hAnsi="Arial"/>
                <w:sz w:val="18"/>
                <w:szCs w:val="18"/>
                <w:color w:val="auto"/>
              </w:rPr>
              <w:t>*</w:t>
            </w:r>
          </w:p>
        </w:tc>
      </w:tr>
      <w:tr>
        <w:trPr>
          <w:trHeight w:val="288"/>
        </w:trPr>
        <w:tc>
          <w:tcPr>
            <w:tcW w:w="4420" w:type="dxa"/>
            <w:vAlign w:val="bottom"/>
          </w:tcPr>
          <w:p>
            <w:pPr>
              <w:ind w:left="60"/>
              <w:spacing w:after="0"/>
              <w:rPr>
                <w:sz w:val="20"/>
                <w:szCs w:val="20"/>
                <w:color w:val="auto"/>
              </w:rPr>
            </w:pPr>
            <w:r>
              <w:rPr>
                <w:rFonts w:ascii="Arial" w:cs="Arial" w:eastAsia="Arial" w:hAnsi="Arial"/>
                <w:sz w:val="18"/>
                <w:szCs w:val="18"/>
                <w:color w:val="auto"/>
              </w:rPr>
              <w:t>David DeNinno</w:t>
            </w:r>
          </w:p>
        </w:tc>
        <w:tc>
          <w:tcPr>
            <w:tcW w:w="2860" w:type="dxa"/>
            <w:vAlign w:val="bottom"/>
          </w:tcPr>
          <w:p>
            <w:pPr>
              <w:jc w:val="right"/>
              <w:ind w:right="811"/>
              <w:spacing w:after="0"/>
              <w:rPr>
                <w:sz w:val="20"/>
                <w:szCs w:val="20"/>
                <w:color w:val="auto"/>
              </w:rPr>
            </w:pPr>
            <w:r>
              <w:rPr>
                <w:rFonts w:ascii="Arial" w:cs="Arial" w:eastAsia="Arial" w:hAnsi="Arial"/>
                <w:sz w:val="18"/>
                <w:szCs w:val="18"/>
                <w:color w:val="auto"/>
              </w:rPr>
              <w:t>94,301(1)(2)</w:t>
            </w:r>
          </w:p>
        </w:tc>
        <w:tc>
          <w:tcPr>
            <w:tcW w:w="2000" w:type="dxa"/>
            <w:vAlign w:val="bottom"/>
          </w:tcPr>
          <w:p>
            <w:pPr>
              <w:jc w:val="right"/>
              <w:ind w:right="531"/>
              <w:spacing w:after="0"/>
              <w:rPr>
                <w:sz w:val="20"/>
                <w:szCs w:val="20"/>
                <w:color w:val="auto"/>
              </w:rPr>
            </w:pPr>
            <w:r>
              <w:rPr>
                <w:rFonts w:ascii="Arial" w:cs="Arial" w:eastAsia="Arial" w:hAnsi="Arial"/>
                <w:sz w:val="18"/>
                <w:szCs w:val="18"/>
                <w:color w:val="auto"/>
              </w:rPr>
              <w:t>*</w:t>
            </w:r>
          </w:p>
        </w:tc>
      </w:tr>
      <w:tr>
        <w:trPr>
          <w:trHeight w:val="50"/>
        </w:trPr>
        <w:tc>
          <w:tcPr>
            <w:tcW w:w="44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318"/>
        </w:trPr>
        <w:tc>
          <w:tcPr>
            <w:tcW w:w="4420" w:type="dxa"/>
            <w:vAlign w:val="bottom"/>
            <w:tcBorders>
              <w:bottom w:val="single" w:sz="8" w:color="FCD3C3"/>
            </w:tcBorders>
            <w:shd w:val="clear" w:color="auto" w:fill="FCD3C3"/>
          </w:tcPr>
          <w:p>
            <w:pPr>
              <w:ind w:left="60"/>
              <w:spacing w:after="0"/>
              <w:rPr>
                <w:sz w:val="20"/>
                <w:szCs w:val="20"/>
                <w:color w:val="auto"/>
              </w:rPr>
            </w:pPr>
            <w:r>
              <w:rPr>
                <w:rFonts w:ascii="Arial" w:cs="Arial" w:eastAsia="Arial" w:hAnsi="Arial"/>
                <w:sz w:val="18"/>
                <w:szCs w:val="18"/>
                <w:color w:val="auto"/>
              </w:rPr>
              <w:t>Pascal Schweitzer</w:t>
            </w:r>
          </w:p>
        </w:tc>
        <w:tc>
          <w:tcPr>
            <w:tcW w:w="2860" w:type="dxa"/>
            <w:vAlign w:val="bottom"/>
            <w:tcBorders>
              <w:bottom w:val="single" w:sz="8" w:color="FCD3C3"/>
            </w:tcBorders>
            <w:shd w:val="clear" w:color="auto" w:fill="FCD3C3"/>
          </w:tcPr>
          <w:p>
            <w:pPr>
              <w:jc w:val="right"/>
              <w:ind w:right="591"/>
              <w:spacing w:after="0"/>
              <w:rPr>
                <w:sz w:val="20"/>
                <w:szCs w:val="20"/>
                <w:color w:val="auto"/>
              </w:rPr>
            </w:pPr>
            <w:r>
              <w:rPr>
                <w:rFonts w:ascii="Arial" w:cs="Arial" w:eastAsia="Arial" w:hAnsi="Arial"/>
                <w:sz w:val="18"/>
                <w:szCs w:val="18"/>
                <w:color w:val="auto"/>
              </w:rPr>
              <w:t>14,928(1)(2)(6)</w:t>
            </w:r>
          </w:p>
        </w:tc>
        <w:tc>
          <w:tcPr>
            <w:tcW w:w="2000" w:type="dxa"/>
            <w:vAlign w:val="bottom"/>
            <w:tcBorders>
              <w:bottom w:val="single" w:sz="8" w:color="FCD3C3"/>
            </w:tcBorders>
            <w:shd w:val="clear" w:color="auto" w:fill="FCD3C3"/>
          </w:tcPr>
          <w:p>
            <w:pPr>
              <w:jc w:val="right"/>
              <w:ind w:right="531"/>
              <w:spacing w:after="0"/>
              <w:rPr>
                <w:sz w:val="20"/>
                <w:szCs w:val="20"/>
                <w:color w:val="auto"/>
              </w:rPr>
            </w:pPr>
            <w:r>
              <w:rPr>
                <w:rFonts w:ascii="Arial" w:cs="Arial" w:eastAsia="Arial" w:hAnsi="Arial"/>
                <w:sz w:val="18"/>
                <w:szCs w:val="18"/>
                <w:color w:val="auto"/>
              </w:rPr>
              <w:t>*</w:t>
            </w:r>
          </w:p>
        </w:tc>
      </w:tr>
      <w:tr>
        <w:trPr>
          <w:trHeight w:val="288"/>
        </w:trPr>
        <w:tc>
          <w:tcPr>
            <w:tcW w:w="4420" w:type="dxa"/>
            <w:vAlign w:val="bottom"/>
          </w:tcPr>
          <w:p>
            <w:pPr>
              <w:ind w:left="60"/>
              <w:spacing w:after="0"/>
              <w:rPr>
                <w:sz w:val="20"/>
                <w:szCs w:val="20"/>
                <w:color w:val="auto"/>
              </w:rPr>
            </w:pPr>
            <w:r>
              <w:rPr>
                <w:rFonts w:ascii="Arial" w:cs="Arial" w:eastAsia="Arial" w:hAnsi="Arial"/>
                <w:sz w:val="18"/>
                <w:szCs w:val="18"/>
                <w:color w:val="auto"/>
              </w:rPr>
              <w:t>Eric Gebhardt</w:t>
            </w:r>
          </w:p>
        </w:tc>
        <w:tc>
          <w:tcPr>
            <w:tcW w:w="2860" w:type="dxa"/>
            <w:vAlign w:val="bottom"/>
          </w:tcPr>
          <w:p>
            <w:pPr>
              <w:jc w:val="right"/>
              <w:ind w:right="811"/>
              <w:spacing w:after="0"/>
              <w:rPr>
                <w:sz w:val="20"/>
                <w:szCs w:val="20"/>
                <w:color w:val="auto"/>
              </w:rPr>
            </w:pPr>
            <w:r>
              <w:rPr>
                <w:rFonts w:ascii="Arial" w:cs="Arial" w:eastAsia="Arial" w:hAnsi="Arial"/>
                <w:sz w:val="18"/>
                <w:szCs w:val="18"/>
                <w:color w:val="auto"/>
              </w:rPr>
              <w:t>19,367(1)(2)</w:t>
            </w:r>
          </w:p>
        </w:tc>
        <w:tc>
          <w:tcPr>
            <w:tcW w:w="2000" w:type="dxa"/>
            <w:vAlign w:val="bottom"/>
          </w:tcPr>
          <w:p>
            <w:pPr>
              <w:jc w:val="right"/>
              <w:ind w:right="531"/>
              <w:spacing w:after="0"/>
              <w:rPr>
                <w:sz w:val="20"/>
                <w:szCs w:val="20"/>
                <w:color w:val="auto"/>
              </w:rPr>
            </w:pPr>
            <w:r>
              <w:rPr>
                <w:rFonts w:ascii="Arial" w:cs="Arial" w:eastAsia="Arial" w:hAnsi="Arial"/>
                <w:sz w:val="18"/>
                <w:szCs w:val="18"/>
                <w:color w:val="auto"/>
              </w:rPr>
              <w:t>*</w:t>
            </w:r>
          </w:p>
        </w:tc>
      </w:tr>
      <w:tr>
        <w:trPr>
          <w:trHeight w:val="50"/>
        </w:trPr>
        <w:tc>
          <w:tcPr>
            <w:tcW w:w="44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304"/>
        </w:trPr>
        <w:tc>
          <w:tcPr>
            <w:tcW w:w="4420" w:type="dxa"/>
            <w:vAlign w:val="bottom"/>
            <w:tcBorders>
              <w:bottom w:val="single" w:sz="8" w:color="FCD3C3"/>
            </w:tcBorders>
            <w:shd w:val="clear" w:color="auto" w:fill="FCD3C3"/>
          </w:tcPr>
          <w:p>
            <w:pPr>
              <w:ind w:left="60"/>
              <w:spacing w:after="0"/>
              <w:rPr>
                <w:sz w:val="20"/>
                <w:szCs w:val="20"/>
                <w:color w:val="auto"/>
              </w:rPr>
            </w:pPr>
            <w:r>
              <w:rPr>
                <w:rFonts w:ascii="Arial" w:cs="Arial" w:eastAsia="Arial" w:hAnsi="Arial"/>
                <w:sz w:val="18"/>
                <w:szCs w:val="18"/>
                <w:color w:val="auto"/>
              </w:rPr>
              <w:t>Patrick Dugan</w:t>
            </w:r>
          </w:p>
        </w:tc>
        <w:tc>
          <w:tcPr>
            <w:tcW w:w="2860" w:type="dxa"/>
            <w:vAlign w:val="bottom"/>
            <w:tcBorders>
              <w:bottom w:val="single" w:sz="8" w:color="FCD3C3"/>
            </w:tcBorders>
            <w:shd w:val="clear" w:color="auto" w:fill="FCD3C3"/>
          </w:tcPr>
          <w:p>
            <w:pPr>
              <w:jc w:val="right"/>
              <w:ind w:right="1031"/>
              <w:spacing w:after="0"/>
              <w:rPr>
                <w:sz w:val="20"/>
                <w:szCs w:val="20"/>
                <w:color w:val="auto"/>
              </w:rPr>
            </w:pPr>
            <w:r>
              <w:rPr>
                <w:rFonts w:ascii="Arial" w:cs="Arial" w:eastAsia="Arial" w:hAnsi="Arial"/>
                <w:sz w:val="18"/>
                <w:szCs w:val="18"/>
                <w:color w:val="auto"/>
              </w:rPr>
              <w:t>117,115(2)</w:t>
            </w:r>
          </w:p>
        </w:tc>
        <w:tc>
          <w:tcPr>
            <w:tcW w:w="2000" w:type="dxa"/>
            <w:vAlign w:val="bottom"/>
            <w:tcBorders>
              <w:bottom w:val="single" w:sz="8" w:color="FCD3C3"/>
            </w:tcBorders>
            <w:shd w:val="clear" w:color="auto" w:fill="FCD3C3"/>
          </w:tcPr>
          <w:p>
            <w:pPr>
              <w:jc w:val="right"/>
              <w:ind w:right="531"/>
              <w:spacing w:after="0"/>
              <w:rPr>
                <w:sz w:val="20"/>
                <w:szCs w:val="20"/>
                <w:color w:val="auto"/>
              </w:rPr>
            </w:pPr>
            <w:r>
              <w:rPr>
                <w:rFonts w:ascii="Arial" w:cs="Arial" w:eastAsia="Arial" w:hAnsi="Arial"/>
                <w:sz w:val="18"/>
                <w:szCs w:val="18"/>
                <w:color w:val="auto"/>
              </w:rPr>
              <w:t>*</w:t>
            </w:r>
          </w:p>
        </w:tc>
      </w:tr>
      <w:tr>
        <w:trPr>
          <w:trHeight w:val="424"/>
        </w:trPr>
        <w:tc>
          <w:tcPr>
            <w:tcW w:w="4420" w:type="dxa"/>
            <w:vAlign w:val="bottom"/>
          </w:tcPr>
          <w:p>
            <w:pPr>
              <w:ind w:left="60"/>
              <w:spacing w:after="0"/>
              <w:rPr>
                <w:sz w:val="20"/>
                <w:szCs w:val="20"/>
                <w:color w:val="auto"/>
              </w:rPr>
            </w:pPr>
            <w:r>
              <w:rPr>
                <w:rFonts w:ascii="Arial" w:cs="Arial" w:eastAsia="Arial" w:hAnsi="Arial"/>
                <w:sz w:val="16"/>
                <w:szCs w:val="16"/>
                <w:b w:val="1"/>
                <w:bCs w:val="1"/>
                <w:color w:val="EC252A"/>
              </w:rPr>
              <w:t>Director/Nominee</w:t>
            </w:r>
          </w:p>
        </w:tc>
        <w:tc>
          <w:tcPr>
            <w:tcW w:w="2860" w:type="dxa"/>
            <w:vAlign w:val="bottom"/>
          </w:tcPr>
          <w:p>
            <w:pPr>
              <w:jc w:val="right"/>
              <w:ind w:right="751"/>
              <w:spacing w:after="0"/>
              <w:rPr>
                <w:sz w:val="20"/>
                <w:szCs w:val="20"/>
                <w:color w:val="auto"/>
              </w:rPr>
            </w:pPr>
            <w:r>
              <w:rPr>
                <w:rFonts w:ascii="Arial" w:cs="Arial" w:eastAsia="Arial" w:hAnsi="Arial"/>
                <w:sz w:val="16"/>
                <w:szCs w:val="16"/>
                <w:b w:val="1"/>
                <w:bCs w:val="1"/>
                <w:color w:val="EC252A"/>
              </w:rPr>
              <w:t>Shares Owned</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EC252A"/>
              </w:rPr>
              <w:t>Percent of Class</w:t>
            </w:r>
          </w:p>
        </w:tc>
      </w:tr>
      <w:tr>
        <w:trPr>
          <w:trHeight w:val="62"/>
        </w:trPr>
        <w:tc>
          <w:tcPr>
            <w:tcW w:w="4420" w:type="dxa"/>
            <w:vAlign w:val="bottom"/>
            <w:tcBorders>
              <w:bottom w:val="single" w:sz="8" w:color="EC252A"/>
            </w:tcBorders>
          </w:tcPr>
          <w:p>
            <w:pPr>
              <w:spacing w:after="0"/>
              <w:rPr>
                <w:sz w:val="5"/>
                <w:szCs w:val="5"/>
                <w:color w:val="auto"/>
              </w:rPr>
            </w:pPr>
          </w:p>
        </w:tc>
        <w:tc>
          <w:tcPr>
            <w:tcW w:w="2860" w:type="dxa"/>
            <w:vAlign w:val="bottom"/>
            <w:tcBorders>
              <w:bottom w:val="single" w:sz="8" w:color="EC252A"/>
            </w:tcBorders>
          </w:tcPr>
          <w:p>
            <w:pPr>
              <w:spacing w:after="0"/>
              <w:rPr>
                <w:sz w:val="5"/>
                <w:szCs w:val="5"/>
                <w:color w:val="auto"/>
              </w:rPr>
            </w:pPr>
          </w:p>
        </w:tc>
        <w:tc>
          <w:tcPr>
            <w:tcW w:w="2000" w:type="dxa"/>
            <w:vAlign w:val="bottom"/>
            <w:tcBorders>
              <w:bottom w:val="single" w:sz="8" w:color="EC252A"/>
            </w:tcBorders>
          </w:tcPr>
          <w:p>
            <w:pPr>
              <w:spacing w:after="0"/>
              <w:rPr>
                <w:sz w:val="5"/>
                <w:szCs w:val="5"/>
                <w:color w:val="auto"/>
              </w:rPr>
            </w:pPr>
          </w:p>
        </w:tc>
      </w:tr>
      <w:tr>
        <w:trPr>
          <w:trHeight w:val="294"/>
        </w:trPr>
        <w:tc>
          <w:tcPr>
            <w:tcW w:w="4420" w:type="dxa"/>
            <w:vAlign w:val="bottom"/>
          </w:tcPr>
          <w:p>
            <w:pPr>
              <w:ind w:left="60"/>
              <w:spacing w:after="0"/>
              <w:rPr>
                <w:sz w:val="20"/>
                <w:szCs w:val="20"/>
                <w:color w:val="auto"/>
              </w:rPr>
            </w:pPr>
            <w:r>
              <w:rPr>
                <w:rFonts w:ascii="Arial" w:cs="Arial" w:eastAsia="Arial" w:hAnsi="Arial"/>
                <w:sz w:val="18"/>
                <w:szCs w:val="18"/>
                <w:color w:val="auto"/>
              </w:rPr>
              <w:t>Lee Banks</w:t>
            </w:r>
          </w:p>
        </w:tc>
        <w:tc>
          <w:tcPr>
            <w:tcW w:w="2860" w:type="dxa"/>
            <w:vAlign w:val="bottom"/>
          </w:tcPr>
          <w:p>
            <w:pPr>
              <w:jc w:val="right"/>
              <w:ind w:right="831"/>
              <w:spacing w:after="0"/>
              <w:rPr>
                <w:sz w:val="20"/>
                <w:szCs w:val="20"/>
                <w:color w:val="auto"/>
              </w:rPr>
            </w:pPr>
            <w:r>
              <w:rPr>
                <w:rFonts w:ascii="Arial" w:cs="Arial" w:eastAsia="Arial" w:hAnsi="Arial"/>
                <w:sz w:val="18"/>
                <w:szCs w:val="18"/>
                <w:color w:val="auto"/>
              </w:rPr>
              <w:t>7,041(1)</w:t>
            </w:r>
          </w:p>
        </w:tc>
        <w:tc>
          <w:tcPr>
            <w:tcW w:w="2000" w:type="dxa"/>
            <w:vAlign w:val="bottom"/>
          </w:tcPr>
          <w:p>
            <w:pPr>
              <w:jc w:val="right"/>
              <w:ind w:right="531"/>
              <w:spacing w:after="0"/>
              <w:rPr>
                <w:sz w:val="20"/>
                <w:szCs w:val="20"/>
                <w:color w:val="auto"/>
              </w:rPr>
            </w:pPr>
            <w:r>
              <w:rPr>
                <w:rFonts w:ascii="Arial" w:cs="Arial" w:eastAsia="Arial" w:hAnsi="Arial"/>
                <w:sz w:val="18"/>
                <w:szCs w:val="18"/>
                <w:color w:val="auto"/>
              </w:rPr>
              <w:t>*</w:t>
            </w:r>
          </w:p>
        </w:tc>
      </w:tr>
      <w:tr>
        <w:trPr>
          <w:trHeight w:val="50"/>
        </w:trPr>
        <w:tc>
          <w:tcPr>
            <w:tcW w:w="442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81"/>
        </w:trPr>
        <w:tc>
          <w:tcPr>
            <w:tcW w:w="4420" w:type="dxa"/>
            <w:vAlign w:val="bottom"/>
          </w:tcPr>
          <w:p>
            <w:pPr>
              <w:ind w:left="60"/>
              <w:spacing w:after="0"/>
              <w:rPr>
                <w:sz w:val="20"/>
                <w:szCs w:val="20"/>
                <w:color w:val="auto"/>
              </w:rPr>
            </w:pPr>
            <w:r>
              <w:rPr>
                <w:rFonts w:ascii="Arial" w:cs="Arial" w:eastAsia="Arial" w:hAnsi="Arial"/>
                <w:sz w:val="18"/>
                <w:szCs w:val="18"/>
                <w:color w:val="auto"/>
              </w:rPr>
              <w:t>Byron Foster</w:t>
            </w:r>
          </w:p>
        </w:tc>
        <w:tc>
          <w:tcPr>
            <w:tcW w:w="2860" w:type="dxa"/>
            <w:vAlign w:val="bottom"/>
          </w:tcPr>
          <w:p>
            <w:pPr>
              <w:jc w:val="right"/>
              <w:ind w:right="831"/>
              <w:spacing w:after="0"/>
              <w:rPr>
                <w:sz w:val="20"/>
                <w:szCs w:val="20"/>
                <w:color w:val="auto"/>
              </w:rPr>
            </w:pPr>
            <w:r>
              <w:rPr>
                <w:rFonts w:ascii="Arial" w:cs="Arial" w:eastAsia="Arial" w:hAnsi="Arial"/>
                <w:sz w:val="18"/>
                <w:szCs w:val="18"/>
                <w:color w:val="auto"/>
              </w:rPr>
              <w:t>1,662(1)</w:t>
            </w:r>
          </w:p>
        </w:tc>
        <w:tc>
          <w:tcPr>
            <w:tcW w:w="2000" w:type="dxa"/>
            <w:vAlign w:val="bottom"/>
          </w:tcPr>
          <w:p>
            <w:pPr>
              <w:jc w:val="center"/>
              <w:ind w:left="571"/>
              <w:spacing w:after="0"/>
              <w:rPr>
                <w:sz w:val="20"/>
                <w:szCs w:val="20"/>
                <w:color w:val="auto"/>
              </w:rPr>
            </w:pPr>
            <w:r>
              <w:rPr>
                <w:rFonts w:ascii="Arial" w:cs="Arial" w:eastAsia="Arial" w:hAnsi="Arial"/>
                <w:sz w:val="18"/>
                <w:szCs w:val="18"/>
                <w:color w:val="auto"/>
                <w:w w:val="84"/>
              </w:rPr>
              <w:t>*</w:t>
            </w:r>
          </w:p>
        </w:tc>
      </w:tr>
      <w:tr>
        <w:trPr>
          <w:trHeight w:val="50"/>
        </w:trPr>
        <w:tc>
          <w:tcPr>
            <w:tcW w:w="442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81"/>
        </w:trPr>
        <w:tc>
          <w:tcPr>
            <w:tcW w:w="4420" w:type="dxa"/>
            <w:vAlign w:val="bottom"/>
          </w:tcPr>
          <w:p>
            <w:pPr>
              <w:ind w:left="60"/>
              <w:spacing w:after="0"/>
              <w:rPr>
                <w:sz w:val="20"/>
                <w:szCs w:val="20"/>
                <w:color w:val="auto"/>
              </w:rPr>
            </w:pPr>
            <w:r>
              <w:rPr>
                <w:rFonts w:ascii="Arial" w:cs="Arial" w:eastAsia="Arial" w:hAnsi="Arial"/>
                <w:sz w:val="18"/>
                <w:szCs w:val="18"/>
                <w:color w:val="auto"/>
              </w:rPr>
              <w:t>Lee B. Foster, II</w:t>
            </w:r>
          </w:p>
        </w:tc>
        <w:tc>
          <w:tcPr>
            <w:tcW w:w="2860" w:type="dxa"/>
            <w:vAlign w:val="bottom"/>
          </w:tcPr>
          <w:p>
            <w:pPr>
              <w:jc w:val="right"/>
              <w:ind w:right="611"/>
              <w:spacing w:after="0"/>
              <w:rPr>
                <w:sz w:val="20"/>
                <w:szCs w:val="20"/>
                <w:color w:val="auto"/>
              </w:rPr>
            </w:pPr>
            <w:r>
              <w:rPr>
                <w:rFonts w:ascii="Arial" w:cs="Arial" w:eastAsia="Arial" w:hAnsi="Arial"/>
                <w:sz w:val="18"/>
                <w:szCs w:val="18"/>
                <w:color w:val="auto"/>
              </w:rPr>
              <w:t>67,686(1)(3)</w:t>
            </w:r>
          </w:p>
        </w:tc>
        <w:tc>
          <w:tcPr>
            <w:tcW w:w="2000" w:type="dxa"/>
            <w:vAlign w:val="bottom"/>
          </w:tcPr>
          <w:p>
            <w:pPr>
              <w:jc w:val="center"/>
              <w:ind w:left="571"/>
              <w:spacing w:after="0"/>
              <w:rPr>
                <w:sz w:val="20"/>
                <w:szCs w:val="20"/>
                <w:color w:val="auto"/>
              </w:rPr>
            </w:pPr>
            <w:r>
              <w:rPr>
                <w:rFonts w:ascii="Arial" w:cs="Arial" w:eastAsia="Arial" w:hAnsi="Arial"/>
                <w:sz w:val="18"/>
                <w:szCs w:val="18"/>
                <w:color w:val="auto"/>
                <w:w w:val="84"/>
              </w:rPr>
              <w:t>*</w:t>
            </w:r>
          </w:p>
        </w:tc>
      </w:tr>
      <w:tr>
        <w:trPr>
          <w:trHeight w:val="50"/>
        </w:trPr>
        <w:tc>
          <w:tcPr>
            <w:tcW w:w="442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81"/>
        </w:trPr>
        <w:tc>
          <w:tcPr>
            <w:tcW w:w="4420" w:type="dxa"/>
            <w:vAlign w:val="bottom"/>
          </w:tcPr>
          <w:p>
            <w:pPr>
              <w:ind w:left="60"/>
              <w:spacing w:after="0"/>
              <w:rPr>
                <w:sz w:val="20"/>
                <w:szCs w:val="20"/>
                <w:color w:val="auto"/>
              </w:rPr>
            </w:pPr>
            <w:r>
              <w:rPr>
                <w:rFonts w:ascii="Arial" w:cs="Arial" w:eastAsia="Arial" w:hAnsi="Arial"/>
                <w:sz w:val="18"/>
                <w:szCs w:val="18"/>
                <w:color w:val="auto"/>
              </w:rPr>
              <w:t>Linda A. Harty</w:t>
            </w:r>
          </w:p>
        </w:tc>
        <w:tc>
          <w:tcPr>
            <w:tcW w:w="2860" w:type="dxa"/>
            <w:vAlign w:val="bottom"/>
          </w:tcPr>
          <w:p>
            <w:pPr>
              <w:jc w:val="right"/>
              <w:ind w:right="831"/>
              <w:spacing w:after="0"/>
              <w:rPr>
                <w:sz w:val="20"/>
                <w:szCs w:val="20"/>
                <w:color w:val="auto"/>
              </w:rPr>
            </w:pPr>
            <w:r>
              <w:rPr>
                <w:rFonts w:ascii="Arial" w:cs="Arial" w:eastAsia="Arial" w:hAnsi="Arial"/>
                <w:sz w:val="18"/>
                <w:szCs w:val="18"/>
                <w:color w:val="auto"/>
              </w:rPr>
              <w:t>10,442(1)</w:t>
            </w:r>
          </w:p>
        </w:tc>
        <w:tc>
          <w:tcPr>
            <w:tcW w:w="2000" w:type="dxa"/>
            <w:vAlign w:val="bottom"/>
          </w:tcPr>
          <w:p>
            <w:pPr>
              <w:jc w:val="center"/>
              <w:ind w:left="571"/>
              <w:spacing w:after="0"/>
              <w:rPr>
                <w:sz w:val="20"/>
                <w:szCs w:val="20"/>
                <w:color w:val="auto"/>
              </w:rPr>
            </w:pPr>
            <w:r>
              <w:rPr>
                <w:rFonts w:ascii="Arial" w:cs="Arial" w:eastAsia="Arial" w:hAnsi="Arial"/>
                <w:sz w:val="18"/>
                <w:szCs w:val="18"/>
                <w:color w:val="auto"/>
                <w:w w:val="84"/>
              </w:rPr>
              <w:t>*</w:t>
            </w:r>
          </w:p>
        </w:tc>
      </w:tr>
      <w:tr>
        <w:trPr>
          <w:trHeight w:val="50"/>
        </w:trPr>
        <w:tc>
          <w:tcPr>
            <w:tcW w:w="442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81"/>
        </w:trPr>
        <w:tc>
          <w:tcPr>
            <w:tcW w:w="4420" w:type="dxa"/>
            <w:vAlign w:val="bottom"/>
          </w:tcPr>
          <w:p>
            <w:pPr>
              <w:ind w:left="60"/>
              <w:spacing w:after="0"/>
              <w:rPr>
                <w:sz w:val="20"/>
                <w:szCs w:val="20"/>
                <w:color w:val="auto"/>
              </w:rPr>
            </w:pPr>
            <w:r>
              <w:rPr>
                <w:rFonts w:ascii="Arial" w:cs="Arial" w:eastAsia="Arial" w:hAnsi="Arial"/>
                <w:sz w:val="18"/>
                <w:szCs w:val="18"/>
                <w:color w:val="auto"/>
              </w:rPr>
              <w:t>Brian P. Hehir</w:t>
            </w:r>
          </w:p>
        </w:tc>
        <w:tc>
          <w:tcPr>
            <w:tcW w:w="2860" w:type="dxa"/>
            <w:vAlign w:val="bottom"/>
          </w:tcPr>
          <w:p>
            <w:pPr>
              <w:jc w:val="right"/>
              <w:ind w:right="611"/>
              <w:spacing w:after="0"/>
              <w:rPr>
                <w:sz w:val="20"/>
                <w:szCs w:val="20"/>
                <w:color w:val="auto"/>
              </w:rPr>
            </w:pPr>
            <w:r>
              <w:rPr>
                <w:rFonts w:ascii="Arial" w:cs="Arial" w:eastAsia="Arial" w:hAnsi="Arial"/>
                <w:sz w:val="18"/>
                <w:szCs w:val="18"/>
                <w:color w:val="auto"/>
              </w:rPr>
              <w:t>31,941(1)(4)</w:t>
            </w:r>
          </w:p>
        </w:tc>
        <w:tc>
          <w:tcPr>
            <w:tcW w:w="2000" w:type="dxa"/>
            <w:vAlign w:val="bottom"/>
          </w:tcPr>
          <w:p>
            <w:pPr>
              <w:jc w:val="center"/>
              <w:ind w:left="571"/>
              <w:spacing w:after="0"/>
              <w:rPr>
                <w:sz w:val="20"/>
                <w:szCs w:val="20"/>
                <w:color w:val="auto"/>
              </w:rPr>
            </w:pPr>
            <w:r>
              <w:rPr>
                <w:rFonts w:ascii="Arial" w:cs="Arial" w:eastAsia="Arial" w:hAnsi="Arial"/>
                <w:sz w:val="18"/>
                <w:szCs w:val="18"/>
                <w:color w:val="auto"/>
                <w:w w:val="84"/>
              </w:rPr>
              <w:t>*</w:t>
            </w:r>
          </w:p>
        </w:tc>
      </w:tr>
      <w:tr>
        <w:trPr>
          <w:trHeight w:val="50"/>
        </w:trPr>
        <w:tc>
          <w:tcPr>
            <w:tcW w:w="442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81"/>
        </w:trPr>
        <w:tc>
          <w:tcPr>
            <w:tcW w:w="4420" w:type="dxa"/>
            <w:vAlign w:val="bottom"/>
          </w:tcPr>
          <w:p>
            <w:pPr>
              <w:ind w:left="60"/>
              <w:spacing w:after="0"/>
              <w:rPr>
                <w:sz w:val="20"/>
                <w:szCs w:val="20"/>
                <w:color w:val="auto"/>
              </w:rPr>
            </w:pPr>
            <w:r>
              <w:rPr>
                <w:rFonts w:ascii="Arial" w:cs="Arial" w:eastAsia="Arial" w:hAnsi="Arial"/>
                <w:sz w:val="18"/>
                <w:szCs w:val="18"/>
                <w:color w:val="auto"/>
              </w:rPr>
              <w:t>Michael W.D. Howell</w:t>
            </w:r>
          </w:p>
        </w:tc>
        <w:tc>
          <w:tcPr>
            <w:tcW w:w="2860" w:type="dxa"/>
            <w:vAlign w:val="bottom"/>
          </w:tcPr>
          <w:p>
            <w:pPr>
              <w:jc w:val="right"/>
              <w:ind w:right="831"/>
              <w:spacing w:after="0"/>
              <w:rPr>
                <w:sz w:val="20"/>
                <w:szCs w:val="20"/>
                <w:color w:val="auto"/>
              </w:rPr>
            </w:pPr>
            <w:r>
              <w:rPr>
                <w:rFonts w:ascii="Arial" w:cs="Arial" w:eastAsia="Arial" w:hAnsi="Arial"/>
                <w:sz w:val="18"/>
                <w:szCs w:val="18"/>
                <w:color w:val="auto"/>
              </w:rPr>
              <w:t>5,128(1)</w:t>
            </w:r>
          </w:p>
        </w:tc>
        <w:tc>
          <w:tcPr>
            <w:tcW w:w="2000" w:type="dxa"/>
            <w:vAlign w:val="bottom"/>
          </w:tcPr>
          <w:p>
            <w:pPr>
              <w:jc w:val="center"/>
              <w:ind w:left="571"/>
              <w:spacing w:after="0"/>
              <w:rPr>
                <w:sz w:val="20"/>
                <w:szCs w:val="20"/>
                <w:color w:val="auto"/>
              </w:rPr>
            </w:pPr>
            <w:r>
              <w:rPr>
                <w:rFonts w:ascii="Arial" w:cs="Arial" w:eastAsia="Arial" w:hAnsi="Arial"/>
                <w:sz w:val="18"/>
                <w:szCs w:val="18"/>
                <w:color w:val="auto"/>
                <w:w w:val="84"/>
              </w:rPr>
              <w:t>*</w:t>
            </w:r>
          </w:p>
        </w:tc>
      </w:tr>
      <w:tr>
        <w:trPr>
          <w:trHeight w:val="50"/>
        </w:trPr>
        <w:tc>
          <w:tcPr>
            <w:tcW w:w="442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81"/>
        </w:trPr>
        <w:tc>
          <w:tcPr>
            <w:tcW w:w="4420" w:type="dxa"/>
            <w:vAlign w:val="bottom"/>
          </w:tcPr>
          <w:p>
            <w:pPr>
              <w:ind w:left="60"/>
              <w:spacing w:after="0"/>
              <w:rPr>
                <w:sz w:val="20"/>
                <w:szCs w:val="20"/>
                <w:color w:val="auto"/>
              </w:rPr>
            </w:pPr>
            <w:r>
              <w:rPr>
                <w:rFonts w:ascii="Arial" w:cs="Arial" w:eastAsia="Arial" w:hAnsi="Arial"/>
                <w:sz w:val="18"/>
                <w:szCs w:val="18"/>
                <w:color w:val="auto"/>
              </w:rPr>
              <w:t>William E. Kassling</w:t>
            </w:r>
          </w:p>
        </w:tc>
        <w:tc>
          <w:tcPr>
            <w:tcW w:w="2860" w:type="dxa"/>
            <w:vAlign w:val="bottom"/>
          </w:tcPr>
          <w:p>
            <w:pPr>
              <w:jc w:val="right"/>
              <w:ind w:right="611"/>
              <w:spacing w:after="0"/>
              <w:rPr>
                <w:sz w:val="20"/>
                <w:szCs w:val="20"/>
                <w:color w:val="auto"/>
              </w:rPr>
            </w:pPr>
            <w:r>
              <w:rPr>
                <w:rFonts w:ascii="Arial" w:cs="Arial" w:eastAsia="Arial" w:hAnsi="Arial"/>
                <w:sz w:val="18"/>
                <w:szCs w:val="18"/>
                <w:color w:val="auto"/>
              </w:rPr>
              <w:t>899,605(1)(5)</w:t>
            </w:r>
          </w:p>
        </w:tc>
        <w:tc>
          <w:tcPr>
            <w:tcW w:w="2000" w:type="dxa"/>
            <w:vAlign w:val="bottom"/>
          </w:tcPr>
          <w:p>
            <w:pPr>
              <w:jc w:val="center"/>
              <w:ind w:left="571"/>
              <w:spacing w:after="0"/>
              <w:rPr>
                <w:sz w:val="20"/>
                <w:szCs w:val="20"/>
                <w:color w:val="auto"/>
              </w:rPr>
            </w:pPr>
            <w:r>
              <w:rPr>
                <w:rFonts w:ascii="Arial" w:cs="Arial" w:eastAsia="Arial" w:hAnsi="Arial"/>
                <w:sz w:val="18"/>
                <w:szCs w:val="18"/>
                <w:color w:val="auto"/>
                <w:w w:val="84"/>
              </w:rPr>
              <w:t>*</w:t>
            </w:r>
          </w:p>
        </w:tc>
      </w:tr>
      <w:tr>
        <w:trPr>
          <w:trHeight w:val="50"/>
        </w:trPr>
        <w:tc>
          <w:tcPr>
            <w:tcW w:w="442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81"/>
        </w:trPr>
        <w:tc>
          <w:tcPr>
            <w:tcW w:w="4420" w:type="dxa"/>
            <w:vAlign w:val="bottom"/>
          </w:tcPr>
          <w:p>
            <w:pPr>
              <w:ind w:left="60"/>
              <w:spacing w:after="0"/>
              <w:rPr>
                <w:sz w:val="20"/>
                <w:szCs w:val="20"/>
                <w:color w:val="auto"/>
              </w:rPr>
            </w:pPr>
            <w:r>
              <w:rPr>
                <w:rFonts w:ascii="Arial" w:cs="Arial" w:eastAsia="Arial" w:hAnsi="Arial"/>
                <w:sz w:val="18"/>
                <w:szCs w:val="18"/>
                <w:color w:val="auto"/>
              </w:rPr>
              <w:t>Ann R. Klee</w:t>
            </w:r>
          </w:p>
        </w:tc>
        <w:tc>
          <w:tcPr>
            <w:tcW w:w="2860" w:type="dxa"/>
            <w:vAlign w:val="bottom"/>
          </w:tcPr>
          <w:p>
            <w:pPr>
              <w:jc w:val="right"/>
              <w:ind w:right="831"/>
              <w:spacing w:after="0"/>
              <w:rPr>
                <w:sz w:val="20"/>
                <w:szCs w:val="20"/>
                <w:color w:val="auto"/>
              </w:rPr>
            </w:pPr>
            <w:r>
              <w:rPr>
                <w:rFonts w:ascii="Arial" w:cs="Arial" w:eastAsia="Arial" w:hAnsi="Arial"/>
                <w:sz w:val="18"/>
                <w:szCs w:val="18"/>
                <w:color w:val="auto"/>
              </w:rPr>
              <w:t>6,017(1)</w:t>
            </w:r>
          </w:p>
        </w:tc>
        <w:tc>
          <w:tcPr>
            <w:tcW w:w="2000" w:type="dxa"/>
            <w:vAlign w:val="bottom"/>
          </w:tcPr>
          <w:p>
            <w:pPr>
              <w:jc w:val="center"/>
              <w:ind w:left="571"/>
              <w:spacing w:after="0"/>
              <w:rPr>
                <w:sz w:val="20"/>
                <w:szCs w:val="20"/>
                <w:color w:val="auto"/>
              </w:rPr>
            </w:pPr>
            <w:r>
              <w:rPr>
                <w:rFonts w:ascii="Arial" w:cs="Arial" w:eastAsia="Arial" w:hAnsi="Arial"/>
                <w:sz w:val="18"/>
                <w:szCs w:val="18"/>
                <w:color w:val="auto"/>
                <w:w w:val="84"/>
              </w:rPr>
              <w:t>*</w:t>
            </w:r>
          </w:p>
        </w:tc>
      </w:tr>
      <w:tr>
        <w:trPr>
          <w:trHeight w:val="50"/>
        </w:trPr>
        <w:tc>
          <w:tcPr>
            <w:tcW w:w="442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81"/>
        </w:trPr>
        <w:tc>
          <w:tcPr>
            <w:tcW w:w="4420" w:type="dxa"/>
            <w:vAlign w:val="bottom"/>
          </w:tcPr>
          <w:p>
            <w:pPr>
              <w:ind w:left="60"/>
              <w:spacing w:after="0"/>
              <w:rPr>
                <w:sz w:val="20"/>
                <w:szCs w:val="20"/>
                <w:color w:val="auto"/>
              </w:rPr>
            </w:pPr>
            <w:r>
              <w:rPr>
                <w:rFonts w:ascii="Arial" w:cs="Arial" w:eastAsia="Arial" w:hAnsi="Arial"/>
                <w:sz w:val="18"/>
                <w:szCs w:val="18"/>
                <w:color w:val="auto"/>
              </w:rPr>
              <w:t>Albert J. Neupaver</w:t>
            </w:r>
          </w:p>
        </w:tc>
        <w:tc>
          <w:tcPr>
            <w:tcW w:w="2860" w:type="dxa"/>
            <w:vAlign w:val="bottom"/>
          </w:tcPr>
          <w:p>
            <w:pPr>
              <w:jc w:val="right"/>
              <w:ind w:right="611"/>
              <w:spacing w:after="0"/>
              <w:rPr>
                <w:sz w:val="20"/>
                <w:szCs w:val="20"/>
                <w:color w:val="auto"/>
              </w:rPr>
            </w:pPr>
            <w:r>
              <w:rPr>
                <w:rFonts w:ascii="Arial" w:cs="Arial" w:eastAsia="Arial" w:hAnsi="Arial"/>
                <w:sz w:val="18"/>
                <w:szCs w:val="18"/>
                <w:color w:val="auto"/>
              </w:rPr>
              <w:t>812,445(1)(2)</w:t>
            </w:r>
          </w:p>
        </w:tc>
        <w:tc>
          <w:tcPr>
            <w:tcW w:w="2000" w:type="dxa"/>
            <w:vAlign w:val="bottom"/>
          </w:tcPr>
          <w:p>
            <w:pPr>
              <w:jc w:val="center"/>
              <w:ind w:left="571"/>
              <w:spacing w:after="0"/>
              <w:rPr>
                <w:sz w:val="20"/>
                <w:szCs w:val="20"/>
                <w:color w:val="auto"/>
              </w:rPr>
            </w:pPr>
            <w:r>
              <w:rPr>
                <w:rFonts w:ascii="Arial" w:cs="Arial" w:eastAsia="Arial" w:hAnsi="Arial"/>
                <w:sz w:val="18"/>
                <w:szCs w:val="18"/>
                <w:color w:val="auto"/>
                <w:w w:val="84"/>
              </w:rPr>
              <w:t>*</w:t>
            </w:r>
          </w:p>
        </w:tc>
      </w:tr>
      <w:tr>
        <w:trPr>
          <w:trHeight w:val="63"/>
        </w:trPr>
        <w:tc>
          <w:tcPr>
            <w:tcW w:w="4420" w:type="dxa"/>
            <w:vAlign w:val="bottom"/>
            <w:tcBorders>
              <w:bottom w:val="single" w:sz="8" w:color="EC252A"/>
            </w:tcBorders>
          </w:tcPr>
          <w:p>
            <w:pPr>
              <w:spacing w:after="0"/>
              <w:rPr>
                <w:sz w:val="5"/>
                <w:szCs w:val="5"/>
                <w:color w:val="auto"/>
              </w:rPr>
            </w:pPr>
          </w:p>
        </w:tc>
        <w:tc>
          <w:tcPr>
            <w:tcW w:w="2860" w:type="dxa"/>
            <w:vAlign w:val="bottom"/>
            <w:tcBorders>
              <w:bottom w:val="single" w:sz="8" w:color="EC252A"/>
            </w:tcBorders>
          </w:tcPr>
          <w:p>
            <w:pPr>
              <w:spacing w:after="0"/>
              <w:rPr>
                <w:sz w:val="5"/>
                <w:szCs w:val="5"/>
                <w:color w:val="auto"/>
              </w:rPr>
            </w:pPr>
          </w:p>
        </w:tc>
        <w:tc>
          <w:tcPr>
            <w:tcW w:w="2000" w:type="dxa"/>
            <w:vAlign w:val="bottom"/>
            <w:tcBorders>
              <w:bottom w:val="single" w:sz="8" w:color="EC252A"/>
            </w:tcBorders>
          </w:tcPr>
          <w:p>
            <w:pPr>
              <w:spacing w:after="0"/>
              <w:rPr>
                <w:sz w:val="5"/>
                <w:szCs w:val="5"/>
                <w:color w:val="auto"/>
              </w:rPr>
            </w:pPr>
          </w:p>
        </w:tc>
      </w:tr>
      <w:tr>
        <w:trPr>
          <w:trHeight w:val="258"/>
        </w:trPr>
        <w:tc>
          <w:tcPr>
            <w:tcW w:w="4420" w:type="dxa"/>
            <w:vAlign w:val="bottom"/>
          </w:tcPr>
          <w:p>
            <w:pPr>
              <w:ind w:left="60"/>
              <w:spacing w:after="0"/>
              <w:rPr>
                <w:sz w:val="20"/>
                <w:szCs w:val="20"/>
                <w:color w:val="auto"/>
              </w:rPr>
            </w:pPr>
            <w:r>
              <w:rPr>
                <w:rFonts w:ascii="Arial" w:cs="Arial" w:eastAsia="Arial" w:hAnsi="Arial"/>
                <w:sz w:val="18"/>
                <w:szCs w:val="18"/>
                <w:color w:val="auto"/>
              </w:rPr>
              <w:t>Directors and Executive Officers as a Group</w:t>
            </w:r>
          </w:p>
        </w:tc>
        <w:tc>
          <w:tcPr>
            <w:tcW w:w="286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39"/>
        </w:trPr>
        <w:tc>
          <w:tcPr>
            <w:tcW w:w="4420" w:type="dxa"/>
            <w:vAlign w:val="bottom"/>
          </w:tcPr>
          <w:p>
            <w:pPr>
              <w:ind w:left="240"/>
              <w:spacing w:after="0"/>
              <w:rPr>
                <w:sz w:val="20"/>
                <w:szCs w:val="20"/>
                <w:color w:val="auto"/>
              </w:rPr>
            </w:pPr>
            <w:r>
              <w:rPr>
                <w:rFonts w:ascii="Arial" w:cs="Arial" w:eastAsia="Arial" w:hAnsi="Arial"/>
                <w:sz w:val="18"/>
                <w:szCs w:val="18"/>
                <w:color w:val="auto"/>
              </w:rPr>
              <w:t>(22 persons)</w:t>
            </w:r>
          </w:p>
        </w:tc>
        <w:tc>
          <w:tcPr>
            <w:tcW w:w="2860" w:type="dxa"/>
            <w:vAlign w:val="bottom"/>
          </w:tcPr>
          <w:p>
            <w:pPr>
              <w:jc w:val="right"/>
              <w:ind w:right="611"/>
              <w:spacing w:after="0"/>
              <w:rPr>
                <w:sz w:val="20"/>
                <w:szCs w:val="20"/>
                <w:color w:val="auto"/>
              </w:rPr>
            </w:pPr>
            <w:r>
              <w:rPr>
                <w:rFonts w:ascii="Arial" w:cs="Arial" w:eastAsia="Arial" w:hAnsi="Arial"/>
                <w:sz w:val="18"/>
                <w:szCs w:val="18"/>
                <w:color w:val="auto"/>
              </w:rPr>
              <w:t>2,253,874(1)(2)</w:t>
            </w:r>
          </w:p>
        </w:tc>
        <w:tc>
          <w:tcPr>
            <w:tcW w:w="2000" w:type="dxa"/>
            <w:vAlign w:val="bottom"/>
          </w:tcPr>
          <w:p>
            <w:pPr>
              <w:jc w:val="center"/>
              <w:ind w:left="571"/>
              <w:spacing w:after="0"/>
              <w:rPr>
                <w:sz w:val="20"/>
                <w:szCs w:val="20"/>
                <w:color w:val="auto"/>
              </w:rPr>
            </w:pPr>
            <w:r>
              <w:rPr>
                <w:rFonts w:ascii="Arial" w:cs="Arial" w:eastAsia="Arial" w:hAnsi="Arial"/>
                <w:sz w:val="18"/>
                <w:szCs w:val="18"/>
                <w:color w:val="auto"/>
                <w:w w:val="97"/>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23495</wp:posOffset>
            </wp:positionV>
            <wp:extent cx="58978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75" w:lineRule="exact"/>
        <w:rPr>
          <w:sz w:val="20"/>
          <w:szCs w:val="20"/>
          <w:color w:val="auto"/>
        </w:rPr>
      </w:pPr>
    </w:p>
    <w:p>
      <w:pPr>
        <w:ind w:left="1220" w:right="880" w:hanging="360"/>
        <w:spacing w:after="0" w:line="281" w:lineRule="auto"/>
        <w:tabs>
          <w:tab w:leader="none" w:pos="1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Less than 1%. Note that all Percent of Class calculations are based on the issued and outstanding shares of Wabtec common stock as of the March 22, 2022 record date.</w:t>
      </w:r>
    </w:p>
    <w:p>
      <w:pPr>
        <w:spacing w:after="0" w:line="1" w:lineRule="exact"/>
        <w:rPr>
          <w:sz w:val="20"/>
          <w:szCs w:val="20"/>
          <w:color w:val="auto"/>
        </w:rPr>
      </w:pPr>
    </w:p>
    <w:p>
      <w:pPr>
        <w:jc w:val="both"/>
        <w:ind w:left="1220" w:right="880" w:hanging="360"/>
        <w:spacing w:after="0" w:line="256" w:lineRule="auto"/>
        <w:tabs>
          <w:tab w:leader="none" w:pos="1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restricted shares as follows: Mr. Santana 68,924; Mr. Olin 11,109, Mr. DeNinno 15,071; Mr. Schweitzer 8,193, and Mr. Gebhardt 18,275. each other non-employee director 2,060 (with the exception of Mr. Byron Foster who has 1,662 restricted shares and Mr. Neupaver who has 42,976 restricted shares); and all directors and executive officers as a group 222,721. The restricted stockholders have sole voting power with respect to the restricted shares but do not have sole or shared dispositive power until the restricted shares vest.</w:t>
      </w:r>
    </w:p>
    <w:p>
      <w:pPr>
        <w:spacing w:after="0" w:line="15" w:lineRule="exact"/>
        <w:rPr>
          <w:rFonts w:ascii="Arial" w:cs="Arial" w:eastAsia="Arial" w:hAnsi="Arial"/>
          <w:sz w:val="14"/>
          <w:szCs w:val="14"/>
          <w:color w:val="auto"/>
        </w:rPr>
      </w:pPr>
    </w:p>
    <w:p>
      <w:pPr>
        <w:jc w:val="both"/>
        <w:ind w:left="1220" w:right="880" w:hanging="360"/>
        <w:spacing w:after="0" w:line="271" w:lineRule="auto"/>
        <w:tabs>
          <w:tab w:leader="none" w:pos="1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options that are exercisable on or within 60 days of January 31, 2022 as follows: Mr. Santana 38,675; Mr. DeNinno 20,656; Mr. Dugan 34,543, Mr. Schweitzer 3,761, Mr. Gebhardt 1,092; and Mr. Neupaver 117,928; and all directors and executive officers as a group 246,643.</w:t>
      </w:r>
    </w:p>
    <w:p>
      <w:pPr>
        <w:spacing w:after="0" w:line="176" w:lineRule="exact"/>
        <w:rPr>
          <w:rFonts w:ascii="Arial" w:cs="Arial" w:eastAsia="Arial" w:hAnsi="Arial"/>
          <w:sz w:val="14"/>
          <w:szCs w:val="14"/>
          <w:color w:val="auto"/>
        </w:rPr>
      </w:pPr>
    </w:p>
    <w:p>
      <w:pPr>
        <w:ind w:left="1220" w:right="880" w:hanging="360"/>
        <w:spacing w:after="0" w:line="281" w:lineRule="auto"/>
        <w:tabs>
          <w:tab w:leader="none" w:pos="1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15,200 shares owned by Mr. Lee Foster and 17,500 shares held by Lee B. Foster II Dynasty Trust, and 34,986 held by the Lee B. Foster II Revocable Trust.</w:t>
      </w:r>
    </w:p>
    <w:p>
      <w:pPr>
        <w:spacing w:after="0" w:line="1" w:lineRule="exact"/>
        <w:rPr>
          <w:rFonts w:ascii="Arial" w:cs="Arial" w:eastAsia="Arial" w:hAnsi="Arial"/>
          <w:sz w:val="14"/>
          <w:szCs w:val="14"/>
          <w:color w:val="auto"/>
        </w:rPr>
      </w:pPr>
    </w:p>
    <w:p>
      <w:pPr>
        <w:ind w:left="1220" w:right="880" w:hanging="360"/>
        <w:spacing w:after="0" w:line="281" w:lineRule="auto"/>
        <w:tabs>
          <w:tab w:leader="none" w:pos="1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28,941 shares owned by Mr. Hehir. Also includes 3,000 shares held by the Brian P. Hehir and Janet S. Hehir Foundation for which Mr. Hehir serves as a trustee.</w:t>
      </w:r>
    </w:p>
    <w:p>
      <w:pPr>
        <w:spacing w:after="0" w:line="1" w:lineRule="exact"/>
        <w:rPr>
          <w:rFonts w:ascii="Arial" w:cs="Arial" w:eastAsia="Arial" w:hAnsi="Arial"/>
          <w:sz w:val="14"/>
          <w:szCs w:val="14"/>
          <w:color w:val="auto"/>
        </w:rPr>
      </w:pPr>
    </w:p>
    <w:p>
      <w:pPr>
        <w:ind w:left="1220" w:right="880" w:hanging="360"/>
        <w:spacing w:after="0" w:line="281" w:lineRule="auto"/>
        <w:tabs>
          <w:tab w:leader="none" w:pos="1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74,671 shares owned by Mr. Kassling. Also includes 821,654 shares owned by Davideco, a Delaware corporation, and 3,280 shares owned by Mr. Kassling’s wife. Mr. Kassling disclaims beneficial ownership of the shares held by his wife.</w:t>
      </w:r>
    </w:p>
    <w:p>
      <w:pPr>
        <w:spacing w:after="0" w:line="1" w:lineRule="exact"/>
        <w:rPr>
          <w:rFonts w:ascii="Arial" w:cs="Arial" w:eastAsia="Arial" w:hAnsi="Arial"/>
          <w:sz w:val="14"/>
          <w:szCs w:val="14"/>
          <w:color w:val="auto"/>
        </w:rPr>
      </w:pPr>
    </w:p>
    <w:p>
      <w:pPr>
        <w:ind w:left="1220" w:hanging="360"/>
        <w:spacing w:after="0"/>
        <w:tabs>
          <w:tab w:leader="none" w:pos="1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8,193 restricted shares and 1,000 restricted share units owned by Mr. Schweitzer.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194945</wp:posOffset>
            </wp:positionV>
            <wp:extent cx="58978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297815</wp:posOffset>
            </wp:positionV>
            <wp:extent cx="47117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8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40" w:type="dxa"/>
            <w:vAlign w:val="bottom"/>
          </w:tcPr>
          <w:p>
            <w:pPr>
              <w:jc w:val="right"/>
              <w:ind w:right="939"/>
              <w:spacing w:after="0"/>
              <w:rPr>
                <w:sz w:val="20"/>
                <w:szCs w:val="20"/>
                <w:color w:val="auto"/>
              </w:rPr>
            </w:pPr>
            <w:r>
              <w:rPr>
                <w:rFonts w:ascii="Arial" w:cs="Arial" w:eastAsia="Arial" w:hAnsi="Arial"/>
                <w:sz w:val="16"/>
                <w:szCs w:val="16"/>
                <w:b w:val="1"/>
                <w:bCs w:val="1"/>
                <w:color w:val="auto"/>
              </w:rPr>
              <w:t>5</w:t>
            </w:r>
          </w:p>
        </w:tc>
      </w:tr>
      <w:tr>
        <w:trPr>
          <w:trHeight w:val="212"/>
        </w:trPr>
        <w:tc>
          <w:tcPr>
            <w:tcW w:w="7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Owners of More Than 5%</w:t>
      </w:r>
    </w:p>
    <w:p>
      <w:pPr>
        <w:spacing w:after="0" w:line="128"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following table shows stockholders who are known to Wabtec to be beneficial owners of more than 5% of Wabtec’s common stock as of March 22,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180" w:type="dxa"/>
            <w:vAlign w:val="bottom"/>
          </w:tcPr>
          <w:p>
            <w:pPr>
              <w:ind w:left="1720"/>
              <w:spacing w:after="0"/>
              <w:rPr>
                <w:sz w:val="20"/>
                <w:szCs w:val="20"/>
                <w:color w:val="auto"/>
              </w:rPr>
            </w:pPr>
            <w:r>
              <w:rPr>
                <w:rFonts w:ascii="Arial" w:cs="Arial" w:eastAsia="Arial" w:hAnsi="Arial"/>
                <w:sz w:val="16"/>
                <w:szCs w:val="16"/>
                <w:b w:val="1"/>
                <w:bCs w:val="1"/>
                <w:color w:val="EC252A"/>
              </w:rPr>
              <w:t>Beneficial</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EC252A"/>
              </w:rPr>
              <w:t>Percentage</w:t>
            </w:r>
          </w:p>
        </w:tc>
      </w:tr>
      <w:tr>
        <w:trPr>
          <w:trHeight w:val="312"/>
        </w:trPr>
        <w:tc>
          <w:tcPr>
            <w:tcW w:w="4680" w:type="dxa"/>
            <w:vAlign w:val="bottom"/>
            <w:tcBorders>
              <w:bottom w:val="single" w:sz="8" w:color="EC252A"/>
            </w:tcBorders>
          </w:tcPr>
          <w:p>
            <w:pPr>
              <w:ind w:left="80"/>
              <w:spacing w:after="0"/>
              <w:rPr>
                <w:sz w:val="20"/>
                <w:szCs w:val="20"/>
                <w:color w:val="auto"/>
              </w:rPr>
            </w:pPr>
            <w:r>
              <w:rPr>
                <w:rFonts w:ascii="Arial" w:cs="Arial" w:eastAsia="Arial" w:hAnsi="Arial"/>
                <w:sz w:val="16"/>
                <w:szCs w:val="16"/>
                <w:b w:val="1"/>
                <w:bCs w:val="1"/>
                <w:color w:val="EC252A"/>
              </w:rPr>
              <w:t>Name and Address of Beneficial Owner</w:t>
            </w:r>
          </w:p>
        </w:tc>
        <w:tc>
          <w:tcPr>
            <w:tcW w:w="3180" w:type="dxa"/>
            <w:vAlign w:val="bottom"/>
            <w:tcBorders>
              <w:bottom w:val="single" w:sz="8" w:color="EC252A"/>
            </w:tcBorders>
          </w:tcPr>
          <w:p>
            <w:pPr>
              <w:ind w:left="1580"/>
              <w:spacing w:after="0"/>
              <w:rPr>
                <w:sz w:val="20"/>
                <w:szCs w:val="20"/>
                <w:color w:val="auto"/>
              </w:rPr>
            </w:pPr>
            <w:r>
              <w:rPr>
                <w:rFonts w:ascii="Arial" w:cs="Arial" w:eastAsia="Arial" w:hAnsi="Arial"/>
                <w:sz w:val="16"/>
                <w:szCs w:val="16"/>
                <w:b w:val="1"/>
                <w:bCs w:val="1"/>
                <w:color w:val="EC252A"/>
              </w:rPr>
              <w:t>Ownership (1)</w:t>
            </w:r>
          </w:p>
        </w:tc>
        <w:tc>
          <w:tcPr>
            <w:tcW w:w="1420" w:type="dxa"/>
            <w:vAlign w:val="bottom"/>
            <w:tcBorders>
              <w:bottom w:val="single" w:sz="8" w:color="EC252A"/>
            </w:tcBorders>
          </w:tcPr>
          <w:p>
            <w:pPr>
              <w:jc w:val="right"/>
              <w:ind w:right="33"/>
              <w:spacing w:after="0"/>
              <w:rPr>
                <w:sz w:val="20"/>
                <w:szCs w:val="20"/>
                <w:color w:val="auto"/>
              </w:rPr>
            </w:pPr>
            <w:r>
              <w:rPr>
                <w:rFonts w:ascii="Arial" w:cs="Arial" w:eastAsia="Arial" w:hAnsi="Arial"/>
                <w:sz w:val="16"/>
                <w:szCs w:val="16"/>
                <w:b w:val="1"/>
                <w:bCs w:val="1"/>
                <w:color w:val="EC252A"/>
              </w:rPr>
              <w:t>of Class</w:t>
            </w:r>
            <w:r>
              <w:rPr>
                <w:rFonts w:ascii="Arial" w:cs="Arial" w:eastAsia="Arial" w:hAnsi="Arial"/>
                <w:sz w:val="26"/>
                <w:szCs w:val="26"/>
                <w:b w:val="1"/>
                <w:bCs w:val="1"/>
                <w:color w:val="EC252A"/>
                <w:vertAlign w:val="superscript"/>
              </w:rPr>
              <w:t>*</w:t>
            </w:r>
          </w:p>
        </w:tc>
      </w:tr>
      <w:tr>
        <w:trPr>
          <w:trHeight w:val="272"/>
        </w:trPr>
        <w:tc>
          <w:tcPr>
            <w:tcW w:w="4680" w:type="dxa"/>
            <w:vAlign w:val="bottom"/>
          </w:tcPr>
          <w:p>
            <w:pPr>
              <w:ind w:left="80"/>
              <w:spacing w:after="0"/>
              <w:rPr>
                <w:sz w:val="20"/>
                <w:szCs w:val="20"/>
                <w:color w:val="auto"/>
              </w:rPr>
            </w:pPr>
            <w:r>
              <w:rPr>
                <w:rFonts w:ascii="Arial" w:cs="Arial" w:eastAsia="Arial" w:hAnsi="Arial"/>
                <w:sz w:val="18"/>
                <w:szCs w:val="18"/>
                <w:color w:val="auto"/>
              </w:rPr>
              <w:t>The Vanguard Group</w:t>
            </w:r>
          </w:p>
        </w:tc>
        <w:tc>
          <w:tcPr>
            <w:tcW w:w="3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03"/>
        </w:trPr>
        <w:tc>
          <w:tcPr>
            <w:tcW w:w="4680" w:type="dxa"/>
            <w:vAlign w:val="bottom"/>
          </w:tcPr>
          <w:p>
            <w:pPr>
              <w:ind w:left="260"/>
              <w:spacing w:after="0" w:line="202" w:lineRule="exact"/>
              <w:rPr>
                <w:sz w:val="20"/>
                <w:szCs w:val="20"/>
                <w:color w:val="auto"/>
              </w:rPr>
            </w:pPr>
            <w:r>
              <w:rPr>
                <w:rFonts w:ascii="Arial" w:cs="Arial" w:eastAsia="Arial" w:hAnsi="Arial"/>
                <w:sz w:val="18"/>
                <w:szCs w:val="18"/>
                <w:color w:val="auto"/>
              </w:rPr>
              <w:t>100 Vanguard Blvd.</w:t>
            </w:r>
          </w:p>
        </w:tc>
        <w:tc>
          <w:tcPr>
            <w:tcW w:w="3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9"/>
        </w:trPr>
        <w:tc>
          <w:tcPr>
            <w:tcW w:w="4680" w:type="dxa"/>
            <w:vAlign w:val="bottom"/>
          </w:tcPr>
          <w:p>
            <w:pPr>
              <w:ind w:left="260"/>
              <w:spacing w:after="0"/>
              <w:rPr>
                <w:sz w:val="20"/>
                <w:szCs w:val="20"/>
                <w:color w:val="auto"/>
              </w:rPr>
            </w:pPr>
            <w:r>
              <w:rPr>
                <w:rFonts w:ascii="Arial" w:cs="Arial" w:eastAsia="Arial" w:hAnsi="Arial"/>
                <w:sz w:val="18"/>
                <w:szCs w:val="18"/>
                <w:color w:val="auto"/>
              </w:rPr>
              <w:t>Malvern, PA 19355</w:t>
            </w:r>
          </w:p>
        </w:tc>
        <w:tc>
          <w:tcPr>
            <w:tcW w:w="3180" w:type="dxa"/>
            <w:vAlign w:val="bottom"/>
          </w:tcPr>
          <w:p>
            <w:pPr>
              <w:ind w:left="1560"/>
              <w:spacing w:after="0"/>
              <w:rPr>
                <w:sz w:val="20"/>
                <w:szCs w:val="20"/>
                <w:color w:val="auto"/>
              </w:rPr>
            </w:pPr>
            <w:r>
              <w:rPr>
                <w:rFonts w:ascii="Arial" w:cs="Arial" w:eastAsia="Arial" w:hAnsi="Arial"/>
                <w:sz w:val="18"/>
                <w:szCs w:val="18"/>
                <w:color w:val="auto"/>
              </w:rPr>
              <w:t>18,897,196(2)</w:t>
            </w:r>
          </w:p>
        </w:tc>
        <w:tc>
          <w:tcPr>
            <w:tcW w:w="142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77"/>
        </w:trPr>
        <w:tc>
          <w:tcPr>
            <w:tcW w:w="4680" w:type="dxa"/>
            <w:vAlign w:val="bottom"/>
            <w:tcBorders>
              <w:bottom w:val="single" w:sz="8" w:color="EC252A"/>
            </w:tcBorders>
          </w:tcPr>
          <w:p>
            <w:pPr>
              <w:spacing w:after="0"/>
              <w:rPr>
                <w:sz w:val="6"/>
                <w:szCs w:val="6"/>
                <w:color w:val="auto"/>
              </w:rPr>
            </w:pPr>
          </w:p>
        </w:tc>
        <w:tc>
          <w:tcPr>
            <w:tcW w:w="3180" w:type="dxa"/>
            <w:vAlign w:val="bottom"/>
            <w:tcBorders>
              <w:bottom w:val="single" w:sz="8" w:color="EC252A"/>
            </w:tcBorders>
          </w:tcPr>
          <w:p>
            <w:pPr>
              <w:spacing w:after="0"/>
              <w:rPr>
                <w:sz w:val="6"/>
                <w:szCs w:val="6"/>
                <w:color w:val="auto"/>
              </w:rPr>
            </w:pPr>
          </w:p>
        </w:tc>
        <w:tc>
          <w:tcPr>
            <w:tcW w:w="1420" w:type="dxa"/>
            <w:vAlign w:val="bottom"/>
            <w:tcBorders>
              <w:bottom w:val="single" w:sz="8" w:color="EC252A"/>
            </w:tcBorders>
          </w:tcPr>
          <w:p>
            <w:pPr>
              <w:spacing w:after="0"/>
              <w:rPr>
                <w:sz w:val="6"/>
                <w:szCs w:val="6"/>
                <w:color w:val="auto"/>
              </w:rPr>
            </w:pPr>
          </w:p>
        </w:tc>
      </w:tr>
      <w:tr>
        <w:trPr>
          <w:trHeight w:val="272"/>
        </w:trPr>
        <w:tc>
          <w:tcPr>
            <w:tcW w:w="4680" w:type="dxa"/>
            <w:vAlign w:val="bottom"/>
          </w:tcPr>
          <w:p>
            <w:pPr>
              <w:ind w:left="80"/>
              <w:spacing w:after="0"/>
              <w:rPr>
                <w:sz w:val="20"/>
                <w:szCs w:val="20"/>
                <w:color w:val="auto"/>
              </w:rPr>
            </w:pPr>
            <w:r>
              <w:rPr>
                <w:rFonts w:ascii="Arial" w:cs="Arial" w:eastAsia="Arial" w:hAnsi="Arial"/>
                <w:sz w:val="18"/>
                <w:szCs w:val="18"/>
                <w:color w:val="auto"/>
              </w:rPr>
              <w:t>BlackRock, Inc.</w:t>
            </w:r>
          </w:p>
        </w:tc>
        <w:tc>
          <w:tcPr>
            <w:tcW w:w="3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03"/>
        </w:trPr>
        <w:tc>
          <w:tcPr>
            <w:tcW w:w="4680" w:type="dxa"/>
            <w:vAlign w:val="bottom"/>
          </w:tcPr>
          <w:p>
            <w:pPr>
              <w:ind w:left="260"/>
              <w:spacing w:after="0" w:line="202" w:lineRule="exact"/>
              <w:rPr>
                <w:sz w:val="20"/>
                <w:szCs w:val="20"/>
                <w:color w:val="auto"/>
              </w:rPr>
            </w:pPr>
            <w:r>
              <w:rPr>
                <w:rFonts w:ascii="Arial" w:cs="Arial" w:eastAsia="Arial" w:hAnsi="Arial"/>
                <w:sz w:val="18"/>
                <w:szCs w:val="18"/>
                <w:color w:val="auto"/>
              </w:rPr>
              <w:t>55 East 52nd Street</w:t>
            </w:r>
          </w:p>
        </w:tc>
        <w:tc>
          <w:tcPr>
            <w:tcW w:w="3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9"/>
        </w:trPr>
        <w:tc>
          <w:tcPr>
            <w:tcW w:w="4680" w:type="dxa"/>
            <w:vAlign w:val="bottom"/>
          </w:tcPr>
          <w:p>
            <w:pPr>
              <w:ind w:left="260"/>
              <w:spacing w:after="0"/>
              <w:rPr>
                <w:sz w:val="20"/>
                <w:szCs w:val="20"/>
                <w:color w:val="auto"/>
              </w:rPr>
            </w:pPr>
            <w:r>
              <w:rPr>
                <w:rFonts w:ascii="Arial" w:cs="Arial" w:eastAsia="Arial" w:hAnsi="Arial"/>
                <w:sz w:val="18"/>
                <w:szCs w:val="18"/>
                <w:color w:val="auto"/>
              </w:rPr>
              <w:t>New York, NY 10055</w:t>
            </w:r>
          </w:p>
        </w:tc>
        <w:tc>
          <w:tcPr>
            <w:tcW w:w="3180" w:type="dxa"/>
            <w:vAlign w:val="bottom"/>
          </w:tcPr>
          <w:p>
            <w:pPr>
              <w:ind w:left="1560"/>
              <w:spacing w:after="0"/>
              <w:rPr>
                <w:sz w:val="20"/>
                <w:szCs w:val="20"/>
                <w:color w:val="auto"/>
              </w:rPr>
            </w:pPr>
            <w:r>
              <w:rPr>
                <w:rFonts w:ascii="Arial" w:cs="Arial" w:eastAsia="Arial" w:hAnsi="Arial"/>
                <w:sz w:val="18"/>
                <w:szCs w:val="18"/>
                <w:color w:val="auto"/>
              </w:rPr>
              <w:t>11,894,524(3)</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6.46%</w:t>
            </w:r>
          </w:p>
        </w:tc>
      </w:tr>
      <w:tr>
        <w:trPr>
          <w:trHeight w:val="77"/>
        </w:trPr>
        <w:tc>
          <w:tcPr>
            <w:tcW w:w="4680" w:type="dxa"/>
            <w:vAlign w:val="bottom"/>
            <w:tcBorders>
              <w:bottom w:val="single" w:sz="8" w:color="EC252A"/>
            </w:tcBorders>
          </w:tcPr>
          <w:p>
            <w:pPr>
              <w:spacing w:after="0"/>
              <w:rPr>
                <w:sz w:val="6"/>
                <w:szCs w:val="6"/>
                <w:color w:val="auto"/>
              </w:rPr>
            </w:pPr>
          </w:p>
        </w:tc>
        <w:tc>
          <w:tcPr>
            <w:tcW w:w="3180" w:type="dxa"/>
            <w:vAlign w:val="bottom"/>
            <w:tcBorders>
              <w:bottom w:val="single" w:sz="8" w:color="EC252A"/>
            </w:tcBorders>
          </w:tcPr>
          <w:p>
            <w:pPr>
              <w:spacing w:after="0"/>
              <w:rPr>
                <w:sz w:val="6"/>
                <w:szCs w:val="6"/>
                <w:color w:val="auto"/>
              </w:rPr>
            </w:pPr>
          </w:p>
        </w:tc>
        <w:tc>
          <w:tcPr>
            <w:tcW w:w="1420" w:type="dxa"/>
            <w:vAlign w:val="bottom"/>
            <w:tcBorders>
              <w:bottom w:val="single" w:sz="8" w:color="EC252A"/>
            </w:tcBorders>
          </w:tcPr>
          <w:p>
            <w:pPr>
              <w:spacing w:after="0"/>
              <w:rPr>
                <w:sz w:val="6"/>
                <w:szCs w:val="6"/>
                <w:color w:val="auto"/>
              </w:rPr>
            </w:pPr>
          </w:p>
        </w:tc>
      </w:tr>
      <w:tr>
        <w:trPr>
          <w:trHeight w:val="272"/>
        </w:trPr>
        <w:tc>
          <w:tcPr>
            <w:tcW w:w="4680" w:type="dxa"/>
            <w:vAlign w:val="bottom"/>
          </w:tcPr>
          <w:p>
            <w:pPr>
              <w:ind w:left="80"/>
              <w:spacing w:after="0"/>
              <w:rPr>
                <w:sz w:val="20"/>
                <w:szCs w:val="20"/>
                <w:color w:val="auto"/>
              </w:rPr>
            </w:pPr>
            <w:r>
              <w:rPr>
                <w:rFonts w:ascii="Arial" w:cs="Arial" w:eastAsia="Arial" w:hAnsi="Arial"/>
                <w:sz w:val="18"/>
                <w:szCs w:val="18"/>
                <w:color w:val="auto"/>
              </w:rPr>
              <w:t>Wellington Management Group, LLP</w:t>
            </w:r>
          </w:p>
        </w:tc>
        <w:tc>
          <w:tcPr>
            <w:tcW w:w="3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03"/>
        </w:trPr>
        <w:tc>
          <w:tcPr>
            <w:tcW w:w="4680" w:type="dxa"/>
            <w:vAlign w:val="bottom"/>
          </w:tcPr>
          <w:p>
            <w:pPr>
              <w:ind w:left="260"/>
              <w:spacing w:after="0" w:line="202" w:lineRule="exact"/>
              <w:rPr>
                <w:sz w:val="20"/>
                <w:szCs w:val="20"/>
                <w:color w:val="auto"/>
              </w:rPr>
            </w:pPr>
            <w:r>
              <w:rPr>
                <w:rFonts w:ascii="Arial" w:cs="Arial" w:eastAsia="Arial" w:hAnsi="Arial"/>
                <w:sz w:val="18"/>
                <w:szCs w:val="18"/>
                <w:color w:val="auto"/>
              </w:rPr>
              <w:t>280 Congress Street</w:t>
            </w:r>
          </w:p>
        </w:tc>
        <w:tc>
          <w:tcPr>
            <w:tcW w:w="3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9"/>
        </w:trPr>
        <w:tc>
          <w:tcPr>
            <w:tcW w:w="4680" w:type="dxa"/>
            <w:vAlign w:val="bottom"/>
          </w:tcPr>
          <w:p>
            <w:pPr>
              <w:ind w:left="260"/>
              <w:spacing w:after="0"/>
              <w:rPr>
                <w:sz w:val="20"/>
                <w:szCs w:val="20"/>
                <w:color w:val="auto"/>
              </w:rPr>
            </w:pPr>
            <w:r>
              <w:rPr>
                <w:rFonts w:ascii="Arial" w:cs="Arial" w:eastAsia="Arial" w:hAnsi="Arial"/>
                <w:sz w:val="18"/>
                <w:szCs w:val="18"/>
                <w:color w:val="auto"/>
              </w:rPr>
              <w:t>Boston, Massachusetts 02210</w:t>
            </w:r>
          </w:p>
        </w:tc>
        <w:tc>
          <w:tcPr>
            <w:tcW w:w="3180" w:type="dxa"/>
            <w:vAlign w:val="bottom"/>
          </w:tcPr>
          <w:p>
            <w:pPr>
              <w:ind w:left="1560"/>
              <w:spacing w:after="0"/>
              <w:rPr>
                <w:sz w:val="20"/>
                <w:szCs w:val="20"/>
                <w:color w:val="auto"/>
              </w:rPr>
            </w:pPr>
            <w:r>
              <w:rPr>
                <w:rFonts w:ascii="Arial" w:cs="Arial" w:eastAsia="Arial" w:hAnsi="Arial"/>
                <w:sz w:val="18"/>
                <w:szCs w:val="18"/>
                <w:color w:val="auto"/>
              </w:rPr>
              <w:t>11,857,618(4)</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6.44%</w:t>
            </w:r>
          </w:p>
        </w:tc>
      </w:tr>
      <w:tr>
        <w:trPr>
          <w:trHeight w:val="77"/>
        </w:trPr>
        <w:tc>
          <w:tcPr>
            <w:tcW w:w="4680" w:type="dxa"/>
            <w:vAlign w:val="bottom"/>
            <w:tcBorders>
              <w:bottom w:val="single" w:sz="8" w:color="EC252A"/>
            </w:tcBorders>
          </w:tcPr>
          <w:p>
            <w:pPr>
              <w:spacing w:after="0"/>
              <w:rPr>
                <w:sz w:val="6"/>
                <w:szCs w:val="6"/>
                <w:color w:val="auto"/>
              </w:rPr>
            </w:pPr>
          </w:p>
        </w:tc>
        <w:tc>
          <w:tcPr>
            <w:tcW w:w="3180" w:type="dxa"/>
            <w:vAlign w:val="bottom"/>
            <w:tcBorders>
              <w:bottom w:val="single" w:sz="8" w:color="EC252A"/>
            </w:tcBorders>
          </w:tcPr>
          <w:p>
            <w:pPr>
              <w:spacing w:after="0"/>
              <w:rPr>
                <w:sz w:val="6"/>
                <w:szCs w:val="6"/>
                <w:color w:val="auto"/>
              </w:rPr>
            </w:pPr>
          </w:p>
        </w:tc>
        <w:tc>
          <w:tcPr>
            <w:tcW w:w="1420" w:type="dxa"/>
            <w:vAlign w:val="bottom"/>
            <w:tcBorders>
              <w:bottom w:val="single" w:sz="8" w:color="EC252A"/>
            </w:tcBorders>
          </w:tcPr>
          <w:p>
            <w:pPr>
              <w:spacing w:after="0"/>
              <w:rPr>
                <w:sz w:val="6"/>
                <w:szCs w:val="6"/>
                <w:color w:val="auto"/>
              </w:rPr>
            </w:pPr>
          </w:p>
        </w:tc>
      </w:tr>
      <w:tr>
        <w:trPr>
          <w:trHeight w:val="272"/>
        </w:trPr>
        <w:tc>
          <w:tcPr>
            <w:tcW w:w="4680" w:type="dxa"/>
            <w:vAlign w:val="bottom"/>
          </w:tcPr>
          <w:p>
            <w:pPr>
              <w:ind w:left="80"/>
              <w:spacing w:after="0"/>
              <w:rPr>
                <w:sz w:val="20"/>
                <w:szCs w:val="20"/>
                <w:color w:val="auto"/>
              </w:rPr>
            </w:pPr>
            <w:r>
              <w:rPr>
                <w:rFonts w:ascii="Arial" w:cs="Arial" w:eastAsia="Arial" w:hAnsi="Arial"/>
                <w:sz w:val="18"/>
                <w:szCs w:val="18"/>
                <w:color w:val="auto"/>
              </w:rPr>
              <w:t>Pzena Investment Management, LLC</w:t>
            </w:r>
          </w:p>
        </w:tc>
        <w:tc>
          <w:tcPr>
            <w:tcW w:w="3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03"/>
        </w:trPr>
        <w:tc>
          <w:tcPr>
            <w:tcW w:w="4680" w:type="dxa"/>
            <w:vAlign w:val="bottom"/>
          </w:tcPr>
          <w:p>
            <w:pPr>
              <w:ind w:left="260"/>
              <w:spacing w:after="0" w:line="202" w:lineRule="exact"/>
              <w:rPr>
                <w:sz w:val="20"/>
                <w:szCs w:val="20"/>
                <w:color w:val="auto"/>
              </w:rPr>
            </w:pPr>
            <w:r>
              <w:rPr>
                <w:rFonts w:ascii="Arial" w:cs="Arial" w:eastAsia="Arial" w:hAnsi="Arial"/>
                <w:sz w:val="18"/>
                <w:szCs w:val="18"/>
                <w:color w:val="auto"/>
              </w:rPr>
              <w:t>320 Park Avenue, 8th Floor</w:t>
            </w:r>
          </w:p>
        </w:tc>
        <w:tc>
          <w:tcPr>
            <w:tcW w:w="3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9"/>
        </w:trPr>
        <w:tc>
          <w:tcPr>
            <w:tcW w:w="4680" w:type="dxa"/>
            <w:vAlign w:val="bottom"/>
          </w:tcPr>
          <w:p>
            <w:pPr>
              <w:ind w:left="260"/>
              <w:spacing w:after="0"/>
              <w:rPr>
                <w:sz w:val="20"/>
                <w:szCs w:val="20"/>
                <w:color w:val="auto"/>
              </w:rPr>
            </w:pPr>
            <w:r>
              <w:rPr>
                <w:rFonts w:ascii="Arial" w:cs="Arial" w:eastAsia="Arial" w:hAnsi="Arial"/>
                <w:sz w:val="18"/>
                <w:szCs w:val="18"/>
                <w:color w:val="auto"/>
              </w:rPr>
              <w:t>New York, NY 10022</w:t>
            </w:r>
          </w:p>
        </w:tc>
        <w:tc>
          <w:tcPr>
            <w:tcW w:w="3180" w:type="dxa"/>
            <w:vAlign w:val="bottom"/>
          </w:tcPr>
          <w:p>
            <w:pPr>
              <w:ind w:left="1560"/>
              <w:spacing w:after="0"/>
              <w:rPr>
                <w:sz w:val="20"/>
                <w:szCs w:val="20"/>
                <w:color w:val="auto"/>
              </w:rPr>
            </w:pPr>
            <w:r>
              <w:rPr>
                <w:rFonts w:ascii="Arial" w:cs="Arial" w:eastAsia="Arial" w:hAnsi="Arial"/>
                <w:sz w:val="18"/>
                <w:szCs w:val="18"/>
                <w:color w:val="auto"/>
              </w:rPr>
              <w:t>10,118,702(5)</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897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75" w:lineRule="exact"/>
        <w:rPr>
          <w:sz w:val="20"/>
          <w:szCs w:val="20"/>
          <w:color w:val="auto"/>
        </w:rPr>
      </w:pPr>
    </w:p>
    <w:p>
      <w:pPr>
        <w:jc w:val="both"/>
        <w:ind w:left="360" w:hanging="360"/>
        <w:spacing w:after="0" w:line="256"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Under SEC regulations, a person who has or shares voting or investment power with respect to a security is considered a beneficial owner of the security. Voting power is the power to vote or direct the voting of shares, and investment power is the power to dispose of or direct the disposition of shares. Unless otherwise indicated in the other footnotes below, each person has sole voting power and sole investment power as to all shares listed opposite such person’s name.</w:t>
      </w:r>
    </w:p>
    <w:p>
      <w:pPr>
        <w:spacing w:after="0" w:line="15" w:lineRule="exact"/>
        <w:rPr>
          <w:rFonts w:ascii="Arial" w:cs="Arial" w:eastAsia="Arial" w:hAnsi="Arial"/>
          <w:sz w:val="14"/>
          <w:szCs w:val="14"/>
          <w:color w:val="auto"/>
        </w:rPr>
      </w:pPr>
    </w:p>
    <w:p>
      <w:pPr>
        <w:jc w:val="both"/>
        <w:ind w:left="360" w:hanging="360"/>
        <w:spacing w:after="0" w:line="271"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solely upon the information in the Schedule 13G/A filed February 10, 2022, The Vanguard Group has sole dispositive power with respect to 18,147,936 shares, shared dispositive power with respect to 749,260 shares and shared voting power with respect to 292,528 shares.</w:t>
      </w:r>
    </w:p>
    <w:p>
      <w:pPr>
        <w:spacing w:after="0" w:line="176" w:lineRule="exact"/>
        <w:rPr>
          <w:rFonts w:ascii="Arial" w:cs="Arial" w:eastAsia="Arial" w:hAnsi="Arial"/>
          <w:sz w:val="14"/>
          <w:szCs w:val="14"/>
          <w:color w:val="auto"/>
        </w:rPr>
      </w:pPr>
    </w:p>
    <w:p>
      <w:pPr>
        <w:ind w:left="360" w:hanging="360"/>
        <w:spacing w:after="0" w:line="281"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solely upon the information in the Schedule 13G/A filed February 1, 2022, BlackRock, Inc. has sole dispositive power with respect to 10,260,224 shares and sole voting power with respect to 11,894,524 shares.</w:t>
      </w:r>
    </w:p>
    <w:p>
      <w:pPr>
        <w:spacing w:after="0" w:line="1" w:lineRule="exact"/>
        <w:rPr>
          <w:rFonts w:ascii="Arial" w:cs="Arial" w:eastAsia="Arial" w:hAnsi="Arial"/>
          <w:sz w:val="14"/>
          <w:szCs w:val="14"/>
          <w:color w:val="auto"/>
        </w:rPr>
      </w:pPr>
    </w:p>
    <w:p>
      <w:pPr>
        <w:ind w:left="360" w:hanging="360"/>
        <w:spacing w:after="0" w:line="281"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solely upon the information in the Schedule 13G filed February 4, 2022, Wellington Management Group, LLP has shared dispositive power with respect to 11,857,618 shares and shared voting power with respect to 9,655,341 shares.</w:t>
      </w:r>
    </w:p>
    <w:p>
      <w:pPr>
        <w:spacing w:after="0" w:line="1" w:lineRule="exact"/>
        <w:rPr>
          <w:rFonts w:ascii="Arial" w:cs="Arial" w:eastAsia="Arial" w:hAnsi="Arial"/>
          <w:sz w:val="14"/>
          <w:szCs w:val="14"/>
          <w:color w:val="auto"/>
        </w:rPr>
      </w:pPr>
    </w:p>
    <w:p>
      <w:pPr>
        <w:ind w:left="360" w:hanging="360"/>
        <w:spacing w:after="0" w:line="285"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solely upon the information in the Schedule 13G filed January 24, 2022, Pzena Investment Management, LLC has sole dispositive power with respect to 10,118,702 shares and sole voting power with respect to 8,692,686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58978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62"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3220" w:type="dxa"/>
            <w:vAlign w:val="bottom"/>
          </w:tcPr>
          <w:p>
            <w:pPr>
              <w:jc w:val="right"/>
              <w:ind w:right="3064"/>
              <w:spacing w:after="0"/>
              <w:rPr>
                <w:sz w:val="20"/>
                <w:szCs w:val="20"/>
                <w:color w:val="auto"/>
              </w:rPr>
            </w:pPr>
            <w:r>
              <w:rPr>
                <w:rFonts w:ascii="Arial" w:cs="Arial" w:eastAsia="Arial" w:hAnsi="Arial"/>
                <w:sz w:val="15"/>
                <w:szCs w:val="15"/>
                <w:b w:val="1"/>
                <w:bCs w:val="1"/>
                <w:color w:val="auto"/>
                <w:w w:val="71"/>
              </w:rPr>
              <w:t>6</w:t>
            </w:r>
          </w:p>
        </w:tc>
        <w:tc>
          <w:tcPr>
            <w:tcW w:w="3180" w:type="dxa"/>
            <w:vAlign w:val="bottom"/>
            <w:vMerge w:val="restart"/>
          </w:tcPr>
          <w:p>
            <w:pPr>
              <w:ind w:left="312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2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-169545</wp:posOffset>
            </wp:positionV>
            <wp:extent cx="471805"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11" w:name="page12"/>
    <w:bookmarkEnd w:id="11"/>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Wabtec Board of Directors at a Glance</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EC252A"/>
              </w:rPr>
              <w:t>Compensation</w:t>
            </w:r>
          </w:p>
        </w:tc>
        <w:tc>
          <w:tcPr>
            <w:tcW w:w="10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EC252A"/>
              </w:rPr>
              <w:t>Environment,</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80" w:type="dxa"/>
            <w:vAlign w:val="bottom"/>
          </w:tcPr>
          <w:p>
            <w:pPr>
              <w:jc w:val="center"/>
              <w:ind w:right="39"/>
              <w:spacing w:after="0"/>
              <w:rPr>
                <w:sz w:val="20"/>
                <w:szCs w:val="20"/>
                <w:color w:val="auto"/>
              </w:rPr>
            </w:pPr>
            <w:r>
              <w:rPr>
                <w:rFonts w:ascii="Arial" w:cs="Arial" w:eastAsia="Arial" w:hAnsi="Arial"/>
                <w:sz w:val="16"/>
                <w:szCs w:val="16"/>
                <w:b w:val="1"/>
                <w:bCs w:val="1"/>
                <w:color w:val="EC252A"/>
                <w:w w:val="99"/>
              </w:rPr>
              <w:t>and Talent</w:t>
            </w:r>
          </w:p>
        </w:tc>
        <w:tc>
          <w:tcPr>
            <w:tcW w:w="106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EC252A"/>
              </w:rPr>
              <w:t>Nominating and</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EC252A"/>
              </w:rPr>
              <w:t>Social and</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620" w:type="dxa"/>
            <w:vAlign w:val="bottom"/>
          </w:tcPr>
          <w:p>
            <w:pPr>
              <w:jc w:val="center"/>
              <w:ind w:left="336"/>
              <w:spacing w:after="0"/>
              <w:rPr>
                <w:sz w:val="20"/>
                <w:szCs w:val="20"/>
                <w:color w:val="auto"/>
              </w:rPr>
            </w:pPr>
            <w:r>
              <w:rPr>
                <w:rFonts w:ascii="Arial" w:cs="Arial" w:eastAsia="Arial" w:hAnsi="Arial"/>
                <w:sz w:val="16"/>
                <w:szCs w:val="16"/>
                <w:b w:val="1"/>
                <w:bCs w:val="1"/>
                <w:color w:val="EC252A"/>
                <w:w w:val="97"/>
              </w:rPr>
              <w:t>Audit</w:t>
            </w:r>
          </w:p>
        </w:tc>
        <w:tc>
          <w:tcPr>
            <w:tcW w:w="1480" w:type="dxa"/>
            <w:vAlign w:val="bottom"/>
          </w:tcPr>
          <w:p>
            <w:pPr>
              <w:jc w:val="center"/>
              <w:ind w:right="19"/>
              <w:spacing w:after="0"/>
              <w:rPr>
                <w:sz w:val="20"/>
                <w:szCs w:val="20"/>
                <w:color w:val="auto"/>
              </w:rPr>
            </w:pPr>
            <w:r>
              <w:rPr>
                <w:rFonts w:ascii="Arial" w:cs="Arial" w:eastAsia="Arial" w:hAnsi="Arial"/>
                <w:sz w:val="16"/>
                <w:szCs w:val="16"/>
                <w:b w:val="1"/>
                <w:bCs w:val="1"/>
                <w:color w:val="EC252A"/>
              </w:rPr>
              <w:t>Management</w:t>
            </w:r>
          </w:p>
        </w:tc>
        <w:tc>
          <w:tcPr>
            <w:tcW w:w="106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EC252A"/>
              </w:rPr>
              <w:t>Corporate Governance</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EC252A"/>
              </w:rPr>
              <w:t>Governance</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1620" w:type="dxa"/>
            <w:vAlign w:val="bottom"/>
          </w:tcPr>
          <w:p>
            <w:pPr>
              <w:jc w:val="center"/>
              <w:ind w:left="376"/>
              <w:spacing w:after="0"/>
              <w:rPr>
                <w:sz w:val="20"/>
                <w:szCs w:val="20"/>
                <w:color w:val="auto"/>
              </w:rPr>
            </w:pPr>
            <w:r>
              <w:rPr>
                <w:rFonts w:ascii="Arial" w:cs="Arial" w:eastAsia="Arial" w:hAnsi="Arial"/>
                <w:sz w:val="16"/>
                <w:szCs w:val="16"/>
                <w:b w:val="1"/>
                <w:bCs w:val="1"/>
                <w:color w:val="EC252A"/>
              </w:rPr>
              <w:t>Committee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EC252A"/>
                <w:w w:val="99"/>
              </w:rPr>
              <w:t>Committee</w:t>
            </w:r>
          </w:p>
        </w:tc>
        <w:tc>
          <w:tcPr>
            <w:tcW w:w="1060" w:type="dxa"/>
            <w:vAlign w:val="bottom"/>
          </w:tcPr>
          <w:p>
            <w:pPr>
              <w:ind w:left="60"/>
              <w:spacing w:after="0"/>
              <w:rPr>
                <w:sz w:val="20"/>
                <w:szCs w:val="20"/>
                <w:color w:val="auto"/>
              </w:rPr>
            </w:pPr>
            <w:r>
              <w:rPr>
                <w:rFonts w:ascii="Arial" w:cs="Arial" w:eastAsia="Arial" w:hAnsi="Arial"/>
                <w:sz w:val="16"/>
                <w:szCs w:val="16"/>
                <w:b w:val="1"/>
                <w:bCs w:val="1"/>
                <w:color w:val="EC252A"/>
              </w:rPr>
              <w:t>Foundation</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EC252A"/>
              </w:rPr>
              <w:t>Committee</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EC252A"/>
              </w:rPr>
              <w:t>Sub-Committee</w:t>
            </w:r>
          </w:p>
        </w:tc>
        <w:tc>
          <w:tcPr>
            <w:tcW w:w="0" w:type="dxa"/>
            <w:vAlign w:val="bottom"/>
          </w:tcPr>
          <w:p>
            <w:pPr>
              <w:spacing w:after="0"/>
              <w:rPr>
                <w:sz w:val="1"/>
                <w:szCs w:val="1"/>
                <w:color w:val="auto"/>
              </w:rPr>
            </w:pPr>
          </w:p>
        </w:tc>
      </w:tr>
      <w:tr>
        <w:trPr>
          <w:trHeight w:val="129"/>
        </w:trPr>
        <w:tc>
          <w:tcPr>
            <w:tcW w:w="1800" w:type="dxa"/>
            <w:vAlign w:val="bottom"/>
            <w:tcBorders>
              <w:bottom w:val="single" w:sz="8" w:color="EC252A"/>
            </w:tcBorders>
          </w:tcPr>
          <w:p>
            <w:pPr>
              <w:spacing w:after="0"/>
              <w:rPr>
                <w:sz w:val="11"/>
                <w:szCs w:val="11"/>
                <w:color w:val="auto"/>
              </w:rPr>
            </w:pPr>
          </w:p>
        </w:tc>
        <w:tc>
          <w:tcPr>
            <w:tcW w:w="1620" w:type="dxa"/>
            <w:vAlign w:val="bottom"/>
            <w:tcBorders>
              <w:bottom w:val="single" w:sz="8" w:color="EC252A"/>
            </w:tcBorders>
          </w:tcPr>
          <w:p>
            <w:pPr>
              <w:spacing w:after="0"/>
              <w:rPr>
                <w:sz w:val="11"/>
                <w:szCs w:val="11"/>
                <w:color w:val="auto"/>
              </w:rPr>
            </w:pPr>
          </w:p>
        </w:tc>
        <w:tc>
          <w:tcPr>
            <w:tcW w:w="1480" w:type="dxa"/>
            <w:vAlign w:val="bottom"/>
            <w:tcBorders>
              <w:bottom w:val="single" w:sz="8" w:color="EC252A"/>
            </w:tcBorders>
          </w:tcPr>
          <w:p>
            <w:pPr>
              <w:spacing w:after="0"/>
              <w:rPr>
                <w:sz w:val="11"/>
                <w:szCs w:val="11"/>
                <w:color w:val="auto"/>
              </w:rPr>
            </w:pPr>
          </w:p>
        </w:tc>
        <w:tc>
          <w:tcPr>
            <w:tcW w:w="1060" w:type="dxa"/>
            <w:vAlign w:val="bottom"/>
            <w:tcBorders>
              <w:bottom w:val="single" w:sz="8" w:color="EC252A"/>
            </w:tcBorders>
          </w:tcPr>
          <w:p>
            <w:pPr>
              <w:spacing w:after="0"/>
              <w:rPr>
                <w:sz w:val="11"/>
                <w:szCs w:val="11"/>
                <w:color w:val="auto"/>
              </w:rPr>
            </w:pPr>
          </w:p>
        </w:tc>
        <w:tc>
          <w:tcPr>
            <w:tcW w:w="2040" w:type="dxa"/>
            <w:vAlign w:val="bottom"/>
            <w:tcBorders>
              <w:bottom w:val="single" w:sz="8" w:color="EC252A"/>
            </w:tcBorders>
          </w:tcPr>
          <w:p>
            <w:pPr>
              <w:spacing w:after="0"/>
              <w:rPr>
                <w:sz w:val="11"/>
                <w:szCs w:val="11"/>
                <w:color w:val="auto"/>
              </w:rPr>
            </w:pPr>
          </w:p>
        </w:tc>
        <w:tc>
          <w:tcPr>
            <w:tcW w:w="1540" w:type="dxa"/>
            <w:vAlign w:val="bottom"/>
            <w:tcBorders>
              <w:bottom w:val="single" w:sz="8" w:color="EC252A"/>
            </w:tcBorders>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1800" w:type="dxa"/>
            <w:vAlign w:val="bottom"/>
          </w:tcPr>
          <w:p>
            <w:pPr>
              <w:ind w:left="20"/>
              <w:spacing w:after="0"/>
              <w:rPr>
                <w:sz w:val="20"/>
                <w:szCs w:val="20"/>
                <w:color w:val="auto"/>
              </w:rPr>
            </w:pPr>
            <w:r>
              <w:rPr>
                <w:rFonts w:ascii="Arial" w:cs="Arial" w:eastAsia="Arial" w:hAnsi="Arial"/>
                <w:sz w:val="18"/>
                <w:szCs w:val="18"/>
                <w:color w:val="auto"/>
              </w:rPr>
              <w:t>Lee C. Banks</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8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1800" w:type="dxa"/>
            <w:vAlign w:val="bottom"/>
          </w:tcPr>
          <w:p>
            <w:pPr>
              <w:ind w:left="20"/>
              <w:spacing w:after="0"/>
              <w:rPr>
                <w:sz w:val="20"/>
                <w:szCs w:val="20"/>
                <w:color w:val="auto"/>
              </w:rPr>
            </w:pPr>
            <w:r>
              <w:rPr>
                <w:rFonts w:ascii="Arial" w:cs="Arial" w:eastAsia="Arial" w:hAnsi="Arial"/>
                <w:sz w:val="18"/>
                <w:szCs w:val="18"/>
                <w:color w:val="auto"/>
              </w:rPr>
              <w:t>Lee B. Foster II</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8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1800" w:type="dxa"/>
            <w:vAlign w:val="bottom"/>
          </w:tcPr>
          <w:p>
            <w:pPr>
              <w:ind w:left="20"/>
              <w:spacing w:after="0"/>
              <w:rPr>
                <w:sz w:val="20"/>
                <w:szCs w:val="20"/>
                <w:color w:val="auto"/>
              </w:rPr>
            </w:pPr>
            <w:r>
              <w:rPr>
                <w:rFonts w:ascii="Arial" w:cs="Arial" w:eastAsia="Arial" w:hAnsi="Arial"/>
                <w:sz w:val="18"/>
                <w:szCs w:val="18"/>
                <w:color w:val="auto"/>
              </w:rPr>
              <w:t>Byron Foster</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8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1800" w:type="dxa"/>
            <w:vAlign w:val="bottom"/>
          </w:tcPr>
          <w:p>
            <w:pPr>
              <w:ind w:left="20"/>
              <w:spacing w:after="0"/>
              <w:rPr>
                <w:sz w:val="20"/>
                <w:szCs w:val="20"/>
                <w:color w:val="auto"/>
              </w:rPr>
            </w:pPr>
            <w:r>
              <w:rPr>
                <w:rFonts w:ascii="Arial" w:cs="Arial" w:eastAsia="Arial" w:hAnsi="Arial"/>
                <w:sz w:val="18"/>
                <w:szCs w:val="18"/>
                <w:color w:val="auto"/>
              </w:rPr>
              <w:t>Linda A. Harty</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8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1800" w:type="dxa"/>
            <w:vAlign w:val="bottom"/>
          </w:tcPr>
          <w:p>
            <w:pPr>
              <w:ind w:left="20"/>
              <w:spacing w:after="0"/>
              <w:rPr>
                <w:sz w:val="20"/>
                <w:szCs w:val="20"/>
                <w:color w:val="auto"/>
              </w:rPr>
            </w:pPr>
            <w:r>
              <w:rPr>
                <w:rFonts w:ascii="Arial" w:cs="Arial" w:eastAsia="Arial" w:hAnsi="Arial"/>
                <w:sz w:val="18"/>
                <w:szCs w:val="18"/>
                <w:color w:val="auto"/>
              </w:rPr>
              <w:t>Brian P. Hehir</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8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1800" w:type="dxa"/>
            <w:vAlign w:val="bottom"/>
          </w:tcPr>
          <w:p>
            <w:pPr>
              <w:ind w:left="20"/>
              <w:spacing w:after="0"/>
              <w:rPr>
                <w:sz w:val="20"/>
                <w:szCs w:val="20"/>
                <w:color w:val="auto"/>
              </w:rPr>
            </w:pPr>
            <w:r>
              <w:rPr>
                <w:rFonts w:ascii="Arial" w:cs="Arial" w:eastAsia="Arial" w:hAnsi="Arial"/>
                <w:sz w:val="18"/>
                <w:szCs w:val="18"/>
                <w:color w:val="auto"/>
              </w:rPr>
              <w:t>Michael W. D. Howell</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8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1800" w:type="dxa"/>
            <w:vAlign w:val="bottom"/>
          </w:tcPr>
          <w:p>
            <w:pPr>
              <w:ind w:left="20"/>
              <w:spacing w:after="0"/>
              <w:rPr>
                <w:sz w:val="20"/>
                <w:szCs w:val="20"/>
                <w:color w:val="auto"/>
              </w:rPr>
            </w:pPr>
            <w:r>
              <w:rPr>
                <w:rFonts w:ascii="Arial" w:cs="Arial" w:eastAsia="Arial" w:hAnsi="Arial"/>
                <w:sz w:val="18"/>
                <w:szCs w:val="18"/>
                <w:color w:val="auto"/>
              </w:rPr>
              <w:t>William E. Kassling</w:t>
            </w:r>
          </w:p>
        </w:tc>
        <w:tc>
          <w:tcPr>
            <w:tcW w:w="1620" w:type="dxa"/>
            <w:vAlign w:val="bottom"/>
          </w:tcPr>
          <w:p>
            <w:pPr>
              <w:ind w:left="8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8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2"/>
        </w:trPr>
        <w:tc>
          <w:tcPr>
            <w:tcW w:w="1800" w:type="dxa"/>
            <w:vAlign w:val="bottom"/>
          </w:tcPr>
          <w:p>
            <w:pPr>
              <w:ind w:left="20"/>
              <w:spacing w:after="0"/>
              <w:rPr>
                <w:sz w:val="20"/>
                <w:szCs w:val="20"/>
                <w:color w:val="auto"/>
              </w:rPr>
            </w:pPr>
            <w:r>
              <w:rPr>
                <w:rFonts w:ascii="Arial" w:cs="Arial" w:eastAsia="Arial" w:hAnsi="Arial"/>
                <w:sz w:val="18"/>
                <w:szCs w:val="18"/>
                <w:color w:val="auto"/>
              </w:rPr>
              <w:t>Ann R. Klee</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8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1800" w:type="dxa"/>
            <w:vAlign w:val="bottom"/>
          </w:tcPr>
          <w:p>
            <w:pPr>
              <w:ind w:left="20"/>
              <w:spacing w:after="0"/>
              <w:rPr>
                <w:sz w:val="20"/>
                <w:szCs w:val="20"/>
                <w:color w:val="auto"/>
              </w:rPr>
            </w:pPr>
            <w:r>
              <w:rPr>
                <w:rFonts w:ascii="Arial" w:cs="Arial" w:eastAsia="Arial" w:hAnsi="Arial"/>
                <w:sz w:val="18"/>
                <w:szCs w:val="18"/>
                <w:color w:val="auto"/>
              </w:rPr>
              <w:t>Albert J. Neupaver</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8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2"/>
        </w:trPr>
        <w:tc>
          <w:tcPr>
            <w:tcW w:w="1800" w:type="dxa"/>
            <w:vAlign w:val="bottom"/>
          </w:tcPr>
          <w:p>
            <w:pPr>
              <w:ind w:left="20"/>
              <w:spacing w:after="0"/>
              <w:rPr>
                <w:sz w:val="20"/>
                <w:szCs w:val="20"/>
                <w:color w:val="auto"/>
              </w:rPr>
            </w:pPr>
            <w:r>
              <w:rPr>
                <w:rFonts w:ascii="Arial" w:cs="Arial" w:eastAsia="Arial" w:hAnsi="Arial"/>
                <w:sz w:val="18"/>
                <w:szCs w:val="18"/>
                <w:color w:val="auto"/>
              </w:rPr>
              <w:t>Rafael Santana</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420" w:type="dxa"/>
            <w:vAlign w:val="bottom"/>
            <w:tcBorders>
              <w:bottom w:val="single" w:sz="8" w:color="EC252A"/>
            </w:tcBorders>
            <w:gridSpan w:val="2"/>
          </w:tcPr>
          <w:p>
            <w:pPr>
              <w:spacing w:after="0"/>
              <w:rPr>
                <w:sz w:val="3"/>
                <w:szCs w:val="3"/>
                <w:color w:val="auto"/>
              </w:rPr>
            </w:pPr>
          </w:p>
        </w:tc>
        <w:tc>
          <w:tcPr>
            <w:tcW w:w="1480" w:type="dxa"/>
            <w:vAlign w:val="bottom"/>
            <w:tcBorders>
              <w:bottom w:val="single" w:sz="8" w:color="EC252A"/>
            </w:tcBorders>
          </w:tcPr>
          <w:p>
            <w:pPr>
              <w:spacing w:after="0"/>
              <w:rPr>
                <w:sz w:val="3"/>
                <w:szCs w:val="3"/>
                <w:color w:val="auto"/>
              </w:rPr>
            </w:pPr>
          </w:p>
        </w:tc>
        <w:tc>
          <w:tcPr>
            <w:tcW w:w="1060" w:type="dxa"/>
            <w:vAlign w:val="bottom"/>
            <w:tcBorders>
              <w:bottom w:val="single" w:sz="8" w:color="EC252A"/>
            </w:tcBorders>
          </w:tcPr>
          <w:p>
            <w:pPr>
              <w:spacing w:after="0"/>
              <w:rPr>
                <w:sz w:val="3"/>
                <w:szCs w:val="3"/>
                <w:color w:val="auto"/>
              </w:rPr>
            </w:pPr>
          </w:p>
        </w:tc>
        <w:tc>
          <w:tcPr>
            <w:tcW w:w="2040" w:type="dxa"/>
            <w:vAlign w:val="bottom"/>
            <w:tcBorders>
              <w:bottom w:val="single" w:sz="8" w:color="EC252A"/>
            </w:tcBorders>
          </w:tcPr>
          <w:p>
            <w:pPr>
              <w:spacing w:after="0"/>
              <w:rPr>
                <w:sz w:val="3"/>
                <w:szCs w:val="3"/>
                <w:color w:val="auto"/>
              </w:rPr>
            </w:pPr>
          </w:p>
        </w:tc>
        <w:tc>
          <w:tcPr>
            <w:tcW w:w="1540" w:type="dxa"/>
            <w:vAlign w:val="bottom"/>
            <w:tcBorders>
              <w:bottom w:val="single" w:sz="8" w:color="EC252A"/>
            </w:tcBorders>
          </w:tcPr>
          <w:p>
            <w:pPr>
              <w:spacing w:after="0"/>
              <w:rPr>
                <w:sz w:val="3"/>
                <w:szCs w:val="3"/>
                <w:color w:val="auto"/>
              </w:rPr>
            </w:pPr>
          </w:p>
        </w:tc>
        <w:tc>
          <w:tcPr>
            <w:tcW w:w="0" w:type="dxa"/>
            <w:vAlign w:val="bottom"/>
          </w:tcPr>
          <w:p>
            <w:pPr>
              <w:spacing w:after="0"/>
              <w:rPr>
                <w:sz w:val="1"/>
                <w:szCs w:val="1"/>
                <w:color w:val="auto"/>
              </w:rPr>
            </w:pPr>
          </w:p>
        </w:tc>
      </w:tr>
      <w:tr>
        <w:trPr>
          <w:trHeight w:val="464"/>
        </w:trPr>
        <w:tc>
          <w:tcPr>
            <w:tcW w:w="3420" w:type="dxa"/>
            <w:vAlign w:val="bottom"/>
            <w:gridSpan w:val="2"/>
          </w:tcPr>
          <w:p>
            <w:pPr>
              <w:ind w:left="600"/>
              <w:spacing w:after="0"/>
              <w:rPr>
                <w:sz w:val="20"/>
                <w:szCs w:val="20"/>
                <w:color w:val="auto"/>
              </w:rPr>
            </w:pPr>
            <w:r>
              <w:rPr>
                <w:rFonts w:ascii="Arial" w:cs="Arial" w:eastAsia="Arial" w:hAnsi="Arial"/>
                <w:sz w:val="16"/>
                <w:szCs w:val="16"/>
                <w:color w:val="auto"/>
              </w:rPr>
              <w:t>= Independent Director</w:t>
            </w:r>
          </w:p>
        </w:tc>
        <w:tc>
          <w:tcPr>
            <w:tcW w:w="1480" w:type="dxa"/>
            <w:vAlign w:val="bottom"/>
          </w:tcPr>
          <w:p>
            <w:pPr>
              <w:ind w:left="380"/>
              <w:spacing w:after="0"/>
              <w:rPr>
                <w:sz w:val="20"/>
                <w:szCs w:val="20"/>
                <w:color w:val="auto"/>
              </w:rPr>
            </w:pPr>
            <w:r>
              <w:rPr>
                <w:rFonts w:ascii="Arial" w:cs="Arial" w:eastAsia="Arial" w:hAnsi="Arial"/>
                <w:sz w:val="16"/>
                <w:szCs w:val="16"/>
                <w:color w:val="auto"/>
              </w:rPr>
              <w:t>= Chairperson</w:t>
            </w:r>
          </w:p>
        </w:tc>
        <w:tc>
          <w:tcPr>
            <w:tcW w:w="1060" w:type="dxa"/>
            <w:vAlign w:val="bottom"/>
          </w:tcPr>
          <w:p>
            <w:pPr>
              <w:spacing w:after="0"/>
              <w:rPr>
                <w:sz w:val="24"/>
                <w:szCs w:val="24"/>
                <w:color w:val="auto"/>
              </w:rPr>
            </w:pPr>
          </w:p>
        </w:tc>
        <w:tc>
          <w:tcPr>
            <w:tcW w:w="2040" w:type="dxa"/>
            <w:vAlign w:val="bottom"/>
          </w:tcPr>
          <w:p>
            <w:pPr>
              <w:ind w:left="1060"/>
              <w:spacing w:after="0"/>
              <w:rPr>
                <w:sz w:val="20"/>
                <w:szCs w:val="20"/>
                <w:color w:val="auto"/>
              </w:rPr>
            </w:pPr>
            <w:r>
              <w:rPr>
                <w:rFonts w:ascii="Arial" w:cs="Arial" w:eastAsia="Arial" w:hAnsi="Arial"/>
                <w:sz w:val="16"/>
                <w:szCs w:val="16"/>
                <w:color w:val="auto"/>
              </w:rPr>
              <w:t>= Member</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420" w:type="dxa"/>
            <w:vAlign w:val="bottom"/>
            <w:gridSpan w:val="2"/>
          </w:tcPr>
          <w:p>
            <w:pPr>
              <w:ind w:left="580"/>
              <w:spacing w:after="0"/>
              <w:rPr>
                <w:sz w:val="20"/>
                <w:szCs w:val="20"/>
                <w:color w:val="auto"/>
              </w:rPr>
            </w:pPr>
            <w:r>
              <w:rPr>
                <w:rFonts w:ascii="Arial" w:cs="Arial" w:eastAsia="Arial" w:hAnsi="Arial"/>
                <w:sz w:val="16"/>
                <w:szCs w:val="16"/>
                <w:color w:val="auto"/>
              </w:rPr>
              <w:t>= Lead Independent Director</w:t>
            </w:r>
          </w:p>
        </w:tc>
        <w:tc>
          <w:tcPr>
            <w:tcW w:w="2540" w:type="dxa"/>
            <w:vAlign w:val="bottom"/>
            <w:gridSpan w:val="2"/>
          </w:tcPr>
          <w:p>
            <w:pPr>
              <w:ind w:left="340"/>
              <w:spacing w:after="0"/>
              <w:rPr>
                <w:sz w:val="20"/>
                <w:szCs w:val="20"/>
                <w:color w:val="auto"/>
              </w:rPr>
            </w:pPr>
            <w:r>
              <w:rPr>
                <w:rFonts w:ascii="Arial" w:cs="Arial" w:eastAsia="Arial" w:hAnsi="Arial"/>
                <w:sz w:val="16"/>
                <w:szCs w:val="16"/>
                <w:color w:val="auto"/>
              </w:rPr>
              <w:t>= Audit Committee</w:t>
            </w:r>
          </w:p>
        </w:tc>
        <w:tc>
          <w:tcPr>
            <w:tcW w:w="3580" w:type="dxa"/>
            <w:vAlign w:val="bottom"/>
            <w:gridSpan w:val="2"/>
            <w:vMerge w:val="restart"/>
          </w:tcPr>
          <w:p>
            <w:pPr>
              <w:ind w:left="860"/>
              <w:spacing w:after="0"/>
              <w:rPr>
                <w:sz w:val="20"/>
                <w:szCs w:val="20"/>
                <w:color w:val="auto"/>
              </w:rPr>
            </w:pPr>
            <w:r>
              <w:rPr>
                <w:rFonts w:ascii="Arial" w:cs="Arial" w:eastAsia="Arial" w:hAnsi="Arial"/>
                <w:sz w:val="16"/>
                <w:szCs w:val="16"/>
                <w:color w:val="auto"/>
              </w:rPr>
              <w:t>= Chair of the Board</w:t>
            </w: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540" w:type="dxa"/>
            <w:vAlign w:val="bottom"/>
            <w:gridSpan w:val="2"/>
          </w:tcPr>
          <w:p>
            <w:pPr>
              <w:ind w:left="460"/>
              <w:spacing w:after="0"/>
              <w:rPr>
                <w:sz w:val="20"/>
                <w:szCs w:val="20"/>
                <w:color w:val="auto"/>
              </w:rPr>
            </w:pPr>
            <w:r>
              <w:rPr>
                <w:rFonts w:ascii="Arial" w:cs="Arial" w:eastAsia="Arial" w:hAnsi="Arial"/>
                <w:sz w:val="16"/>
                <w:szCs w:val="16"/>
                <w:color w:val="auto"/>
              </w:rPr>
              <w:t>Financial Expert</w:t>
            </w:r>
          </w:p>
        </w:tc>
        <w:tc>
          <w:tcPr>
            <w:tcW w:w="3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-4010660</wp:posOffset>
            </wp:positionV>
            <wp:extent cx="59690" cy="1111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-4027805</wp:posOffset>
            </wp:positionV>
            <wp:extent cx="14541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-4027805</wp:posOffset>
            </wp:positionV>
            <wp:extent cx="14605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-3658870</wp:posOffset>
            </wp:positionV>
            <wp:extent cx="59690"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-3676015</wp:posOffset>
            </wp:positionV>
            <wp:extent cx="14605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-3658870</wp:posOffset>
            </wp:positionV>
            <wp:extent cx="94615" cy="111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4615" cy="11112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-3676015</wp:posOffset>
            </wp:positionV>
            <wp:extent cx="14541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-3676015</wp:posOffset>
            </wp:positionV>
            <wp:extent cx="14605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-3658870</wp:posOffset>
            </wp:positionV>
            <wp:extent cx="111125"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-3307715</wp:posOffset>
            </wp:positionV>
            <wp:extent cx="59690" cy="111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-3324860</wp:posOffset>
            </wp:positionV>
            <wp:extent cx="14541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-3324860</wp:posOffset>
            </wp:positionV>
            <wp:extent cx="14541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5972175</wp:posOffset>
            </wp:positionH>
            <wp:positionV relativeFrom="paragraph">
              <wp:posOffset>-3324860</wp:posOffset>
            </wp:positionV>
            <wp:extent cx="14605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-2955925</wp:posOffset>
            </wp:positionV>
            <wp:extent cx="59690" cy="111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11176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-2955925</wp:posOffset>
            </wp:positionV>
            <wp:extent cx="94615" cy="1117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615" cy="11176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-2955925</wp:posOffset>
            </wp:positionV>
            <wp:extent cx="111125" cy="111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-2973070</wp:posOffset>
            </wp:positionV>
            <wp:extent cx="14605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-2604770</wp:posOffset>
            </wp:positionV>
            <wp:extent cx="59690" cy="111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111760"/>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-2604770</wp:posOffset>
            </wp:positionV>
            <wp:extent cx="93980" cy="111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11176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-2621915</wp:posOffset>
            </wp:positionV>
            <wp:extent cx="14541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-2604770</wp:posOffset>
            </wp:positionV>
            <wp:extent cx="111125" cy="1117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-2621915</wp:posOffset>
            </wp:positionV>
            <wp:extent cx="14605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-2252980</wp:posOffset>
            </wp:positionV>
            <wp:extent cx="59690" cy="1117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11176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-2270125</wp:posOffset>
            </wp:positionV>
            <wp:extent cx="14541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-2270125</wp:posOffset>
            </wp:positionV>
            <wp:extent cx="14605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5972175</wp:posOffset>
            </wp:positionH>
            <wp:positionV relativeFrom="paragraph">
              <wp:posOffset>-2270125</wp:posOffset>
            </wp:positionV>
            <wp:extent cx="14605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-1901825</wp:posOffset>
            </wp:positionV>
            <wp:extent cx="60325" cy="1111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11112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-1918970</wp:posOffset>
            </wp:positionV>
            <wp:extent cx="14605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-1550035</wp:posOffset>
            </wp:positionV>
            <wp:extent cx="59690" cy="1111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-1567180</wp:posOffset>
            </wp:positionV>
            <wp:extent cx="14541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-1567180</wp:posOffset>
            </wp:positionV>
            <wp:extent cx="14605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5972175</wp:posOffset>
            </wp:positionH>
            <wp:positionV relativeFrom="paragraph">
              <wp:posOffset>-1550035</wp:posOffset>
            </wp:positionV>
            <wp:extent cx="111125" cy="1111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-1181735</wp:posOffset>
            </wp:positionV>
            <wp:extent cx="102870" cy="939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-1216025</wp:posOffset>
            </wp:positionV>
            <wp:extent cx="14605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-555625</wp:posOffset>
            </wp:positionV>
            <wp:extent cx="59690" cy="1111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-538480</wp:posOffset>
            </wp:positionV>
            <wp:extent cx="111125" cy="111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-555625</wp:posOffset>
            </wp:positionV>
            <wp:extent cx="14605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-264160</wp:posOffset>
            </wp:positionV>
            <wp:extent cx="14541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-264160</wp:posOffset>
            </wp:positionV>
            <wp:extent cx="93980" cy="1111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-127000</wp:posOffset>
            </wp:positionV>
            <wp:extent cx="102870"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pacing w:after="0" w:line="183" w:lineRule="exact"/>
        <w:rPr>
          <w:sz w:val="20"/>
          <w:szCs w:val="20"/>
          <w:color w:val="auto"/>
        </w:rPr>
      </w:pPr>
    </w:p>
    <w:p>
      <w:pPr>
        <w:ind w:left="4480" w:hanging="281"/>
        <w:spacing w:after="0"/>
        <w:tabs>
          <w:tab w:leader="none" w:pos="4480" w:val="left"/>
        </w:tabs>
        <w:numPr>
          <w:ilvl w:val="0"/>
          <w:numId w:val="16"/>
        </w:numPr>
        <w:rPr>
          <w:rFonts w:ascii="Arial" w:cs="Arial" w:eastAsia="Arial" w:hAnsi="Arial"/>
          <w:sz w:val="18"/>
          <w:szCs w:val="18"/>
          <w:color w:val="auto"/>
        </w:rPr>
      </w:pPr>
      <w:r>
        <w:rPr>
          <w:rFonts w:ascii="Arial" w:cs="Arial" w:eastAsia="Arial" w:hAnsi="Arial"/>
          <w:sz w:val="16"/>
          <w:szCs w:val="16"/>
          <w:color w:val="auto"/>
        </w:rPr>
        <w:t>= Vice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2260600</wp:posOffset>
            </wp:positionV>
            <wp:extent cx="58978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100330</wp:posOffset>
            </wp:positionV>
            <wp:extent cx="4483100" cy="18427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83100" cy="184277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2363470</wp:posOffset>
            </wp:positionV>
            <wp:extent cx="471170"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8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40" w:type="dxa"/>
            <w:vAlign w:val="bottom"/>
          </w:tcPr>
          <w:p>
            <w:pPr>
              <w:jc w:val="right"/>
              <w:ind w:right="939"/>
              <w:spacing w:after="0"/>
              <w:rPr>
                <w:sz w:val="20"/>
                <w:szCs w:val="20"/>
                <w:color w:val="auto"/>
              </w:rPr>
            </w:pPr>
            <w:r>
              <w:rPr>
                <w:rFonts w:ascii="Arial" w:cs="Arial" w:eastAsia="Arial" w:hAnsi="Arial"/>
                <w:sz w:val="16"/>
                <w:szCs w:val="16"/>
                <w:b w:val="1"/>
                <w:bCs w:val="1"/>
                <w:color w:val="auto"/>
              </w:rPr>
              <w:t>7</w:t>
            </w:r>
          </w:p>
        </w:tc>
      </w:tr>
      <w:tr>
        <w:trPr>
          <w:trHeight w:val="212"/>
        </w:trPr>
        <w:tc>
          <w:tcPr>
            <w:tcW w:w="7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897880" cy="3429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Proposal 1—Election of Directors</w:t>
      </w:r>
    </w:p>
    <w:p>
      <w:pPr>
        <w:spacing w:after="0" w:line="195" w:lineRule="exact"/>
        <w:rPr>
          <w:sz w:val="20"/>
          <w:szCs w:val="20"/>
          <w:color w:val="auto"/>
        </w:rPr>
      </w:pPr>
    </w:p>
    <w:p>
      <w:pPr>
        <w:ind w:right="40"/>
        <w:spacing w:after="0"/>
        <w:rPr>
          <w:rFonts w:ascii="Arial" w:cs="Arial" w:eastAsia="Arial" w:hAnsi="Arial"/>
          <w:sz w:val="18"/>
          <w:szCs w:val="18"/>
          <w:color w:val="auto"/>
        </w:rPr>
      </w:pPr>
      <w:r>
        <w:rPr>
          <w:rFonts w:ascii="Arial" w:cs="Arial" w:eastAsia="Arial" w:hAnsi="Arial"/>
          <w:sz w:val="18"/>
          <w:szCs w:val="18"/>
          <w:color w:val="auto"/>
        </w:rPr>
        <w:t xml:space="preserve">Wabtec’s Board of Directors currently has ten members. The Board has determined that the number of Directors on the Board shall be no more than thirteen, and no less than seven. The Board is divided into three classes whose terms of office end in successive years. William E. Kassling, Albert J. Neupaver and Ann R. Klee, whose terms of office are expiring, have been nominated to serve for new terms ending in 2025. All nominations were made by the Nominating and Corporate Governance Committee, as further described under “The Nominating and Corporate Governance Committee” on page </w:t>
      </w:r>
      <w:hyperlink w:anchor="page26">
        <w:r>
          <w:rPr>
            <w:rFonts w:ascii="Arial" w:cs="Arial" w:eastAsia="Arial" w:hAnsi="Arial"/>
            <w:sz w:val="18"/>
            <w:szCs w:val="18"/>
            <w:u w:val="single" w:color="auto"/>
            <w:color w:val="0000EE"/>
          </w:rPr>
          <w:t>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approved by the entire Board of Directors. Two of our directors, Mr. Lee Foster and Mr. Howell, are planning to retire in May 2022. The Nominating and Corporate Governance Committee is engaged in an ongoing board refreshment process consistent with the criteria discussed below.</w:t>
      </w:r>
    </w:p>
    <w:p>
      <w:pPr>
        <w:spacing w:after="0" w:line="7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Corporate Governance Guidelines require our directors to possess qualities and skills necessary to oversee the management of Wabtec. The Nominating and Corporate Governance Charter establishes a commitment to find nominees for membership on the Board of Directors who are of the highest possible caliber and are able to provide insightful, intelligent and effective guidance to the management of Wabtec. As part of this process, the Nominating and Corporate Governance Charter requires the Nominating and Corporate Governance Committee to ensure that the Board of Directors consists of individuals from diverse educational and professional experiences and backgrounds who, collectively, provide meaningful counsel to management. Under the Corporate Governance Guidelines, it is the responsibility of the Nominating and Corporate Governance Committee to establish, and from time to time review with the Board, the requisite skills and characteristics for new Board members. In assessing potential nominees, the Nominating and Corporate Governance Committee will take into account the following criteria:</w:t>
      </w:r>
    </w:p>
    <w:p>
      <w:pPr>
        <w:spacing w:after="0" w:line="78" w:lineRule="exact"/>
        <w:rPr>
          <w:sz w:val="20"/>
          <w:szCs w:val="20"/>
          <w:color w:val="auto"/>
        </w:rPr>
      </w:pPr>
    </w:p>
    <w:p>
      <w:pPr>
        <w:ind w:left="720" w:hanging="36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background;</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skill needs;</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personal characteristics;</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diversity, inclusive of gender, race and ethnicity; and</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experience.</w:t>
      </w:r>
    </w:p>
    <w:p>
      <w:pPr>
        <w:spacing w:after="0" w:line="104" w:lineRule="exact"/>
        <w:rPr>
          <w:sz w:val="20"/>
          <w:szCs w:val="20"/>
          <w:color w:val="auto"/>
        </w:rPr>
      </w:pPr>
    </w:p>
    <w:p>
      <w:pPr>
        <w:ind w:right="4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With respect to nomination of continuing directors for re-election, the committee also reviews and considers each nominee’s contributions to the Board. The Nominating and Corporate Governance Committee’s process to recommend qualified director candidates is further described on page </w:t>
      </w:r>
      <w:hyperlink w:anchor="page26">
        <w:r>
          <w:rPr>
            <w:rFonts w:ascii="Arial" w:cs="Arial" w:eastAsia="Arial" w:hAnsi="Arial"/>
            <w:sz w:val="18"/>
            <w:szCs w:val="18"/>
            <w:u w:val="single" w:color="auto"/>
            <w:color w:val="0000EE"/>
          </w:rPr>
          <w:t>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under “The Nominating and Corporate Governance Committee.” As described above, and although the Board does not have a separate diversity policy, the Nominating and Corporate Governance Committee considers diversity as one of a number of factors in identifying nominees for director pursuant to its charter. The Board and the Nominating and Corporate Governance Committee believe it is essential that the Board members represent diverse backgrounds. In considering nominees for director, the Nominating and Corporate Governance Committee conducts inquiries into the background and qualifications of possible candidates and actively recruits qualified individuals. The Nominating and Corporate Governance Committee assesses the effectiveness of its approach as part of the annual review of its charter and the Corporate Governance Guidelines and as part of its annual review of the effectiveness of the Board and each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58978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84"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3220" w:type="dxa"/>
            <w:vAlign w:val="bottom"/>
          </w:tcPr>
          <w:p>
            <w:pPr>
              <w:jc w:val="right"/>
              <w:ind w:right="3064"/>
              <w:spacing w:after="0"/>
              <w:rPr>
                <w:sz w:val="20"/>
                <w:szCs w:val="20"/>
                <w:color w:val="auto"/>
              </w:rPr>
            </w:pPr>
            <w:r>
              <w:rPr>
                <w:rFonts w:ascii="Arial" w:cs="Arial" w:eastAsia="Arial" w:hAnsi="Arial"/>
                <w:sz w:val="15"/>
                <w:szCs w:val="15"/>
                <w:b w:val="1"/>
                <w:bCs w:val="1"/>
                <w:color w:val="auto"/>
                <w:w w:val="71"/>
              </w:rPr>
              <w:t>8</w:t>
            </w:r>
          </w:p>
        </w:tc>
        <w:tc>
          <w:tcPr>
            <w:tcW w:w="3180" w:type="dxa"/>
            <w:vAlign w:val="bottom"/>
            <w:vMerge w:val="restart"/>
          </w:tcPr>
          <w:p>
            <w:pPr>
              <w:ind w:left="312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2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13" w:name="page14"/>
    <w:bookmarkEnd w:id="13"/>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870" w:type="dxa"/>
        <w:tblCellMar>
          <w:top w:w="0" w:type="dxa"/>
          <w:left w:w="0" w:type="dxa"/>
          <w:bottom w:w="0" w:type="dxa"/>
          <w:right w:w="0" w:type="dxa"/>
        </w:tblCellMar>
      </w:tblPr>
      <w:tr>
        <w:trPr>
          <w:trHeight w:val="305"/>
        </w:trPr>
        <w:tc>
          <w:tcPr>
            <w:tcW w:w="2240" w:type="dxa"/>
            <w:vAlign w:val="bottom"/>
            <w:tcBorders>
              <w:top w:val="single" w:sz="8" w:color="EC252A"/>
              <w:left w:val="single" w:sz="8" w:color="EC252A"/>
              <w:right w:val="single" w:sz="8" w:color="EC252A"/>
            </w:tcBorders>
            <w:shd w:val="clear" w:color="auto" w:fill="FEE7DE"/>
          </w:tcPr>
          <w:p>
            <w:pPr>
              <w:spacing w:after="0"/>
              <w:rPr>
                <w:sz w:val="24"/>
                <w:szCs w:val="24"/>
                <w:color w:val="auto"/>
              </w:rPr>
            </w:pPr>
          </w:p>
        </w:tc>
        <w:tc>
          <w:tcPr>
            <w:tcW w:w="920" w:type="dxa"/>
            <w:vAlign w:val="bottom"/>
            <w:tcBorders>
              <w:top w:val="single" w:sz="8" w:color="EC252A"/>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7"/>
              </w:rPr>
              <w:t>Albert</w:t>
            </w:r>
          </w:p>
        </w:tc>
        <w:tc>
          <w:tcPr>
            <w:tcW w:w="660" w:type="dxa"/>
            <w:vAlign w:val="bottom"/>
            <w:tcBorders>
              <w:top w:val="single" w:sz="8" w:color="EC252A"/>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9"/>
              </w:rPr>
              <w:t>Lee</w:t>
            </w:r>
          </w:p>
        </w:tc>
        <w:tc>
          <w:tcPr>
            <w:tcW w:w="640" w:type="dxa"/>
            <w:vAlign w:val="bottom"/>
            <w:tcBorders>
              <w:top w:val="single" w:sz="8" w:color="EC252A"/>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rPr>
              <w:t>Byron</w:t>
            </w:r>
          </w:p>
        </w:tc>
        <w:tc>
          <w:tcPr>
            <w:tcW w:w="640" w:type="dxa"/>
            <w:vAlign w:val="bottom"/>
            <w:tcBorders>
              <w:top w:val="single" w:sz="8" w:color="EC252A"/>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9"/>
              </w:rPr>
              <w:t>Lee</w:t>
            </w:r>
          </w:p>
        </w:tc>
        <w:tc>
          <w:tcPr>
            <w:tcW w:w="580" w:type="dxa"/>
            <w:vAlign w:val="bottom"/>
            <w:tcBorders>
              <w:top w:val="single" w:sz="8" w:color="EC252A"/>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9"/>
              </w:rPr>
              <w:t>Linda</w:t>
            </w:r>
          </w:p>
        </w:tc>
        <w:tc>
          <w:tcPr>
            <w:tcW w:w="600" w:type="dxa"/>
            <w:vAlign w:val="bottom"/>
            <w:tcBorders>
              <w:top w:val="single" w:sz="8" w:color="EC252A"/>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9"/>
              </w:rPr>
              <w:t>Brian</w:t>
            </w:r>
          </w:p>
        </w:tc>
        <w:tc>
          <w:tcPr>
            <w:tcW w:w="760" w:type="dxa"/>
            <w:vAlign w:val="bottom"/>
            <w:tcBorders>
              <w:top w:val="single" w:sz="8" w:color="EC252A"/>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9"/>
              </w:rPr>
              <w:t>Michael</w:t>
            </w:r>
          </w:p>
        </w:tc>
        <w:tc>
          <w:tcPr>
            <w:tcW w:w="860" w:type="dxa"/>
            <w:vAlign w:val="bottom"/>
            <w:tcBorders>
              <w:top w:val="single" w:sz="8" w:color="EC252A"/>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9"/>
              </w:rPr>
              <w:t>William</w:t>
            </w:r>
          </w:p>
        </w:tc>
        <w:tc>
          <w:tcPr>
            <w:tcW w:w="500" w:type="dxa"/>
            <w:vAlign w:val="bottom"/>
            <w:tcBorders>
              <w:top w:val="single" w:sz="8" w:color="EC252A"/>
              <w:right w:val="single" w:sz="8" w:color="EC252A"/>
            </w:tcBorders>
            <w:shd w:val="clear" w:color="auto" w:fill="FEE7DE"/>
          </w:tcPr>
          <w:p>
            <w:pPr>
              <w:jc w:val="center"/>
              <w:ind w:right="10"/>
              <w:spacing w:after="0"/>
              <w:rPr>
                <w:sz w:val="20"/>
                <w:szCs w:val="20"/>
                <w:color w:val="auto"/>
              </w:rPr>
            </w:pPr>
            <w:r>
              <w:rPr>
                <w:rFonts w:ascii="Arial" w:cs="Arial" w:eastAsia="Arial" w:hAnsi="Arial"/>
                <w:sz w:val="18"/>
                <w:szCs w:val="18"/>
                <w:color w:val="EC252A"/>
                <w:w w:val="99"/>
              </w:rPr>
              <w:t>Ann</w:t>
            </w:r>
          </w:p>
        </w:tc>
        <w:tc>
          <w:tcPr>
            <w:tcW w:w="900" w:type="dxa"/>
            <w:vAlign w:val="bottom"/>
            <w:tcBorders>
              <w:top w:val="single" w:sz="8" w:color="EC252A"/>
              <w:right w:val="single" w:sz="8" w:color="EC252A"/>
            </w:tcBorders>
            <w:shd w:val="clear" w:color="auto" w:fill="FEE7DE"/>
          </w:tcPr>
          <w:p>
            <w:pPr>
              <w:jc w:val="center"/>
              <w:ind w:right="50"/>
              <w:spacing w:after="0"/>
              <w:rPr>
                <w:sz w:val="20"/>
                <w:szCs w:val="20"/>
                <w:color w:val="auto"/>
              </w:rPr>
            </w:pPr>
            <w:r>
              <w:rPr>
                <w:rFonts w:ascii="Arial" w:cs="Arial" w:eastAsia="Arial" w:hAnsi="Arial"/>
                <w:sz w:val="18"/>
                <w:szCs w:val="18"/>
                <w:color w:val="EC252A"/>
                <w:w w:val="99"/>
              </w:rPr>
              <w:t>Rafael</w:t>
            </w:r>
          </w:p>
        </w:tc>
        <w:tc>
          <w:tcPr>
            <w:tcW w:w="0" w:type="dxa"/>
            <w:vAlign w:val="bottom"/>
          </w:tcPr>
          <w:p>
            <w:pPr>
              <w:spacing w:after="0"/>
              <w:rPr>
                <w:sz w:val="1"/>
                <w:szCs w:val="1"/>
                <w:color w:val="auto"/>
              </w:rPr>
            </w:pPr>
          </w:p>
        </w:tc>
      </w:tr>
      <w:tr>
        <w:trPr>
          <w:trHeight w:val="239"/>
        </w:trPr>
        <w:tc>
          <w:tcPr>
            <w:tcW w:w="2240" w:type="dxa"/>
            <w:vAlign w:val="bottom"/>
            <w:tcBorders>
              <w:left w:val="single" w:sz="8" w:color="EC252A"/>
              <w:right w:val="single" w:sz="8" w:color="EC252A"/>
            </w:tcBorders>
            <w:shd w:val="clear" w:color="auto" w:fill="FEE7DE"/>
          </w:tcPr>
          <w:p>
            <w:pPr>
              <w:ind w:left="160"/>
              <w:spacing w:after="0"/>
              <w:rPr>
                <w:sz w:val="20"/>
                <w:szCs w:val="20"/>
                <w:color w:val="auto"/>
              </w:rPr>
            </w:pPr>
            <w:r>
              <w:rPr>
                <w:rFonts w:ascii="Arial" w:cs="Arial" w:eastAsia="Arial" w:hAnsi="Arial"/>
                <w:sz w:val="18"/>
                <w:szCs w:val="18"/>
                <w:color w:val="EC252A"/>
              </w:rPr>
              <w:t>Board Members</w:t>
            </w:r>
          </w:p>
        </w:tc>
        <w:tc>
          <w:tcPr>
            <w:tcW w:w="920" w:type="dxa"/>
            <w:vAlign w:val="bottom"/>
            <w:tcBorders>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9"/>
              </w:rPr>
              <w:t>Neupaver</w:t>
            </w:r>
          </w:p>
        </w:tc>
        <w:tc>
          <w:tcPr>
            <w:tcW w:w="660" w:type="dxa"/>
            <w:vAlign w:val="bottom"/>
            <w:tcBorders>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9"/>
              </w:rPr>
              <w:t>Banks</w:t>
            </w:r>
          </w:p>
        </w:tc>
        <w:tc>
          <w:tcPr>
            <w:tcW w:w="640" w:type="dxa"/>
            <w:vAlign w:val="bottom"/>
            <w:tcBorders>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rPr>
              <w:t>Foster</w:t>
            </w:r>
          </w:p>
        </w:tc>
        <w:tc>
          <w:tcPr>
            <w:tcW w:w="640" w:type="dxa"/>
            <w:vAlign w:val="bottom"/>
            <w:tcBorders>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7"/>
              </w:rPr>
              <w:t>Foster</w:t>
            </w:r>
          </w:p>
        </w:tc>
        <w:tc>
          <w:tcPr>
            <w:tcW w:w="580" w:type="dxa"/>
            <w:vAlign w:val="bottom"/>
            <w:tcBorders>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rPr>
              <w:t>Harty</w:t>
            </w:r>
          </w:p>
        </w:tc>
        <w:tc>
          <w:tcPr>
            <w:tcW w:w="600" w:type="dxa"/>
            <w:vAlign w:val="bottom"/>
            <w:tcBorders>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rPr>
              <w:t>Hehir</w:t>
            </w:r>
          </w:p>
        </w:tc>
        <w:tc>
          <w:tcPr>
            <w:tcW w:w="760" w:type="dxa"/>
            <w:vAlign w:val="bottom"/>
            <w:tcBorders>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9"/>
              </w:rPr>
              <w:t>Howell</w:t>
            </w:r>
          </w:p>
        </w:tc>
        <w:tc>
          <w:tcPr>
            <w:tcW w:w="860" w:type="dxa"/>
            <w:vAlign w:val="bottom"/>
            <w:tcBorders>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9"/>
              </w:rPr>
              <w:t>Kassling</w:t>
            </w:r>
          </w:p>
        </w:tc>
        <w:tc>
          <w:tcPr>
            <w:tcW w:w="500" w:type="dxa"/>
            <w:vAlign w:val="bottom"/>
            <w:tcBorders>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9"/>
              </w:rPr>
              <w:t>Klee</w:t>
            </w:r>
          </w:p>
        </w:tc>
        <w:tc>
          <w:tcPr>
            <w:tcW w:w="900" w:type="dxa"/>
            <w:vAlign w:val="bottom"/>
            <w:tcBorders>
              <w:right w:val="single" w:sz="8" w:color="EC252A"/>
            </w:tcBorders>
            <w:shd w:val="clear" w:color="auto" w:fill="FEE7DE"/>
          </w:tcPr>
          <w:p>
            <w:pPr>
              <w:jc w:val="center"/>
              <w:spacing w:after="0"/>
              <w:rPr>
                <w:sz w:val="20"/>
                <w:szCs w:val="20"/>
                <w:color w:val="auto"/>
              </w:rPr>
            </w:pPr>
            <w:r>
              <w:rPr>
                <w:rFonts w:ascii="Arial" w:cs="Arial" w:eastAsia="Arial" w:hAnsi="Arial"/>
                <w:sz w:val="18"/>
                <w:szCs w:val="18"/>
                <w:color w:val="EC252A"/>
                <w:w w:val="98"/>
              </w:rPr>
              <w:t>Santana</w:t>
            </w:r>
          </w:p>
        </w:tc>
        <w:tc>
          <w:tcPr>
            <w:tcW w:w="0" w:type="dxa"/>
            <w:vAlign w:val="bottom"/>
          </w:tcPr>
          <w:p>
            <w:pPr>
              <w:spacing w:after="0"/>
              <w:rPr>
                <w:sz w:val="1"/>
                <w:szCs w:val="1"/>
                <w:color w:val="auto"/>
              </w:rPr>
            </w:pPr>
          </w:p>
        </w:tc>
      </w:tr>
      <w:tr>
        <w:trPr>
          <w:trHeight w:val="63"/>
        </w:trPr>
        <w:tc>
          <w:tcPr>
            <w:tcW w:w="2240" w:type="dxa"/>
            <w:vAlign w:val="bottom"/>
            <w:tcBorders>
              <w:left w:val="single" w:sz="8" w:color="EC252A"/>
              <w:bottom w:val="single" w:sz="8" w:color="EC252A"/>
              <w:right w:val="single" w:sz="8" w:color="EC252A"/>
            </w:tcBorders>
            <w:shd w:val="clear" w:color="auto" w:fill="FEE7DE"/>
          </w:tcPr>
          <w:p>
            <w:pPr>
              <w:spacing w:after="0"/>
              <w:rPr>
                <w:sz w:val="5"/>
                <w:szCs w:val="5"/>
                <w:color w:val="auto"/>
              </w:rPr>
            </w:pPr>
          </w:p>
        </w:tc>
        <w:tc>
          <w:tcPr>
            <w:tcW w:w="920" w:type="dxa"/>
            <w:vAlign w:val="bottom"/>
            <w:tcBorders>
              <w:bottom w:val="single" w:sz="8" w:color="EC252A"/>
              <w:right w:val="single" w:sz="8" w:color="EC252A"/>
            </w:tcBorders>
            <w:shd w:val="clear" w:color="auto" w:fill="FEE7DE"/>
          </w:tcPr>
          <w:p>
            <w:pPr>
              <w:spacing w:after="0"/>
              <w:rPr>
                <w:sz w:val="5"/>
                <w:szCs w:val="5"/>
                <w:color w:val="auto"/>
              </w:rPr>
            </w:pPr>
          </w:p>
        </w:tc>
        <w:tc>
          <w:tcPr>
            <w:tcW w:w="660" w:type="dxa"/>
            <w:vAlign w:val="bottom"/>
            <w:tcBorders>
              <w:bottom w:val="single" w:sz="8" w:color="EC252A"/>
              <w:right w:val="single" w:sz="8" w:color="EC252A"/>
            </w:tcBorders>
            <w:shd w:val="clear" w:color="auto" w:fill="FEE7DE"/>
          </w:tcPr>
          <w:p>
            <w:pPr>
              <w:spacing w:after="0"/>
              <w:rPr>
                <w:sz w:val="5"/>
                <w:szCs w:val="5"/>
                <w:color w:val="auto"/>
              </w:rPr>
            </w:pPr>
          </w:p>
        </w:tc>
        <w:tc>
          <w:tcPr>
            <w:tcW w:w="640" w:type="dxa"/>
            <w:vAlign w:val="bottom"/>
            <w:tcBorders>
              <w:bottom w:val="single" w:sz="8" w:color="EC252A"/>
              <w:right w:val="single" w:sz="8" w:color="EC252A"/>
            </w:tcBorders>
            <w:shd w:val="clear" w:color="auto" w:fill="FEE7DE"/>
          </w:tcPr>
          <w:p>
            <w:pPr>
              <w:spacing w:after="0"/>
              <w:rPr>
                <w:sz w:val="5"/>
                <w:szCs w:val="5"/>
                <w:color w:val="auto"/>
              </w:rPr>
            </w:pPr>
          </w:p>
        </w:tc>
        <w:tc>
          <w:tcPr>
            <w:tcW w:w="640" w:type="dxa"/>
            <w:vAlign w:val="bottom"/>
            <w:tcBorders>
              <w:bottom w:val="single" w:sz="8" w:color="EC252A"/>
              <w:right w:val="single" w:sz="8" w:color="EC252A"/>
            </w:tcBorders>
            <w:shd w:val="clear" w:color="auto" w:fill="FEE7DE"/>
          </w:tcPr>
          <w:p>
            <w:pPr>
              <w:spacing w:after="0"/>
              <w:rPr>
                <w:sz w:val="5"/>
                <w:szCs w:val="5"/>
                <w:color w:val="auto"/>
              </w:rPr>
            </w:pPr>
          </w:p>
        </w:tc>
        <w:tc>
          <w:tcPr>
            <w:tcW w:w="580" w:type="dxa"/>
            <w:vAlign w:val="bottom"/>
            <w:tcBorders>
              <w:bottom w:val="single" w:sz="8" w:color="EC252A"/>
              <w:right w:val="single" w:sz="8" w:color="EC252A"/>
            </w:tcBorders>
            <w:shd w:val="clear" w:color="auto" w:fill="FEE7DE"/>
          </w:tcPr>
          <w:p>
            <w:pPr>
              <w:spacing w:after="0"/>
              <w:rPr>
                <w:sz w:val="5"/>
                <w:szCs w:val="5"/>
                <w:color w:val="auto"/>
              </w:rPr>
            </w:pPr>
          </w:p>
        </w:tc>
        <w:tc>
          <w:tcPr>
            <w:tcW w:w="600" w:type="dxa"/>
            <w:vAlign w:val="bottom"/>
            <w:tcBorders>
              <w:bottom w:val="single" w:sz="8" w:color="EC252A"/>
              <w:right w:val="single" w:sz="8" w:color="EC252A"/>
            </w:tcBorders>
            <w:shd w:val="clear" w:color="auto" w:fill="FEE7DE"/>
          </w:tcPr>
          <w:p>
            <w:pPr>
              <w:spacing w:after="0"/>
              <w:rPr>
                <w:sz w:val="5"/>
                <w:szCs w:val="5"/>
                <w:color w:val="auto"/>
              </w:rPr>
            </w:pPr>
          </w:p>
        </w:tc>
        <w:tc>
          <w:tcPr>
            <w:tcW w:w="760" w:type="dxa"/>
            <w:vAlign w:val="bottom"/>
            <w:tcBorders>
              <w:bottom w:val="single" w:sz="8" w:color="EC252A"/>
              <w:right w:val="single" w:sz="8" w:color="EC252A"/>
            </w:tcBorders>
            <w:shd w:val="clear" w:color="auto" w:fill="FEE7DE"/>
          </w:tcPr>
          <w:p>
            <w:pPr>
              <w:spacing w:after="0"/>
              <w:rPr>
                <w:sz w:val="5"/>
                <w:szCs w:val="5"/>
                <w:color w:val="auto"/>
              </w:rPr>
            </w:pPr>
          </w:p>
        </w:tc>
        <w:tc>
          <w:tcPr>
            <w:tcW w:w="860" w:type="dxa"/>
            <w:vAlign w:val="bottom"/>
            <w:tcBorders>
              <w:bottom w:val="single" w:sz="8" w:color="EC252A"/>
              <w:right w:val="single" w:sz="8" w:color="EC252A"/>
            </w:tcBorders>
            <w:shd w:val="clear" w:color="auto" w:fill="FEE7DE"/>
          </w:tcPr>
          <w:p>
            <w:pPr>
              <w:spacing w:after="0"/>
              <w:rPr>
                <w:sz w:val="5"/>
                <w:szCs w:val="5"/>
                <w:color w:val="auto"/>
              </w:rPr>
            </w:pPr>
          </w:p>
        </w:tc>
        <w:tc>
          <w:tcPr>
            <w:tcW w:w="500" w:type="dxa"/>
            <w:vAlign w:val="bottom"/>
            <w:tcBorders>
              <w:bottom w:val="single" w:sz="8" w:color="EC252A"/>
              <w:right w:val="single" w:sz="8" w:color="EC252A"/>
            </w:tcBorders>
            <w:shd w:val="clear" w:color="auto" w:fill="FEE7DE"/>
          </w:tcPr>
          <w:p>
            <w:pPr>
              <w:spacing w:after="0"/>
              <w:rPr>
                <w:sz w:val="5"/>
                <w:szCs w:val="5"/>
                <w:color w:val="auto"/>
              </w:rPr>
            </w:pPr>
          </w:p>
        </w:tc>
        <w:tc>
          <w:tcPr>
            <w:tcW w:w="900" w:type="dxa"/>
            <w:vAlign w:val="bottom"/>
            <w:tcBorders>
              <w:bottom w:val="single" w:sz="8" w:color="EC252A"/>
              <w:right w:val="single" w:sz="8" w:color="EC252A"/>
            </w:tcBorders>
            <w:shd w:val="clear" w:color="auto" w:fill="FEE7D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240" w:type="dxa"/>
            <w:vAlign w:val="bottom"/>
            <w:tcBorders>
              <w:left w:val="single" w:sz="8" w:color="EC252A"/>
              <w:right w:val="single" w:sz="8" w:color="EC252A"/>
            </w:tcBorders>
          </w:tcPr>
          <w:p>
            <w:pPr>
              <w:ind w:left="160"/>
              <w:spacing w:after="0"/>
              <w:rPr>
                <w:sz w:val="20"/>
                <w:szCs w:val="20"/>
                <w:color w:val="auto"/>
              </w:rPr>
            </w:pPr>
            <w:r>
              <w:rPr>
                <w:rFonts w:ascii="Arial" w:cs="Arial" w:eastAsia="Arial" w:hAnsi="Arial"/>
                <w:sz w:val="18"/>
                <w:szCs w:val="18"/>
                <w:color w:val="auto"/>
              </w:rPr>
              <w:t>International</w:t>
            </w:r>
          </w:p>
        </w:tc>
        <w:tc>
          <w:tcPr>
            <w:tcW w:w="920" w:type="dxa"/>
            <w:vAlign w:val="bottom"/>
            <w:tcBorders>
              <w:right w:val="single" w:sz="8" w:color="EC252A"/>
            </w:tcBorders>
          </w:tcPr>
          <w:p>
            <w:pPr>
              <w:spacing w:after="0"/>
              <w:rPr>
                <w:sz w:val="24"/>
                <w:szCs w:val="24"/>
                <w:color w:val="auto"/>
              </w:rPr>
            </w:pPr>
          </w:p>
        </w:tc>
        <w:tc>
          <w:tcPr>
            <w:tcW w:w="660" w:type="dxa"/>
            <w:vAlign w:val="bottom"/>
            <w:tcBorders>
              <w:right w:val="single" w:sz="8" w:color="EC252A"/>
            </w:tcBorders>
          </w:tcPr>
          <w:p>
            <w:pPr>
              <w:spacing w:after="0"/>
              <w:rPr>
                <w:sz w:val="24"/>
                <w:szCs w:val="24"/>
                <w:color w:val="auto"/>
              </w:rPr>
            </w:pPr>
          </w:p>
        </w:tc>
        <w:tc>
          <w:tcPr>
            <w:tcW w:w="64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Borders>
              <w:right w:val="single" w:sz="8" w:color="EC252A"/>
            </w:tcBorders>
          </w:tcPr>
          <w:p>
            <w:pPr>
              <w:spacing w:after="0"/>
              <w:rPr>
                <w:sz w:val="24"/>
                <w:szCs w:val="24"/>
                <w:color w:val="auto"/>
              </w:rPr>
            </w:pPr>
          </w:p>
        </w:tc>
        <w:tc>
          <w:tcPr>
            <w:tcW w:w="580" w:type="dxa"/>
            <w:vAlign w:val="bottom"/>
            <w:tcBorders>
              <w:right w:val="single" w:sz="8" w:color="EC252A"/>
            </w:tcBorders>
          </w:tcPr>
          <w:p>
            <w:pPr>
              <w:spacing w:after="0"/>
              <w:rPr>
                <w:sz w:val="24"/>
                <w:szCs w:val="24"/>
                <w:color w:val="auto"/>
              </w:rPr>
            </w:pPr>
          </w:p>
        </w:tc>
        <w:tc>
          <w:tcPr>
            <w:tcW w:w="600" w:type="dxa"/>
            <w:vAlign w:val="bottom"/>
            <w:tcBorders>
              <w:right w:val="single" w:sz="8" w:color="EC252A"/>
            </w:tcBorders>
          </w:tcPr>
          <w:p>
            <w:pPr>
              <w:spacing w:after="0"/>
              <w:rPr>
                <w:sz w:val="24"/>
                <w:szCs w:val="24"/>
                <w:color w:val="auto"/>
              </w:rPr>
            </w:pPr>
          </w:p>
        </w:tc>
        <w:tc>
          <w:tcPr>
            <w:tcW w:w="7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EC252A"/>
            </w:tcBorders>
          </w:tcPr>
          <w:p>
            <w:pPr>
              <w:spacing w:after="0"/>
              <w:rPr>
                <w:sz w:val="24"/>
                <w:szCs w:val="24"/>
                <w:color w:val="auto"/>
              </w:rPr>
            </w:pPr>
          </w:p>
        </w:tc>
        <w:tc>
          <w:tcPr>
            <w:tcW w:w="500" w:type="dxa"/>
            <w:vAlign w:val="bottom"/>
            <w:tcBorders>
              <w:right w:val="single" w:sz="8" w:color="EC252A"/>
            </w:tcBorders>
          </w:tcPr>
          <w:p>
            <w:pPr>
              <w:spacing w:after="0"/>
              <w:rPr>
                <w:sz w:val="24"/>
                <w:szCs w:val="24"/>
                <w:color w:val="auto"/>
              </w:rPr>
            </w:pPr>
          </w:p>
        </w:tc>
        <w:tc>
          <w:tcPr>
            <w:tcW w:w="9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8"/>
        </w:trPr>
        <w:tc>
          <w:tcPr>
            <w:tcW w:w="2240" w:type="dxa"/>
            <w:vAlign w:val="bottom"/>
            <w:tcBorders>
              <w:left w:val="single" w:sz="8" w:color="EC252A"/>
              <w:bottom w:val="single" w:sz="8" w:color="EC252A"/>
              <w:right w:val="single" w:sz="8" w:color="EC252A"/>
            </w:tcBorders>
          </w:tcPr>
          <w:p>
            <w:pPr>
              <w:spacing w:after="0"/>
              <w:rPr>
                <w:sz w:val="4"/>
                <w:szCs w:val="4"/>
                <w:color w:val="auto"/>
              </w:rPr>
            </w:pPr>
          </w:p>
        </w:tc>
        <w:tc>
          <w:tcPr>
            <w:tcW w:w="920" w:type="dxa"/>
            <w:vAlign w:val="bottom"/>
            <w:tcBorders>
              <w:bottom w:val="single" w:sz="8" w:color="EC252A"/>
              <w:right w:val="single" w:sz="8" w:color="EC252A"/>
            </w:tcBorders>
          </w:tcPr>
          <w:p>
            <w:pPr>
              <w:spacing w:after="0"/>
              <w:rPr>
                <w:sz w:val="4"/>
                <w:szCs w:val="4"/>
                <w:color w:val="auto"/>
              </w:rPr>
            </w:pPr>
          </w:p>
        </w:tc>
        <w:tc>
          <w:tcPr>
            <w:tcW w:w="66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580" w:type="dxa"/>
            <w:vAlign w:val="bottom"/>
            <w:tcBorders>
              <w:bottom w:val="single" w:sz="8" w:color="EC252A"/>
              <w:right w:val="single" w:sz="8" w:color="EC252A"/>
            </w:tcBorders>
          </w:tcPr>
          <w:p>
            <w:pPr>
              <w:spacing w:after="0"/>
              <w:rPr>
                <w:sz w:val="4"/>
                <w:szCs w:val="4"/>
                <w:color w:val="auto"/>
              </w:rPr>
            </w:pPr>
          </w:p>
        </w:tc>
        <w:tc>
          <w:tcPr>
            <w:tcW w:w="600" w:type="dxa"/>
            <w:vAlign w:val="bottom"/>
            <w:tcBorders>
              <w:bottom w:val="single" w:sz="8" w:color="EC252A"/>
              <w:right w:val="single" w:sz="8" w:color="EC252A"/>
            </w:tcBorders>
          </w:tcPr>
          <w:p>
            <w:pPr>
              <w:spacing w:after="0"/>
              <w:rPr>
                <w:sz w:val="4"/>
                <w:szCs w:val="4"/>
                <w:color w:val="auto"/>
              </w:rPr>
            </w:pPr>
          </w:p>
        </w:tc>
        <w:tc>
          <w:tcPr>
            <w:tcW w:w="760" w:type="dxa"/>
            <w:vAlign w:val="bottom"/>
            <w:tcBorders>
              <w:bottom w:val="single" w:sz="8" w:color="EC252A"/>
              <w:right w:val="single" w:sz="8" w:color="EC252A"/>
            </w:tcBorders>
          </w:tcPr>
          <w:p>
            <w:pPr>
              <w:spacing w:after="0"/>
              <w:rPr>
                <w:sz w:val="4"/>
                <w:szCs w:val="4"/>
                <w:color w:val="auto"/>
              </w:rPr>
            </w:pPr>
          </w:p>
        </w:tc>
        <w:tc>
          <w:tcPr>
            <w:tcW w:w="860" w:type="dxa"/>
            <w:vAlign w:val="bottom"/>
            <w:tcBorders>
              <w:bottom w:val="single" w:sz="8" w:color="EC252A"/>
              <w:right w:val="single" w:sz="8" w:color="EC252A"/>
            </w:tcBorders>
          </w:tcPr>
          <w:p>
            <w:pPr>
              <w:spacing w:after="0"/>
              <w:rPr>
                <w:sz w:val="4"/>
                <w:szCs w:val="4"/>
                <w:color w:val="auto"/>
              </w:rPr>
            </w:pPr>
          </w:p>
        </w:tc>
        <w:tc>
          <w:tcPr>
            <w:tcW w:w="500" w:type="dxa"/>
            <w:vAlign w:val="bottom"/>
            <w:tcBorders>
              <w:bottom w:val="single" w:sz="8" w:color="EC252A"/>
              <w:right w:val="single" w:sz="8" w:color="EC252A"/>
            </w:tcBorders>
          </w:tcPr>
          <w:p>
            <w:pPr>
              <w:spacing w:after="0"/>
              <w:rPr>
                <w:sz w:val="4"/>
                <w:szCs w:val="4"/>
                <w:color w:val="auto"/>
              </w:rPr>
            </w:pPr>
          </w:p>
        </w:tc>
        <w:tc>
          <w:tcPr>
            <w:tcW w:w="900" w:type="dxa"/>
            <w:vAlign w:val="bottom"/>
            <w:tcBorders>
              <w:bottom w:val="single" w:sz="8" w:color="EC252A"/>
              <w:right w:val="single" w:sz="8" w:color="EC252A"/>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240" w:type="dxa"/>
            <w:vAlign w:val="bottom"/>
            <w:tcBorders>
              <w:left w:val="single" w:sz="8" w:color="EC252A"/>
              <w:right w:val="single" w:sz="8" w:color="EC252A"/>
            </w:tcBorders>
          </w:tcPr>
          <w:p>
            <w:pPr>
              <w:ind w:left="160"/>
              <w:spacing w:after="0"/>
              <w:rPr>
                <w:sz w:val="20"/>
                <w:szCs w:val="20"/>
                <w:color w:val="auto"/>
              </w:rPr>
            </w:pPr>
            <w:r>
              <w:rPr>
                <w:rFonts w:ascii="Arial" w:cs="Arial" w:eastAsia="Arial" w:hAnsi="Arial"/>
                <w:sz w:val="18"/>
                <w:szCs w:val="18"/>
                <w:color w:val="auto"/>
              </w:rPr>
              <w:t>Technology Experience</w:t>
            </w:r>
          </w:p>
        </w:tc>
        <w:tc>
          <w:tcPr>
            <w:tcW w:w="92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40" w:type="dxa"/>
            <w:vAlign w:val="bottom"/>
            <w:tcBorders>
              <w:right w:val="single" w:sz="8" w:color="EC252A"/>
            </w:tcBorders>
          </w:tcPr>
          <w:p>
            <w:pPr>
              <w:spacing w:after="0"/>
              <w:rPr>
                <w:sz w:val="24"/>
                <w:szCs w:val="24"/>
                <w:color w:val="auto"/>
              </w:rPr>
            </w:pPr>
          </w:p>
        </w:tc>
        <w:tc>
          <w:tcPr>
            <w:tcW w:w="64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right w:val="single" w:sz="8" w:color="EC252A"/>
            </w:tcBorders>
          </w:tcPr>
          <w:p>
            <w:pPr>
              <w:spacing w:after="0"/>
              <w:rPr>
                <w:sz w:val="24"/>
                <w:szCs w:val="24"/>
                <w:color w:val="auto"/>
              </w:rPr>
            </w:pPr>
          </w:p>
        </w:tc>
        <w:tc>
          <w:tcPr>
            <w:tcW w:w="600" w:type="dxa"/>
            <w:vAlign w:val="bottom"/>
            <w:tcBorders>
              <w:right w:val="single" w:sz="8" w:color="EC252A"/>
            </w:tcBorders>
          </w:tcPr>
          <w:p>
            <w:pPr>
              <w:spacing w:after="0"/>
              <w:rPr>
                <w:sz w:val="24"/>
                <w:szCs w:val="24"/>
                <w:color w:val="auto"/>
              </w:rPr>
            </w:pPr>
          </w:p>
        </w:tc>
        <w:tc>
          <w:tcPr>
            <w:tcW w:w="7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Borders>
              <w:right w:val="single" w:sz="8" w:color="EC252A"/>
            </w:tcBorders>
          </w:tcPr>
          <w:p>
            <w:pPr>
              <w:spacing w:after="0"/>
              <w:rPr>
                <w:sz w:val="24"/>
                <w:szCs w:val="24"/>
                <w:color w:val="auto"/>
              </w:rPr>
            </w:pPr>
          </w:p>
        </w:tc>
        <w:tc>
          <w:tcPr>
            <w:tcW w:w="9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8"/>
        </w:trPr>
        <w:tc>
          <w:tcPr>
            <w:tcW w:w="2240" w:type="dxa"/>
            <w:vAlign w:val="bottom"/>
            <w:tcBorders>
              <w:left w:val="single" w:sz="8" w:color="EC252A"/>
              <w:bottom w:val="single" w:sz="8" w:color="EC252A"/>
              <w:right w:val="single" w:sz="8" w:color="EC252A"/>
            </w:tcBorders>
          </w:tcPr>
          <w:p>
            <w:pPr>
              <w:spacing w:after="0"/>
              <w:rPr>
                <w:sz w:val="4"/>
                <w:szCs w:val="4"/>
                <w:color w:val="auto"/>
              </w:rPr>
            </w:pPr>
          </w:p>
        </w:tc>
        <w:tc>
          <w:tcPr>
            <w:tcW w:w="920" w:type="dxa"/>
            <w:vAlign w:val="bottom"/>
            <w:tcBorders>
              <w:bottom w:val="single" w:sz="8" w:color="EC252A"/>
              <w:right w:val="single" w:sz="8" w:color="EC252A"/>
            </w:tcBorders>
          </w:tcPr>
          <w:p>
            <w:pPr>
              <w:spacing w:after="0"/>
              <w:rPr>
                <w:sz w:val="4"/>
                <w:szCs w:val="4"/>
                <w:color w:val="auto"/>
              </w:rPr>
            </w:pPr>
          </w:p>
        </w:tc>
        <w:tc>
          <w:tcPr>
            <w:tcW w:w="66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580" w:type="dxa"/>
            <w:vAlign w:val="bottom"/>
            <w:tcBorders>
              <w:bottom w:val="single" w:sz="8" w:color="EC252A"/>
              <w:right w:val="single" w:sz="8" w:color="EC252A"/>
            </w:tcBorders>
          </w:tcPr>
          <w:p>
            <w:pPr>
              <w:spacing w:after="0"/>
              <w:rPr>
                <w:sz w:val="4"/>
                <w:szCs w:val="4"/>
                <w:color w:val="auto"/>
              </w:rPr>
            </w:pPr>
          </w:p>
        </w:tc>
        <w:tc>
          <w:tcPr>
            <w:tcW w:w="600" w:type="dxa"/>
            <w:vAlign w:val="bottom"/>
            <w:tcBorders>
              <w:bottom w:val="single" w:sz="8" w:color="EC252A"/>
              <w:right w:val="single" w:sz="8" w:color="EC252A"/>
            </w:tcBorders>
          </w:tcPr>
          <w:p>
            <w:pPr>
              <w:spacing w:after="0"/>
              <w:rPr>
                <w:sz w:val="4"/>
                <w:szCs w:val="4"/>
                <w:color w:val="auto"/>
              </w:rPr>
            </w:pPr>
          </w:p>
        </w:tc>
        <w:tc>
          <w:tcPr>
            <w:tcW w:w="760" w:type="dxa"/>
            <w:vAlign w:val="bottom"/>
            <w:tcBorders>
              <w:bottom w:val="single" w:sz="8" w:color="EC252A"/>
              <w:right w:val="single" w:sz="8" w:color="EC252A"/>
            </w:tcBorders>
          </w:tcPr>
          <w:p>
            <w:pPr>
              <w:spacing w:after="0"/>
              <w:rPr>
                <w:sz w:val="4"/>
                <w:szCs w:val="4"/>
                <w:color w:val="auto"/>
              </w:rPr>
            </w:pPr>
          </w:p>
        </w:tc>
        <w:tc>
          <w:tcPr>
            <w:tcW w:w="860" w:type="dxa"/>
            <w:vAlign w:val="bottom"/>
            <w:tcBorders>
              <w:bottom w:val="single" w:sz="8" w:color="EC252A"/>
              <w:right w:val="single" w:sz="8" w:color="EC252A"/>
            </w:tcBorders>
          </w:tcPr>
          <w:p>
            <w:pPr>
              <w:spacing w:after="0"/>
              <w:rPr>
                <w:sz w:val="4"/>
                <w:szCs w:val="4"/>
                <w:color w:val="auto"/>
              </w:rPr>
            </w:pPr>
          </w:p>
        </w:tc>
        <w:tc>
          <w:tcPr>
            <w:tcW w:w="500" w:type="dxa"/>
            <w:vAlign w:val="bottom"/>
            <w:tcBorders>
              <w:bottom w:val="single" w:sz="8" w:color="EC252A"/>
              <w:right w:val="single" w:sz="8" w:color="EC252A"/>
            </w:tcBorders>
          </w:tcPr>
          <w:p>
            <w:pPr>
              <w:spacing w:after="0"/>
              <w:rPr>
                <w:sz w:val="4"/>
                <w:szCs w:val="4"/>
                <w:color w:val="auto"/>
              </w:rPr>
            </w:pPr>
          </w:p>
        </w:tc>
        <w:tc>
          <w:tcPr>
            <w:tcW w:w="900" w:type="dxa"/>
            <w:vAlign w:val="bottom"/>
            <w:tcBorders>
              <w:bottom w:val="single" w:sz="8" w:color="EC252A"/>
              <w:right w:val="single" w:sz="8" w:color="EC252A"/>
            </w:tcBorders>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240" w:type="dxa"/>
            <w:vAlign w:val="bottom"/>
            <w:tcBorders>
              <w:left w:val="single" w:sz="8" w:color="EC252A"/>
              <w:right w:val="single" w:sz="8" w:color="EC252A"/>
            </w:tcBorders>
          </w:tcPr>
          <w:p>
            <w:pPr>
              <w:ind w:left="160"/>
              <w:spacing w:after="0"/>
              <w:rPr>
                <w:sz w:val="20"/>
                <w:szCs w:val="20"/>
                <w:color w:val="auto"/>
              </w:rPr>
            </w:pPr>
            <w:r>
              <w:rPr>
                <w:rFonts w:ascii="Arial" w:cs="Arial" w:eastAsia="Arial" w:hAnsi="Arial"/>
                <w:sz w:val="18"/>
                <w:szCs w:val="18"/>
                <w:color w:val="auto"/>
              </w:rPr>
              <w:t>Rail Industry</w:t>
            </w:r>
          </w:p>
        </w:tc>
        <w:tc>
          <w:tcPr>
            <w:tcW w:w="92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right w:val="single" w:sz="8" w:color="EC252A"/>
            </w:tcBorders>
          </w:tcPr>
          <w:p>
            <w:pPr>
              <w:spacing w:after="0"/>
              <w:rPr>
                <w:sz w:val="24"/>
                <w:szCs w:val="24"/>
                <w:color w:val="auto"/>
              </w:rPr>
            </w:pPr>
          </w:p>
        </w:tc>
        <w:tc>
          <w:tcPr>
            <w:tcW w:w="640" w:type="dxa"/>
            <w:vAlign w:val="bottom"/>
            <w:tcBorders>
              <w:right w:val="single" w:sz="8" w:color="EC252A"/>
            </w:tcBorders>
          </w:tcPr>
          <w:p>
            <w:pPr>
              <w:spacing w:after="0"/>
              <w:rPr>
                <w:sz w:val="24"/>
                <w:szCs w:val="24"/>
                <w:color w:val="auto"/>
              </w:rPr>
            </w:pPr>
          </w:p>
        </w:tc>
        <w:tc>
          <w:tcPr>
            <w:tcW w:w="64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right w:val="single" w:sz="8" w:color="EC252A"/>
            </w:tcBorders>
          </w:tcPr>
          <w:p>
            <w:pPr>
              <w:spacing w:after="0"/>
              <w:rPr>
                <w:sz w:val="24"/>
                <w:szCs w:val="24"/>
                <w:color w:val="auto"/>
              </w:rPr>
            </w:pPr>
          </w:p>
        </w:tc>
        <w:tc>
          <w:tcPr>
            <w:tcW w:w="600" w:type="dxa"/>
            <w:vAlign w:val="bottom"/>
            <w:tcBorders>
              <w:right w:val="single" w:sz="8" w:color="EC252A"/>
            </w:tcBorders>
          </w:tcPr>
          <w:p>
            <w:pPr>
              <w:spacing w:after="0"/>
              <w:rPr>
                <w:sz w:val="24"/>
                <w:szCs w:val="24"/>
                <w:color w:val="auto"/>
              </w:rPr>
            </w:pPr>
          </w:p>
        </w:tc>
        <w:tc>
          <w:tcPr>
            <w:tcW w:w="7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Borders>
              <w:right w:val="single" w:sz="8" w:color="EC252A"/>
            </w:tcBorders>
          </w:tcPr>
          <w:p>
            <w:pPr>
              <w:spacing w:after="0"/>
              <w:rPr>
                <w:sz w:val="24"/>
                <w:szCs w:val="24"/>
                <w:color w:val="auto"/>
              </w:rPr>
            </w:pPr>
          </w:p>
        </w:tc>
        <w:tc>
          <w:tcPr>
            <w:tcW w:w="9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8"/>
        </w:trPr>
        <w:tc>
          <w:tcPr>
            <w:tcW w:w="2240" w:type="dxa"/>
            <w:vAlign w:val="bottom"/>
            <w:tcBorders>
              <w:left w:val="single" w:sz="8" w:color="EC252A"/>
              <w:bottom w:val="single" w:sz="8" w:color="EC252A"/>
              <w:right w:val="single" w:sz="8" w:color="EC252A"/>
            </w:tcBorders>
          </w:tcPr>
          <w:p>
            <w:pPr>
              <w:spacing w:after="0"/>
              <w:rPr>
                <w:sz w:val="4"/>
                <w:szCs w:val="4"/>
                <w:color w:val="auto"/>
              </w:rPr>
            </w:pPr>
          </w:p>
        </w:tc>
        <w:tc>
          <w:tcPr>
            <w:tcW w:w="920" w:type="dxa"/>
            <w:vAlign w:val="bottom"/>
            <w:tcBorders>
              <w:bottom w:val="single" w:sz="8" w:color="EC252A"/>
              <w:right w:val="single" w:sz="8" w:color="EC252A"/>
            </w:tcBorders>
          </w:tcPr>
          <w:p>
            <w:pPr>
              <w:spacing w:after="0"/>
              <w:rPr>
                <w:sz w:val="4"/>
                <w:szCs w:val="4"/>
                <w:color w:val="auto"/>
              </w:rPr>
            </w:pPr>
          </w:p>
        </w:tc>
        <w:tc>
          <w:tcPr>
            <w:tcW w:w="66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580" w:type="dxa"/>
            <w:vAlign w:val="bottom"/>
            <w:tcBorders>
              <w:bottom w:val="single" w:sz="8" w:color="EC252A"/>
              <w:right w:val="single" w:sz="8" w:color="EC252A"/>
            </w:tcBorders>
          </w:tcPr>
          <w:p>
            <w:pPr>
              <w:spacing w:after="0"/>
              <w:rPr>
                <w:sz w:val="4"/>
                <w:szCs w:val="4"/>
                <w:color w:val="auto"/>
              </w:rPr>
            </w:pPr>
          </w:p>
        </w:tc>
        <w:tc>
          <w:tcPr>
            <w:tcW w:w="600" w:type="dxa"/>
            <w:vAlign w:val="bottom"/>
            <w:tcBorders>
              <w:bottom w:val="single" w:sz="8" w:color="EC252A"/>
              <w:right w:val="single" w:sz="8" w:color="EC252A"/>
            </w:tcBorders>
          </w:tcPr>
          <w:p>
            <w:pPr>
              <w:spacing w:after="0"/>
              <w:rPr>
                <w:sz w:val="4"/>
                <w:szCs w:val="4"/>
                <w:color w:val="auto"/>
              </w:rPr>
            </w:pPr>
          </w:p>
        </w:tc>
        <w:tc>
          <w:tcPr>
            <w:tcW w:w="760" w:type="dxa"/>
            <w:vAlign w:val="bottom"/>
            <w:tcBorders>
              <w:bottom w:val="single" w:sz="8" w:color="EC252A"/>
              <w:right w:val="single" w:sz="8" w:color="EC252A"/>
            </w:tcBorders>
          </w:tcPr>
          <w:p>
            <w:pPr>
              <w:spacing w:after="0"/>
              <w:rPr>
                <w:sz w:val="4"/>
                <w:szCs w:val="4"/>
                <w:color w:val="auto"/>
              </w:rPr>
            </w:pPr>
          </w:p>
        </w:tc>
        <w:tc>
          <w:tcPr>
            <w:tcW w:w="860" w:type="dxa"/>
            <w:vAlign w:val="bottom"/>
            <w:tcBorders>
              <w:bottom w:val="single" w:sz="8" w:color="EC252A"/>
              <w:right w:val="single" w:sz="8" w:color="EC252A"/>
            </w:tcBorders>
          </w:tcPr>
          <w:p>
            <w:pPr>
              <w:spacing w:after="0"/>
              <w:rPr>
                <w:sz w:val="4"/>
                <w:szCs w:val="4"/>
                <w:color w:val="auto"/>
              </w:rPr>
            </w:pPr>
          </w:p>
        </w:tc>
        <w:tc>
          <w:tcPr>
            <w:tcW w:w="500" w:type="dxa"/>
            <w:vAlign w:val="bottom"/>
            <w:tcBorders>
              <w:bottom w:val="single" w:sz="8" w:color="EC252A"/>
              <w:right w:val="single" w:sz="8" w:color="EC252A"/>
            </w:tcBorders>
          </w:tcPr>
          <w:p>
            <w:pPr>
              <w:spacing w:after="0"/>
              <w:rPr>
                <w:sz w:val="4"/>
                <w:szCs w:val="4"/>
                <w:color w:val="auto"/>
              </w:rPr>
            </w:pPr>
          </w:p>
        </w:tc>
        <w:tc>
          <w:tcPr>
            <w:tcW w:w="900" w:type="dxa"/>
            <w:vAlign w:val="bottom"/>
            <w:tcBorders>
              <w:bottom w:val="single" w:sz="8" w:color="EC252A"/>
              <w:right w:val="single" w:sz="8" w:color="EC252A"/>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240" w:type="dxa"/>
            <w:vAlign w:val="bottom"/>
            <w:tcBorders>
              <w:left w:val="single" w:sz="8" w:color="EC252A"/>
              <w:right w:val="single" w:sz="8" w:color="EC252A"/>
            </w:tcBorders>
          </w:tcPr>
          <w:p>
            <w:pPr>
              <w:ind w:left="160"/>
              <w:spacing w:after="0"/>
              <w:rPr>
                <w:sz w:val="20"/>
                <w:szCs w:val="20"/>
                <w:color w:val="auto"/>
              </w:rPr>
            </w:pPr>
            <w:r>
              <w:rPr>
                <w:rFonts w:ascii="Arial" w:cs="Arial" w:eastAsia="Arial" w:hAnsi="Arial"/>
                <w:sz w:val="18"/>
                <w:szCs w:val="18"/>
                <w:color w:val="auto"/>
              </w:rPr>
              <w:t>Mergers/Acquisitions</w:t>
            </w:r>
          </w:p>
        </w:tc>
        <w:tc>
          <w:tcPr>
            <w:tcW w:w="92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4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Borders>
              <w:right w:val="single" w:sz="8" w:color="EC252A"/>
            </w:tcBorders>
          </w:tcPr>
          <w:p>
            <w:pPr>
              <w:spacing w:after="0"/>
              <w:rPr>
                <w:sz w:val="24"/>
                <w:szCs w:val="24"/>
                <w:color w:val="auto"/>
              </w:rPr>
            </w:pPr>
          </w:p>
        </w:tc>
        <w:tc>
          <w:tcPr>
            <w:tcW w:w="9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8"/>
        </w:trPr>
        <w:tc>
          <w:tcPr>
            <w:tcW w:w="2240" w:type="dxa"/>
            <w:vAlign w:val="bottom"/>
            <w:tcBorders>
              <w:left w:val="single" w:sz="8" w:color="EC252A"/>
              <w:bottom w:val="single" w:sz="8" w:color="EC252A"/>
              <w:right w:val="single" w:sz="8" w:color="EC252A"/>
            </w:tcBorders>
          </w:tcPr>
          <w:p>
            <w:pPr>
              <w:spacing w:after="0"/>
              <w:rPr>
                <w:sz w:val="4"/>
                <w:szCs w:val="4"/>
                <w:color w:val="auto"/>
              </w:rPr>
            </w:pPr>
          </w:p>
        </w:tc>
        <w:tc>
          <w:tcPr>
            <w:tcW w:w="920" w:type="dxa"/>
            <w:vAlign w:val="bottom"/>
            <w:tcBorders>
              <w:bottom w:val="single" w:sz="8" w:color="EC252A"/>
              <w:right w:val="single" w:sz="8" w:color="EC252A"/>
            </w:tcBorders>
          </w:tcPr>
          <w:p>
            <w:pPr>
              <w:spacing w:after="0"/>
              <w:rPr>
                <w:sz w:val="4"/>
                <w:szCs w:val="4"/>
                <w:color w:val="auto"/>
              </w:rPr>
            </w:pPr>
          </w:p>
        </w:tc>
        <w:tc>
          <w:tcPr>
            <w:tcW w:w="66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580" w:type="dxa"/>
            <w:vAlign w:val="bottom"/>
            <w:tcBorders>
              <w:bottom w:val="single" w:sz="8" w:color="EC252A"/>
              <w:right w:val="single" w:sz="8" w:color="EC252A"/>
            </w:tcBorders>
          </w:tcPr>
          <w:p>
            <w:pPr>
              <w:spacing w:after="0"/>
              <w:rPr>
                <w:sz w:val="4"/>
                <w:szCs w:val="4"/>
                <w:color w:val="auto"/>
              </w:rPr>
            </w:pPr>
          </w:p>
        </w:tc>
        <w:tc>
          <w:tcPr>
            <w:tcW w:w="600" w:type="dxa"/>
            <w:vAlign w:val="bottom"/>
            <w:tcBorders>
              <w:bottom w:val="single" w:sz="8" w:color="EC252A"/>
              <w:right w:val="single" w:sz="8" w:color="EC252A"/>
            </w:tcBorders>
          </w:tcPr>
          <w:p>
            <w:pPr>
              <w:spacing w:after="0"/>
              <w:rPr>
                <w:sz w:val="4"/>
                <w:szCs w:val="4"/>
                <w:color w:val="auto"/>
              </w:rPr>
            </w:pPr>
          </w:p>
        </w:tc>
        <w:tc>
          <w:tcPr>
            <w:tcW w:w="760" w:type="dxa"/>
            <w:vAlign w:val="bottom"/>
            <w:tcBorders>
              <w:bottom w:val="single" w:sz="8" w:color="EC252A"/>
              <w:right w:val="single" w:sz="8" w:color="EC252A"/>
            </w:tcBorders>
          </w:tcPr>
          <w:p>
            <w:pPr>
              <w:spacing w:after="0"/>
              <w:rPr>
                <w:sz w:val="4"/>
                <w:szCs w:val="4"/>
                <w:color w:val="auto"/>
              </w:rPr>
            </w:pPr>
          </w:p>
        </w:tc>
        <w:tc>
          <w:tcPr>
            <w:tcW w:w="860" w:type="dxa"/>
            <w:vAlign w:val="bottom"/>
            <w:tcBorders>
              <w:bottom w:val="single" w:sz="8" w:color="EC252A"/>
              <w:right w:val="single" w:sz="8" w:color="EC252A"/>
            </w:tcBorders>
          </w:tcPr>
          <w:p>
            <w:pPr>
              <w:spacing w:after="0"/>
              <w:rPr>
                <w:sz w:val="4"/>
                <w:szCs w:val="4"/>
                <w:color w:val="auto"/>
              </w:rPr>
            </w:pPr>
          </w:p>
        </w:tc>
        <w:tc>
          <w:tcPr>
            <w:tcW w:w="500" w:type="dxa"/>
            <w:vAlign w:val="bottom"/>
            <w:tcBorders>
              <w:bottom w:val="single" w:sz="8" w:color="EC252A"/>
              <w:right w:val="single" w:sz="8" w:color="EC252A"/>
            </w:tcBorders>
          </w:tcPr>
          <w:p>
            <w:pPr>
              <w:spacing w:after="0"/>
              <w:rPr>
                <w:sz w:val="4"/>
                <w:szCs w:val="4"/>
                <w:color w:val="auto"/>
              </w:rPr>
            </w:pPr>
          </w:p>
        </w:tc>
        <w:tc>
          <w:tcPr>
            <w:tcW w:w="900" w:type="dxa"/>
            <w:vAlign w:val="bottom"/>
            <w:tcBorders>
              <w:bottom w:val="single" w:sz="8" w:color="EC252A"/>
              <w:right w:val="single" w:sz="8" w:color="EC252A"/>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240" w:type="dxa"/>
            <w:vAlign w:val="bottom"/>
            <w:tcBorders>
              <w:left w:val="single" w:sz="8" w:color="EC252A"/>
              <w:right w:val="single" w:sz="8" w:color="EC252A"/>
            </w:tcBorders>
          </w:tcPr>
          <w:p>
            <w:pPr>
              <w:ind w:left="160"/>
              <w:spacing w:after="0"/>
              <w:rPr>
                <w:sz w:val="20"/>
                <w:szCs w:val="20"/>
                <w:color w:val="auto"/>
              </w:rPr>
            </w:pPr>
            <w:r>
              <w:rPr>
                <w:rFonts w:ascii="Arial" w:cs="Arial" w:eastAsia="Arial" w:hAnsi="Arial"/>
                <w:sz w:val="18"/>
                <w:szCs w:val="18"/>
                <w:color w:val="auto"/>
              </w:rPr>
              <w:t>Legal Regulatory / Gov't</w:t>
            </w:r>
          </w:p>
        </w:tc>
        <w:tc>
          <w:tcPr>
            <w:tcW w:w="92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right w:val="single" w:sz="8" w:color="EC252A"/>
            </w:tcBorders>
          </w:tcPr>
          <w:p>
            <w:pPr>
              <w:spacing w:after="0"/>
              <w:rPr>
                <w:sz w:val="22"/>
                <w:szCs w:val="22"/>
                <w:color w:val="auto"/>
              </w:rPr>
            </w:pPr>
          </w:p>
        </w:tc>
        <w:tc>
          <w:tcPr>
            <w:tcW w:w="640" w:type="dxa"/>
            <w:vAlign w:val="bottom"/>
            <w:tcBorders>
              <w:right w:val="single" w:sz="8" w:color="EC252A"/>
            </w:tcBorders>
          </w:tcPr>
          <w:p>
            <w:pPr>
              <w:spacing w:after="0"/>
              <w:rPr>
                <w:sz w:val="22"/>
                <w:szCs w:val="22"/>
                <w:color w:val="auto"/>
              </w:rPr>
            </w:pPr>
          </w:p>
        </w:tc>
        <w:tc>
          <w:tcPr>
            <w:tcW w:w="640" w:type="dxa"/>
            <w:vAlign w:val="bottom"/>
            <w:tcBorders>
              <w:right w:val="single" w:sz="8" w:color="EC252A"/>
            </w:tcBorders>
          </w:tcPr>
          <w:p>
            <w:pPr>
              <w:spacing w:after="0"/>
              <w:rPr>
                <w:sz w:val="22"/>
                <w:szCs w:val="22"/>
                <w:color w:val="auto"/>
              </w:rPr>
            </w:pPr>
          </w:p>
        </w:tc>
        <w:tc>
          <w:tcPr>
            <w:tcW w:w="58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Borders>
              <w:right w:val="single" w:sz="8" w:color="EC252A"/>
            </w:tcBorders>
          </w:tcPr>
          <w:p>
            <w:pPr>
              <w:spacing w:after="0"/>
              <w:rPr>
                <w:sz w:val="22"/>
                <w:szCs w:val="22"/>
                <w:color w:val="auto"/>
              </w:rPr>
            </w:pPr>
          </w:p>
        </w:tc>
        <w:tc>
          <w:tcPr>
            <w:tcW w:w="760" w:type="dxa"/>
            <w:vAlign w:val="bottom"/>
            <w:tcBorders>
              <w:right w:val="single" w:sz="8" w:color="EC252A"/>
            </w:tcBorders>
          </w:tcPr>
          <w:p>
            <w:pPr>
              <w:spacing w:after="0"/>
              <w:rPr>
                <w:sz w:val="22"/>
                <w:szCs w:val="22"/>
                <w:color w:val="auto"/>
              </w:rPr>
            </w:pPr>
          </w:p>
        </w:tc>
        <w:tc>
          <w:tcPr>
            <w:tcW w:w="86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7"/>
        </w:trPr>
        <w:tc>
          <w:tcPr>
            <w:tcW w:w="2240" w:type="dxa"/>
            <w:vAlign w:val="bottom"/>
            <w:tcBorders>
              <w:left w:val="single" w:sz="8" w:color="EC252A"/>
              <w:right w:val="single" w:sz="8" w:color="EC252A"/>
            </w:tcBorders>
            <w:vMerge w:val="restart"/>
          </w:tcPr>
          <w:p>
            <w:pPr>
              <w:ind w:left="160"/>
              <w:spacing w:after="0"/>
              <w:rPr>
                <w:sz w:val="20"/>
                <w:szCs w:val="20"/>
                <w:color w:val="auto"/>
              </w:rPr>
            </w:pPr>
            <w:r>
              <w:rPr>
                <w:rFonts w:ascii="Arial" w:cs="Arial" w:eastAsia="Arial" w:hAnsi="Arial"/>
                <w:sz w:val="18"/>
                <w:szCs w:val="18"/>
                <w:color w:val="auto"/>
              </w:rPr>
              <w:t>Relations Experience</w:t>
            </w:r>
          </w:p>
        </w:tc>
        <w:tc>
          <w:tcPr>
            <w:tcW w:w="920" w:type="dxa"/>
            <w:vAlign w:val="bottom"/>
            <w:tcBorders>
              <w:right w:val="single" w:sz="8" w:color="EC252A"/>
            </w:tcBorders>
            <w:vMerge w:val="continue"/>
          </w:tcPr>
          <w:p>
            <w:pPr>
              <w:spacing w:after="0"/>
              <w:rPr>
                <w:sz w:val="12"/>
                <w:szCs w:val="12"/>
                <w:color w:val="auto"/>
              </w:rPr>
            </w:pPr>
          </w:p>
        </w:tc>
        <w:tc>
          <w:tcPr>
            <w:tcW w:w="660" w:type="dxa"/>
            <w:vAlign w:val="bottom"/>
            <w:tcBorders>
              <w:right w:val="single" w:sz="8" w:color="EC252A"/>
            </w:tcBorders>
          </w:tcPr>
          <w:p>
            <w:pPr>
              <w:spacing w:after="0"/>
              <w:rPr>
                <w:sz w:val="12"/>
                <w:szCs w:val="12"/>
                <w:color w:val="auto"/>
              </w:rPr>
            </w:pPr>
          </w:p>
        </w:tc>
        <w:tc>
          <w:tcPr>
            <w:tcW w:w="640" w:type="dxa"/>
            <w:vAlign w:val="bottom"/>
            <w:tcBorders>
              <w:right w:val="single" w:sz="8" w:color="EC252A"/>
            </w:tcBorders>
          </w:tcPr>
          <w:p>
            <w:pPr>
              <w:spacing w:after="0"/>
              <w:rPr>
                <w:sz w:val="12"/>
                <w:szCs w:val="12"/>
                <w:color w:val="auto"/>
              </w:rPr>
            </w:pPr>
          </w:p>
        </w:tc>
        <w:tc>
          <w:tcPr>
            <w:tcW w:w="640" w:type="dxa"/>
            <w:vAlign w:val="bottom"/>
            <w:tcBorders>
              <w:right w:val="single" w:sz="8" w:color="EC252A"/>
            </w:tcBorders>
          </w:tcPr>
          <w:p>
            <w:pPr>
              <w:spacing w:after="0"/>
              <w:rPr>
                <w:sz w:val="12"/>
                <w:szCs w:val="12"/>
                <w:color w:val="auto"/>
              </w:rPr>
            </w:pPr>
          </w:p>
        </w:tc>
        <w:tc>
          <w:tcPr>
            <w:tcW w:w="580" w:type="dxa"/>
            <w:vAlign w:val="bottom"/>
            <w:tcBorders>
              <w:right w:val="single" w:sz="8" w:color="EC252A"/>
            </w:tcBorders>
            <w:vMerge w:val="continue"/>
          </w:tcPr>
          <w:p>
            <w:pPr>
              <w:spacing w:after="0"/>
              <w:rPr>
                <w:sz w:val="12"/>
                <w:szCs w:val="12"/>
                <w:color w:val="auto"/>
              </w:rPr>
            </w:pPr>
          </w:p>
        </w:tc>
        <w:tc>
          <w:tcPr>
            <w:tcW w:w="600" w:type="dxa"/>
            <w:vAlign w:val="bottom"/>
            <w:tcBorders>
              <w:right w:val="single" w:sz="8" w:color="EC252A"/>
            </w:tcBorders>
          </w:tcPr>
          <w:p>
            <w:pPr>
              <w:spacing w:after="0"/>
              <w:rPr>
                <w:sz w:val="12"/>
                <w:szCs w:val="12"/>
                <w:color w:val="auto"/>
              </w:rPr>
            </w:pPr>
          </w:p>
        </w:tc>
        <w:tc>
          <w:tcPr>
            <w:tcW w:w="760" w:type="dxa"/>
            <w:vAlign w:val="bottom"/>
            <w:tcBorders>
              <w:right w:val="single" w:sz="8" w:color="EC252A"/>
            </w:tcBorders>
          </w:tcPr>
          <w:p>
            <w:pPr>
              <w:spacing w:after="0"/>
              <w:rPr>
                <w:sz w:val="12"/>
                <w:szCs w:val="12"/>
                <w:color w:val="auto"/>
              </w:rPr>
            </w:pPr>
          </w:p>
        </w:tc>
        <w:tc>
          <w:tcPr>
            <w:tcW w:w="860" w:type="dxa"/>
            <w:vAlign w:val="bottom"/>
            <w:tcBorders>
              <w:right w:val="single" w:sz="8" w:color="EC252A"/>
            </w:tcBorders>
            <w:vMerge w:val="continue"/>
          </w:tcPr>
          <w:p>
            <w:pPr>
              <w:spacing w:after="0"/>
              <w:rPr>
                <w:sz w:val="12"/>
                <w:szCs w:val="12"/>
                <w:color w:val="auto"/>
              </w:rPr>
            </w:pPr>
          </w:p>
        </w:tc>
        <w:tc>
          <w:tcPr>
            <w:tcW w:w="500" w:type="dxa"/>
            <w:vAlign w:val="bottom"/>
            <w:tcBorders>
              <w:right w:val="single" w:sz="8" w:color="EC252A"/>
            </w:tcBorders>
            <w:vMerge w:val="continue"/>
          </w:tcPr>
          <w:p>
            <w:pPr>
              <w:spacing w:after="0"/>
              <w:rPr>
                <w:sz w:val="12"/>
                <w:szCs w:val="12"/>
                <w:color w:val="auto"/>
              </w:rPr>
            </w:pPr>
          </w:p>
        </w:tc>
        <w:tc>
          <w:tcPr>
            <w:tcW w:w="900" w:type="dxa"/>
            <w:vAlign w:val="bottom"/>
            <w:tcBorders>
              <w:right w:val="single" w:sz="8" w:color="EC252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240" w:type="dxa"/>
            <w:vAlign w:val="bottom"/>
            <w:tcBorders>
              <w:left w:val="single" w:sz="8" w:color="EC252A"/>
              <w:right w:val="single" w:sz="8" w:color="EC252A"/>
            </w:tcBorders>
            <w:vMerge w:val="continue"/>
          </w:tcPr>
          <w:p>
            <w:pPr>
              <w:spacing w:after="0"/>
              <w:rPr>
                <w:sz w:val="8"/>
                <w:szCs w:val="8"/>
                <w:color w:val="auto"/>
              </w:rPr>
            </w:pPr>
          </w:p>
        </w:tc>
        <w:tc>
          <w:tcPr>
            <w:tcW w:w="920" w:type="dxa"/>
            <w:vAlign w:val="bottom"/>
            <w:tcBorders>
              <w:right w:val="single" w:sz="8" w:color="EC252A"/>
            </w:tcBorders>
          </w:tcPr>
          <w:p>
            <w:pPr>
              <w:spacing w:after="0"/>
              <w:rPr>
                <w:sz w:val="8"/>
                <w:szCs w:val="8"/>
                <w:color w:val="auto"/>
              </w:rPr>
            </w:pPr>
          </w:p>
        </w:tc>
        <w:tc>
          <w:tcPr>
            <w:tcW w:w="660" w:type="dxa"/>
            <w:vAlign w:val="bottom"/>
            <w:tcBorders>
              <w:right w:val="single" w:sz="8" w:color="EC252A"/>
            </w:tcBorders>
          </w:tcPr>
          <w:p>
            <w:pPr>
              <w:spacing w:after="0"/>
              <w:rPr>
                <w:sz w:val="8"/>
                <w:szCs w:val="8"/>
                <w:color w:val="auto"/>
              </w:rPr>
            </w:pPr>
          </w:p>
        </w:tc>
        <w:tc>
          <w:tcPr>
            <w:tcW w:w="640" w:type="dxa"/>
            <w:vAlign w:val="bottom"/>
            <w:tcBorders>
              <w:right w:val="single" w:sz="8" w:color="EC252A"/>
            </w:tcBorders>
          </w:tcPr>
          <w:p>
            <w:pPr>
              <w:spacing w:after="0"/>
              <w:rPr>
                <w:sz w:val="8"/>
                <w:szCs w:val="8"/>
                <w:color w:val="auto"/>
              </w:rPr>
            </w:pPr>
          </w:p>
        </w:tc>
        <w:tc>
          <w:tcPr>
            <w:tcW w:w="640" w:type="dxa"/>
            <w:vAlign w:val="bottom"/>
            <w:tcBorders>
              <w:right w:val="single" w:sz="8" w:color="EC252A"/>
            </w:tcBorders>
          </w:tcPr>
          <w:p>
            <w:pPr>
              <w:spacing w:after="0"/>
              <w:rPr>
                <w:sz w:val="8"/>
                <w:szCs w:val="8"/>
                <w:color w:val="auto"/>
              </w:rPr>
            </w:pPr>
          </w:p>
        </w:tc>
        <w:tc>
          <w:tcPr>
            <w:tcW w:w="580" w:type="dxa"/>
            <w:vAlign w:val="bottom"/>
            <w:tcBorders>
              <w:right w:val="single" w:sz="8" w:color="EC252A"/>
            </w:tcBorders>
          </w:tcPr>
          <w:p>
            <w:pPr>
              <w:spacing w:after="0"/>
              <w:rPr>
                <w:sz w:val="8"/>
                <w:szCs w:val="8"/>
                <w:color w:val="auto"/>
              </w:rPr>
            </w:pPr>
          </w:p>
        </w:tc>
        <w:tc>
          <w:tcPr>
            <w:tcW w:w="600" w:type="dxa"/>
            <w:vAlign w:val="bottom"/>
            <w:tcBorders>
              <w:right w:val="single" w:sz="8" w:color="EC252A"/>
            </w:tcBorders>
          </w:tcPr>
          <w:p>
            <w:pPr>
              <w:spacing w:after="0"/>
              <w:rPr>
                <w:sz w:val="8"/>
                <w:szCs w:val="8"/>
                <w:color w:val="auto"/>
              </w:rPr>
            </w:pPr>
          </w:p>
        </w:tc>
        <w:tc>
          <w:tcPr>
            <w:tcW w:w="760" w:type="dxa"/>
            <w:vAlign w:val="bottom"/>
            <w:tcBorders>
              <w:right w:val="single" w:sz="8" w:color="EC252A"/>
            </w:tcBorders>
          </w:tcPr>
          <w:p>
            <w:pPr>
              <w:spacing w:after="0"/>
              <w:rPr>
                <w:sz w:val="8"/>
                <w:szCs w:val="8"/>
                <w:color w:val="auto"/>
              </w:rPr>
            </w:pPr>
          </w:p>
        </w:tc>
        <w:tc>
          <w:tcPr>
            <w:tcW w:w="860" w:type="dxa"/>
            <w:vAlign w:val="bottom"/>
            <w:tcBorders>
              <w:right w:val="single" w:sz="8" w:color="EC252A"/>
            </w:tcBorders>
          </w:tcPr>
          <w:p>
            <w:pPr>
              <w:spacing w:after="0"/>
              <w:rPr>
                <w:sz w:val="8"/>
                <w:szCs w:val="8"/>
                <w:color w:val="auto"/>
              </w:rPr>
            </w:pPr>
          </w:p>
        </w:tc>
        <w:tc>
          <w:tcPr>
            <w:tcW w:w="500" w:type="dxa"/>
            <w:vAlign w:val="bottom"/>
            <w:tcBorders>
              <w:right w:val="single" w:sz="8" w:color="EC252A"/>
            </w:tcBorders>
          </w:tcPr>
          <w:p>
            <w:pPr>
              <w:spacing w:after="0"/>
              <w:rPr>
                <w:sz w:val="8"/>
                <w:szCs w:val="8"/>
                <w:color w:val="auto"/>
              </w:rPr>
            </w:pPr>
          </w:p>
        </w:tc>
        <w:tc>
          <w:tcPr>
            <w:tcW w:w="900" w:type="dxa"/>
            <w:vAlign w:val="bottom"/>
            <w:tcBorders>
              <w:right w:val="single" w:sz="8" w:color="EC252A"/>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240" w:type="dxa"/>
            <w:vAlign w:val="bottom"/>
            <w:tcBorders>
              <w:left w:val="single" w:sz="8" w:color="EC252A"/>
              <w:bottom w:val="single" w:sz="8" w:color="EC252A"/>
              <w:right w:val="single" w:sz="8" w:color="EC252A"/>
            </w:tcBorders>
          </w:tcPr>
          <w:p>
            <w:pPr>
              <w:spacing w:after="0"/>
              <w:rPr>
                <w:sz w:val="5"/>
                <w:szCs w:val="5"/>
                <w:color w:val="auto"/>
              </w:rPr>
            </w:pPr>
          </w:p>
        </w:tc>
        <w:tc>
          <w:tcPr>
            <w:tcW w:w="920" w:type="dxa"/>
            <w:vAlign w:val="bottom"/>
            <w:tcBorders>
              <w:bottom w:val="single" w:sz="8" w:color="EC252A"/>
              <w:right w:val="single" w:sz="8" w:color="EC252A"/>
            </w:tcBorders>
          </w:tcPr>
          <w:p>
            <w:pPr>
              <w:spacing w:after="0"/>
              <w:rPr>
                <w:sz w:val="5"/>
                <w:szCs w:val="5"/>
                <w:color w:val="auto"/>
              </w:rPr>
            </w:pPr>
          </w:p>
        </w:tc>
        <w:tc>
          <w:tcPr>
            <w:tcW w:w="660" w:type="dxa"/>
            <w:vAlign w:val="bottom"/>
            <w:tcBorders>
              <w:bottom w:val="single" w:sz="8" w:color="EC252A"/>
              <w:right w:val="single" w:sz="8" w:color="EC252A"/>
            </w:tcBorders>
          </w:tcPr>
          <w:p>
            <w:pPr>
              <w:spacing w:after="0"/>
              <w:rPr>
                <w:sz w:val="5"/>
                <w:szCs w:val="5"/>
                <w:color w:val="auto"/>
              </w:rPr>
            </w:pPr>
          </w:p>
        </w:tc>
        <w:tc>
          <w:tcPr>
            <w:tcW w:w="640" w:type="dxa"/>
            <w:vAlign w:val="bottom"/>
            <w:tcBorders>
              <w:bottom w:val="single" w:sz="8" w:color="EC252A"/>
              <w:right w:val="single" w:sz="8" w:color="EC252A"/>
            </w:tcBorders>
          </w:tcPr>
          <w:p>
            <w:pPr>
              <w:spacing w:after="0"/>
              <w:rPr>
                <w:sz w:val="5"/>
                <w:szCs w:val="5"/>
                <w:color w:val="auto"/>
              </w:rPr>
            </w:pPr>
          </w:p>
        </w:tc>
        <w:tc>
          <w:tcPr>
            <w:tcW w:w="640" w:type="dxa"/>
            <w:vAlign w:val="bottom"/>
            <w:tcBorders>
              <w:bottom w:val="single" w:sz="8" w:color="EC252A"/>
              <w:right w:val="single" w:sz="8" w:color="EC252A"/>
            </w:tcBorders>
          </w:tcPr>
          <w:p>
            <w:pPr>
              <w:spacing w:after="0"/>
              <w:rPr>
                <w:sz w:val="5"/>
                <w:szCs w:val="5"/>
                <w:color w:val="auto"/>
              </w:rPr>
            </w:pPr>
          </w:p>
        </w:tc>
        <w:tc>
          <w:tcPr>
            <w:tcW w:w="580" w:type="dxa"/>
            <w:vAlign w:val="bottom"/>
            <w:tcBorders>
              <w:bottom w:val="single" w:sz="8" w:color="EC252A"/>
              <w:right w:val="single" w:sz="8" w:color="EC252A"/>
            </w:tcBorders>
          </w:tcPr>
          <w:p>
            <w:pPr>
              <w:spacing w:after="0"/>
              <w:rPr>
                <w:sz w:val="5"/>
                <w:szCs w:val="5"/>
                <w:color w:val="auto"/>
              </w:rPr>
            </w:pPr>
          </w:p>
        </w:tc>
        <w:tc>
          <w:tcPr>
            <w:tcW w:w="600" w:type="dxa"/>
            <w:vAlign w:val="bottom"/>
            <w:tcBorders>
              <w:bottom w:val="single" w:sz="8" w:color="EC252A"/>
              <w:right w:val="single" w:sz="8" w:color="EC252A"/>
            </w:tcBorders>
          </w:tcPr>
          <w:p>
            <w:pPr>
              <w:spacing w:after="0"/>
              <w:rPr>
                <w:sz w:val="5"/>
                <w:szCs w:val="5"/>
                <w:color w:val="auto"/>
              </w:rPr>
            </w:pPr>
          </w:p>
        </w:tc>
        <w:tc>
          <w:tcPr>
            <w:tcW w:w="760" w:type="dxa"/>
            <w:vAlign w:val="bottom"/>
            <w:tcBorders>
              <w:bottom w:val="single" w:sz="8" w:color="EC252A"/>
              <w:right w:val="single" w:sz="8" w:color="EC252A"/>
            </w:tcBorders>
          </w:tcPr>
          <w:p>
            <w:pPr>
              <w:spacing w:after="0"/>
              <w:rPr>
                <w:sz w:val="5"/>
                <w:szCs w:val="5"/>
                <w:color w:val="auto"/>
              </w:rPr>
            </w:pPr>
          </w:p>
        </w:tc>
        <w:tc>
          <w:tcPr>
            <w:tcW w:w="860" w:type="dxa"/>
            <w:vAlign w:val="bottom"/>
            <w:tcBorders>
              <w:bottom w:val="single" w:sz="8" w:color="EC252A"/>
              <w:right w:val="single" w:sz="8" w:color="EC252A"/>
            </w:tcBorders>
          </w:tcPr>
          <w:p>
            <w:pPr>
              <w:spacing w:after="0"/>
              <w:rPr>
                <w:sz w:val="5"/>
                <w:szCs w:val="5"/>
                <w:color w:val="auto"/>
              </w:rPr>
            </w:pPr>
          </w:p>
        </w:tc>
        <w:tc>
          <w:tcPr>
            <w:tcW w:w="500" w:type="dxa"/>
            <w:vAlign w:val="bottom"/>
            <w:tcBorders>
              <w:bottom w:val="single" w:sz="8" w:color="EC252A"/>
              <w:right w:val="single" w:sz="8" w:color="EC252A"/>
            </w:tcBorders>
          </w:tcPr>
          <w:p>
            <w:pPr>
              <w:spacing w:after="0"/>
              <w:rPr>
                <w:sz w:val="5"/>
                <w:szCs w:val="5"/>
                <w:color w:val="auto"/>
              </w:rPr>
            </w:pPr>
          </w:p>
        </w:tc>
        <w:tc>
          <w:tcPr>
            <w:tcW w:w="900" w:type="dxa"/>
            <w:vAlign w:val="bottom"/>
            <w:tcBorders>
              <w:bottom w:val="single" w:sz="8" w:color="EC252A"/>
              <w:right w:val="single" w:sz="8" w:color="EC252A"/>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240" w:type="dxa"/>
            <w:vAlign w:val="bottom"/>
            <w:tcBorders>
              <w:left w:val="single" w:sz="8" w:color="EC252A"/>
              <w:right w:val="single" w:sz="8" w:color="EC252A"/>
            </w:tcBorders>
          </w:tcPr>
          <w:p>
            <w:pPr>
              <w:ind w:left="160"/>
              <w:spacing w:after="0"/>
              <w:rPr>
                <w:sz w:val="20"/>
                <w:szCs w:val="20"/>
                <w:color w:val="auto"/>
              </w:rPr>
            </w:pPr>
            <w:r>
              <w:rPr>
                <w:rFonts w:ascii="Arial" w:cs="Arial" w:eastAsia="Arial" w:hAnsi="Arial"/>
                <w:sz w:val="18"/>
                <w:szCs w:val="18"/>
                <w:color w:val="auto"/>
              </w:rPr>
              <w:t>Compliance</w:t>
            </w:r>
          </w:p>
        </w:tc>
        <w:tc>
          <w:tcPr>
            <w:tcW w:w="92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right w:val="single" w:sz="8" w:color="EC252A"/>
            </w:tcBorders>
          </w:tcPr>
          <w:p>
            <w:pPr>
              <w:spacing w:after="0"/>
              <w:rPr>
                <w:sz w:val="24"/>
                <w:szCs w:val="24"/>
                <w:color w:val="auto"/>
              </w:rPr>
            </w:pPr>
          </w:p>
        </w:tc>
        <w:tc>
          <w:tcPr>
            <w:tcW w:w="640" w:type="dxa"/>
            <w:vAlign w:val="bottom"/>
            <w:tcBorders>
              <w:right w:val="single" w:sz="8" w:color="EC252A"/>
            </w:tcBorders>
          </w:tcPr>
          <w:p>
            <w:pPr>
              <w:spacing w:after="0"/>
              <w:rPr>
                <w:sz w:val="24"/>
                <w:szCs w:val="24"/>
                <w:color w:val="auto"/>
              </w:rPr>
            </w:pPr>
          </w:p>
        </w:tc>
        <w:tc>
          <w:tcPr>
            <w:tcW w:w="64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right w:val="single" w:sz="8" w:color="EC252A"/>
            </w:tcBorders>
          </w:tcPr>
          <w:p>
            <w:pPr>
              <w:spacing w:after="0"/>
              <w:rPr>
                <w:sz w:val="24"/>
                <w:szCs w:val="24"/>
                <w:color w:val="auto"/>
              </w:rPr>
            </w:pPr>
          </w:p>
        </w:tc>
        <w:tc>
          <w:tcPr>
            <w:tcW w:w="8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8"/>
        </w:trPr>
        <w:tc>
          <w:tcPr>
            <w:tcW w:w="2240" w:type="dxa"/>
            <w:vAlign w:val="bottom"/>
            <w:tcBorders>
              <w:left w:val="single" w:sz="8" w:color="EC252A"/>
              <w:bottom w:val="single" w:sz="8" w:color="EC252A"/>
              <w:right w:val="single" w:sz="8" w:color="EC252A"/>
            </w:tcBorders>
          </w:tcPr>
          <w:p>
            <w:pPr>
              <w:spacing w:after="0"/>
              <w:rPr>
                <w:sz w:val="4"/>
                <w:szCs w:val="4"/>
                <w:color w:val="auto"/>
              </w:rPr>
            </w:pPr>
          </w:p>
        </w:tc>
        <w:tc>
          <w:tcPr>
            <w:tcW w:w="920" w:type="dxa"/>
            <w:vAlign w:val="bottom"/>
            <w:tcBorders>
              <w:bottom w:val="single" w:sz="8" w:color="EC252A"/>
              <w:right w:val="single" w:sz="8" w:color="EC252A"/>
            </w:tcBorders>
          </w:tcPr>
          <w:p>
            <w:pPr>
              <w:spacing w:after="0"/>
              <w:rPr>
                <w:sz w:val="4"/>
                <w:szCs w:val="4"/>
                <w:color w:val="auto"/>
              </w:rPr>
            </w:pPr>
          </w:p>
        </w:tc>
        <w:tc>
          <w:tcPr>
            <w:tcW w:w="66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580" w:type="dxa"/>
            <w:vAlign w:val="bottom"/>
            <w:tcBorders>
              <w:bottom w:val="single" w:sz="8" w:color="EC252A"/>
              <w:right w:val="single" w:sz="8" w:color="EC252A"/>
            </w:tcBorders>
          </w:tcPr>
          <w:p>
            <w:pPr>
              <w:spacing w:after="0"/>
              <w:rPr>
                <w:sz w:val="4"/>
                <w:szCs w:val="4"/>
                <w:color w:val="auto"/>
              </w:rPr>
            </w:pPr>
          </w:p>
        </w:tc>
        <w:tc>
          <w:tcPr>
            <w:tcW w:w="600" w:type="dxa"/>
            <w:vAlign w:val="bottom"/>
            <w:tcBorders>
              <w:bottom w:val="single" w:sz="8" w:color="EC252A"/>
              <w:right w:val="single" w:sz="8" w:color="EC252A"/>
            </w:tcBorders>
          </w:tcPr>
          <w:p>
            <w:pPr>
              <w:spacing w:after="0"/>
              <w:rPr>
                <w:sz w:val="4"/>
                <w:szCs w:val="4"/>
                <w:color w:val="auto"/>
              </w:rPr>
            </w:pPr>
          </w:p>
        </w:tc>
        <w:tc>
          <w:tcPr>
            <w:tcW w:w="760" w:type="dxa"/>
            <w:vAlign w:val="bottom"/>
            <w:tcBorders>
              <w:bottom w:val="single" w:sz="8" w:color="EC252A"/>
              <w:right w:val="single" w:sz="8" w:color="EC252A"/>
            </w:tcBorders>
          </w:tcPr>
          <w:p>
            <w:pPr>
              <w:spacing w:after="0"/>
              <w:rPr>
                <w:sz w:val="4"/>
                <w:szCs w:val="4"/>
                <w:color w:val="auto"/>
              </w:rPr>
            </w:pPr>
          </w:p>
        </w:tc>
        <w:tc>
          <w:tcPr>
            <w:tcW w:w="860" w:type="dxa"/>
            <w:vAlign w:val="bottom"/>
            <w:tcBorders>
              <w:bottom w:val="single" w:sz="8" w:color="EC252A"/>
              <w:right w:val="single" w:sz="8" w:color="EC252A"/>
            </w:tcBorders>
          </w:tcPr>
          <w:p>
            <w:pPr>
              <w:spacing w:after="0"/>
              <w:rPr>
                <w:sz w:val="4"/>
                <w:szCs w:val="4"/>
                <w:color w:val="auto"/>
              </w:rPr>
            </w:pPr>
          </w:p>
        </w:tc>
        <w:tc>
          <w:tcPr>
            <w:tcW w:w="500" w:type="dxa"/>
            <w:vAlign w:val="bottom"/>
            <w:tcBorders>
              <w:bottom w:val="single" w:sz="8" w:color="EC252A"/>
              <w:right w:val="single" w:sz="8" w:color="EC252A"/>
            </w:tcBorders>
          </w:tcPr>
          <w:p>
            <w:pPr>
              <w:spacing w:after="0"/>
              <w:rPr>
                <w:sz w:val="4"/>
                <w:szCs w:val="4"/>
                <w:color w:val="auto"/>
              </w:rPr>
            </w:pPr>
          </w:p>
        </w:tc>
        <w:tc>
          <w:tcPr>
            <w:tcW w:w="900" w:type="dxa"/>
            <w:vAlign w:val="bottom"/>
            <w:tcBorders>
              <w:bottom w:val="single" w:sz="8" w:color="EC252A"/>
              <w:right w:val="single" w:sz="8" w:color="EC252A"/>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240" w:type="dxa"/>
            <w:vAlign w:val="bottom"/>
            <w:tcBorders>
              <w:left w:val="single" w:sz="8" w:color="EC252A"/>
              <w:right w:val="single" w:sz="8" w:color="EC252A"/>
            </w:tcBorders>
          </w:tcPr>
          <w:p>
            <w:pPr>
              <w:ind w:left="160"/>
              <w:spacing w:after="0"/>
              <w:rPr>
                <w:sz w:val="20"/>
                <w:szCs w:val="20"/>
                <w:color w:val="auto"/>
              </w:rPr>
            </w:pPr>
            <w:r>
              <w:rPr>
                <w:rFonts w:ascii="Arial" w:cs="Arial" w:eastAsia="Arial" w:hAnsi="Arial"/>
                <w:sz w:val="18"/>
                <w:szCs w:val="18"/>
                <w:color w:val="auto"/>
              </w:rPr>
              <w:t>Strategic and Global</w:t>
            </w:r>
          </w:p>
        </w:tc>
        <w:tc>
          <w:tcPr>
            <w:tcW w:w="92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4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7"/>
        </w:trPr>
        <w:tc>
          <w:tcPr>
            <w:tcW w:w="2240" w:type="dxa"/>
            <w:vAlign w:val="bottom"/>
            <w:tcBorders>
              <w:left w:val="single" w:sz="8" w:color="EC252A"/>
              <w:right w:val="single" w:sz="8" w:color="EC252A"/>
            </w:tcBorders>
            <w:vMerge w:val="restart"/>
          </w:tcPr>
          <w:p>
            <w:pPr>
              <w:ind w:left="160"/>
              <w:spacing w:after="0"/>
              <w:rPr>
                <w:sz w:val="20"/>
                <w:szCs w:val="20"/>
                <w:color w:val="auto"/>
              </w:rPr>
            </w:pPr>
            <w:r>
              <w:rPr>
                <w:rFonts w:ascii="Arial" w:cs="Arial" w:eastAsia="Arial" w:hAnsi="Arial"/>
                <w:sz w:val="18"/>
                <w:szCs w:val="18"/>
                <w:color w:val="auto"/>
              </w:rPr>
              <w:t>Experience</w:t>
            </w:r>
          </w:p>
        </w:tc>
        <w:tc>
          <w:tcPr>
            <w:tcW w:w="920" w:type="dxa"/>
            <w:vAlign w:val="bottom"/>
            <w:tcBorders>
              <w:right w:val="single" w:sz="8" w:color="EC252A"/>
            </w:tcBorders>
            <w:vMerge w:val="continue"/>
          </w:tcPr>
          <w:p>
            <w:pPr>
              <w:spacing w:after="0"/>
              <w:rPr>
                <w:sz w:val="12"/>
                <w:szCs w:val="12"/>
                <w:color w:val="auto"/>
              </w:rPr>
            </w:pPr>
          </w:p>
        </w:tc>
        <w:tc>
          <w:tcPr>
            <w:tcW w:w="660" w:type="dxa"/>
            <w:vAlign w:val="bottom"/>
            <w:tcBorders>
              <w:right w:val="single" w:sz="8" w:color="EC252A"/>
            </w:tcBorders>
            <w:vMerge w:val="continue"/>
          </w:tcPr>
          <w:p>
            <w:pPr>
              <w:spacing w:after="0"/>
              <w:rPr>
                <w:sz w:val="12"/>
                <w:szCs w:val="12"/>
                <w:color w:val="auto"/>
              </w:rPr>
            </w:pPr>
          </w:p>
        </w:tc>
        <w:tc>
          <w:tcPr>
            <w:tcW w:w="640" w:type="dxa"/>
            <w:vAlign w:val="bottom"/>
            <w:tcBorders>
              <w:right w:val="single" w:sz="8" w:color="EC252A"/>
            </w:tcBorders>
            <w:vMerge w:val="continue"/>
          </w:tcPr>
          <w:p>
            <w:pPr>
              <w:spacing w:after="0"/>
              <w:rPr>
                <w:sz w:val="12"/>
                <w:szCs w:val="12"/>
                <w:color w:val="auto"/>
              </w:rPr>
            </w:pPr>
          </w:p>
        </w:tc>
        <w:tc>
          <w:tcPr>
            <w:tcW w:w="640" w:type="dxa"/>
            <w:vAlign w:val="bottom"/>
            <w:tcBorders>
              <w:right w:val="single" w:sz="8" w:color="EC252A"/>
            </w:tcBorders>
            <w:vMerge w:val="continue"/>
          </w:tcPr>
          <w:p>
            <w:pPr>
              <w:spacing w:after="0"/>
              <w:rPr>
                <w:sz w:val="12"/>
                <w:szCs w:val="12"/>
                <w:color w:val="auto"/>
              </w:rPr>
            </w:pPr>
          </w:p>
        </w:tc>
        <w:tc>
          <w:tcPr>
            <w:tcW w:w="580" w:type="dxa"/>
            <w:vAlign w:val="bottom"/>
            <w:tcBorders>
              <w:right w:val="single" w:sz="8" w:color="EC252A"/>
            </w:tcBorders>
            <w:vMerge w:val="continue"/>
          </w:tcPr>
          <w:p>
            <w:pPr>
              <w:spacing w:after="0"/>
              <w:rPr>
                <w:sz w:val="12"/>
                <w:szCs w:val="12"/>
                <w:color w:val="auto"/>
              </w:rPr>
            </w:pPr>
          </w:p>
        </w:tc>
        <w:tc>
          <w:tcPr>
            <w:tcW w:w="600" w:type="dxa"/>
            <w:vAlign w:val="bottom"/>
            <w:tcBorders>
              <w:right w:val="single" w:sz="8" w:color="EC252A"/>
            </w:tcBorders>
            <w:vMerge w:val="continue"/>
          </w:tcPr>
          <w:p>
            <w:pPr>
              <w:spacing w:after="0"/>
              <w:rPr>
                <w:sz w:val="12"/>
                <w:szCs w:val="12"/>
                <w:color w:val="auto"/>
              </w:rPr>
            </w:pPr>
          </w:p>
        </w:tc>
        <w:tc>
          <w:tcPr>
            <w:tcW w:w="760" w:type="dxa"/>
            <w:vAlign w:val="bottom"/>
            <w:tcBorders>
              <w:right w:val="single" w:sz="8" w:color="EC252A"/>
            </w:tcBorders>
            <w:vMerge w:val="continue"/>
          </w:tcPr>
          <w:p>
            <w:pPr>
              <w:spacing w:after="0"/>
              <w:rPr>
                <w:sz w:val="12"/>
                <w:szCs w:val="12"/>
                <w:color w:val="auto"/>
              </w:rPr>
            </w:pPr>
          </w:p>
        </w:tc>
        <w:tc>
          <w:tcPr>
            <w:tcW w:w="860" w:type="dxa"/>
            <w:vAlign w:val="bottom"/>
            <w:tcBorders>
              <w:right w:val="single" w:sz="8" w:color="EC252A"/>
            </w:tcBorders>
            <w:vMerge w:val="continue"/>
          </w:tcPr>
          <w:p>
            <w:pPr>
              <w:spacing w:after="0"/>
              <w:rPr>
                <w:sz w:val="12"/>
                <w:szCs w:val="12"/>
                <w:color w:val="auto"/>
              </w:rPr>
            </w:pPr>
          </w:p>
        </w:tc>
        <w:tc>
          <w:tcPr>
            <w:tcW w:w="500" w:type="dxa"/>
            <w:vAlign w:val="bottom"/>
            <w:tcBorders>
              <w:right w:val="single" w:sz="8" w:color="EC252A"/>
            </w:tcBorders>
            <w:vMerge w:val="continue"/>
          </w:tcPr>
          <w:p>
            <w:pPr>
              <w:spacing w:after="0"/>
              <w:rPr>
                <w:sz w:val="12"/>
                <w:szCs w:val="12"/>
                <w:color w:val="auto"/>
              </w:rPr>
            </w:pPr>
          </w:p>
        </w:tc>
        <w:tc>
          <w:tcPr>
            <w:tcW w:w="900" w:type="dxa"/>
            <w:vAlign w:val="bottom"/>
            <w:tcBorders>
              <w:right w:val="single" w:sz="8" w:color="EC252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240" w:type="dxa"/>
            <w:vAlign w:val="bottom"/>
            <w:tcBorders>
              <w:left w:val="single" w:sz="8" w:color="EC252A"/>
              <w:right w:val="single" w:sz="8" w:color="EC252A"/>
            </w:tcBorders>
            <w:vMerge w:val="continue"/>
          </w:tcPr>
          <w:p>
            <w:pPr>
              <w:spacing w:after="0"/>
              <w:rPr>
                <w:sz w:val="8"/>
                <w:szCs w:val="8"/>
                <w:color w:val="auto"/>
              </w:rPr>
            </w:pPr>
          </w:p>
        </w:tc>
        <w:tc>
          <w:tcPr>
            <w:tcW w:w="920" w:type="dxa"/>
            <w:vAlign w:val="bottom"/>
            <w:tcBorders>
              <w:right w:val="single" w:sz="8" w:color="EC252A"/>
            </w:tcBorders>
          </w:tcPr>
          <w:p>
            <w:pPr>
              <w:spacing w:after="0"/>
              <w:rPr>
                <w:sz w:val="8"/>
                <w:szCs w:val="8"/>
                <w:color w:val="auto"/>
              </w:rPr>
            </w:pPr>
          </w:p>
        </w:tc>
        <w:tc>
          <w:tcPr>
            <w:tcW w:w="660" w:type="dxa"/>
            <w:vAlign w:val="bottom"/>
            <w:tcBorders>
              <w:right w:val="single" w:sz="8" w:color="EC252A"/>
            </w:tcBorders>
          </w:tcPr>
          <w:p>
            <w:pPr>
              <w:spacing w:after="0"/>
              <w:rPr>
                <w:sz w:val="8"/>
                <w:szCs w:val="8"/>
                <w:color w:val="auto"/>
              </w:rPr>
            </w:pPr>
          </w:p>
        </w:tc>
        <w:tc>
          <w:tcPr>
            <w:tcW w:w="640" w:type="dxa"/>
            <w:vAlign w:val="bottom"/>
            <w:tcBorders>
              <w:right w:val="single" w:sz="8" w:color="EC252A"/>
            </w:tcBorders>
          </w:tcPr>
          <w:p>
            <w:pPr>
              <w:spacing w:after="0"/>
              <w:rPr>
                <w:sz w:val="8"/>
                <w:szCs w:val="8"/>
                <w:color w:val="auto"/>
              </w:rPr>
            </w:pPr>
          </w:p>
        </w:tc>
        <w:tc>
          <w:tcPr>
            <w:tcW w:w="640" w:type="dxa"/>
            <w:vAlign w:val="bottom"/>
            <w:tcBorders>
              <w:right w:val="single" w:sz="8" w:color="EC252A"/>
            </w:tcBorders>
          </w:tcPr>
          <w:p>
            <w:pPr>
              <w:spacing w:after="0"/>
              <w:rPr>
                <w:sz w:val="8"/>
                <w:szCs w:val="8"/>
                <w:color w:val="auto"/>
              </w:rPr>
            </w:pPr>
          </w:p>
        </w:tc>
        <w:tc>
          <w:tcPr>
            <w:tcW w:w="580" w:type="dxa"/>
            <w:vAlign w:val="bottom"/>
            <w:tcBorders>
              <w:right w:val="single" w:sz="8" w:color="EC252A"/>
            </w:tcBorders>
          </w:tcPr>
          <w:p>
            <w:pPr>
              <w:spacing w:after="0"/>
              <w:rPr>
                <w:sz w:val="8"/>
                <w:szCs w:val="8"/>
                <w:color w:val="auto"/>
              </w:rPr>
            </w:pPr>
          </w:p>
        </w:tc>
        <w:tc>
          <w:tcPr>
            <w:tcW w:w="600" w:type="dxa"/>
            <w:vAlign w:val="bottom"/>
            <w:tcBorders>
              <w:right w:val="single" w:sz="8" w:color="EC252A"/>
            </w:tcBorders>
          </w:tcPr>
          <w:p>
            <w:pPr>
              <w:spacing w:after="0"/>
              <w:rPr>
                <w:sz w:val="8"/>
                <w:szCs w:val="8"/>
                <w:color w:val="auto"/>
              </w:rPr>
            </w:pPr>
          </w:p>
        </w:tc>
        <w:tc>
          <w:tcPr>
            <w:tcW w:w="760" w:type="dxa"/>
            <w:vAlign w:val="bottom"/>
            <w:tcBorders>
              <w:right w:val="single" w:sz="8" w:color="EC252A"/>
            </w:tcBorders>
          </w:tcPr>
          <w:p>
            <w:pPr>
              <w:spacing w:after="0"/>
              <w:rPr>
                <w:sz w:val="8"/>
                <w:szCs w:val="8"/>
                <w:color w:val="auto"/>
              </w:rPr>
            </w:pPr>
          </w:p>
        </w:tc>
        <w:tc>
          <w:tcPr>
            <w:tcW w:w="860" w:type="dxa"/>
            <w:vAlign w:val="bottom"/>
            <w:tcBorders>
              <w:right w:val="single" w:sz="8" w:color="EC252A"/>
            </w:tcBorders>
          </w:tcPr>
          <w:p>
            <w:pPr>
              <w:spacing w:after="0"/>
              <w:rPr>
                <w:sz w:val="8"/>
                <w:szCs w:val="8"/>
                <w:color w:val="auto"/>
              </w:rPr>
            </w:pPr>
          </w:p>
        </w:tc>
        <w:tc>
          <w:tcPr>
            <w:tcW w:w="500" w:type="dxa"/>
            <w:vAlign w:val="bottom"/>
            <w:tcBorders>
              <w:right w:val="single" w:sz="8" w:color="EC252A"/>
            </w:tcBorders>
          </w:tcPr>
          <w:p>
            <w:pPr>
              <w:spacing w:after="0"/>
              <w:rPr>
                <w:sz w:val="8"/>
                <w:szCs w:val="8"/>
                <w:color w:val="auto"/>
              </w:rPr>
            </w:pPr>
          </w:p>
        </w:tc>
        <w:tc>
          <w:tcPr>
            <w:tcW w:w="900" w:type="dxa"/>
            <w:vAlign w:val="bottom"/>
            <w:tcBorders>
              <w:right w:val="single" w:sz="8" w:color="EC252A"/>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240" w:type="dxa"/>
            <w:vAlign w:val="bottom"/>
            <w:tcBorders>
              <w:left w:val="single" w:sz="8" w:color="EC252A"/>
              <w:bottom w:val="single" w:sz="8" w:color="EC252A"/>
              <w:right w:val="single" w:sz="8" w:color="EC252A"/>
            </w:tcBorders>
          </w:tcPr>
          <w:p>
            <w:pPr>
              <w:spacing w:after="0"/>
              <w:rPr>
                <w:sz w:val="5"/>
                <w:szCs w:val="5"/>
                <w:color w:val="auto"/>
              </w:rPr>
            </w:pPr>
          </w:p>
        </w:tc>
        <w:tc>
          <w:tcPr>
            <w:tcW w:w="920" w:type="dxa"/>
            <w:vAlign w:val="bottom"/>
            <w:tcBorders>
              <w:bottom w:val="single" w:sz="8" w:color="EC252A"/>
              <w:right w:val="single" w:sz="8" w:color="EC252A"/>
            </w:tcBorders>
          </w:tcPr>
          <w:p>
            <w:pPr>
              <w:spacing w:after="0"/>
              <w:rPr>
                <w:sz w:val="5"/>
                <w:szCs w:val="5"/>
                <w:color w:val="auto"/>
              </w:rPr>
            </w:pPr>
          </w:p>
        </w:tc>
        <w:tc>
          <w:tcPr>
            <w:tcW w:w="660" w:type="dxa"/>
            <w:vAlign w:val="bottom"/>
            <w:tcBorders>
              <w:bottom w:val="single" w:sz="8" w:color="EC252A"/>
              <w:right w:val="single" w:sz="8" w:color="EC252A"/>
            </w:tcBorders>
          </w:tcPr>
          <w:p>
            <w:pPr>
              <w:spacing w:after="0"/>
              <w:rPr>
                <w:sz w:val="5"/>
                <w:szCs w:val="5"/>
                <w:color w:val="auto"/>
              </w:rPr>
            </w:pPr>
          </w:p>
        </w:tc>
        <w:tc>
          <w:tcPr>
            <w:tcW w:w="640" w:type="dxa"/>
            <w:vAlign w:val="bottom"/>
            <w:tcBorders>
              <w:bottom w:val="single" w:sz="8" w:color="EC252A"/>
              <w:right w:val="single" w:sz="8" w:color="EC252A"/>
            </w:tcBorders>
          </w:tcPr>
          <w:p>
            <w:pPr>
              <w:spacing w:after="0"/>
              <w:rPr>
                <w:sz w:val="5"/>
                <w:szCs w:val="5"/>
                <w:color w:val="auto"/>
              </w:rPr>
            </w:pPr>
          </w:p>
        </w:tc>
        <w:tc>
          <w:tcPr>
            <w:tcW w:w="640" w:type="dxa"/>
            <w:vAlign w:val="bottom"/>
            <w:tcBorders>
              <w:bottom w:val="single" w:sz="8" w:color="EC252A"/>
              <w:right w:val="single" w:sz="8" w:color="EC252A"/>
            </w:tcBorders>
          </w:tcPr>
          <w:p>
            <w:pPr>
              <w:spacing w:after="0"/>
              <w:rPr>
                <w:sz w:val="5"/>
                <w:szCs w:val="5"/>
                <w:color w:val="auto"/>
              </w:rPr>
            </w:pPr>
          </w:p>
        </w:tc>
        <w:tc>
          <w:tcPr>
            <w:tcW w:w="580" w:type="dxa"/>
            <w:vAlign w:val="bottom"/>
            <w:tcBorders>
              <w:bottom w:val="single" w:sz="8" w:color="EC252A"/>
              <w:right w:val="single" w:sz="8" w:color="EC252A"/>
            </w:tcBorders>
          </w:tcPr>
          <w:p>
            <w:pPr>
              <w:spacing w:after="0"/>
              <w:rPr>
                <w:sz w:val="5"/>
                <w:szCs w:val="5"/>
                <w:color w:val="auto"/>
              </w:rPr>
            </w:pPr>
          </w:p>
        </w:tc>
        <w:tc>
          <w:tcPr>
            <w:tcW w:w="600" w:type="dxa"/>
            <w:vAlign w:val="bottom"/>
            <w:tcBorders>
              <w:bottom w:val="single" w:sz="8" w:color="EC252A"/>
              <w:right w:val="single" w:sz="8" w:color="EC252A"/>
            </w:tcBorders>
          </w:tcPr>
          <w:p>
            <w:pPr>
              <w:spacing w:after="0"/>
              <w:rPr>
                <w:sz w:val="5"/>
                <w:szCs w:val="5"/>
                <w:color w:val="auto"/>
              </w:rPr>
            </w:pPr>
          </w:p>
        </w:tc>
        <w:tc>
          <w:tcPr>
            <w:tcW w:w="760" w:type="dxa"/>
            <w:vAlign w:val="bottom"/>
            <w:tcBorders>
              <w:bottom w:val="single" w:sz="8" w:color="EC252A"/>
              <w:right w:val="single" w:sz="8" w:color="EC252A"/>
            </w:tcBorders>
          </w:tcPr>
          <w:p>
            <w:pPr>
              <w:spacing w:after="0"/>
              <w:rPr>
                <w:sz w:val="5"/>
                <w:szCs w:val="5"/>
                <w:color w:val="auto"/>
              </w:rPr>
            </w:pPr>
          </w:p>
        </w:tc>
        <w:tc>
          <w:tcPr>
            <w:tcW w:w="860" w:type="dxa"/>
            <w:vAlign w:val="bottom"/>
            <w:tcBorders>
              <w:bottom w:val="single" w:sz="8" w:color="EC252A"/>
              <w:right w:val="single" w:sz="8" w:color="EC252A"/>
            </w:tcBorders>
          </w:tcPr>
          <w:p>
            <w:pPr>
              <w:spacing w:after="0"/>
              <w:rPr>
                <w:sz w:val="5"/>
                <w:szCs w:val="5"/>
                <w:color w:val="auto"/>
              </w:rPr>
            </w:pPr>
          </w:p>
        </w:tc>
        <w:tc>
          <w:tcPr>
            <w:tcW w:w="500" w:type="dxa"/>
            <w:vAlign w:val="bottom"/>
            <w:tcBorders>
              <w:bottom w:val="single" w:sz="8" w:color="EC252A"/>
              <w:right w:val="single" w:sz="8" w:color="EC252A"/>
            </w:tcBorders>
          </w:tcPr>
          <w:p>
            <w:pPr>
              <w:spacing w:after="0"/>
              <w:rPr>
                <w:sz w:val="5"/>
                <w:szCs w:val="5"/>
                <w:color w:val="auto"/>
              </w:rPr>
            </w:pPr>
          </w:p>
        </w:tc>
        <w:tc>
          <w:tcPr>
            <w:tcW w:w="900" w:type="dxa"/>
            <w:vAlign w:val="bottom"/>
            <w:tcBorders>
              <w:bottom w:val="single" w:sz="8" w:color="EC252A"/>
              <w:right w:val="single" w:sz="8" w:color="EC252A"/>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240" w:type="dxa"/>
            <w:vAlign w:val="bottom"/>
            <w:tcBorders>
              <w:left w:val="single" w:sz="8" w:color="EC252A"/>
              <w:right w:val="single" w:sz="8" w:color="EC252A"/>
            </w:tcBorders>
          </w:tcPr>
          <w:p>
            <w:pPr>
              <w:ind w:left="160"/>
              <w:spacing w:after="0"/>
              <w:rPr>
                <w:sz w:val="20"/>
                <w:szCs w:val="20"/>
                <w:color w:val="auto"/>
              </w:rPr>
            </w:pPr>
            <w:r>
              <w:rPr>
                <w:rFonts w:ascii="Arial" w:cs="Arial" w:eastAsia="Arial" w:hAnsi="Arial"/>
                <w:sz w:val="18"/>
                <w:szCs w:val="18"/>
                <w:color w:val="auto"/>
              </w:rPr>
              <w:t>Public Board Experience</w:t>
            </w:r>
          </w:p>
        </w:tc>
        <w:tc>
          <w:tcPr>
            <w:tcW w:w="92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right w:val="single" w:sz="8" w:color="EC252A"/>
            </w:tcBorders>
          </w:tcPr>
          <w:p>
            <w:pPr>
              <w:spacing w:after="0"/>
              <w:rPr>
                <w:sz w:val="24"/>
                <w:szCs w:val="24"/>
                <w:color w:val="auto"/>
              </w:rPr>
            </w:pPr>
          </w:p>
        </w:tc>
        <w:tc>
          <w:tcPr>
            <w:tcW w:w="640" w:type="dxa"/>
            <w:vAlign w:val="bottom"/>
            <w:tcBorders>
              <w:right w:val="single" w:sz="8" w:color="EC252A"/>
            </w:tcBorders>
          </w:tcPr>
          <w:p>
            <w:pPr>
              <w:spacing w:after="0"/>
              <w:rPr>
                <w:sz w:val="24"/>
                <w:szCs w:val="24"/>
                <w:color w:val="auto"/>
              </w:rPr>
            </w:pPr>
          </w:p>
        </w:tc>
        <w:tc>
          <w:tcPr>
            <w:tcW w:w="64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8"/>
        </w:trPr>
        <w:tc>
          <w:tcPr>
            <w:tcW w:w="2240" w:type="dxa"/>
            <w:vAlign w:val="bottom"/>
            <w:tcBorders>
              <w:left w:val="single" w:sz="8" w:color="EC252A"/>
              <w:bottom w:val="single" w:sz="8" w:color="EC252A"/>
              <w:right w:val="single" w:sz="8" w:color="EC252A"/>
            </w:tcBorders>
          </w:tcPr>
          <w:p>
            <w:pPr>
              <w:spacing w:after="0"/>
              <w:rPr>
                <w:sz w:val="4"/>
                <w:szCs w:val="4"/>
                <w:color w:val="auto"/>
              </w:rPr>
            </w:pPr>
          </w:p>
        </w:tc>
        <w:tc>
          <w:tcPr>
            <w:tcW w:w="920" w:type="dxa"/>
            <w:vAlign w:val="bottom"/>
            <w:tcBorders>
              <w:bottom w:val="single" w:sz="8" w:color="EC252A"/>
              <w:right w:val="single" w:sz="8" w:color="EC252A"/>
            </w:tcBorders>
          </w:tcPr>
          <w:p>
            <w:pPr>
              <w:spacing w:after="0"/>
              <w:rPr>
                <w:sz w:val="4"/>
                <w:szCs w:val="4"/>
                <w:color w:val="auto"/>
              </w:rPr>
            </w:pPr>
          </w:p>
        </w:tc>
        <w:tc>
          <w:tcPr>
            <w:tcW w:w="66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580" w:type="dxa"/>
            <w:vAlign w:val="bottom"/>
            <w:tcBorders>
              <w:bottom w:val="single" w:sz="8" w:color="EC252A"/>
              <w:right w:val="single" w:sz="8" w:color="EC252A"/>
            </w:tcBorders>
          </w:tcPr>
          <w:p>
            <w:pPr>
              <w:spacing w:after="0"/>
              <w:rPr>
                <w:sz w:val="4"/>
                <w:szCs w:val="4"/>
                <w:color w:val="auto"/>
              </w:rPr>
            </w:pPr>
          </w:p>
        </w:tc>
        <w:tc>
          <w:tcPr>
            <w:tcW w:w="600" w:type="dxa"/>
            <w:vAlign w:val="bottom"/>
            <w:tcBorders>
              <w:bottom w:val="single" w:sz="8" w:color="EC252A"/>
              <w:right w:val="single" w:sz="8" w:color="EC252A"/>
            </w:tcBorders>
          </w:tcPr>
          <w:p>
            <w:pPr>
              <w:spacing w:after="0"/>
              <w:rPr>
                <w:sz w:val="4"/>
                <w:szCs w:val="4"/>
                <w:color w:val="auto"/>
              </w:rPr>
            </w:pPr>
          </w:p>
        </w:tc>
        <w:tc>
          <w:tcPr>
            <w:tcW w:w="760" w:type="dxa"/>
            <w:vAlign w:val="bottom"/>
            <w:tcBorders>
              <w:bottom w:val="single" w:sz="8" w:color="EC252A"/>
              <w:right w:val="single" w:sz="8" w:color="EC252A"/>
            </w:tcBorders>
          </w:tcPr>
          <w:p>
            <w:pPr>
              <w:spacing w:after="0"/>
              <w:rPr>
                <w:sz w:val="4"/>
                <w:szCs w:val="4"/>
                <w:color w:val="auto"/>
              </w:rPr>
            </w:pPr>
          </w:p>
        </w:tc>
        <w:tc>
          <w:tcPr>
            <w:tcW w:w="860" w:type="dxa"/>
            <w:vAlign w:val="bottom"/>
            <w:tcBorders>
              <w:bottom w:val="single" w:sz="8" w:color="EC252A"/>
              <w:right w:val="single" w:sz="8" w:color="EC252A"/>
            </w:tcBorders>
          </w:tcPr>
          <w:p>
            <w:pPr>
              <w:spacing w:after="0"/>
              <w:rPr>
                <w:sz w:val="4"/>
                <w:szCs w:val="4"/>
                <w:color w:val="auto"/>
              </w:rPr>
            </w:pPr>
          </w:p>
        </w:tc>
        <w:tc>
          <w:tcPr>
            <w:tcW w:w="500" w:type="dxa"/>
            <w:vAlign w:val="bottom"/>
            <w:tcBorders>
              <w:bottom w:val="single" w:sz="8" w:color="EC252A"/>
              <w:right w:val="single" w:sz="8" w:color="EC252A"/>
            </w:tcBorders>
          </w:tcPr>
          <w:p>
            <w:pPr>
              <w:spacing w:after="0"/>
              <w:rPr>
                <w:sz w:val="4"/>
                <w:szCs w:val="4"/>
                <w:color w:val="auto"/>
              </w:rPr>
            </w:pPr>
          </w:p>
        </w:tc>
        <w:tc>
          <w:tcPr>
            <w:tcW w:w="900" w:type="dxa"/>
            <w:vAlign w:val="bottom"/>
            <w:tcBorders>
              <w:bottom w:val="single" w:sz="8" w:color="EC252A"/>
              <w:right w:val="single" w:sz="8" w:color="EC252A"/>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240" w:type="dxa"/>
            <w:vAlign w:val="bottom"/>
            <w:tcBorders>
              <w:left w:val="single" w:sz="8" w:color="EC252A"/>
              <w:right w:val="single" w:sz="8" w:color="EC252A"/>
            </w:tcBorders>
          </w:tcPr>
          <w:p>
            <w:pPr>
              <w:ind w:left="160"/>
              <w:spacing w:after="0"/>
              <w:rPr>
                <w:sz w:val="20"/>
                <w:szCs w:val="20"/>
                <w:color w:val="auto"/>
              </w:rPr>
            </w:pPr>
            <w:r>
              <w:rPr>
                <w:rFonts w:ascii="Arial" w:cs="Arial" w:eastAsia="Arial" w:hAnsi="Arial"/>
                <w:sz w:val="18"/>
                <w:szCs w:val="18"/>
                <w:color w:val="auto"/>
              </w:rPr>
              <w:t>Financial Literacy</w:t>
            </w:r>
          </w:p>
        </w:tc>
        <w:tc>
          <w:tcPr>
            <w:tcW w:w="92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4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8"/>
        </w:trPr>
        <w:tc>
          <w:tcPr>
            <w:tcW w:w="2240" w:type="dxa"/>
            <w:vAlign w:val="bottom"/>
            <w:tcBorders>
              <w:left w:val="single" w:sz="8" w:color="EC252A"/>
              <w:bottom w:val="single" w:sz="8" w:color="EC252A"/>
              <w:right w:val="single" w:sz="8" w:color="EC252A"/>
            </w:tcBorders>
          </w:tcPr>
          <w:p>
            <w:pPr>
              <w:spacing w:after="0"/>
              <w:rPr>
                <w:sz w:val="4"/>
                <w:szCs w:val="4"/>
                <w:color w:val="auto"/>
              </w:rPr>
            </w:pPr>
          </w:p>
        </w:tc>
        <w:tc>
          <w:tcPr>
            <w:tcW w:w="920" w:type="dxa"/>
            <w:vAlign w:val="bottom"/>
            <w:tcBorders>
              <w:bottom w:val="single" w:sz="8" w:color="EC252A"/>
              <w:right w:val="single" w:sz="8" w:color="EC252A"/>
            </w:tcBorders>
          </w:tcPr>
          <w:p>
            <w:pPr>
              <w:spacing w:after="0"/>
              <w:rPr>
                <w:sz w:val="4"/>
                <w:szCs w:val="4"/>
                <w:color w:val="auto"/>
              </w:rPr>
            </w:pPr>
          </w:p>
        </w:tc>
        <w:tc>
          <w:tcPr>
            <w:tcW w:w="66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580" w:type="dxa"/>
            <w:vAlign w:val="bottom"/>
            <w:tcBorders>
              <w:bottom w:val="single" w:sz="8" w:color="EC252A"/>
              <w:right w:val="single" w:sz="8" w:color="EC252A"/>
            </w:tcBorders>
          </w:tcPr>
          <w:p>
            <w:pPr>
              <w:spacing w:after="0"/>
              <w:rPr>
                <w:sz w:val="4"/>
                <w:szCs w:val="4"/>
                <w:color w:val="auto"/>
              </w:rPr>
            </w:pPr>
          </w:p>
        </w:tc>
        <w:tc>
          <w:tcPr>
            <w:tcW w:w="600" w:type="dxa"/>
            <w:vAlign w:val="bottom"/>
            <w:tcBorders>
              <w:bottom w:val="single" w:sz="8" w:color="EC252A"/>
              <w:right w:val="single" w:sz="8" w:color="EC252A"/>
            </w:tcBorders>
          </w:tcPr>
          <w:p>
            <w:pPr>
              <w:spacing w:after="0"/>
              <w:rPr>
                <w:sz w:val="4"/>
                <w:szCs w:val="4"/>
                <w:color w:val="auto"/>
              </w:rPr>
            </w:pPr>
          </w:p>
        </w:tc>
        <w:tc>
          <w:tcPr>
            <w:tcW w:w="760" w:type="dxa"/>
            <w:vAlign w:val="bottom"/>
            <w:tcBorders>
              <w:bottom w:val="single" w:sz="8" w:color="EC252A"/>
              <w:right w:val="single" w:sz="8" w:color="EC252A"/>
            </w:tcBorders>
          </w:tcPr>
          <w:p>
            <w:pPr>
              <w:spacing w:after="0"/>
              <w:rPr>
                <w:sz w:val="4"/>
                <w:szCs w:val="4"/>
                <w:color w:val="auto"/>
              </w:rPr>
            </w:pPr>
          </w:p>
        </w:tc>
        <w:tc>
          <w:tcPr>
            <w:tcW w:w="860" w:type="dxa"/>
            <w:vAlign w:val="bottom"/>
            <w:tcBorders>
              <w:bottom w:val="single" w:sz="8" w:color="EC252A"/>
              <w:right w:val="single" w:sz="8" w:color="EC252A"/>
            </w:tcBorders>
          </w:tcPr>
          <w:p>
            <w:pPr>
              <w:spacing w:after="0"/>
              <w:rPr>
                <w:sz w:val="4"/>
                <w:szCs w:val="4"/>
                <w:color w:val="auto"/>
              </w:rPr>
            </w:pPr>
          </w:p>
        </w:tc>
        <w:tc>
          <w:tcPr>
            <w:tcW w:w="500" w:type="dxa"/>
            <w:vAlign w:val="bottom"/>
            <w:tcBorders>
              <w:bottom w:val="single" w:sz="8" w:color="EC252A"/>
              <w:right w:val="single" w:sz="8" w:color="EC252A"/>
            </w:tcBorders>
          </w:tcPr>
          <w:p>
            <w:pPr>
              <w:spacing w:after="0"/>
              <w:rPr>
                <w:sz w:val="4"/>
                <w:szCs w:val="4"/>
                <w:color w:val="auto"/>
              </w:rPr>
            </w:pPr>
          </w:p>
        </w:tc>
        <w:tc>
          <w:tcPr>
            <w:tcW w:w="900" w:type="dxa"/>
            <w:vAlign w:val="bottom"/>
            <w:tcBorders>
              <w:bottom w:val="single" w:sz="8" w:color="EC252A"/>
              <w:right w:val="single" w:sz="8" w:color="EC252A"/>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240" w:type="dxa"/>
            <w:vAlign w:val="bottom"/>
            <w:tcBorders>
              <w:left w:val="single" w:sz="8" w:color="EC252A"/>
              <w:right w:val="single" w:sz="8" w:color="EC252A"/>
            </w:tcBorders>
          </w:tcPr>
          <w:p>
            <w:pPr>
              <w:ind w:left="160"/>
              <w:spacing w:after="0"/>
              <w:rPr>
                <w:sz w:val="20"/>
                <w:szCs w:val="20"/>
                <w:color w:val="auto"/>
              </w:rPr>
            </w:pPr>
            <w:r>
              <w:rPr>
                <w:rFonts w:ascii="Arial" w:cs="Arial" w:eastAsia="Arial" w:hAnsi="Arial"/>
                <w:sz w:val="18"/>
                <w:szCs w:val="18"/>
                <w:color w:val="auto"/>
              </w:rPr>
              <w:t>Public Company</w:t>
            </w:r>
          </w:p>
        </w:tc>
        <w:tc>
          <w:tcPr>
            <w:tcW w:w="92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4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Borders>
              <w:right w:val="single" w:sz="8" w:color="EC252A"/>
            </w:tcBorders>
          </w:tcPr>
          <w:p>
            <w:pPr>
              <w:spacing w:after="0"/>
              <w:rPr>
                <w:sz w:val="22"/>
                <w:szCs w:val="22"/>
                <w:color w:val="auto"/>
              </w:rPr>
            </w:pPr>
          </w:p>
        </w:tc>
        <w:tc>
          <w:tcPr>
            <w:tcW w:w="76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7"/>
        </w:trPr>
        <w:tc>
          <w:tcPr>
            <w:tcW w:w="2240" w:type="dxa"/>
            <w:vAlign w:val="bottom"/>
            <w:tcBorders>
              <w:left w:val="single" w:sz="8" w:color="EC252A"/>
              <w:right w:val="single" w:sz="8" w:color="EC252A"/>
            </w:tcBorders>
            <w:vMerge w:val="restart"/>
          </w:tcPr>
          <w:p>
            <w:pPr>
              <w:ind w:left="160"/>
              <w:spacing w:after="0"/>
              <w:rPr>
                <w:sz w:val="20"/>
                <w:szCs w:val="20"/>
                <w:color w:val="auto"/>
              </w:rPr>
            </w:pPr>
            <w:r>
              <w:rPr>
                <w:rFonts w:ascii="Arial" w:cs="Arial" w:eastAsia="Arial" w:hAnsi="Arial"/>
                <w:sz w:val="18"/>
                <w:szCs w:val="18"/>
                <w:color w:val="auto"/>
              </w:rPr>
              <w:t>Experience</w:t>
            </w:r>
          </w:p>
        </w:tc>
        <w:tc>
          <w:tcPr>
            <w:tcW w:w="920" w:type="dxa"/>
            <w:vAlign w:val="bottom"/>
            <w:tcBorders>
              <w:right w:val="single" w:sz="8" w:color="EC252A"/>
            </w:tcBorders>
            <w:vMerge w:val="continue"/>
          </w:tcPr>
          <w:p>
            <w:pPr>
              <w:spacing w:after="0"/>
              <w:rPr>
                <w:sz w:val="12"/>
                <w:szCs w:val="12"/>
                <w:color w:val="auto"/>
              </w:rPr>
            </w:pPr>
          </w:p>
        </w:tc>
        <w:tc>
          <w:tcPr>
            <w:tcW w:w="660" w:type="dxa"/>
            <w:vAlign w:val="bottom"/>
            <w:tcBorders>
              <w:right w:val="single" w:sz="8" w:color="EC252A"/>
            </w:tcBorders>
            <w:vMerge w:val="continue"/>
          </w:tcPr>
          <w:p>
            <w:pPr>
              <w:spacing w:after="0"/>
              <w:rPr>
                <w:sz w:val="12"/>
                <w:szCs w:val="12"/>
                <w:color w:val="auto"/>
              </w:rPr>
            </w:pPr>
          </w:p>
        </w:tc>
        <w:tc>
          <w:tcPr>
            <w:tcW w:w="640" w:type="dxa"/>
            <w:vAlign w:val="bottom"/>
            <w:tcBorders>
              <w:right w:val="single" w:sz="8" w:color="EC252A"/>
            </w:tcBorders>
            <w:vMerge w:val="continue"/>
          </w:tcPr>
          <w:p>
            <w:pPr>
              <w:spacing w:after="0"/>
              <w:rPr>
                <w:sz w:val="12"/>
                <w:szCs w:val="12"/>
                <w:color w:val="auto"/>
              </w:rPr>
            </w:pPr>
          </w:p>
        </w:tc>
        <w:tc>
          <w:tcPr>
            <w:tcW w:w="640" w:type="dxa"/>
            <w:vAlign w:val="bottom"/>
            <w:tcBorders>
              <w:right w:val="single" w:sz="8" w:color="EC252A"/>
            </w:tcBorders>
            <w:vMerge w:val="continue"/>
          </w:tcPr>
          <w:p>
            <w:pPr>
              <w:spacing w:after="0"/>
              <w:rPr>
                <w:sz w:val="12"/>
                <w:szCs w:val="12"/>
                <w:color w:val="auto"/>
              </w:rPr>
            </w:pPr>
          </w:p>
        </w:tc>
        <w:tc>
          <w:tcPr>
            <w:tcW w:w="580" w:type="dxa"/>
            <w:vAlign w:val="bottom"/>
            <w:tcBorders>
              <w:right w:val="single" w:sz="8" w:color="EC252A"/>
            </w:tcBorders>
            <w:vMerge w:val="continue"/>
          </w:tcPr>
          <w:p>
            <w:pPr>
              <w:spacing w:after="0"/>
              <w:rPr>
                <w:sz w:val="12"/>
                <w:szCs w:val="12"/>
                <w:color w:val="auto"/>
              </w:rPr>
            </w:pPr>
          </w:p>
        </w:tc>
        <w:tc>
          <w:tcPr>
            <w:tcW w:w="600" w:type="dxa"/>
            <w:vAlign w:val="bottom"/>
            <w:tcBorders>
              <w:right w:val="single" w:sz="8" w:color="EC252A"/>
            </w:tcBorders>
          </w:tcPr>
          <w:p>
            <w:pPr>
              <w:spacing w:after="0"/>
              <w:rPr>
                <w:sz w:val="12"/>
                <w:szCs w:val="12"/>
                <w:color w:val="auto"/>
              </w:rPr>
            </w:pPr>
          </w:p>
        </w:tc>
        <w:tc>
          <w:tcPr>
            <w:tcW w:w="760" w:type="dxa"/>
            <w:vAlign w:val="bottom"/>
            <w:tcBorders>
              <w:right w:val="single" w:sz="8" w:color="EC252A"/>
            </w:tcBorders>
            <w:vMerge w:val="continue"/>
          </w:tcPr>
          <w:p>
            <w:pPr>
              <w:spacing w:after="0"/>
              <w:rPr>
                <w:sz w:val="12"/>
                <w:szCs w:val="12"/>
                <w:color w:val="auto"/>
              </w:rPr>
            </w:pPr>
          </w:p>
        </w:tc>
        <w:tc>
          <w:tcPr>
            <w:tcW w:w="860" w:type="dxa"/>
            <w:vAlign w:val="bottom"/>
            <w:tcBorders>
              <w:right w:val="single" w:sz="8" w:color="EC252A"/>
            </w:tcBorders>
            <w:vMerge w:val="continue"/>
          </w:tcPr>
          <w:p>
            <w:pPr>
              <w:spacing w:after="0"/>
              <w:rPr>
                <w:sz w:val="12"/>
                <w:szCs w:val="12"/>
                <w:color w:val="auto"/>
              </w:rPr>
            </w:pPr>
          </w:p>
        </w:tc>
        <w:tc>
          <w:tcPr>
            <w:tcW w:w="500" w:type="dxa"/>
            <w:vAlign w:val="bottom"/>
            <w:tcBorders>
              <w:right w:val="single" w:sz="8" w:color="EC252A"/>
            </w:tcBorders>
            <w:vMerge w:val="continue"/>
          </w:tcPr>
          <w:p>
            <w:pPr>
              <w:spacing w:after="0"/>
              <w:rPr>
                <w:sz w:val="12"/>
                <w:szCs w:val="12"/>
                <w:color w:val="auto"/>
              </w:rPr>
            </w:pPr>
          </w:p>
        </w:tc>
        <w:tc>
          <w:tcPr>
            <w:tcW w:w="900" w:type="dxa"/>
            <w:vAlign w:val="bottom"/>
            <w:tcBorders>
              <w:right w:val="single" w:sz="8" w:color="EC252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240" w:type="dxa"/>
            <w:vAlign w:val="bottom"/>
            <w:tcBorders>
              <w:left w:val="single" w:sz="8" w:color="EC252A"/>
              <w:right w:val="single" w:sz="8" w:color="EC252A"/>
            </w:tcBorders>
            <w:vMerge w:val="continue"/>
          </w:tcPr>
          <w:p>
            <w:pPr>
              <w:spacing w:after="0"/>
              <w:rPr>
                <w:sz w:val="8"/>
                <w:szCs w:val="8"/>
                <w:color w:val="auto"/>
              </w:rPr>
            </w:pPr>
          </w:p>
        </w:tc>
        <w:tc>
          <w:tcPr>
            <w:tcW w:w="920" w:type="dxa"/>
            <w:vAlign w:val="bottom"/>
            <w:tcBorders>
              <w:right w:val="single" w:sz="8" w:color="EC252A"/>
            </w:tcBorders>
          </w:tcPr>
          <w:p>
            <w:pPr>
              <w:spacing w:after="0"/>
              <w:rPr>
                <w:sz w:val="8"/>
                <w:szCs w:val="8"/>
                <w:color w:val="auto"/>
              </w:rPr>
            </w:pPr>
          </w:p>
        </w:tc>
        <w:tc>
          <w:tcPr>
            <w:tcW w:w="660" w:type="dxa"/>
            <w:vAlign w:val="bottom"/>
            <w:tcBorders>
              <w:right w:val="single" w:sz="8" w:color="EC252A"/>
            </w:tcBorders>
          </w:tcPr>
          <w:p>
            <w:pPr>
              <w:spacing w:after="0"/>
              <w:rPr>
                <w:sz w:val="8"/>
                <w:szCs w:val="8"/>
                <w:color w:val="auto"/>
              </w:rPr>
            </w:pPr>
          </w:p>
        </w:tc>
        <w:tc>
          <w:tcPr>
            <w:tcW w:w="640" w:type="dxa"/>
            <w:vAlign w:val="bottom"/>
            <w:tcBorders>
              <w:right w:val="single" w:sz="8" w:color="EC252A"/>
            </w:tcBorders>
          </w:tcPr>
          <w:p>
            <w:pPr>
              <w:spacing w:after="0"/>
              <w:rPr>
                <w:sz w:val="8"/>
                <w:szCs w:val="8"/>
                <w:color w:val="auto"/>
              </w:rPr>
            </w:pPr>
          </w:p>
        </w:tc>
        <w:tc>
          <w:tcPr>
            <w:tcW w:w="640" w:type="dxa"/>
            <w:vAlign w:val="bottom"/>
            <w:tcBorders>
              <w:right w:val="single" w:sz="8" w:color="EC252A"/>
            </w:tcBorders>
          </w:tcPr>
          <w:p>
            <w:pPr>
              <w:spacing w:after="0"/>
              <w:rPr>
                <w:sz w:val="8"/>
                <w:szCs w:val="8"/>
                <w:color w:val="auto"/>
              </w:rPr>
            </w:pPr>
          </w:p>
        </w:tc>
        <w:tc>
          <w:tcPr>
            <w:tcW w:w="580" w:type="dxa"/>
            <w:vAlign w:val="bottom"/>
            <w:tcBorders>
              <w:right w:val="single" w:sz="8" w:color="EC252A"/>
            </w:tcBorders>
          </w:tcPr>
          <w:p>
            <w:pPr>
              <w:spacing w:after="0"/>
              <w:rPr>
                <w:sz w:val="8"/>
                <w:szCs w:val="8"/>
                <w:color w:val="auto"/>
              </w:rPr>
            </w:pPr>
          </w:p>
        </w:tc>
        <w:tc>
          <w:tcPr>
            <w:tcW w:w="600" w:type="dxa"/>
            <w:vAlign w:val="bottom"/>
            <w:tcBorders>
              <w:right w:val="single" w:sz="8" w:color="EC252A"/>
            </w:tcBorders>
          </w:tcPr>
          <w:p>
            <w:pPr>
              <w:spacing w:after="0"/>
              <w:rPr>
                <w:sz w:val="8"/>
                <w:szCs w:val="8"/>
                <w:color w:val="auto"/>
              </w:rPr>
            </w:pPr>
          </w:p>
        </w:tc>
        <w:tc>
          <w:tcPr>
            <w:tcW w:w="760" w:type="dxa"/>
            <w:vAlign w:val="bottom"/>
            <w:tcBorders>
              <w:right w:val="single" w:sz="8" w:color="EC252A"/>
            </w:tcBorders>
          </w:tcPr>
          <w:p>
            <w:pPr>
              <w:spacing w:after="0"/>
              <w:rPr>
                <w:sz w:val="8"/>
                <w:szCs w:val="8"/>
                <w:color w:val="auto"/>
              </w:rPr>
            </w:pPr>
          </w:p>
        </w:tc>
        <w:tc>
          <w:tcPr>
            <w:tcW w:w="860" w:type="dxa"/>
            <w:vAlign w:val="bottom"/>
            <w:tcBorders>
              <w:right w:val="single" w:sz="8" w:color="EC252A"/>
            </w:tcBorders>
          </w:tcPr>
          <w:p>
            <w:pPr>
              <w:spacing w:after="0"/>
              <w:rPr>
                <w:sz w:val="8"/>
                <w:szCs w:val="8"/>
                <w:color w:val="auto"/>
              </w:rPr>
            </w:pPr>
          </w:p>
        </w:tc>
        <w:tc>
          <w:tcPr>
            <w:tcW w:w="500" w:type="dxa"/>
            <w:vAlign w:val="bottom"/>
            <w:tcBorders>
              <w:right w:val="single" w:sz="8" w:color="EC252A"/>
            </w:tcBorders>
          </w:tcPr>
          <w:p>
            <w:pPr>
              <w:spacing w:after="0"/>
              <w:rPr>
                <w:sz w:val="8"/>
                <w:szCs w:val="8"/>
                <w:color w:val="auto"/>
              </w:rPr>
            </w:pPr>
          </w:p>
        </w:tc>
        <w:tc>
          <w:tcPr>
            <w:tcW w:w="900" w:type="dxa"/>
            <w:vAlign w:val="bottom"/>
            <w:tcBorders>
              <w:right w:val="single" w:sz="8" w:color="EC252A"/>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240" w:type="dxa"/>
            <w:vAlign w:val="bottom"/>
            <w:tcBorders>
              <w:left w:val="single" w:sz="8" w:color="EC252A"/>
              <w:bottom w:val="single" w:sz="8" w:color="EC252A"/>
              <w:right w:val="single" w:sz="8" w:color="EC252A"/>
            </w:tcBorders>
          </w:tcPr>
          <w:p>
            <w:pPr>
              <w:spacing w:after="0"/>
              <w:rPr>
                <w:sz w:val="5"/>
                <w:szCs w:val="5"/>
                <w:color w:val="auto"/>
              </w:rPr>
            </w:pPr>
          </w:p>
        </w:tc>
        <w:tc>
          <w:tcPr>
            <w:tcW w:w="920" w:type="dxa"/>
            <w:vAlign w:val="bottom"/>
            <w:tcBorders>
              <w:bottom w:val="single" w:sz="8" w:color="EC252A"/>
              <w:right w:val="single" w:sz="8" w:color="EC252A"/>
            </w:tcBorders>
          </w:tcPr>
          <w:p>
            <w:pPr>
              <w:spacing w:after="0"/>
              <w:rPr>
                <w:sz w:val="5"/>
                <w:szCs w:val="5"/>
                <w:color w:val="auto"/>
              </w:rPr>
            </w:pPr>
          </w:p>
        </w:tc>
        <w:tc>
          <w:tcPr>
            <w:tcW w:w="660" w:type="dxa"/>
            <w:vAlign w:val="bottom"/>
            <w:tcBorders>
              <w:bottom w:val="single" w:sz="8" w:color="EC252A"/>
              <w:right w:val="single" w:sz="8" w:color="EC252A"/>
            </w:tcBorders>
          </w:tcPr>
          <w:p>
            <w:pPr>
              <w:spacing w:after="0"/>
              <w:rPr>
                <w:sz w:val="5"/>
                <w:szCs w:val="5"/>
                <w:color w:val="auto"/>
              </w:rPr>
            </w:pPr>
          </w:p>
        </w:tc>
        <w:tc>
          <w:tcPr>
            <w:tcW w:w="640" w:type="dxa"/>
            <w:vAlign w:val="bottom"/>
            <w:tcBorders>
              <w:bottom w:val="single" w:sz="8" w:color="EC252A"/>
              <w:right w:val="single" w:sz="8" w:color="EC252A"/>
            </w:tcBorders>
          </w:tcPr>
          <w:p>
            <w:pPr>
              <w:spacing w:after="0"/>
              <w:rPr>
                <w:sz w:val="5"/>
                <w:szCs w:val="5"/>
                <w:color w:val="auto"/>
              </w:rPr>
            </w:pPr>
          </w:p>
        </w:tc>
        <w:tc>
          <w:tcPr>
            <w:tcW w:w="640" w:type="dxa"/>
            <w:vAlign w:val="bottom"/>
            <w:tcBorders>
              <w:bottom w:val="single" w:sz="8" w:color="EC252A"/>
              <w:right w:val="single" w:sz="8" w:color="EC252A"/>
            </w:tcBorders>
          </w:tcPr>
          <w:p>
            <w:pPr>
              <w:spacing w:after="0"/>
              <w:rPr>
                <w:sz w:val="5"/>
                <w:szCs w:val="5"/>
                <w:color w:val="auto"/>
              </w:rPr>
            </w:pPr>
          </w:p>
        </w:tc>
        <w:tc>
          <w:tcPr>
            <w:tcW w:w="580" w:type="dxa"/>
            <w:vAlign w:val="bottom"/>
            <w:tcBorders>
              <w:bottom w:val="single" w:sz="8" w:color="EC252A"/>
              <w:right w:val="single" w:sz="8" w:color="EC252A"/>
            </w:tcBorders>
          </w:tcPr>
          <w:p>
            <w:pPr>
              <w:spacing w:after="0"/>
              <w:rPr>
                <w:sz w:val="5"/>
                <w:szCs w:val="5"/>
                <w:color w:val="auto"/>
              </w:rPr>
            </w:pPr>
          </w:p>
        </w:tc>
        <w:tc>
          <w:tcPr>
            <w:tcW w:w="600" w:type="dxa"/>
            <w:vAlign w:val="bottom"/>
            <w:tcBorders>
              <w:bottom w:val="single" w:sz="8" w:color="EC252A"/>
              <w:right w:val="single" w:sz="8" w:color="EC252A"/>
            </w:tcBorders>
          </w:tcPr>
          <w:p>
            <w:pPr>
              <w:spacing w:after="0"/>
              <w:rPr>
                <w:sz w:val="5"/>
                <w:szCs w:val="5"/>
                <w:color w:val="auto"/>
              </w:rPr>
            </w:pPr>
          </w:p>
        </w:tc>
        <w:tc>
          <w:tcPr>
            <w:tcW w:w="760" w:type="dxa"/>
            <w:vAlign w:val="bottom"/>
            <w:tcBorders>
              <w:bottom w:val="single" w:sz="8" w:color="EC252A"/>
              <w:right w:val="single" w:sz="8" w:color="EC252A"/>
            </w:tcBorders>
          </w:tcPr>
          <w:p>
            <w:pPr>
              <w:spacing w:after="0"/>
              <w:rPr>
                <w:sz w:val="5"/>
                <w:szCs w:val="5"/>
                <w:color w:val="auto"/>
              </w:rPr>
            </w:pPr>
          </w:p>
        </w:tc>
        <w:tc>
          <w:tcPr>
            <w:tcW w:w="860" w:type="dxa"/>
            <w:vAlign w:val="bottom"/>
            <w:tcBorders>
              <w:bottom w:val="single" w:sz="8" w:color="EC252A"/>
              <w:right w:val="single" w:sz="8" w:color="EC252A"/>
            </w:tcBorders>
          </w:tcPr>
          <w:p>
            <w:pPr>
              <w:spacing w:after="0"/>
              <w:rPr>
                <w:sz w:val="5"/>
                <w:szCs w:val="5"/>
                <w:color w:val="auto"/>
              </w:rPr>
            </w:pPr>
          </w:p>
        </w:tc>
        <w:tc>
          <w:tcPr>
            <w:tcW w:w="500" w:type="dxa"/>
            <w:vAlign w:val="bottom"/>
            <w:tcBorders>
              <w:bottom w:val="single" w:sz="8" w:color="EC252A"/>
              <w:right w:val="single" w:sz="8" w:color="EC252A"/>
            </w:tcBorders>
          </w:tcPr>
          <w:p>
            <w:pPr>
              <w:spacing w:after="0"/>
              <w:rPr>
                <w:sz w:val="5"/>
                <w:szCs w:val="5"/>
                <w:color w:val="auto"/>
              </w:rPr>
            </w:pPr>
          </w:p>
        </w:tc>
        <w:tc>
          <w:tcPr>
            <w:tcW w:w="900" w:type="dxa"/>
            <w:vAlign w:val="bottom"/>
            <w:tcBorders>
              <w:bottom w:val="single" w:sz="8" w:color="EC252A"/>
              <w:right w:val="single" w:sz="8" w:color="EC252A"/>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240" w:type="dxa"/>
            <w:vAlign w:val="bottom"/>
            <w:tcBorders>
              <w:left w:val="single" w:sz="8" w:color="EC252A"/>
              <w:right w:val="single" w:sz="8" w:color="EC252A"/>
            </w:tcBorders>
          </w:tcPr>
          <w:p>
            <w:pPr>
              <w:ind w:left="160"/>
              <w:spacing w:after="0"/>
              <w:rPr>
                <w:sz w:val="20"/>
                <w:szCs w:val="20"/>
                <w:color w:val="auto"/>
              </w:rPr>
            </w:pPr>
            <w:r>
              <w:rPr>
                <w:rFonts w:ascii="Arial" w:cs="Arial" w:eastAsia="Arial" w:hAnsi="Arial"/>
                <w:sz w:val="18"/>
                <w:szCs w:val="18"/>
                <w:color w:val="auto"/>
              </w:rPr>
              <w:t>CEO Experience</w:t>
            </w:r>
          </w:p>
        </w:tc>
        <w:tc>
          <w:tcPr>
            <w:tcW w:w="92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right w:val="single" w:sz="8" w:color="EC252A"/>
            </w:tcBorders>
          </w:tcPr>
          <w:p>
            <w:pPr>
              <w:spacing w:after="0"/>
              <w:rPr>
                <w:sz w:val="24"/>
                <w:szCs w:val="24"/>
                <w:color w:val="auto"/>
              </w:rPr>
            </w:pPr>
          </w:p>
        </w:tc>
        <w:tc>
          <w:tcPr>
            <w:tcW w:w="640" w:type="dxa"/>
            <w:vAlign w:val="bottom"/>
            <w:tcBorders>
              <w:right w:val="single" w:sz="8" w:color="EC252A"/>
            </w:tcBorders>
          </w:tcPr>
          <w:p>
            <w:pPr>
              <w:spacing w:after="0"/>
              <w:rPr>
                <w:sz w:val="24"/>
                <w:szCs w:val="24"/>
                <w:color w:val="auto"/>
              </w:rPr>
            </w:pPr>
          </w:p>
        </w:tc>
        <w:tc>
          <w:tcPr>
            <w:tcW w:w="64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80" w:type="dxa"/>
            <w:vAlign w:val="bottom"/>
            <w:tcBorders>
              <w:right w:val="single" w:sz="8" w:color="EC252A"/>
            </w:tcBorders>
          </w:tcPr>
          <w:p>
            <w:pPr>
              <w:spacing w:after="0"/>
              <w:rPr>
                <w:sz w:val="24"/>
                <w:szCs w:val="24"/>
                <w:color w:val="auto"/>
              </w:rPr>
            </w:pPr>
          </w:p>
        </w:tc>
        <w:tc>
          <w:tcPr>
            <w:tcW w:w="600" w:type="dxa"/>
            <w:vAlign w:val="bottom"/>
            <w:tcBorders>
              <w:right w:val="single" w:sz="8" w:color="EC252A"/>
            </w:tcBorders>
          </w:tcPr>
          <w:p>
            <w:pPr>
              <w:spacing w:after="0"/>
              <w:rPr>
                <w:sz w:val="24"/>
                <w:szCs w:val="24"/>
                <w:color w:val="auto"/>
              </w:rPr>
            </w:pPr>
          </w:p>
        </w:tc>
        <w:tc>
          <w:tcPr>
            <w:tcW w:w="7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Borders>
              <w:right w:val="single" w:sz="8" w:color="EC252A"/>
            </w:tcBorders>
          </w:tcPr>
          <w:p>
            <w:pPr>
              <w:spacing w:after="0"/>
              <w:rPr>
                <w:sz w:val="24"/>
                <w:szCs w:val="24"/>
                <w:color w:val="auto"/>
              </w:rPr>
            </w:pPr>
          </w:p>
        </w:tc>
        <w:tc>
          <w:tcPr>
            <w:tcW w:w="900" w:type="dxa"/>
            <w:vAlign w:val="bottom"/>
            <w:tcBorders>
              <w:right w:val="single" w:sz="8" w:color="EC252A"/>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8"/>
        </w:trPr>
        <w:tc>
          <w:tcPr>
            <w:tcW w:w="2240" w:type="dxa"/>
            <w:vAlign w:val="bottom"/>
            <w:tcBorders>
              <w:left w:val="single" w:sz="8" w:color="EC252A"/>
              <w:bottom w:val="single" w:sz="8" w:color="EC252A"/>
              <w:right w:val="single" w:sz="8" w:color="EC252A"/>
            </w:tcBorders>
          </w:tcPr>
          <w:p>
            <w:pPr>
              <w:spacing w:after="0"/>
              <w:rPr>
                <w:sz w:val="4"/>
                <w:szCs w:val="4"/>
                <w:color w:val="auto"/>
              </w:rPr>
            </w:pPr>
          </w:p>
        </w:tc>
        <w:tc>
          <w:tcPr>
            <w:tcW w:w="920" w:type="dxa"/>
            <w:vAlign w:val="bottom"/>
            <w:tcBorders>
              <w:bottom w:val="single" w:sz="8" w:color="EC252A"/>
              <w:right w:val="single" w:sz="8" w:color="EC252A"/>
            </w:tcBorders>
          </w:tcPr>
          <w:p>
            <w:pPr>
              <w:spacing w:after="0"/>
              <w:rPr>
                <w:sz w:val="4"/>
                <w:szCs w:val="4"/>
                <w:color w:val="auto"/>
              </w:rPr>
            </w:pPr>
          </w:p>
        </w:tc>
        <w:tc>
          <w:tcPr>
            <w:tcW w:w="66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640" w:type="dxa"/>
            <w:vAlign w:val="bottom"/>
            <w:tcBorders>
              <w:bottom w:val="single" w:sz="8" w:color="EC252A"/>
              <w:right w:val="single" w:sz="8" w:color="EC252A"/>
            </w:tcBorders>
          </w:tcPr>
          <w:p>
            <w:pPr>
              <w:spacing w:after="0"/>
              <w:rPr>
                <w:sz w:val="4"/>
                <w:szCs w:val="4"/>
                <w:color w:val="auto"/>
              </w:rPr>
            </w:pPr>
          </w:p>
        </w:tc>
        <w:tc>
          <w:tcPr>
            <w:tcW w:w="580" w:type="dxa"/>
            <w:vAlign w:val="bottom"/>
            <w:tcBorders>
              <w:bottom w:val="single" w:sz="8" w:color="EC252A"/>
              <w:right w:val="single" w:sz="8" w:color="EC252A"/>
            </w:tcBorders>
          </w:tcPr>
          <w:p>
            <w:pPr>
              <w:spacing w:after="0"/>
              <w:rPr>
                <w:sz w:val="4"/>
                <w:szCs w:val="4"/>
                <w:color w:val="auto"/>
              </w:rPr>
            </w:pPr>
          </w:p>
        </w:tc>
        <w:tc>
          <w:tcPr>
            <w:tcW w:w="600" w:type="dxa"/>
            <w:vAlign w:val="bottom"/>
            <w:tcBorders>
              <w:bottom w:val="single" w:sz="8" w:color="EC252A"/>
              <w:right w:val="single" w:sz="8" w:color="EC252A"/>
            </w:tcBorders>
          </w:tcPr>
          <w:p>
            <w:pPr>
              <w:spacing w:after="0"/>
              <w:rPr>
                <w:sz w:val="4"/>
                <w:szCs w:val="4"/>
                <w:color w:val="auto"/>
              </w:rPr>
            </w:pPr>
          </w:p>
        </w:tc>
        <w:tc>
          <w:tcPr>
            <w:tcW w:w="760" w:type="dxa"/>
            <w:vAlign w:val="bottom"/>
            <w:tcBorders>
              <w:bottom w:val="single" w:sz="8" w:color="EC252A"/>
              <w:right w:val="single" w:sz="8" w:color="EC252A"/>
            </w:tcBorders>
          </w:tcPr>
          <w:p>
            <w:pPr>
              <w:spacing w:after="0"/>
              <w:rPr>
                <w:sz w:val="4"/>
                <w:szCs w:val="4"/>
                <w:color w:val="auto"/>
              </w:rPr>
            </w:pPr>
          </w:p>
        </w:tc>
        <w:tc>
          <w:tcPr>
            <w:tcW w:w="860" w:type="dxa"/>
            <w:vAlign w:val="bottom"/>
            <w:tcBorders>
              <w:bottom w:val="single" w:sz="8" w:color="EC252A"/>
              <w:right w:val="single" w:sz="8" w:color="EC252A"/>
            </w:tcBorders>
          </w:tcPr>
          <w:p>
            <w:pPr>
              <w:spacing w:after="0"/>
              <w:rPr>
                <w:sz w:val="4"/>
                <w:szCs w:val="4"/>
                <w:color w:val="auto"/>
              </w:rPr>
            </w:pPr>
          </w:p>
        </w:tc>
        <w:tc>
          <w:tcPr>
            <w:tcW w:w="500" w:type="dxa"/>
            <w:vAlign w:val="bottom"/>
            <w:tcBorders>
              <w:bottom w:val="single" w:sz="8" w:color="EC252A"/>
              <w:right w:val="single" w:sz="8" w:color="EC252A"/>
            </w:tcBorders>
          </w:tcPr>
          <w:p>
            <w:pPr>
              <w:spacing w:after="0"/>
              <w:rPr>
                <w:sz w:val="4"/>
                <w:szCs w:val="4"/>
                <w:color w:val="auto"/>
              </w:rPr>
            </w:pPr>
          </w:p>
        </w:tc>
        <w:tc>
          <w:tcPr>
            <w:tcW w:w="900" w:type="dxa"/>
            <w:vAlign w:val="bottom"/>
            <w:tcBorders>
              <w:bottom w:val="single" w:sz="8" w:color="EC252A"/>
              <w:right w:val="single" w:sz="8" w:color="EC252A"/>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240" w:type="dxa"/>
            <w:vAlign w:val="bottom"/>
            <w:tcBorders>
              <w:left w:val="single" w:sz="8" w:color="EC252A"/>
              <w:right w:val="single" w:sz="8" w:color="EC252A"/>
            </w:tcBorders>
          </w:tcPr>
          <w:p>
            <w:pPr>
              <w:ind w:left="160"/>
              <w:spacing w:after="0"/>
              <w:rPr>
                <w:sz w:val="20"/>
                <w:szCs w:val="20"/>
                <w:color w:val="auto"/>
              </w:rPr>
            </w:pPr>
            <w:r>
              <w:rPr>
                <w:rFonts w:ascii="Arial" w:cs="Arial" w:eastAsia="Arial" w:hAnsi="Arial"/>
                <w:sz w:val="18"/>
                <w:szCs w:val="18"/>
                <w:color w:val="auto"/>
              </w:rPr>
              <w:t>Manufacturing Lean</w:t>
            </w:r>
          </w:p>
        </w:tc>
        <w:tc>
          <w:tcPr>
            <w:tcW w:w="92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40" w:type="dxa"/>
            <w:vAlign w:val="bottom"/>
            <w:tcBorders>
              <w:right w:val="single" w:sz="8" w:color="EC252A"/>
            </w:tcBorders>
          </w:tcPr>
          <w:p>
            <w:pPr>
              <w:spacing w:after="0"/>
              <w:rPr>
                <w:sz w:val="22"/>
                <w:szCs w:val="22"/>
                <w:color w:val="auto"/>
              </w:rPr>
            </w:pPr>
          </w:p>
        </w:tc>
        <w:tc>
          <w:tcPr>
            <w:tcW w:w="640" w:type="dxa"/>
            <w:vAlign w:val="bottom"/>
            <w:tcBorders>
              <w:right w:val="single" w:sz="8" w:color="EC252A"/>
            </w:tcBorders>
          </w:tcPr>
          <w:p>
            <w:pPr>
              <w:spacing w:after="0"/>
              <w:rPr>
                <w:sz w:val="22"/>
                <w:szCs w:val="22"/>
                <w:color w:val="auto"/>
              </w:rPr>
            </w:pPr>
          </w:p>
        </w:tc>
        <w:tc>
          <w:tcPr>
            <w:tcW w:w="58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Borders>
              <w:right w:val="single" w:sz="8" w:color="EC252A"/>
            </w:tcBorders>
          </w:tcPr>
          <w:p>
            <w:pPr>
              <w:spacing w:after="0"/>
              <w:rPr>
                <w:sz w:val="22"/>
                <w:szCs w:val="22"/>
                <w:color w:val="auto"/>
              </w:rPr>
            </w:pPr>
          </w:p>
        </w:tc>
        <w:tc>
          <w:tcPr>
            <w:tcW w:w="760" w:type="dxa"/>
            <w:vAlign w:val="bottom"/>
            <w:tcBorders>
              <w:right w:val="single" w:sz="8" w:color="EC252A"/>
            </w:tcBorders>
          </w:tcPr>
          <w:p>
            <w:pPr>
              <w:spacing w:after="0"/>
              <w:rPr>
                <w:sz w:val="22"/>
                <w:szCs w:val="22"/>
                <w:color w:val="auto"/>
              </w:rPr>
            </w:pPr>
          </w:p>
        </w:tc>
        <w:tc>
          <w:tcPr>
            <w:tcW w:w="86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Borders>
              <w:right w:val="single" w:sz="8" w:color="EC252A"/>
            </w:tcBorders>
          </w:tcPr>
          <w:p>
            <w:pPr>
              <w:spacing w:after="0"/>
              <w:rPr>
                <w:sz w:val="22"/>
                <w:szCs w:val="22"/>
                <w:color w:val="auto"/>
              </w:rPr>
            </w:pPr>
          </w:p>
        </w:tc>
        <w:tc>
          <w:tcPr>
            <w:tcW w:w="90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7"/>
        </w:trPr>
        <w:tc>
          <w:tcPr>
            <w:tcW w:w="2240" w:type="dxa"/>
            <w:vAlign w:val="bottom"/>
            <w:tcBorders>
              <w:left w:val="single" w:sz="8" w:color="EC252A"/>
              <w:right w:val="single" w:sz="8" w:color="EC252A"/>
            </w:tcBorders>
            <w:vMerge w:val="restart"/>
          </w:tcPr>
          <w:p>
            <w:pPr>
              <w:ind w:left="160"/>
              <w:spacing w:after="0"/>
              <w:rPr>
                <w:sz w:val="20"/>
                <w:szCs w:val="20"/>
                <w:color w:val="auto"/>
              </w:rPr>
            </w:pPr>
            <w:r>
              <w:rPr>
                <w:rFonts w:ascii="Arial" w:cs="Arial" w:eastAsia="Arial" w:hAnsi="Arial"/>
                <w:sz w:val="18"/>
                <w:szCs w:val="18"/>
                <w:color w:val="auto"/>
              </w:rPr>
              <w:t>Experience</w:t>
            </w:r>
          </w:p>
        </w:tc>
        <w:tc>
          <w:tcPr>
            <w:tcW w:w="920" w:type="dxa"/>
            <w:vAlign w:val="bottom"/>
            <w:tcBorders>
              <w:right w:val="single" w:sz="8" w:color="EC252A"/>
            </w:tcBorders>
            <w:vMerge w:val="continue"/>
          </w:tcPr>
          <w:p>
            <w:pPr>
              <w:spacing w:after="0"/>
              <w:rPr>
                <w:sz w:val="12"/>
                <w:szCs w:val="12"/>
                <w:color w:val="auto"/>
              </w:rPr>
            </w:pPr>
          </w:p>
        </w:tc>
        <w:tc>
          <w:tcPr>
            <w:tcW w:w="660" w:type="dxa"/>
            <w:vAlign w:val="bottom"/>
            <w:tcBorders>
              <w:right w:val="single" w:sz="8" w:color="EC252A"/>
            </w:tcBorders>
            <w:vMerge w:val="continue"/>
          </w:tcPr>
          <w:p>
            <w:pPr>
              <w:spacing w:after="0"/>
              <w:rPr>
                <w:sz w:val="12"/>
                <w:szCs w:val="12"/>
                <w:color w:val="auto"/>
              </w:rPr>
            </w:pPr>
          </w:p>
        </w:tc>
        <w:tc>
          <w:tcPr>
            <w:tcW w:w="640" w:type="dxa"/>
            <w:vAlign w:val="bottom"/>
            <w:tcBorders>
              <w:right w:val="single" w:sz="8" w:color="EC252A"/>
            </w:tcBorders>
          </w:tcPr>
          <w:p>
            <w:pPr>
              <w:spacing w:after="0"/>
              <w:rPr>
                <w:sz w:val="12"/>
                <w:szCs w:val="12"/>
                <w:color w:val="auto"/>
              </w:rPr>
            </w:pPr>
          </w:p>
        </w:tc>
        <w:tc>
          <w:tcPr>
            <w:tcW w:w="640" w:type="dxa"/>
            <w:vAlign w:val="bottom"/>
            <w:tcBorders>
              <w:right w:val="single" w:sz="8" w:color="EC252A"/>
            </w:tcBorders>
          </w:tcPr>
          <w:p>
            <w:pPr>
              <w:spacing w:after="0"/>
              <w:rPr>
                <w:sz w:val="12"/>
                <w:szCs w:val="12"/>
                <w:color w:val="auto"/>
              </w:rPr>
            </w:pPr>
          </w:p>
        </w:tc>
        <w:tc>
          <w:tcPr>
            <w:tcW w:w="580" w:type="dxa"/>
            <w:vAlign w:val="bottom"/>
            <w:tcBorders>
              <w:right w:val="single" w:sz="8" w:color="EC252A"/>
            </w:tcBorders>
            <w:vMerge w:val="continue"/>
          </w:tcPr>
          <w:p>
            <w:pPr>
              <w:spacing w:after="0"/>
              <w:rPr>
                <w:sz w:val="12"/>
                <w:szCs w:val="12"/>
                <w:color w:val="auto"/>
              </w:rPr>
            </w:pPr>
          </w:p>
        </w:tc>
        <w:tc>
          <w:tcPr>
            <w:tcW w:w="600" w:type="dxa"/>
            <w:vAlign w:val="bottom"/>
            <w:tcBorders>
              <w:right w:val="single" w:sz="8" w:color="EC252A"/>
            </w:tcBorders>
          </w:tcPr>
          <w:p>
            <w:pPr>
              <w:spacing w:after="0"/>
              <w:rPr>
                <w:sz w:val="12"/>
                <w:szCs w:val="12"/>
                <w:color w:val="auto"/>
              </w:rPr>
            </w:pPr>
          </w:p>
        </w:tc>
        <w:tc>
          <w:tcPr>
            <w:tcW w:w="760" w:type="dxa"/>
            <w:vAlign w:val="bottom"/>
            <w:tcBorders>
              <w:right w:val="single" w:sz="8" w:color="EC252A"/>
            </w:tcBorders>
          </w:tcPr>
          <w:p>
            <w:pPr>
              <w:spacing w:after="0"/>
              <w:rPr>
                <w:sz w:val="12"/>
                <w:szCs w:val="12"/>
                <w:color w:val="auto"/>
              </w:rPr>
            </w:pPr>
          </w:p>
        </w:tc>
        <w:tc>
          <w:tcPr>
            <w:tcW w:w="860" w:type="dxa"/>
            <w:vAlign w:val="bottom"/>
            <w:tcBorders>
              <w:right w:val="single" w:sz="8" w:color="EC252A"/>
            </w:tcBorders>
            <w:vMerge w:val="continue"/>
          </w:tcPr>
          <w:p>
            <w:pPr>
              <w:spacing w:after="0"/>
              <w:rPr>
                <w:sz w:val="12"/>
                <w:szCs w:val="12"/>
                <w:color w:val="auto"/>
              </w:rPr>
            </w:pPr>
          </w:p>
        </w:tc>
        <w:tc>
          <w:tcPr>
            <w:tcW w:w="500" w:type="dxa"/>
            <w:vAlign w:val="bottom"/>
            <w:tcBorders>
              <w:right w:val="single" w:sz="8" w:color="EC252A"/>
            </w:tcBorders>
          </w:tcPr>
          <w:p>
            <w:pPr>
              <w:spacing w:after="0"/>
              <w:rPr>
                <w:sz w:val="12"/>
                <w:szCs w:val="12"/>
                <w:color w:val="auto"/>
              </w:rPr>
            </w:pPr>
          </w:p>
        </w:tc>
        <w:tc>
          <w:tcPr>
            <w:tcW w:w="900" w:type="dxa"/>
            <w:vAlign w:val="bottom"/>
            <w:tcBorders>
              <w:right w:val="single" w:sz="8" w:color="EC252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240" w:type="dxa"/>
            <w:vAlign w:val="bottom"/>
            <w:tcBorders>
              <w:left w:val="single" w:sz="8" w:color="EC252A"/>
              <w:right w:val="single" w:sz="8" w:color="EC252A"/>
            </w:tcBorders>
            <w:vMerge w:val="continue"/>
          </w:tcPr>
          <w:p>
            <w:pPr>
              <w:spacing w:after="0"/>
              <w:rPr>
                <w:sz w:val="8"/>
                <w:szCs w:val="8"/>
                <w:color w:val="auto"/>
              </w:rPr>
            </w:pPr>
          </w:p>
        </w:tc>
        <w:tc>
          <w:tcPr>
            <w:tcW w:w="920" w:type="dxa"/>
            <w:vAlign w:val="bottom"/>
            <w:tcBorders>
              <w:right w:val="single" w:sz="8" w:color="EC252A"/>
            </w:tcBorders>
          </w:tcPr>
          <w:p>
            <w:pPr>
              <w:spacing w:after="0"/>
              <w:rPr>
                <w:sz w:val="8"/>
                <w:szCs w:val="8"/>
                <w:color w:val="auto"/>
              </w:rPr>
            </w:pPr>
          </w:p>
        </w:tc>
        <w:tc>
          <w:tcPr>
            <w:tcW w:w="660" w:type="dxa"/>
            <w:vAlign w:val="bottom"/>
            <w:tcBorders>
              <w:right w:val="single" w:sz="8" w:color="EC252A"/>
            </w:tcBorders>
          </w:tcPr>
          <w:p>
            <w:pPr>
              <w:spacing w:after="0"/>
              <w:rPr>
                <w:sz w:val="8"/>
                <w:szCs w:val="8"/>
                <w:color w:val="auto"/>
              </w:rPr>
            </w:pPr>
          </w:p>
        </w:tc>
        <w:tc>
          <w:tcPr>
            <w:tcW w:w="640" w:type="dxa"/>
            <w:vAlign w:val="bottom"/>
            <w:tcBorders>
              <w:right w:val="single" w:sz="8" w:color="EC252A"/>
            </w:tcBorders>
          </w:tcPr>
          <w:p>
            <w:pPr>
              <w:spacing w:after="0"/>
              <w:rPr>
                <w:sz w:val="8"/>
                <w:szCs w:val="8"/>
                <w:color w:val="auto"/>
              </w:rPr>
            </w:pPr>
          </w:p>
        </w:tc>
        <w:tc>
          <w:tcPr>
            <w:tcW w:w="640" w:type="dxa"/>
            <w:vAlign w:val="bottom"/>
            <w:tcBorders>
              <w:right w:val="single" w:sz="8" w:color="EC252A"/>
            </w:tcBorders>
          </w:tcPr>
          <w:p>
            <w:pPr>
              <w:spacing w:after="0"/>
              <w:rPr>
                <w:sz w:val="8"/>
                <w:szCs w:val="8"/>
                <w:color w:val="auto"/>
              </w:rPr>
            </w:pPr>
          </w:p>
        </w:tc>
        <w:tc>
          <w:tcPr>
            <w:tcW w:w="580" w:type="dxa"/>
            <w:vAlign w:val="bottom"/>
            <w:tcBorders>
              <w:right w:val="single" w:sz="8" w:color="EC252A"/>
            </w:tcBorders>
          </w:tcPr>
          <w:p>
            <w:pPr>
              <w:spacing w:after="0"/>
              <w:rPr>
                <w:sz w:val="8"/>
                <w:szCs w:val="8"/>
                <w:color w:val="auto"/>
              </w:rPr>
            </w:pPr>
          </w:p>
        </w:tc>
        <w:tc>
          <w:tcPr>
            <w:tcW w:w="600" w:type="dxa"/>
            <w:vAlign w:val="bottom"/>
            <w:tcBorders>
              <w:right w:val="single" w:sz="8" w:color="EC252A"/>
            </w:tcBorders>
          </w:tcPr>
          <w:p>
            <w:pPr>
              <w:spacing w:after="0"/>
              <w:rPr>
                <w:sz w:val="8"/>
                <w:szCs w:val="8"/>
                <w:color w:val="auto"/>
              </w:rPr>
            </w:pPr>
          </w:p>
        </w:tc>
        <w:tc>
          <w:tcPr>
            <w:tcW w:w="760" w:type="dxa"/>
            <w:vAlign w:val="bottom"/>
            <w:tcBorders>
              <w:right w:val="single" w:sz="8" w:color="EC252A"/>
            </w:tcBorders>
          </w:tcPr>
          <w:p>
            <w:pPr>
              <w:spacing w:after="0"/>
              <w:rPr>
                <w:sz w:val="8"/>
                <w:szCs w:val="8"/>
                <w:color w:val="auto"/>
              </w:rPr>
            </w:pPr>
          </w:p>
        </w:tc>
        <w:tc>
          <w:tcPr>
            <w:tcW w:w="860" w:type="dxa"/>
            <w:vAlign w:val="bottom"/>
            <w:tcBorders>
              <w:right w:val="single" w:sz="8" w:color="EC252A"/>
            </w:tcBorders>
          </w:tcPr>
          <w:p>
            <w:pPr>
              <w:spacing w:after="0"/>
              <w:rPr>
                <w:sz w:val="8"/>
                <w:szCs w:val="8"/>
                <w:color w:val="auto"/>
              </w:rPr>
            </w:pPr>
          </w:p>
        </w:tc>
        <w:tc>
          <w:tcPr>
            <w:tcW w:w="500" w:type="dxa"/>
            <w:vAlign w:val="bottom"/>
            <w:tcBorders>
              <w:right w:val="single" w:sz="8" w:color="EC252A"/>
            </w:tcBorders>
          </w:tcPr>
          <w:p>
            <w:pPr>
              <w:spacing w:after="0"/>
              <w:rPr>
                <w:sz w:val="8"/>
                <w:szCs w:val="8"/>
                <w:color w:val="auto"/>
              </w:rPr>
            </w:pPr>
          </w:p>
        </w:tc>
        <w:tc>
          <w:tcPr>
            <w:tcW w:w="900" w:type="dxa"/>
            <w:vAlign w:val="bottom"/>
            <w:tcBorders>
              <w:right w:val="single" w:sz="8" w:color="EC252A"/>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240" w:type="dxa"/>
            <w:vAlign w:val="bottom"/>
            <w:tcBorders>
              <w:left w:val="single" w:sz="8" w:color="EC252A"/>
              <w:bottom w:val="single" w:sz="8" w:color="EC252A"/>
              <w:right w:val="single" w:sz="8" w:color="EC252A"/>
            </w:tcBorders>
          </w:tcPr>
          <w:p>
            <w:pPr>
              <w:spacing w:after="0"/>
              <w:rPr>
                <w:sz w:val="5"/>
                <w:szCs w:val="5"/>
                <w:color w:val="auto"/>
              </w:rPr>
            </w:pPr>
          </w:p>
        </w:tc>
        <w:tc>
          <w:tcPr>
            <w:tcW w:w="920" w:type="dxa"/>
            <w:vAlign w:val="bottom"/>
            <w:tcBorders>
              <w:bottom w:val="single" w:sz="8" w:color="EC252A"/>
              <w:right w:val="single" w:sz="8" w:color="EC252A"/>
            </w:tcBorders>
          </w:tcPr>
          <w:p>
            <w:pPr>
              <w:spacing w:after="0"/>
              <w:rPr>
                <w:sz w:val="5"/>
                <w:szCs w:val="5"/>
                <w:color w:val="auto"/>
              </w:rPr>
            </w:pPr>
          </w:p>
        </w:tc>
        <w:tc>
          <w:tcPr>
            <w:tcW w:w="660" w:type="dxa"/>
            <w:vAlign w:val="bottom"/>
            <w:tcBorders>
              <w:bottom w:val="single" w:sz="8" w:color="EC252A"/>
              <w:right w:val="single" w:sz="8" w:color="EC252A"/>
            </w:tcBorders>
          </w:tcPr>
          <w:p>
            <w:pPr>
              <w:spacing w:after="0"/>
              <w:rPr>
                <w:sz w:val="5"/>
                <w:szCs w:val="5"/>
                <w:color w:val="auto"/>
              </w:rPr>
            </w:pPr>
          </w:p>
        </w:tc>
        <w:tc>
          <w:tcPr>
            <w:tcW w:w="640" w:type="dxa"/>
            <w:vAlign w:val="bottom"/>
            <w:tcBorders>
              <w:bottom w:val="single" w:sz="8" w:color="EC252A"/>
              <w:right w:val="single" w:sz="8" w:color="EC252A"/>
            </w:tcBorders>
          </w:tcPr>
          <w:p>
            <w:pPr>
              <w:spacing w:after="0"/>
              <w:rPr>
                <w:sz w:val="5"/>
                <w:szCs w:val="5"/>
                <w:color w:val="auto"/>
              </w:rPr>
            </w:pPr>
          </w:p>
        </w:tc>
        <w:tc>
          <w:tcPr>
            <w:tcW w:w="640" w:type="dxa"/>
            <w:vAlign w:val="bottom"/>
            <w:tcBorders>
              <w:bottom w:val="single" w:sz="8" w:color="EC252A"/>
              <w:right w:val="single" w:sz="8" w:color="EC252A"/>
            </w:tcBorders>
          </w:tcPr>
          <w:p>
            <w:pPr>
              <w:spacing w:after="0"/>
              <w:rPr>
                <w:sz w:val="5"/>
                <w:szCs w:val="5"/>
                <w:color w:val="auto"/>
              </w:rPr>
            </w:pPr>
          </w:p>
        </w:tc>
        <w:tc>
          <w:tcPr>
            <w:tcW w:w="580" w:type="dxa"/>
            <w:vAlign w:val="bottom"/>
            <w:tcBorders>
              <w:bottom w:val="single" w:sz="8" w:color="EC252A"/>
              <w:right w:val="single" w:sz="8" w:color="EC252A"/>
            </w:tcBorders>
          </w:tcPr>
          <w:p>
            <w:pPr>
              <w:spacing w:after="0"/>
              <w:rPr>
                <w:sz w:val="5"/>
                <w:szCs w:val="5"/>
                <w:color w:val="auto"/>
              </w:rPr>
            </w:pPr>
          </w:p>
        </w:tc>
        <w:tc>
          <w:tcPr>
            <w:tcW w:w="600" w:type="dxa"/>
            <w:vAlign w:val="bottom"/>
            <w:tcBorders>
              <w:bottom w:val="single" w:sz="8" w:color="EC252A"/>
              <w:right w:val="single" w:sz="8" w:color="EC252A"/>
            </w:tcBorders>
          </w:tcPr>
          <w:p>
            <w:pPr>
              <w:spacing w:after="0"/>
              <w:rPr>
                <w:sz w:val="5"/>
                <w:szCs w:val="5"/>
                <w:color w:val="auto"/>
              </w:rPr>
            </w:pPr>
          </w:p>
        </w:tc>
        <w:tc>
          <w:tcPr>
            <w:tcW w:w="760" w:type="dxa"/>
            <w:vAlign w:val="bottom"/>
            <w:tcBorders>
              <w:bottom w:val="single" w:sz="8" w:color="EC252A"/>
              <w:right w:val="single" w:sz="8" w:color="EC252A"/>
            </w:tcBorders>
          </w:tcPr>
          <w:p>
            <w:pPr>
              <w:spacing w:after="0"/>
              <w:rPr>
                <w:sz w:val="5"/>
                <w:szCs w:val="5"/>
                <w:color w:val="auto"/>
              </w:rPr>
            </w:pPr>
          </w:p>
        </w:tc>
        <w:tc>
          <w:tcPr>
            <w:tcW w:w="860" w:type="dxa"/>
            <w:vAlign w:val="bottom"/>
            <w:tcBorders>
              <w:bottom w:val="single" w:sz="8" w:color="EC252A"/>
              <w:right w:val="single" w:sz="8" w:color="EC252A"/>
            </w:tcBorders>
          </w:tcPr>
          <w:p>
            <w:pPr>
              <w:spacing w:after="0"/>
              <w:rPr>
                <w:sz w:val="5"/>
                <w:szCs w:val="5"/>
                <w:color w:val="auto"/>
              </w:rPr>
            </w:pPr>
          </w:p>
        </w:tc>
        <w:tc>
          <w:tcPr>
            <w:tcW w:w="500" w:type="dxa"/>
            <w:vAlign w:val="bottom"/>
            <w:tcBorders>
              <w:bottom w:val="single" w:sz="8" w:color="EC252A"/>
              <w:right w:val="single" w:sz="8" w:color="EC252A"/>
            </w:tcBorders>
          </w:tcPr>
          <w:p>
            <w:pPr>
              <w:spacing w:after="0"/>
              <w:rPr>
                <w:sz w:val="5"/>
                <w:szCs w:val="5"/>
                <w:color w:val="auto"/>
              </w:rPr>
            </w:pPr>
          </w:p>
        </w:tc>
        <w:tc>
          <w:tcPr>
            <w:tcW w:w="900" w:type="dxa"/>
            <w:vAlign w:val="bottom"/>
            <w:tcBorders>
              <w:bottom w:val="single" w:sz="8" w:color="EC252A"/>
              <w:right w:val="single" w:sz="8" w:color="EC252A"/>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240" w:type="dxa"/>
            <w:vAlign w:val="bottom"/>
            <w:tcBorders>
              <w:left w:val="single" w:sz="8" w:color="EC252A"/>
              <w:right w:val="single" w:sz="8" w:color="EC252A"/>
            </w:tcBorders>
          </w:tcPr>
          <w:p>
            <w:pPr>
              <w:ind w:left="160"/>
              <w:spacing w:after="0"/>
              <w:rPr>
                <w:sz w:val="20"/>
                <w:szCs w:val="20"/>
                <w:color w:val="auto"/>
              </w:rPr>
            </w:pPr>
            <w:r>
              <w:rPr>
                <w:rFonts w:ascii="Arial" w:cs="Arial" w:eastAsia="Arial" w:hAnsi="Arial"/>
                <w:sz w:val="18"/>
                <w:szCs w:val="18"/>
                <w:color w:val="auto"/>
              </w:rPr>
              <w:t>Sales and Marketing</w:t>
            </w:r>
          </w:p>
        </w:tc>
        <w:tc>
          <w:tcPr>
            <w:tcW w:w="92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6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64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Borders>
              <w:right w:val="single" w:sz="8" w:color="EC252A"/>
            </w:tcBorders>
          </w:tcPr>
          <w:p>
            <w:pPr>
              <w:spacing w:after="0"/>
              <w:rPr>
                <w:sz w:val="22"/>
                <w:szCs w:val="22"/>
                <w:color w:val="auto"/>
              </w:rPr>
            </w:pPr>
          </w:p>
        </w:tc>
        <w:tc>
          <w:tcPr>
            <w:tcW w:w="580" w:type="dxa"/>
            <w:vAlign w:val="bottom"/>
            <w:tcBorders>
              <w:right w:val="single" w:sz="8" w:color="EC252A"/>
            </w:tcBorders>
          </w:tcPr>
          <w:p>
            <w:pPr>
              <w:spacing w:after="0"/>
              <w:rPr>
                <w:sz w:val="22"/>
                <w:szCs w:val="22"/>
                <w:color w:val="auto"/>
              </w:rPr>
            </w:pPr>
          </w:p>
        </w:tc>
        <w:tc>
          <w:tcPr>
            <w:tcW w:w="600" w:type="dxa"/>
            <w:vAlign w:val="bottom"/>
            <w:tcBorders>
              <w:right w:val="single" w:sz="8" w:color="EC252A"/>
            </w:tcBorders>
          </w:tcPr>
          <w:p>
            <w:pPr>
              <w:spacing w:after="0"/>
              <w:rPr>
                <w:sz w:val="22"/>
                <w:szCs w:val="22"/>
                <w:color w:val="auto"/>
              </w:rPr>
            </w:pPr>
          </w:p>
        </w:tc>
        <w:tc>
          <w:tcPr>
            <w:tcW w:w="76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Borders>
              <w:right w:val="single" w:sz="8" w:color="EC252A"/>
            </w:tcBorders>
          </w:tcPr>
          <w:p>
            <w:pPr>
              <w:spacing w:after="0"/>
              <w:rPr>
                <w:sz w:val="22"/>
                <w:szCs w:val="22"/>
                <w:color w:val="auto"/>
              </w:rPr>
            </w:pPr>
          </w:p>
        </w:tc>
        <w:tc>
          <w:tcPr>
            <w:tcW w:w="900" w:type="dxa"/>
            <w:vAlign w:val="bottom"/>
            <w:tcBorders>
              <w:right w:val="single" w:sz="8" w:color="EC252A"/>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7"/>
        </w:trPr>
        <w:tc>
          <w:tcPr>
            <w:tcW w:w="2240" w:type="dxa"/>
            <w:vAlign w:val="bottom"/>
            <w:tcBorders>
              <w:left w:val="single" w:sz="8" w:color="EC252A"/>
              <w:right w:val="single" w:sz="8" w:color="EC252A"/>
            </w:tcBorders>
            <w:vMerge w:val="restart"/>
          </w:tcPr>
          <w:p>
            <w:pPr>
              <w:ind w:left="160"/>
              <w:spacing w:after="0"/>
              <w:rPr>
                <w:sz w:val="20"/>
                <w:szCs w:val="20"/>
                <w:color w:val="auto"/>
              </w:rPr>
            </w:pPr>
            <w:r>
              <w:rPr>
                <w:rFonts w:ascii="Arial" w:cs="Arial" w:eastAsia="Arial" w:hAnsi="Arial"/>
                <w:sz w:val="18"/>
                <w:szCs w:val="18"/>
                <w:color w:val="auto"/>
              </w:rPr>
              <w:t>Experience</w:t>
            </w:r>
          </w:p>
        </w:tc>
        <w:tc>
          <w:tcPr>
            <w:tcW w:w="920" w:type="dxa"/>
            <w:vAlign w:val="bottom"/>
            <w:tcBorders>
              <w:right w:val="single" w:sz="8" w:color="EC252A"/>
            </w:tcBorders>
            <w:vMerge w:val="continue"/>
          </w:tcPr>
          <w:p>
            <w:pPr>
              <w:spacing w:after="0"/>
              <w:rPr>
                <w:sz w:val="12"/>
                <w:szCs w:val="12"/>
                <w:color w:val="auto"/>
              </w:rPr>
            </w:pPr>
          </w:p>
        </w:tc>
        <w:tc>
          <w:tcPr>
            <w:tcW w:w="660" w:type="dxa"/>
            <w:vAlign w:val="bottom"/>
            <w:tcBorders>
              <w:right w:val="single" w:sz="8" w:color="EC252A"/>
            </w:tcBorders>
            <w:vMerge w:val="continue"/>
          </w:tcPr>
          <w:p>
            <w:pPr>
              <w:spacing w:after="0"/>
              <w:rPr>
                <w:sz w:val="12"/>
                <w:szCs w:val="12"/>
                <w:color w:val="auto"/>
              </w:rPr>
            </w:pPr>
          </w:p>
        </w:tc>
        <w:tc>
          <w:tcPr>
            <w:tcW w:w="640" w:type="dxa"/>
            <w:vAlign w:val="bottom"/>
            <w:tcBorders>
              <w:right w:val="single" w:sz="8" w:color="EC252A"/>
            </w:tcBorders>
            <w:vMerge w:val="continue"/>
          </w:tcPr>
          <w:p>
            <w:pPr>
              <w:spacing w:after="0"/>
              <w:rPr>
                <w:sz w:val="12"/>
                <w:szCs w:val="12"/>
                <w:color w:val="auto"/>
              </w:rPr>
            </w:pPr>
          </w:p>
        </w:tc>
        <w:tc>
          <w:tcPr>
            <w:tcW w:w="640" w:type="dxa"/>
            <w:vAlign w:val="bottom"/>
            <w:tcBorders>
              <w:right w:val="single" w:sz="8" w:color="EC252A"/>
            </w:tcBorders>
          </w:tcPr>
          <w:p>
            <w:pPr>
              <w:spacing w:after="0"/>
              <w:rPr>
                <w:sz w:val="12"/>
                <w:szCs w:val="12"/>
                <w:color w:val="auto"/>
              </w:rPr>
            </w:pPr>
          </w:p>
        </w:tc>
        <w:tc>
          <w:tcPr>
            <w:tcW w:w="580" w:type="dxa"/>
            <w:vAlign w:val="bottom"/>
            <w:tcBorders>
              <w:right w:val="single" w:sz="8" w:color="EC252A"/>
            </w:tcBorders>
          </w:tcPr>
          <w:p>
            <w:pPr>
              <w:spacing w:after="0"/>
              <w:rPr>
                <w:sz w:val="12"/>
                <w:szCs w:val="12"/>
                <w:color w:val="auto"/>
              </w:rPr>
            </w:pPr>
          </w:p>
        </w:tc>
        <w:tc>
          <w:tcPr>
            <w:tcW w:w="600" w:type="dxa"/>
            <w:vAlign w:val="bottom"/>
            <w:tcBorders>
              <w:right w:val="single" w:sz="8" w:color="EC252A"/>
            </w:tcBorders>
          </w:tcPr>
          <w:p>
            <w:pPr>
              <w:spacing w:after="0"/>
              <w:rPr>
                <w:sz w:val="12"/>
                <w:szCs w:val="12"/>
                <w:color w:val="auto"/>
              </w:rPr>
            </w:pPr>
          </w:p>
        </w:tc>
        <w:tc>
          <w:tcPr>
            <w:tcW w:w="760" w:type="dxa"/>
            <w:vAlign w:val="bottom"/>
            <w:tcBorders>
              <w:right w:val="single" w:sz="8" w:color="EC252A"/>
            </w:tcBorders>
            <w:vMerge w:val="continue"/>
          </w:tcPr>
          <w:p>
            <w:pPr>
              <w:spacing w:after="0"/>
              <w:rPr>
                <w:sz w:val="12"/>
                <w:szCs w:val="12"/>
                <w:color w:val="auto"/>
              </w:rPr>
            </w:pPr>
          </w:p>
        </w:tc>
        <w:tc>
          <w:tcPr>
            <w:tcW w:w="860" w:type="dxa"/>
            <w:vAlign w:val="bottom"/>
            <w:tcBorders>
              <w:right w:val="single" w:sz="8" w:color="EC252A"/>
            </w:tcBorders>
            <w:vMerge w:val="continue"/>
          </w:tcPr>
          <w:p>
            <w:pPr>
              <w:spacing w:after="0"/>
              <w:rPr>
                <w:sz w:val="12"/>
                <w:szCs w:val="12"/>
                <w:color w:val="auto"/>
              </w:rPr>
            </w:pPr>
          </w:p>
        </w:tc>
        <w:tc>
          <w:tcPr>
            <w:tcW w:w="500" w:type="dxa"/>
            <w:vAlign w:val="bottom"/>
            <w:tcBorders>
              <w:right w:val="single" w:sz="8" w:color="EC252A"/>
            </w:tcBorders>
          </w:tcPr>
          <w:p>
            <w:pPr>
              <w:spacing w:after="0"/>
              <w:rPr>
                <w:sz w:val="12"/>
                <w:szCs w:val="12"/>
                <w:color w:val="auto"/>
              </w:rPr>
            </w:pPr>
          </w:p>
        </w:tc>
        <w:tc>
          <w:tcPr>
            <w:tcW w:w="900" w:type="dxa"/>
            <w:vAlign w:val="bottom"/>
            <w:tcBorders>
              <w:right w:val="single" w:sz="8" w:color="EC252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240" w:type="dxa"/>
            <w:vAlign w:val="bottom"/>
            <w:tcBorders>
              <w:left w:val="single" w:sz="8" w:color="EC252A"/>
              <w:right w:val="single" w:sz="8" w:color="EC252A"/>
            </w:tcBorders>
            <w:vMerge w:val="continue"/>
          </w:tcPr>
          <w:p>
            <w:pPr>
              <w:spacing w:after="0"/>
              <w:rPr>
                <w:sz w:val="8"/>
                <w:szCs w:val="8"/>
                <w:color w:val="auto"/>
              </w:rPr>
            </w:pPr>
          </w:p>
        </w:tc>
        <w:tc>
          <w:tcPr>
            <w:tcW w:w="920" w:type="dxa"/>
            <w:vAlign w:val="bottom"/>
            <w:tcBorders>
              <w:right w:val="single" w:sz="8" w:color="EC252A"/>
            </w:tcBorders>
          </w:tcPr>
          <w:p>
            <w:pPr>
              <w:spacing w:after="0"/>
              <w:rPr>
                <w:sz w:val="8"/>
                <w:szCs w:val="8"/>
                <w:color w:val="auto"/>
              </w:rPr>
            </w:pPr>
          </w:p>
        </w:tc>
        <w:tc>
          <w:tcPr>
            <w:tcW w:w="660" w:type="dxa"/>
            <w:vAlign w:val="bottom"/>
            <w:tcBorders>
              <w:right w:val="single" w:sz="8" w:color="EC252A"/>
            </w:tcBorders>
          </w:tcPr>
          <w:p>
            <w:pPr>
              <w:spacing w:after="0"/>
              <w:rPr>
                <w:sz w:val="8"/>
                <w:szCs w:val="8"/>
                <w:color w:val="auto"/>
              </w:rPr>
            </w:pPr>
          </w:p>
        </w:tc>
        <w:tc>
          <w:tcPr>
            <w:tcW w:w="640" w:type="dxa"/>
            <w:vAlign w:val="bottom"/>
            <w:tcBorders>
              <w:right w:val="single" w:sz="8" w:color="EC252A"/>
            </w:tcBorders>
          </w:tcPr>
          <w:p>
            <w:pPr>
              <w:spacing w:after="0"/>
              <w:rPr>
                <w:sz w:val="8"/>
                <w:szCs w:val="8"/>
                <w:color w:val="auto"/>
              </w:rPr>
            </w:pPr>
          </w:p>
        </w:tc>
        <w:tc>
          <w:tcPr>
            <w:tcW w:w="640" w:type="dxa"/>
            <w:vAlign w:val="bottom"/>
            <w:tcBorders>
              <w:right w:val="single" w:sz="8" w:color="EC252A"/>
            </w:tcBorders>
          </w:tcPr>
          <w:p>
            <w:pPr>
              <w:spacing w:after="0"/>
              <w:rPr>
                <w:sz w:val="8"/>
                <w:szCs w:val="8"/>
                <w:color w:val="auto"/>
              </w:rPr>
            </w:pPr>
          </w:p>
        </w:tc>
        <w:tc>
          <w:tcPr>
            <w:tcW w:w="580" w:type="dxa"/>
            <w:vAlign w:val="bottom"/>
            <w:tcBorders>
              <w:right w:val="single" w:sz="8" w:color="EC252A"/>
            </w:tcBorders>
          </w:tcPr>
          <w:p>
            <w:pPr>
              <w:spacing w:after="0"/>
              <w:rPr>
                <w:sz w:val="8"/>
                <w:szCs w:val="8"/>
                <w:color w:val="auto"/>
              </w:rPr>
            </w:pPr>
          </w:p>
        </w:tc>
        <w:tc>
          <w:tcPr>
            <w:tcW w:w="600" w:type="dxa"/>
            <w:vAlign w:val="bottom"/>
            <w:tcBorders>
              <w:right w:val="single" w:sz="8" w:color="EC252A"/>
            </w:tcBorders>
          </w:tcPr>
          <w:p>
            <w:pPr>
              <w:spacing w:after="0"/>
              <w:rPr>
                <w:sz w:val="8"/>
                <w:szCs w:val="8"/>
                <w:color w:val="auto"/>
              </w:rPr>
            </w:pPr>
          </w:p>
        </w:tc>
        <w:tc>
          <w:tcPr>
            <w:tcW w:w="760" w:type="dxa"/>
            <w:vAlign w:val="bottom"/>
            <w:tcBorders>
              <w:right w:val="single" w:sz="8" w:color="EC252A"/>
            </w:tcBorders>
          </w:tcPr>
          <w:p>
            <w:pPr>
              <w:spacing w:after="0"/>
              <w:rPr>
                <w:sz w:val="8"/>
                <w:szCs w:val="8"/>
                <w:color w:val="auto"/>
              </w:rPr>
            </w:pPr>
          </w:p>
        </w:tc>
        <w:tc>
          <w:tcPr>
            <w:tcW w:w="860" w:type="dxa"/>
            <w:vAlign w:val="bottom"/>
            <w:tcBorders>
              <w:right w:val="single" w:sz="8" w:color="EC252A"/>
            </w:tcBorders>
          </w:tcPr>
          <w:p>
            <w:pPr>
              <w:spacing w:after="0"/>
              <w:rPr>
                <w:sz w:val="8"/>
                <w:szCs w:val="8"/>
                <w:color w:val="auto"/>
              </w:rPr>
            </w:pPr>
          </w:p>
        </w:tc>
        <w:tc>
          <w:tcPr>
            <w:tcW w:w="500" w:type="dxa"/>
            <w:vAlign w:val="bottom"/>
            <w:tcBorders>
              <w:right w:val="single" w:sz="8" w:color="EC252A"/>
            </w:tcBorders>
          </w:tcPr>
          <w:p>
            <w:pPr>
              <w:spacing w:after="0"/>
              <w:rPr>
                <w:sz w:val="8"/>
                <w:szCs w:val="8"/>
                <w:color w:val="auto"/>
              </w:rPr>
            </w:pPr>
          </w:p>
        </w:tc>
        <w:tc>
          <w:tcPr>
            <w:tcW w:w="900" w:type="dxa"/>
            <w:vAlign w:val="bottom"/>
            <w:tcBorders>
              <w:right w:val="single" w:sz="8" w:color="EC252A"/>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240" w:type="dxa"/>
            <w:vAlign w:val="bottom"/>
            <w:tcBorders>
              <w:left w:val="single" w:sz="8" w:color="EC252A"/>
              <w:bottom w:val="single" w:sz="8" w:color="EC252A"/>
              <w:right w:val="single" w:sz="8" w:color="EC252A"/>
            </w:tcBorders>
          </w:tcPr>
          <w:p>
            <w:pPr>
              <w:spacing w:after="0"/>
              <w:rPr>
                <w:sz w:val="3"/>
                <w:szCs w:val="3"/>
                <w:color w:val="auto"/>
              </w:rPr>
            </w:pPr>
          </w:p>
        </w:tc>
        <w:tc>
          <w:tcPr>
            <w:tcW w:w="920" w:type="dxa"/>
            <w:vAlign w:val="bottom"/>
            <w:tcBorders>
              <w:bottom w:val="single" w:sz="8" w:color="EC252A"/>
              <w:right w:val="single" w:sz="8" w:color="EC252A"/>
            </w:tcBorders>
          </w:tcPr>
          <w:p>
            <w:pPr>
              <w:spacing w:after="0"/>
              <w:rPr>
                <w:sz w:val="3"/>
                <w:szCs w:val="3"/>
                <w:color w:val="auto"/>
              </w:rPr>
            </w:pPr>
          </w:p>
        </w:tc>
        <w:tc>
          <w:tcPr>
            <w:tcW w:w="660" w:type="dxa"/>
            <w:vAlign w:val="bottom"/>
            <w:tcBorders>
              <w:bottom w:val="single" w:sz="8" w:color="EC252A"/>
              <w:right w:val="single" w:sz="8" w:color="EC252A"/>
            </w:tcBorders>
          </w:tcPr>
          <w:p>
            <w:pPr>
              <w:spacing w:after="0"/>
              <w:rPr>
                <w:sz w:val="3"/>
                <w:szCs w:val="3"/>
                <w:color w:val="auto"/>
              </w:rPr>
            </w:pPr>
          </w:p>
        </w:tc>
        <w:tc>
          <w:tcPr>
            <w:tcW w:w="640" w:type="dxa"/>
            <w:vAlign w:val="bottom"/>
            <w:tcBorders>
              <w:bottom w:val="single" w:sz="8" w:color="EC252A"/>
              <w:right w:val="single" w:sz="8" w:color="EC252A"/>
            </w:tcBorders>
          </w:tcPr>
          <w:p>
            <w:pPr>
              <w:spacing w:after="0"/>
              <w:rPr>
                <w:sz w:val="3"/>
                <w:szCs w:val="3"/>
                <w:color w:val="auto"/>
              </w:rPr>
            </w:pPr>
          </w:p>
        </w:tc>
        <w:tc>
          <w:tcPr>
            <w:tcW w:w="640" w:type="dxa"/>
            <w:vAlign w:val="bottom"/>
            <w:tcBorders>
              <w:bottom w:val="single" w:sz="8" w:color="EC252A"/>
              <w:right w:val="single" w:sz="8" w:color="EC252A"/>
            </w:tcBorders>
          </w:tcPr>
          <w:p>
            <w:pPr>
              <w:spacing w:after="0"/>
              <w:rPr>
                <w:sz w:val="3"/>
                <w:szCs w:val="3"/>
                <w:color w:val="auto"/>
              </w:rPr>
            </w:pPr>
          </w:p>
        </w:tc>
        <w:tc>
          <w:tcPr>
            <w:tcW w:w="580" w:type="dxa"/>
            <w:vAlign w:val="bottom"/>
            <w:tcBorders>
              <w:bottom w:val="single" w:sz="8" w:color="EC252A"/>
              <w:right w:val="single" w:sz="8" w:color="EC252A"/>
            </w:tcBorders>
          </w:tcPr>
          <w:p>
            <w:pPr>
              <w:spacing w:after="0"/>
              <w:rPr>
                <w:sz w:val="3"/>
                <w:szCs w:val="3"/>
                <w:color w:val="auto"/>
              </w:rPr>
            </w:pPr>
          </w:p>
        </w:tc>
        <w:tc>
          <w:tcPr>
            <w:tcW w:w="600" w:type="dxa"/>
            <w:vAlign w:val="bottom"/>
            <w:tcBorders>
              <w:bottom w:val="single" w:sz="8" w:color="EC252A"/>
              <w:right w:val="single" w:sz="8" w:color="EC252A"/>
            </w:tcBorders>
          </w:tcPr>
          <w:p>
            <w:pPr>
              <w:spacing w:after="0"/>
              <w:rPr>
                <w:sz w:val="3"/>
                <w:szCs w:val="3"/>
                <w:color w:val="auto"/>
              </w:rPr>
            </w:pPr>
          </w:p>
        </w:tc>
        <w:tc>
          <w:tcPr>
            <w:tcW w:w="760" w:type="dxa"/>
            <w:vAlign w:val="bottom"/>
            <w:tcBorders>
              <w:bottom w:val="single" w:sz="8" w:color="EC252A"/>
              <w:right w:val="single" w:sz="8" w:color="EC252A"/>
            </w:tcBorders>
          </w:tcPr>
          <w:p>
            <w:pPr>
              <w:spacing w:after="0"/>
              <w:rPr>
                <w:sz w:val="3"/>
                <w:szCs w:val="3"/>
                <w:color w:val="auto"/>
              </w:rPr>
            </w:pPr>
          </w:p>
        </w:tc>
        <w:tc>
          <w:tcPr>
            <w:tcW w:w="860" w:type="dxa"/>
            <w:vAlign w:val="bottom"/>
            <w:tcBorders>
              <w:bottom w:val="single" w:sz="8" w:color="EC252A"/>
              <w:right w:val="single" w:sz="8" w:color="EC252A"/>
            </w:tcBorders>
          </w:tcPr>
          <w:p>
            <w:pPr>
              <w:spacing w:after="0"/>
              <w:rPr>
                <w:sz w:val="3"/>
                <w:szCs w:val="3"/>
                <w:color w:val="auto"/>
              </w:rPr>
            </w:pPr>
          </w:p>
        </w:tc>
        <w:tc>
          <w:tcPr>
            <w:tcW w:w="500" w:type="dxa"/>
            <w:vAlign w:val="bottom"/>
            <w:tcBorders>
              <w:bottom w:val="single" w:sz="8" w:color="EC252A"/>
              <w:right w:val="single" w:sz="8" w:color="EC252A"/>
            </w:tcBorders>
          </w:tcPr>
          <w:p>
            <w:pPr>
              <w:spacing w:after="0"/>
              <w:rPr>
                <w:sz w:val="3"/>
                <w:szCs w:val="3"/>
                <w:color w:val="auto"/>
              </w:rPr>
            </w:pPr>
          </w:p>
        </w:tc>
        <w:tc>
          <w:tcPr>
            <w:tcW w:w="900" w:type="dxa"/>
            <w:vAlign w:val="bottom"/>
            <w:tcBorders>
              <w:bottom w:val="single" w:sz="8" w:color="EC252A"/>
              <w:right w:val="single" w:sz="8" w:color="EC25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Majority Voting for Directors</w:t>
      </w:r>
    </w:p>
    <w:p>
      <w:pPr>
        <w:spacing w:after="0" w:line="128" w:lineRule="exact"/>
        <w:rPr>
          <w:sz w:val="20"/>
          <w:szCs w:val="20"/>
          <w:color w:val="auto"/>
        </w:rPr>
      </w:pPr>
    </w:p>
    <w:p>
      <w:pPr>
        <w:ind w:left="860" w:right="940"/>
        <w:spacing w:after="0"/>
        <w:rPr>
          <w:sz w:val="20"/>
          <w:szCs w:val="20"/>
          <w:color w:val="auto"/>
        </w:rPr>
      </w:pPr>
      <w:r>
        <w:rPr>
          <w:rFonts w:ascii="Arial" w:cs="Arial" w:eastAsia="Arial" w:hAnsi="Arial"/>
          <w:sz w:val="18"/>
          <w:szCs w:val="18"/>
          <w:color w:val="auto"/>
        </w:rPr>
        <w:t>Under our amended and restated bylaws, each director is to be elected by the vote of the majority of the votes cast at the Annual Meeting. For this purpose, a “majority of the votes cast” means that the number of shares voted “for” a director’s election exceeds 50 percent of the number of votes cast with respect to that director’s election. Votes “cast” exclude abstentions. In the event the number of director nominees for election at a meeting of stockholders exceeds the number of directors to be elected at that meeting, each director to be so elected will be elected by a plurality of the votes cast. Each director nominee has agreed to provide an irrevocable letter of resignation to the Board should such nominee fail to receive the required number of votes.</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Board and Nominee Biographies</w:t>
      </w:r>
    </w:p>
    <w:p>
      <w:pPr>
        <w:spacing w:after="0" w:line="128" w:lineRule="exact"/>
        <w:rPr>
          <w:sz w:val="20"/>
          <w:szCs w:val="20"/>
          <w:color w:val="auto"/>
        </w:rPr>
      </w:pPr>
    </w:p>
    <w:p>
      <w:pPr>
        <w:ind w:left="860" w:right="880"/>
        <w:spacing w:after="0" w:line="238" w:lineRule="auto"/>
        <w:rPr>
          <w:sz w:val="20"/>
          <w:szCs w:val="20"/>
          <w:color w:val="auto"/>
        </w:rPr>
      </w:pPr>
      <w:r>
        <w:rPr>
          <w:rFonts w:ascii="Arial" w:cs="Arial" w:eastAsia="Arial" w:hAnsi="Arial"/>
          <w:sz w:val="18"/>
          <w:szCs w:val="18"/>
          <w:color w:val="auto"/>
        </w:rPr>
        <w:t>The description of each director and each nominee set forth below includes biographical information, on a director by director basis, and highlights the specific experience, qualifications, attributes, background and education of each director and each nominee that led the Board to conclude that each director or nominee should serve on the Board. In addition to the qualifications described in the biographical information set forth below, the Nominating and Corporate Governance Committee and the Board also determined that each director and each nominee possesses certain intangible attributes and skills, which led to the conclusion that each director and each nominee meets the criteria set forth in the Corporate Governance Guidelines and is qualified to serve as one of our directors. These intangible attributes and skills include, as to each nominee, integrity, the capacity to evaluate business issues and make practical and mature judgments, willingness to devote the necessary time and effort required to serve on our Board, the skills and personality to work effectively and collegially with other directors on a Board that is responsive to Wabtec’s needs, and the self-confidence and communication skills to participate effectively in Board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172720</wp:posOffset>
            </wp:positionV>
            <wp:extent cx="58978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8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40" w:type="dxa"/>
            <w:vAlign w:val="bottom"/>
          </w:tcPr>
          <w:p>
            <w:pPr>
              <w:jc w:val="right"/>
              <w:ind w:right="939"/>
              <w:spacing w:after="0"/>
              <w:rPr>
                <w:sz w:val="20"/>
                <w:szCs w:val="20"/>
                <w:color w:val="auto"/>
              </w:rPr>
            </w:pPr>
            <w:r>
              <w:rPr>
                <w:rFonts w:ascii="Arial" w:cs="Arial" w:eastAsia="Arial" w:hAnsi="Arial"/>
                <w:sz w:val="16"/>
                <w:szCs w:val="16"/>
                <w:b w:val="1"/>
                <w:bCs w:val="1"/>
                <w:color w:val="auto"/>
              </w:rPr>
              <w:t>9</w:t>
            </w:r>
          </w:p>
        </w:tc>
      </w:tr>
      <w:tr>
        <w:trPr>
          <w:trHeight w:val="212"/>
        </w:trPr>
        <w:tc>
          <w:tcPr>
            <w:tcW w:w="7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80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Vote Required</w:t>
      </w:r>
    </w:p>
    <w:p>
      <w:pPr>
        <w:spacing w:after="0" w:line="128"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Your proxy will be voted “for” the election of these nominees unless you withhold authority to vote for any one or more of them. If any nominee is unable or unwilling to stand for election, your proxy authorizes us to vote for a replacement nominee if the Board names one.</w:t>
      </w:r>
    </w:p>
    <w:p>
      <w:pPr>
        <w:spacing w:after="0" w:line="6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Only votes “for” a candidate are counted in the election of directors. The three nominees who receive the most votes will be elected as directors, subject to the guidelines set forth on page 9 regarding any director nominee who receives a greater number of votes “withheld” from his election than votes “for” such election.</w:t>
      </w:r>
    </w:p>
    <w:p>
      <w:pPr>
        <w:spacing w:after="0" w:line="240" w:lineRule="exact"/>
        <w:rPr>
          <w:sz w:val="20"/>
          <w:szCs w:val="20"/>
          <w:color w:val="auto"/>
        </w:rPr>
      </w:pPr>
    </w:p>
    <w:p>
      <w:pPr>
        <w:ind w:left="1480" w:right="840" w:hanging="562"/>
        <w:spacing w:after="0"/>
        <w:tabs>
          <w:tab w:leader="none" w:pos="1480" w:val="left"/>
        </w:tabs>
        <w:numPr>
          <w:ilvl w:val="0"/>
          <w:numId w:val="18"/>
        </w:numPr>
        <w:rPr>
          <w:rFonts w:ascii="MS PGothic" w:cs="MS PGothic" w:eastAsia="MS PGothic" w:hAnsi="MS PGothic"/>
          <w:sz w:val="52"/>
          <w:szCs w:val="52"/>
          <w:color w:val="EC252A"/>
          <w:vertAlign w:val="subscript"/>
        </w:rPr>
      </w:pPr>
      <w:r>
        <w:rPr>
          <w:rFonts w:ascii="Arial" w:cs="Arial" w:eastAsia="Arial" w:hAnsi="Arial"/>
          <w:sz w:val="18"/>
          <w:szCs w:val="18"/>
          <w:b w:val="1"/>
          <w:bCs w:val="1"/>
          <w:color w:val="auto"/>
        </w:rPr>
        <w:t xml:space="preserve">The Board recommends you vote </w:t>
      </w:r>
      <w:r>
        <w:rPr>
          <w:rFonts w:ascii="Arial" w:cs="Arial" w:eastAsia="Arial" w:hAnsi="Arial"/>
          <w:sz w:val="18"/>
          <w:szCs w:val="18"/>
          <w:b w:val="1"/>
          <w:bCs w:val="1"/>
          <w:color w:val="EC252A"/>
        </w:rPr>
        <w:t>FOR</w:t>
      </w:r>
      <w:r>
        <w:rPr>
          <w:rFonts w:ascii="Arial" w:cs="Arial" w:eastAsia="Arial" w:hAnsi="Arial"/>
          <w:sz w:val="18"/>
          <w:szCs w:val="18"/>
          <w:b w:val="1"/>
          <w:bCs w:val="1"/>
          <w:color w:val="auto"/>
        </w:rPr>
        <w:t xml:space="preserve"> each of the following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-448945</wp:posOffset>
            </wp:positionV>
            <wp:extent cx="5074920" cy="514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74920" cy="514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253365</wp:posOffset>
            </wp:positionV>
            <wp:extent cx="58978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10</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-169545</wp:posOffset>
            </wp:positionV>
            <wp:extent cx="471805"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15" w:name="page16"/>
    <w:bookmarkEnd w:id="15"/>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Director Nominees to Serve for Three-Year Term Expiring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67310</wp:posOffset>
            </wp:positionV>
            <wp:extent cx="5897880" cy="32658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97880" cy="326580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auto"/>
        </w:rPr>
        <w:t>William E.</w:t>
      </w:r>
    </w:p>
    <w:p>
      <w:pPr>
        <w:spacing w:after="0" w:line="2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Kassling</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4800" w:type="dxa"/>
            <w:vAlign w:val="bottom"/>
          </w:tcPr>
          <w:p>
            <w:pPr>
              <w:spacing w:after="0"/>
              <w:rPr>
                <w:sz w:val="20"/>
                <w:szCs w:val="20"/>
                <w:color w:val="auto"/>
              </w:rPr>
            </w:pPr>
            <w:r>
              <w:rPr>
                <w:rFonts w:ascii="Arial" w:cs="Arial" w:eastAsia="Arial" w:hAnsi="Arial"/>
                <w:sz w:val="18"/>
                <w:szCs w:val="18"/>
                <w:b w:val="1"/>
                <w:bCs w:val="1"/>
                <w:color w:val="EC252A"/>
              </w:rPr>
              <w:t>Biographical Information</w:t>
            </w:r>
          </w:p>
        </w:tc>
        <w:tc>
          <w:tcPr>
            <w:tcW w:w="1240" w:type="dxa"/>
            <w:vAlign w:val="bottom"/>
          </w:tcPr>
          <w:p>
            <w:pPr>
              <w:ind w:left="200"/>
              <w:spacing w:after="0"/>
              <w:rPr>
                <w:sz w:val="20"/>
                <w:szCs w:val="20"/>
                <w:color w:val="auto"/>
              </w:rPr>
            </w:pPr>
            <w:r>
              <w:rPr>
                <w:rFonts w:ascii="Arial" w:cs="Arial" w:eastAsia="Arial" w:hAnsi="Arial"/>
                <w:sz w:val="18"/>
                <w:szCs w:val="18"/>
                <w:b w:val="1"/>
                <w:bCs w:val="1"/>
                <w:color w:val="EC252A"/>
                <w:w w:val="98"/>
              </w:rPr>
              <w:t>Committees</w:t>
            </w:r>
          </w:p>
        </w:tc>
      </w:tr>
      <w:tr>
        <w:trPr>
          <w:trHeight w:val="379"/>
        </w:trPr>
        <w:tc>
          <w:tcPr>
            <w:tcW w:w="4800" w:type="dxa"/>
            <w:vAlign w:val="bottom"/>
          </w:tcPr>
          <w:p>
            <w:pPr>
              <w:spacing w:after="0"/>
              <w:rPr>
                <w:sz w:val="20"/>
                <w:szCs w:val="20"/>
                <w:color w:val="auto"/>
              </w:rPr>
            </w:pPr>
            <w:r>
              <w:rPr>
                <w:rFonts w:ascii="Arial" w:cs="Arial" w:eastAsia="Arial" w:hAnsi="Arial"/>
                <w:sz w:val="18"/>
                <w:szCs w:val="18"/>
                <w:color w:val="auto"/>
              </w:rPr>
              <w:t>Vice Chair of Wabtec since August 2020. Lead Director of</w:t>
            </w:r>
          </w:p>
        </w:tc>
        <w:tc>
          <w:tcPr>
            <w:tcW w:w="1240" w:type="dxa"/>
            <w:vAlign w:val="bottom"/>
          </w:tcPr>
          <w:p>
            <w:pPr>
              <w:ind w:left="200"/>
              <w:spacing w:after="0"/>
              <w:rPr>
                <w:sz w:val="20"/>
                <w:szCs w:val="20"/>
                <w:color w:val="auto"/>
              </w:rPr>
            </w:pPr>
            <w:r>
              <w:rPr>
                <w:rFonts w:ascii="Arial" w:cs="Arial" w:eastAsia="Arial" w:hAnsi="Arial"/>
                <w:sz w:val="18"/>
                <w:szCs w:val="18"/>
                <w:color w:val="auto"/>
              </w:rPr>
              <w:t>None</w:t>
            </w:r>
          </w:p>
        </w:tc>
      </w:tr>
    </w:tbl>
    <w:p>
      <w:pPr>
        <w:ind w:right="3200"/>
        <w:spacing w:after="0" w:line="234" w:lineRule="auto"/>
        <w:rPr>
          <w:sz w:val="20"/>
          <w:szCs w:val="20"/>
          <w:color w:val="auto"/>
        </w:rPr>
      </w:pPr>
      <w:r>
        <w:rPr>
          <w:rFonts w:ascii="Arial" w:cs="Arial" w:eastAsia="Arial" w:hAnsi="Arial"/>
          <w:sz w:val="18"/>
          <w:szCs w:val="18"/>
          <w:color w:val="auto"/>
        </w:rPr>
        <w:t>Wabtec from May 2013 to August 2020; Chairman of Wabtec from prior to 1997 to May 2013; Chief Executive Officer of Wabtec from May 2004 to January 2006 and from prior to 1997 to February 2001; President of Wabtec from May 2004 to January 2006 and from prior to 1997 to February 1998. Director of Pittsburgh Penguins Inc., Texas Rangers, the Crosby Group, and Wabtec Foundation. Mr. Kassling serves on the board of Kensington Capital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Acquisition Corp. V (NYSE: KCGI).</w:t>
      </w:r>
    </w:p>
    <w:p>
      <w:pPr>
        <w:spacing w:after="0" w:line="167" w:lineRule="exact"/>
        <w:rPr>
          <w:sz w:val="20"/>
          <w:szCs w:val="20"/>
          <w:color w:val="auto"/>
        </w:rPr>
      </w:pPr>
    </w:p>
    <w:p>
      <w:pPr>
        <w:sectPr>
          <w:pgSz w:w="11900" w:h="16838" w:orient="portrait"/>
          <w:cols w:equalWidth="0" w:num="2">
            <w:col w:w="2360" w:space="720"/>
            <w:col w:w="7940"/>
          </w:cols>
          <w:pgMar w:left="440" w:top="263" w:right="439" w:bottom="1440" w:gutter="0" w:footer="0" w:header="0"/>
          <w:type w:val="continuous"/>
        </w:sectPr>
      </w:pPr>
    </w:p>
    <w:p>
      <w:pPr>
        <w:ind w:left="1000"/>
        <w:spacing w:after="0"/>
        <w:tabs>
          <w:tab w:leader="none" w:pos="3060" w:val="left"/>
        </w:tabs>
        <w:rPr>
          <w:sz w:val="20"/>
          <w:szCs w:val="20"/>
          <w:color w:val="auto"/>
        </w:rPr>
      </w:pPr>
      <w:r>
        <w:rPr>
          <w:rFonts w:ascii="Arial" w:cs="Arial" w:eastAsia="Arial" w:hAnsi="Arial"/>
          <w:sz w:val="18"/>
          <w:szCs w:val="18"/>
          <w:b w:val="1"/>
          <w:bCs w:val="1"/>
          <w:color w:val="EC252A"/>
        </w:rPr>
        <w:t>Independent Director</w:t>
        <w:tab/>
        <w:t>Director Skills</w:t>
      </w:r>
    </w:p>
    <w:p>
      <w:pPr>
        <w:sectPr>
          <w:pgSz w:w="11900" w:h="16838" w:orient="portrait"/>
          <w:cols w:equalWidth="0" w:num="1">
            <w:col w:w="11020"/>
          </w:cols>
          <w:pgMar w:left="440" w:top="263" w:right="439" w:bottom="1440" w:gutter="0" w:footer="0" w:header="0"/>
          <w:type w:val="continuous"/>
        </w:sectPr>
      </w:pP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EC252A"/>
        </w:rPr>
        <w:t>Vice Chair</w:t>
      </w:r>
    </w:p>
    <w:p>
      <w:pPr>
        <w:spacing w:after="0" w:line="1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EC252A"/>
        </w:rPr>
        <w:t>of the Board</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EC252A"/>
        </w:rPr>
        <w:t xml:space="preserve">Age: </w:t>
      </w:r>
      <w:r>
        <w:rPr>
          <w:rFonts w:ascii="Arial" w:cs="Arial" w:eastAsia="Arial" w:hAnsi="Arial"/>
          <w:sz w:val="18"/>
          <w:szCs w:val="18"/>
          <w:color w:val="000000"/>
        </w:rPr>
        <w:t>78</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EC252A"/>
        </w:rPr>
        <w:t xml:space="preserve">Director Since </w:t>
      </w:r>
      <w:r>
        <w:rPr>
          <w:rFonts w:ascii="Arial" w:cs="Arial" w:eastAsia="Arial" w:hAnsi="Arial"/>
          <w:sz w:val="18"/>
          <w:szCs w:val="18"/>
          <w:color w:val="000000"/>
        </w:rPr>
        <w:t>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669290</wp:posOffset>
            </wp:positionV>
            <wp:extent cx="47117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3200"/>
        <w:spacing w:after="0"/>
        <w:rPr>
          <w:sz w:val="20"/>
          <w:szCs w:val="20"/>
          <w:color w:val="auto"/>
        </w:rPr>
      </w:pPr>
      <w:r>
        <w:rPr>
          <w:rFonts w:ascii="Arial" w:cs="Arial" w:eastAsia="Arial" w:hAnsi="Arial"/>
          <w:sz w:val="18"/>
          <w:szCs w:val="18"/>
          <w:color w:val="auto"/>
        </w:rPr>
        <w:t>Due to Mr. Kassling’s experience as an officer and director of Wabtec, he has extensive knowledge of the Company and the rail industry and has also served as a board member for other publicly traded companies, through which he has gained additional experience in corporate governance. With his vast experience, he provides the Board with broad leadership insight on the management and operations of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280670</wp:posOffset>
            </wp:positionV>
            <wp:extent cx="58978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400"/>
            <w:col w:w="7940"/>
          </w:cols>
          <w:pgMar w:left="440" w:top="263" w:right="4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6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60" w:type="dxa"/>
            <w:vAlign w:val="bottom"/>
          </w:tcPr>
          <w:p>
            <w:pPr>
              <w:jc w:val="right"/>
              <w:ind w:right="899"/>
              <w:spacing w:after="0"/>
              <w:rPr>
                <w:sz w:val="20"/>
                <w:szCs w:val="20"/>
                <w:color w:val="auto"/>
              </w:rPr>
            </w:pPr>
            <w:r>
              <w:rPr>
                <w:rFonts w:ascii="Arial" w:cs="Arial" w:eastAsia="Arial" w:hAnsi="Arial"/>
                <w:sz w:val="16"/>
                <w:szCs w:val="16"/>
                <w:b w:val="1"/>
                <w:bCs w:val="1"/>
                <w:color w:val="auto"/>
              </w:rPr>
              <w:t>11</w:t>
            </w:r>
          </w:p>
        </w:tc>
      </w:tr>
      <w:tr>
        <w:trPr>
          <w:trHeight w:val="212"/>
        </w:trPr>
        <w:tc>
          <w:tcPr>
            <w:tcW w:w="716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4740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97880" cy="474027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auto"/>
        </w:rPr>
        <w:t>Albert J. Neupaver</w:t>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EC252A"/>
        </w:rPr>
        <w:t>Chairman of the Board</w:t>
      </w:r>
    </w:p>
    <w:p>
      <w:pPr>
        <w:spacing w:after="0" w:line="21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EC252A"/>
        </w:rPr>
        <w:t xml:space="preserve">Age: </w:t>
      </w:r>
      <w:r>
        <w:rPr>
          <w:rFonts w:ascii="Arial" w:cs="Arial" w:eastAsia="Arial" w:hAnsi="Arial"/>
          <w:sz w:val="18"/>
          <w:szCs w:val="18"/>
          <w:color w:val="000000"/>
        </w:rPr>
        <w:t>71</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EC252A"/>
        </w:rPr>
        <w:t xml:space="preserve">Director Since </w:t>
      </w:r>
      <w:r>
        <w:rPr>
          <w:rFonts w:ascii="Arial" w:cs="Arial" w:eastAsia="Arial" w:hAnsi="Arial"/>
          <w:sz w:val="18"/>
          <w:szCs w:val="18"/>
          <w:color w:val="000000"/>
        </w:rPr>
        <w:t>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4480" w:type="dxa"/>
            <w:vAlign w:val="bottom"/>
          </w:tcPr>
          <w:p>
            <w:pPr>
              <w:spacing w:after="0"/>
              <w:rPr>
                <w:sz w:val="20"/>
                <w:szCs w:val="20"/>
                <w:color w:val="auto"/>
              </w:rPr>
            </w:pPr>
            <w:r>
              <w:rPr>
                <w:rFonts w:ascii="Arial" w:cs="Arial" w:eastAsia="Arial" w:hAnsi="Arial"/>
                <w:sz w:val="18"/>
                <w:szCs w:val="18"/>
                <w:b w:val="1"/>
                <w:bCs w:val="1"/>
                <w:color w:val="EC252A"/>
              </w:rPr>
              <w:t>Biographical Information</w:t>
            </w:r>
          </w:p>
        </w:tc>
        <w:tc>
          <w:tcPr>
            <w:tcW w:w="1500" w:type="dxa"/>
            <w:vAlign w:val="bottom"/>
          </w:tcPr>
          <w:p>
            <w:pPr>
              <w:ind w:left="480"/>
              <w:spacing w:after="0"/>
              <w:rPr>
                <w:sz w:val="20"/>
                <w:szCs w:val="20"/>
                <w:color w:val="auto"/>
              </w:rPr>
            </w:pPr>
            <w:r>
              <w:rPr>
                <w:rFonts w:ascii="Arial" w:cs="Arial" w:eastAsia="Arial" w:hAnsi="Arial"/>
                <w:sz w:val="18"/>
                <w:szCs w:val="18"/>
                <w:b w:val="1"/>
                <w:bCs w:val="1"/>
                <w:color w:val="EC252A"/>
                <w:w w:val="97"/>
              </w:rPr>
              <w:t>Committees</w:t>
            </w:r>
          </w:p>
        </w:tc>
      </w:tr>
      <w:tr>
        <w:trPr>
          <w:trHeight w:val="379"/>
        </w:trPr>
        <w:tc>
          <w:tcPr>
            <w:tcW w:w="4480" w:type="dxa"/>
            <w:vAlign w:val="bottom"/>
          </w:tcPr>
          <w:p>
            <w:pPr>
              <w:spacing w:after="0"/>
              <w:rPr>
                <w:sz w:val="20"/>
                <w:szCs w:val="20"/>
                <w:color w:val="auto"/>
              </w:rPr>
            </w:pPr>
            <w:r>
              <w:rPr>
                <w:rFonts w:ascii="Arial" w:cs="Arial" w:eastAsia="Arial" w:hAnsi="Arial"/>
                <w:sz w:val="18"/>
                <w:szCs w:val="18"/>
                <w:color w:val="auto"/>
              </w:rPr>
              <w:t>Chairman of the Board of Wabtec since July 2020;</w:t>
            </w:r>
          </w:p>
        </w:tc>
        <w:tc>
          <w:tcPr>
            <w:tcW w:w="1500" w:type="dxa"/>
            <w:vAlign w:val="bottom"/>
          </w:tcPr>
          <w:p>
            <w:pPr>
              <w:ind w:left="480"/>
              <w:spacing w:after="0"/>
              <w:rPr>
                <w:sz w:val="20"/>
                <w:szCs w:val="20"/>
                <w:color w:val="auto"/>
              </w:rPr>
            </w:pPr>
            <w:r>
              <w:rPr>
                <w:rFonts w:ascii="Arial" w:cs="Arial" w:eastAsia="Arial" w:hAnsi="Arial"/>
                <w:sz w:val="18"/>
                <w:szCs w:val="18"/>
                <w:color w:val="auto"/>
              </w:rPr>
              <w:t>None</w:t>
            </w:r>
          </w:p>
        </w:tc>
      </w:tr>
    </w:tbl>
    <w:p>
      <w:pPr>
        <w:ind w:right="2240"/>
        <w:spacing w:after="0" w:line="237" w:lineRule="auto"/>
        <w:rPr>
          <w:sz w:val="20"/>
          <w:szCs w:val="20"/>
          <w:color w:val="auto"/>
        </w:rPr>
      </w:pPr>
      <w:r>
        <w:rPr>
          <w:rFonts w:ascii="Arial" w:cs="Arial" w:eastAsia="Arial" w:hAnsi="Arial"/>
          <w:sz w:val="18"/>
          <w:szCs w:val="18"/>
          <w:color w:val="auto"/>
        </w:rPr>
        <w:t>Executive Chairman of Wabtec from May 2018 to July 2020 and from May 2014 to May 2017; Chairman of Wabtec from May 2017 to 2018; Chairman and Chief Executive Officer of Wabtec from May 2013 until May 2014; President and Chief Executive Officer of Wabtec from February 2006 until May 2013; President of the Electromechanical Group of AMETEK, Inc. from 1998 to February 2006.</w:t>
      </w:r>
    </w:p>
    <w:p>
      <w:pPr>
        <w:spacing w:after="0" w:line="171" w:lineRule="exact"/>
        <w:rPr>
          <w:sz w:val="20"/>
          <w:szCs w:val="20"/>
          <w:color w:val="auto"/>
        </w:rPr>
      </w:pPr>
    </w:p>
    <w:p>
      <w:pPr>
        <w:ind w:right="2260"/>
        <w:spacing w:after="0"/>
        <w:rPr>
          <w:sz w:val="20"/>
          <w:szCs w:val="20"/>
          <w:color w:val="auto"/>
        </w:rPr>
      </w:pPr>
      <w:r>
        <w:rPr>
          <w:rFonts w:ascii="Arial" w:cs="Arial" w:eastAsia="Arial" w:hAnsi="Arial"/>
          <w:sz w:val="18"/>
          <w:szCs w:val="18"/>
          <w:color w:val="auto"/>
        </w:rPr>
        <w:t>Director of Wabtec Foundation, Carnegie Science Center, and Koppers Holdings Inc.; Member of Board of Trustees of the Carnegie Museums. Member of Robbins &amp; Myers, Inc. Board of Directors from January 2009 to February 2013. Member of Genesee &amp; Wyoming Inc. Board of Directors until December 2019. Executive Board Member of UPMC Children’s Hospital Foundation; Board Member of Heinz History Center.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EC252A"/>
        </w:rPr>
        <w:t>Director Skills</w:t>
      </w:r>
    </w:p>
    <w:p>
      <w:pPr>
        <w:spacing w:after="0" w:line="198" w:lineRule="exact"/>
        <w:rPr>
          <w:sz w:val="20"/>
          <w:szCs w:val="20"/>
          <w:color w:val="auto"/>
        </w:rPr>
      </w:pPr>
    </w:p>
    <w:p>
      <w:pPr>
        <w:ind w:right="2260"/>
        <w:spacing w:after="0" w:line="238" w:lineRule="auto"/>
        <w:rPr>
          <w:sz w:val="20"/>
          <w:szCs w:val="20"/>
          <w:color w:val="auto"/>
        </w:rPr>
      </w:pPr>
      <w:r>
        <w:rPr>
          <w:rFonts w:ascii="Arial" w:cs="Arial" w:eastAsia="Arial" w:hAnsi="Arial"/>
          <w:sz w:val="18"/>
          <w:szCs w:val="18"/>
          <w:color w:val="auto"/>
        </w:rPr>
        <w:t>Mr. Neupaver currently is the Chairman of the Board of Wabtec, a position he has held since July 2020, and previously from May 2017 to May 2018. Previously, he was Executive Chairman of the Board of Wabtec, President and Chief Executive Officer of the Company. During that tenure, Mr. Neupaver led the Company to unprecedented growth throughout the business cycle. His leadership and business acumen have been critical elements in Wabtec’s recent success. He also serves on the boards of non-profit organizations and other public companies, through which he has gained further insight into corporate governance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273685</wp:posOffset>
            </wp:positionV>
            <wp:extent cx="58978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200"/>
            <w:col w:w="7000"/>
          </w:cols>
          <w:pgMar w:left="1300" w:top="263" w:right="1319" w:bottom="1440" w:gutter="0" w:footer="0" w:header="0"/>
          <w:type w:val="continuous"/>
        </w:sectPr>
      </w:pPr>
    </w:p>
    <w:p>
      <w:pPr>
        <w:spacing w:after="0" w:line="366"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12</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2"/>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80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17" w:name="page18"/>
    <w:bookmarkEnd w:id="17"/>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3583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97880" cy="358330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Ann R. Klee</w:t>
      </w:r>
    </w:p>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EC252A"/>
        </w:rPr>
        <w:t>Independent Director</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EC252A"/>
        </w:rPr>
        <w:t xml:space="preserve">Age: </w:t>
      </w:r>
      <w:r>
        <w:rPr>
          <w:rFonts w:ascii="Arial" w:cs="Arial" w:eastAsia="Arial" w:hAnsi="Arial"/>
          <w:sz w:val="18"/>
          <w:szCs w:val="18"/>
          <w:color w:val="000000"/>
        </w:rPr>
        <w:t>60</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EC252A"/>
        </w:rPr>
        <w:t xml:space="preserve">Director Since </w:t>
      </w:r>
      <w:r>
        <w:rPr>
          <w:rFonts w:ascii="Arial" w:cs="Arial" w:eastAsia="Arial" w:hAnsi="Arial"/>
          <w:sz w:val="18"/>
          <w:szCs w:val="18"/>
          <w:color w:val="000000"/>
        </w:rPr>
        <w:t>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4860" w:type="dxa"/>
            <w:vAlign w:val="bottom"/>
          </w:tcPr>
          <w:p>
            <w:pPr>
              <w:spacing w:after="0"/>
              <w:rPr>
                <w:sz w:val="20"/>
                <w:szCs w:val="20"/>
                <w:color w:val="auto"/>
              </w:rPr>
            </w:pPr>
            <w:r>
              <w:rPr>
                <w:rFonts w:ascii="Arial" w:cs="Arial" w:eastAsia="Arial" w:hAnsi="Arial"/>
                <w:sz w:val="18"/>
                <w:szCs w:val="18"/>
                <w:b w:val="1"/>
                <w:bCs w:val="1"/>
                <w:color w:val="EC252A"/>
              </w:rPr>
              <w:t>Biographical Information</w:t>
            </w:r>
          </w:p>
        </w:tc>
        <w:tc>
          <w:tcPr>
            <w:tcW w:w="2100" w:type="dxa"/>
            <w:vAlign w:val="bottom"/>
          </w:tcPr>
          <w:p>
            <w:pPr>
              <w:ind w:left="140"/>
              <w:spacing w:after="0"/>
              <w:rPr>
                <w:sz w:val="20"/>
                <w:szCs w:val="20"/>
                <w:color w:val="auto"/>
              </w:rPr>
            </w:pPr>
            <w:r>
              <w:rPr>
                <w:rFonts w:ascii="Arial" w:cs="Arial" w:eastAsia="Arial" w:hAnsi="Arial"/>
                <w:sz w:val="18"/>
                <w:szCs w:val="18"/>
                <w:b w:val="1"/>
                <w:bCs w:val="1"/>
                <w:color w:val="EC252A"/>
              </w:rPr>
              <w:t>Committees</w:t>
            </w:r>
          </w:p>
        </w:tc>
      </w:tr>
      <w:tr>
        <w:trPr>
          <w:trHeight w:val="361"/>
        </w:trPr>
        <w:tc>
          <w:tcPr>
            <w:tcW w:w="4860" w:type="dxa"/>
            <w:vAlign w:val="bottom"/>
          </w:tcPr>
          <w:p>
            <w:pPr>
              <w:spacing w:after="0"/>
              <w:rPr>
                <w:sz w:val="20"/>
                <w:szCs w:val="20"/>
                <w:color w:val="auto"/>
              </w:rPr>
            </w:pPr>
            <w:r>
              <w:rPr>
                <w:rFonts w:ascii="Arial" w:cs="Arial" w:eastAsia="Arial" w:hAnsi="Arial"/>
                <w:sz w:val="18"/>
                <w:szCs w:val="18"/>
                <w:color w:val="auto"/>
              </w:rPr>
              <w:t>Executive Vice President, Suffolk Construction Company</w:t>
            </w:r>
          </w:p>
        </w:tc>
        <w:tc>
          <w:tcPr>
            <w:tcW w:w="2100" w:type="dxa"/>
            <w:vAlign w:val="bottom"/>
          </w:tcPr>
          <w:p>
            <w:pPr>
              <w:ind w:left="140"/>
              <w:spacing w:after="0"/>
              <w:rPr>
                <w:sz w:val="20"/>
                <w:szCs w:val="20"/>
                <w:color w:val="auto"/>
              </w:rPr>
            </w:pPr>
            <w:r>
              <w:rPr>
                <w:rFonts w:ascii="Arial" w:cs="Arial" w:eastAsia="Arial" w:hAnsi="Arial"/>
                <w:sz w:val="18"/>
                <w:szCs w:val="18"/>
                <w:color w:val="auto"/>
              </w:rPr>
              <w:t>Compensation and</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(February 2020 to March 2021); Vice President, General</w:t>
            </w:r>
          </w:p>
        </w:tc>
        <w:tc>
          <w:tcPr>
            <w:tcW w:w="2100" w:type="dxa"/>
            <w:vAlign w:val="bottom"/>
          </w:tcPr>
          <w:p>
            <w:pPr>
              <w:ind w:left="140"/>
              <w:spacing w:after="0" w:line="202" w:lineRule="exact"/>
              <w:rPr>
                <w:sz w:val="20"/>
                <w:szCs w:val="20"/>
                <w:color w:val="auto"/>
              </w:rPr>
            </w:pPr>
            <w:r>
              <w:rPr>
                <w:rFonts w:ascii="Arial" w:cs="Arial" w:eastAsia="Arial" w:hAnsi="Arial"/>
                <w:sz w:val="18"/>
                <w:szCs w:val="18"/>
                <w:color w:val="auto"/>
              </w:rPr>
              <w:t>Talent Management</w:t>
            </w:r>
          </w:p>
        </w:tc>
      </w:tr>
      <w:tr>
        <w:trPr>
          <w:trHeight w:val="202"/>
        </w:trPr>
        <w:tc>
          <w:tcPr>
            <w:tcW w:w="4860" w:type="dxa"/>
            <w:vAlign w:val="bottom"/>
          </w:tcPr>
          <w:p>
            <w:pPr>
              <w:spacing w:after="0" w:line="202" w:lineRule="exact"/>
              <w:rPr>
                <w:sz w:val="20"/>
                <w:szCs w:val="20"/>
                <w:color w:val="auto"/>
              </w:rPr>
            </w:pPr>
            <w:r>
              <w:rPr>
                <w:rFonts w:ascii="Arial" w:cs="Arial" w:eastAsia="Arial" w:hAnsi="Arial"/>
                <w:sz w:val="18"/>
                <w:szCs w:val="18"/>
                <w:color w:val="auto"/>
              </w:rPr>
              <w:t>Electric Company (2008 to September 2019). Prior to GE,</w:t>
            </w:r>
          </w:p>
        </w:tc>
        <w:tc>
          <w:tcPr>
            <w:tcW w:w="210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Ms. Klee was a partner and co-chair of the Environmental</w:t>
            </w:r>
          </w:p>
        </w:tc>
        <w:tc>
          <w:tcPr>
            <w:tcW w:w="2100" w:type="dxa"/>
            <w:vAlign w:val="bottom"/>
          </w:tcPr>
          <w:p>
            <w:pPr>
              <w:ind w:left="140"/>
              <w:spacing w:after="0" w:line="202" w:lineRule="exact"/>
              <w:rPr>
                <w:sz w:val="20"/>
                <w:szCs w:val="20"/>
                <w:color w:val="auto"/>
              </w:rPr>
            </w:pPr>
            <w:r>
              <w:rPr>
                <w:rFonts w:ascii="Arial" w:cs="Arial" w:eastAsia="Arial" w:hAnsi="Arial"/>
                <w:sz w:val="18"/>
                <w:szCs w:val="18"/>
                <w:color w:val="auto"/>
              </w:rPr>
              <w:t>Nominating and</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and Natural Resources Group of Crowell &amp; Moring LLP.</w:t>
            </w:r>
          </w:p>
        </w:tc>
        <w:tc>
          <w:tcPr>
            <w:tcW w:w="2100" w:type="dxa"/>
            <w:vAlign w:val="bottom"/>
          </w:tcPr>
          <w:p>
            <w:pPr>
              <w:ind w:left="140"/>
              <w:spacing w:after="0" w:line="202" w:lineRule="exact"/>
              <w:rPr>
                <w:sz w:val="20"/>
                <w:szCs w:val="20"/>
                <w:color w:val="auto"/>
              </w:rPr>
            </w:pPr>
            <w:r>
              <w:rPr>
                <w:rFonts w:ascii="Arial" w:cs="Arial" w:eastAsia="Arial" w:hAnsi="Arial"/>
                <w:sz w:val="18"/>
                <w:szCs w:val="18"/>
                <w:color w:val="auto"/>
              </w:rPr>
              <w:t>Corporate Governance</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Ms. Klee also served as general counsel to the U.S.</w:t>
            </w:r>
          </w:p>
        </w:tc>
        <w:tc>
          <w:tcPr>
            <w:tcW w:w="2100" w:type="dxa"/>
            <w:vAlign w:val="bottom"/>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Environmental Protection Agency, as counselor and special</w:t>
            </w:r>
          </w:p>
        </w:tc>
        <w:tc>
          <w:tcPr>
            <w:tcW w:w="2100" w:type="dxa"/>
            <w:vAlign w:val="bottom"/>
          </w:tcPr>
          <w:p>
            <w:pPr>
              <w:ind w:left="140"/>
              <w:spacing w:after="0" w:line="202" w:lineRule="exact"/>
              <w:rPr>
                <w:sz w:val="20"/>
                <w:szCs w:val="20"/>
                <w:color w:val="auto"/>
              </w:rPr>
            </w:pPr>
            <w:r>
              <w:rPr>
                <w:rFonts w:ascii="Arial" w:cs="Arial" w:eastAsia="Arial" w:hAnsi="Arial"/>
                <w:sz w:val="18"/>
                <w:szCs w:val="18"/>
                <w:color w:val="auto"/>
                <w:w w:val="99"/>
              </w:rPr>
              <w:t>Environment, Social and</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assistant to the Secretary of the U.S. Department of the</w:t>
            </w:r>
          </w:p>
        </w:tc>
        <w:tc>
          <w:tcPr>
            <w:tcW w:w="2100" w:type="dxa"/>
            <w:vAlign w:val="bottom"/>
          </w:tcPr>
          <w:p>
            <w:pPr>
              <w:ind w:left="140"/>
              <w:spacing w:after="0" w:line="202" w:lineRule="exact"/>
              <w:rPr>
                <w:sz w:val="20"/>
                <w:szCs w:val="20"/>
                <w:color w:val="auto"/>
              </w:rPr>
            </w:pPr>
            <w:r>
              <w:rPr>
                <w:rFonts w:ascii="Arial" w:cs="Arial" w:eastAsia="Arial" w:hAnsi="Arial"/>
                <w:sz w:val="18"/>
                <w:szCs w:val="18"/>
                <w:color w:val="auto"/>
              </w:rPr>
              <w:t>Governance</w:t>
            </w:r>
          </w:p>
        </w:tc>
      </w:tr>
      <w:tr>
        <w:trPr>
          <w:trHeight w:val="221"/>
        </w:trPr>
        <w:tc>
          <w:tcPr>
            <w:tcW w:w="4860" w:type="dxa"/>
            <w:vAlign w:val="bottom"/>
          </w:tcPr>
          <w:p>
            <w:pPr>
              <w:spacing w:after="0"/>
              <w:rPr>
                <w:sz w:val="20"/>
                <w:szCs w:val="20"/>
                <w:color w:val="auto"/>
              </w:rPr>
            </w:pPr>
            <w:r>
              <w:rPr>
                <w:rFonts w:ascii="Arial" w:cs="Arial" w:eastAsia="Arial" w:hAnsi="Arial"/>
                <w:sz w:val="18"/>
                <w:szCs w:val="18"/>
                <w:color w:val="auto"/>
              </w:rPr>
              <w:t>Interior and as chief counsel to the U.S. Senate’s</w:t>
            </w:r>
          </w:p>
        </w:tc>
        <w:tc>
          <w:tcPr>
            <w:tcW w:w="2100" w:type="dxa"/>
            <w:vAlign w:val="bottom"/>
          </w:tcPr>
          <w:p>
            <w:pPr>
              <w:ind w:left="140"/>
              <w:spacing w:after="0"/>
              <w:rPr>
                <w:sz w:val="20"/>
                <w:szCs w:val="20"/>
                <w:color w:val="auto"/>
              </w:rPr>
            </w:pPr>
            <w:r>
              <w:rPr>
                <w:rFonts w:ascii="Arial" w:cs="Arial" w:eastAsia="Arial" w:hAnsi="Arial"/>
                <w:sz w:val="18"/>
                <w:szCs w:val="18"/>
                <w:color w:val="auto"/>
              </w:rPr>
              <w:t>Subcommittee (Chair)</w:t>
            </w:r>
          </w:p>
        </w:tc>
      </w:tr>
    </w:tbl>
    <w:p>
      <w:pPr>
        <w:spacing w:after="0"/>
        <w:rPr>
          <w:sz w:val="20"/>
          <w:szCs w:val="20"/>
          <w:color w:val="auto"/>
        </w:rPr>
      </w:pPr>
      <w:r>
        <w:rPr>
          <w:rFonts w:ascii="Arial" w:cs="Arial" w:eastAsia="Arial" w:hAnsi="Arial"/>
          <w:sz w:val="18"/>
          <w:szCs w:val="18"/>
          <w:color w:val="auto"/>
        </w:rPr>
        <w:t>Environment and Public Works Committee.</w:t>
      </w:r>
    </w:p>
    <w:p>
      <w:pPr>
        <w:spacing w:after="0" w:line="180" w:lineRule="exact"/>
        <w:rPr>
          <w:sz w:val="20"/>
          <w:szCs w:val="20"/>
          <w:color w:val="auto"/>
        </w:rPr>
      </w:pPr>
    </w:p>
    <w:p>
      <w:pPr>
        <w:ind w:right="3340"/>
        <w:spacing w:after="0" w:line="261" w:lineRule="auto"/>
        <w:rPr>
          <w:sz w:val="20"/>
          <w:szCs w:val="20"/>
          <w:color w:val="auto"/>
        </w:rPr>
      </w:pPr>
      <w:r>
        <w:rPr>
          <w:rFonts w:ascii="Arial" w:cs="Arial" w:eastAsia="Arial" w:hAnsi="Arial"/>
          <w:sz w:val="17"/>
          <w:szCs w:val="17"/>
          <w:color w:val="auto"/>
        </w:rPr>
        <w:t>Ms. Klee serves on the boards of Sotera Health Company (NASDAQ:SHC), where she Chairs the Nominating and Corporate Governance Committee, WGBH (Boston, MA Public television), University of Pennsylvania − Center for Climate and Energy Solutions and Boston Harbor Now.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EC252A"/>
        </w:rPr>
        <w:t>Director Skills</w:t>
      </w:r>
    </w:p>
    <w:p>
      <w:pPr>
        <w:spacing w:after="0" w:line="198" w:lineRule="exact"/>
        <w:rPr>
          <w:sz w:val="20"/>
          <w:szCs w:val="20"/>
          <w:color w:val="auto"/>
        </w:rPr>
      </w:pPr>
    </w:p>
    <w:p>
      <w:pPr>
        <w:ind w:right="3240"/>
        <w:spacing w:after="0" w:line="247" w:lineRule="auto"/>
        <w:rPr>
          <w:sz w:val="20"/>
          <w:szCs w:val="20"/>
          <w:color w:val="auto"/>
        </w:rPr>
      </w:pPr>
      <w:r>
        <w:rPr>
          <w:rFonts w:ascii="Arial" w:cs="Arial" w:eastAsia="Arial" w:hAnsi="Arial"/>
          <w:sz w:val="18"/>
          <w:szCs w:val="18"/>
          <w:color w:val="auto"/>
        </w:rPr>
        <w:t>Ms. Klee brings over 30 years of experience in environmental law, governance and compliance and is also a recognized expert in sustainability and Environment, Social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267970</wp:posOffset>
            </wp:positionV>
            <wp:extent cx="58978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260"/>
            <w:col w:w="7940"/>
          </w:cols>
          <w:pgMar w:left="440" w:top="263" w:right="439" w:bottom="1440" w:gutter="0" w:footer="0" w:header="0"/>
          <w:type w:val="continuous"/>
        </w:sect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13</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type w:val="continuous"/>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Continuing Directors with Three-Year Term Expiring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5897880" cy="3103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97880" cy="310324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Lee B. Foster, II</w:t>
      </w:r>
    </w:p>
    <w:p>
      <w:pPr>
        <w:spacing w:after="0" w:line="202" w:lineRule="exact"/>
        <w:rPr>
          <w:sz w:val="20"/>
          <w:szCs w:val="20"/>
          <w:color w:val="auto"/>
        </w:rPr>
      </w:pPr>
    </w:p>
    <w:p>
      <w:pPr>
        <w:ind w:left="140"/>
        <w:spacing w:after="0" w:line="469" w:lineRule="auto"/>
        <w:rPr>
          <w:sz w:val="20"/>
          <w:szCs w:val="20"/>
          <w:color w:val="auto"/>
        </w:rPr>
      </w:pPr>
      <w:r>
        <w:rPr>
          <w:rFonts w:ascii="Arial" w:cs="Arial" w:eastAsia="Arial" w:hAnsi="Arial"/>
          <w:sz w:val="18"/>
          <w:szCs w:val="18"/>
          <w:b w:val="1"/>
          <w:bCs w:val="1"/>
          <w:color w:val="EC252A"/>
        </w:rPr>
        <w:t>Independent Director Lead Director</w:t>
      </w:r>
    </w:p>
    <w:p>
      <w:pPr>
        <w:spacing w:after="0" w:line="1" w:lineRule="exact"/>
        <w:rPr>
          <w:sz w:val="20"/>
          <w:szCs w:val="20"/>
          <w:color w:val="auto"/>
        </w:rPr>
      </w:pPr>
    </w:p>
    <w:p>
      <w:pPr>
        <w:ind w:left="140" w:right="380"/>
        <w:spacing w:after="0" w:line="311" w:lineRule="auto"/>
        <w:rPr>
          <w:sz w:val="20"/>
          <w:szCs w:val="20"/>
          <w:color w:val="auto"/>
        </w:rPr>
      </w:pPr>
      <w:r>
        <w:rPr>
          <w:rFonts w:ascii="Arial" w:cs="Arial" w:eastAsia="Arial" w:hAnsi="Arial"/>
          <w:sz w:val="17"/>
          <w:szCs w:val="17"/>
          <w:b w:val="1"/>
          <w:bCs w:val="1"/>
          <w:color w:val="EC252A"/>
        </w:rPr>
        <w:t>Audit Committee Financial Expert</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EC252A"/>
        </w:rPr>
        <w:t xml:space="preserve">Age: </w:t>
      </w:r>
      <w:r>
        <w:rPr>
          <w:rFonts w:ascii="Arial" w:cs="Arial" w:eastAsia="Arial" w:hAnsi="Arial"/>
          <w:sz w:val="18"/>
          <w:szCs w:val="18"/>
          <w:color w:val="000000"/>
        </w:rPr>
        <w:t>75</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EC252A"/>
        </w:rPr>
        <w:t xml:space="preserve">Director Since </w:t>
      </w:r>
      <w:r>
        <w:rPr>
          <w:rFonts w:ascii="Arial" w:cs="Arial" w:eastAsia="Arial" w:hAnsi="Arial"/>
          <w:sz w:val="18"/>
          <w:szCs w:val="18"/>
          <w:color w:val="000000"/>
        </w:rPr>
        <w:t>1999</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4740" w:type="dxa"/>
            <w:vAlign w:val="bottom"/>
          </w:tcPr>
          <w:p>
            <w:pPr>
              <w:spacing w:after="0"/>
              <w:rPr>
                <w:sz w:val="20"/>
                <w:szCs w:val="20"/>
                <w:color w:val="auto"/>
              </w:rPr>
            </w:pPr>
            <w:r>
              <w:rPr>
                <w:rFonts w:ascii="Arial" w:cs="Arial" w:eastAsia="Arial" w:hAnsi="Arial"/>
                <w:sz w:val="18"/>
                <w:szCs w:val="18"/>
                <w:b w:val="1"/>
                <w:bCs w:val="1"/>
                <w:color w:val="EC252A"/>
              </w:rPr>
              <w:t>Biographical Information</w:t>
            </w:r>
          </w:p>
        </w:tc>
        <w:tc>
          <w:tcPr>
            <w:tcW w:w="2100" w:type="dxa"/>
            <w:vAlign w:val="bottom"/>
          </w:tcPr>
          <w:p>
            <w:pPr>
              <w:ind w:left="260"/>
              <w:spacing w:after="0"/>
              <w:rPr>
                <w:sz w:val="20"/>
                <w:szCs w:val="20"/>
                <w:color w:val="auto"/>
              </w:rPr>
            </w:pPr>
            <w:r>
              <w:rPr>
                <w:rFonts w:ascii="Arial" w:cs="Arial" w:eastAsia="Arial" w:hAnsi="Arial"/>
                <w:sz w:val="18"/>
                <w:szCs w:val="18"/>
                <w:b w:val="1"/>
                <w:bCs w:val="1"/>
                <w:color w:val="EC252A"/>
              </w:rPr>
              <w:t>Committees</w:t>
            </w:r>
          </w:p>
        </w:tc>
      </w:tr>
      <w:tr>
        <w:trPr>
          <w:trHeight w:val="361"/>
        </w:trPr>
        <w:tc>
          <w:tcPr>
            <w:tcW w:w="4740" w:type="dxa"/>
            <w:vAlign w:val="bottom"/>
          </w:tcPr>
          <w:p>
            <w:pPr>
              <w:spacing w:after="0"/>
              <w:rPr>
                <w:sz w:val="20"/>
                <w:szCs w:val="20"/>
                <w:color w:val="auto"/>
              </w:rPr>
            </w:pPr>
            <w:r>
              <w:rPr>
                <w:rFonts w:ascii="Arial" w:cs="Arial" w:eastAsia="Arial" w:hAnsi="Arial"/>
                <w:sz w:val="18"/>
                <w:szCs w:val="18"/>
                <w:color w:val="auto"/>
              </w:rPr>
              <w:t>Chairman of L.B. Foster Company since 1998; Chief</w:t>
            </w:r>
          </w:p>
        </w:tc>
        <w:tc>
          <w:tcPr>
            <w:tcW w:w="2100" w:type="dxa"/>
            <w:vAlign w:val="bottom"/>
          </w:tcPr>
          <w:p>
            <w:pPr>
              <w:ind w:left="260"/>
              <w:spacing w:after="0"/>
              <w:rPr>
                <w:sz w:val="20"/>
                <w:szCs w:val="20"/>
                <w:color w:val="auto"/>
              </w:rPr>
            </w:pPr>
            <w:r>
              <w:rPr>
                <w:rFonts w:ascii="Arial" w:cs="Arial" w:eastAsia="Arial" w:hAnsi="Arial"/>
                <w:sz w:val="18"/>
                <w:szCs w:val="18"/>
                <w:color w:val="auto"/>
              </w:rPr>
              <w:t>Audit</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Executive Officer of L.B. Foster Company until 2002;</w:t>
            </w:r>
          </w:p>
        </w:tc>
        <w:tc>
          <w:tcPr>
            <w:tcW w:w="2100" w:type="dxa"/>
            <w:vAlign w:val="bottom"/>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President of L.B. Foster Company until 2000. Director of</w:t>
            </w:r>
          </w:p>
        </w:tc>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rPr>
              <w:t>Nominating and</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L.B. Foster Company, Capital Guidance Ltd., Dakota,</w:t>
            </w:r>
          </w:p>
        </w:tc>
        <w:tc>
          <w:tcPr>
            <w:tcW w:w="2100" w:type="dxa"/>
            <w:vAlign w:val="bottom"/>
          </w:tcPr>
          <w:p>
            <w:pPr>
              <w:ind w:left="260"/>
              <w:spacing w:after="0" w:line="202" w:lineRule="exact"/>
              <w:rPr>
                <w:sz w:val="20"/>
                <w:szCs w:val="20"/>
                <w:color w:val="auto"/>
              </w:rPr>
            </w:pPr>
            <w:r>
              <w:rPr>
                <w:rFonts w:ascii="Arial" w:cs="Arial" w:eastAsia="Arial" w:hAnsi="Arial"/>
                <w:sz w:val="18"/>
                <w:szCs w:val="18"/>
                <w:color w:val="auto"/>
                <w:w w:val="99"/>
              </w:rPr>
              <w:t>Corporate Governance</w:t>
            </w:r>
          </w:p>
        </w:tc>
      </w:tr>
      <w:tr>
        <w:trPr>
          <w:trHeight w:val="221"/>
        </w:trPr>
        <w:tc>
          <w:tcPr>
            <w:tcW w:w="4740" w:type="dxa"/>
            <w:vAlign w:val="bottom"/>
          </w:tcPr>
          <w:p>
            <w:pPr>
              <w:spacing w:after="0"/>
              <w:rPr>
                <w:sz w:val="20"/>
                <w:szCs w:val="20"/>
                <w:color w:val="auto"/>
              </w:rPr>
            </w:pPr>
            <w:r>
              <w:rPr>
                <w:rFonts w:ascii="Arial" w:cs="Arial" w:eastAsia="Arial" w:hAnsi="Arial"/>
                <w:sz w:val="18"/>
                <w:szCs w:val="18"/>
                <w:color w:val="auto"/>
              </w:rPr>
              <w:t>Minnesota &amp; Eastern Railroad (“DM&amp;E”) from 2001 to</w:t>
            </w:r>
          </w:p>
        </w:tc>
        <w:tc>
          <w:tcPr>
            <w:tcW w:w="2100" w:type="dxa"/>
            <w:vAlign w:val="bottom"/>
          </w:tcPr>
          <w:p>
            <w:pPr>
              <w:ind w:left="260"/>
              <w:spacing w:after="0"/>
              <w:rPr>
                <w:sz w:val="20"/>
                <w:szCs w:val="20"/>
                <w:color w:val="auto"/>
              </w:rPr>
            </w:pPr>
            <w:r>
              <w:rPr>
                <w:rFonts w:ascii="Arial" w:cs="Arial" w:eastAsia="Arial" w:hAnsi="Arial"/>
                <w:sz w:val="18"/>
                <w:szCs w:val="18"/>
                <w:color w:val="auto"/>
              </w:rPr>
              <w:t>(Chair)</w:t>
            </w:r>
          </w:p>
        </w:tc>
      </w:tr>
    </w:tbl>
    <w:p>
      <w:pPr>
        <w:spacing w:after="0"/>
        <w:rPr>
          <w:sz w:val="20"/>
          <w:szCs w:val="20"/>
          <w:color w:val="auto"/>
        </w:rPr>
      </w:pPr>
      <w:r>
        <w:rPr>
          <w:rFonts w:ascii="Arial" w:cs="Arial" w:eastAsia="Arial" w:hAnsi="Arial"/>
          <w:sz w:val="18"/>
          <w:szCs w:val="18"/>
          <w:color w:val="auto"/>
        </w:rPr>
        <w:t>October 2007 and Wabtec Foundation.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EC252A"/>
        </w:rPr>
        <w:t>Director Skills</w:t>
      </w:r>
    </w:p>
    <w:p>
      <w:pPr>
        <w:spacing w:after="0" w:line="198" w:lineRule="exact"/>
        <w:rPr>
          <w:sz w:val="20"/>
          <w:szCs w:val="20"/>
          <w:color w:val="auto"/>
        </w:rPr>
      </w:pPr>
    </w:p>
    <w:p>
      <w:pPr>
        <w:ind w:right="2340"/>
        <w:spacing w:after="0" w:line="239" w:lineRule="auto"/>
        <w:rPr>
          <w:sz w:val="20"/>
          <w:szCs w:val="20"/>
          <w:color w:val="auto"/>
        </w:rPr>
      </w:pPr>
      <w:r>
        <w:rPr>
          <w:rFonts w:ascii="Arial" w:cs="Arial" w:eastAsia="Arial" w:hAnsi="Arial"/>
          <w:sz w:val="18"/>
          <w:szCs w:val="18"/>
          <w:color w:val="auto"/>
        </w:rPr>
        <w:t>Mr. Foster has had an extensive career within the railroad industry, including 35 years with the L.B. Foster Co., a supplier to the railroad and transit industries, where he has served in a multitude of roles including President, CEO and Chairman, as well as Director. Mr. Foster brings to the Board not only a solid background within the railroad industry, but also his experience on various boards and committees, including the executive committee of DM&amp;E and the audit and compensation committees of the private company Capital Guidance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237490</wp:posOffset>
            </wp:positionV>
            <wp:extent cx="5897880" cy="32658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97880" cy="3265805"/>
                    </a:xfrm>
                    <a:prstGeom prst="rect">
                      <a:avLst/>
                    </a:prstGeom>
                    <a:noFill/>
                  </pic:spPr>
                </pic:pic>
              </a:graphicData>
            </a:graphic>
          </wp:anchor>
        </w:drawing>
      </w:r>
    </w:p>
    <w:p>
      <w:pPr>
        <w:spacing w:after="0" w:line="316" w:lineRule="exact"/>
        <w:rPr>
          <w:sz w:val="20"/>
          <w:szCs w:val="20"/>
          <w:color w:val="auto"/>
        </w:rPr>
      </w:pPr>
    </w:p>
    <w:p>
      <w:pPr>
        <w:sectPr>
          <w:pgSz w:w="11900" w:h="16838" w:orient="portrait"/>
          <w:cols w:equalWidth="0" w:num="2">
            <w:col w:w="1960" w:space="260"/>
            <w:col w:w="7060"/>
          </w:cols>
          <w:pgMar w:left="1300" w:top="263"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Rafael Santana</w:t>
      </w:r>
    </w:p>
    <w:p>
      <w:pPr>
        <w:spacing w:after="0" w:line="202" w:lineRule="exact"/>
        <w:rPr>
          <w:sz w:val="20"/>
          <w:szCs w:val="20"/>
          <w:color w:val="auto"/>
        </w:rPr>
      </w:pPr>
    </w:p>
    <w:p>
      <w:pPr>
        <w:ind w:left="140" w:right="340"/>
        <w:spacing w:after="0" w:line="311" w:lineRule="auto"/>
        <w:rPr>
          <w:sz w:val="20"/>
          <w:szCs w:val="20"/>
          <w:color w:val="auto"/>
        </w:rPr>
      </w:pPr>
      <w:r>
        <w:rPr>
          <w:rFonts w:ascii="Arial" w:cs="Arial" w:eastAsia="Arial" w:hAnsi="Arial"/>
          <w:sz w:val="17"/>
          <w:szCs w:val="17"/>
          <w:b w:val="1"/>
          <w:bCs w:val="1"/>
          <w:color w:val="EC252A"/>
        </w:rPr>
        <w:t>Chief Executive Officer</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EC252A"/>
        </w:rPr>
        <w:t xml:space="preserve">Age: </w:t>
      </w:r>
      <w:r>
        <w:rPr>
          <w:rFonts w:ascii="Arial" w:cs="Arial" w:eastAsia="Arial" w:hAnsi="Arial"/>
          <w:sz w:val="18"/>
          <w:szCs w:val="18"/>
          <w:color w:val="000000"/>
        </w:rPr>
        <w:t>50</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EC252A"/>
        </w:rPr>
        <w:t xml:space="preserve">Director Since </w:t>
      </w:r>
      <w:r>
        <w:rPr>
          <w:rFonts w:ascii="Arial" w:cs="Arial" w:eastAsia="Arial" w:hAnsi="Arial"/>
          <w:sz w:val="18"/>
          <w:szCs w:val="18"/>
          <w:color w:val="000000"/>
        </w:rPr>
        <w:t>2019</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4840" w:type="dxa"/>
            <w:vAlign w:val="bottom"/>
          </w:tcPr>
          <w:p>
            <w:pPr>
              <w:spacing w:after="0"/>
              <w:rPr>
                <w:sz w:val="20"/>
                <w:szCs w:val="20"/>
                <w:color w:val="auto"/>
              </w:rPr>
            </w:pPr>
            <w:r>
              <w:rPr>
                <w:rFonts w:ascii="Arial" w:cs="Arial" w:eastAsia="Arial" w:hAnsi="Arial"/>
                <w:sz w:val="18"/>
                <w:szCs w:val="18"/>
                <w:b w:val="1"/>
                <w:bCs w:val="1"/>
                <w:color w:val="EC252A"/>
              </w:rPr>
              <w:t>Biographical Information</w:t>
            </w:r>
          </w:p>
        </w:tc>
        <w:tc>
          <w:tcPr>
            <w:tcW w:w="1200" w:type="dxa"/>
            <w:vAlign w:val="bottom"/>
          </w:tcPr>
          <w:p>
            <w:pPr>
              <w:ind w:left="160"/>
              <w:spacing w:after="0"/>
              <w:rPr>
                <w:sz w:val="20"/>
                <w:szCs w:val="20"/>
                <w:color w:val="auto"/>
              </w:rPr>
            </w:pPr>
            <w:r>
              <w:rPr>
                <w:rFonts w:ascii="Arial" w:cs="Arial" w:eastAsia="Arial" w:hAnsi="Arial"/>
                <w:sz w:val="18"/>
                <w:szCs w:val="18"/>
                <w:b w:val="1"/>
                <w:bCs w:val="1"/>
                <w:color w:val="EC252A"/>
                <w:w w:val="98"/>
              </w:rPr>
              <w:t>Committees</w:t>
            </w:r>
          </w:p>
        </w:tc>
      </w:tr>
      <w:tr>
        <w:trPr>
          <w:trHeight w:val="379"/>
        </w:trPr>
        <w:tc>
          <w:tcPr>
            <w:tcW w:w="4840" w:type="dxa"/>
            <w:vAlign w:val="bottom"/>
          </w:tcPr>
          <w:p>
            <w:pPr>
              <w:spacing w:after="0"/>
              <w:rPr>
                <w:sz w:val="20"/>
                <w:szCs w:val="20"/>
                <w:color w:val="auto"/>
              </w:rPr>
            </w:pPr>
            <w:r>
              <w:rPr>
                <w:rFonts w:ascii="Arial" w:cs="Arial" w:eastAsia="Arial" w:hAnsi="Arial"/>
                <w:sz w:val="18"/>
                <w:szCs w:val="18"/>
                <w:color w:val="auto"/>
              </w:rPr>
              <w:t>President and Chief Executive Officer of Wabtec since July</w:t>
            </w:r>
          </w:p>
        </w:tc>
        <w:tc>
          <w:tcPr>
            <w:tcW w:w="1200" w:type="dxa"/>
            <w:vAlign w:val="bottom"/>
          </w:tcPr>
          <w:p>
            <w:pPr>
              <w:ind w:left="160"/>
              <w:spacing w:after="0"/>
              <w:rPr>
                <w:sz w:val="20"/>
                <w:szCs w:val="20"/>
                <w:color w:val="auto"/>
              </w:rPr>
            </w:pPr>
            <w:r>
              <w:rPr>
                <w:rFonts w:ascii="Arial" w:cs="Arial" w:eastAsia="Arial" w:hAnsi="Arial"/>
                <w:sz w:val="18"/>
                <w:szCs w:val="18"/>
                <w:color w:val="auto"/>
              </w:rPr>
              <w:t>None</w:t>
            </w:r>
          </w:p>
        </w:tc>
      </w:tr>
    </w:tbl>
    <w:p>
      <w:pPr>
        <w:ind w:right="2280"/>
        <w:spacing w:after="0" w:line="236" w:lineRule="auto"/>
        <w:rPr>
          <w:sz w:val="20"/>
          <w:szCs w:val="20"/>
          <w:color w:val="auto"/>
        </w:rPr>
      </w:pPr>
      <w:r>
        <w:rPr>
          <w:rFonts w:ascii="Arial" w:cs="Arial" w:eastAsia="Arial" w:hAnsi="Arial"/>
          <w:sz w:val="18"/>
          <w:szCs w:val="18"/>
          <w:color w:val="auto"/>
        </w:rPr>
        <w:t>2019. Prior to this role, Mr. Santana served as President and Chief Executive Officer of GE Transportation, a division of General Electric (GE) Company, from November 2017 to February 2019. Mr. Santana joined GE in 2000 and held a variety of global leadership roles in GE’s Transportation, Power, and Oil &amp; Gas businesses, including President and Chief Executive Officer of GE, Latin America; President and Chief Executive Officer of GE Oil and Gas Turbomachinery Solutions; and Chief Executive Officer of GE Energy in Latin America. Mr. Santana serves on the Board of Travelers Companies, Inc.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EC252A"/>
        </w:rPr>
        <w:t>Director Skills</w:t>
      </w:r>
    </w:p>
    <w:p>
      <w:pPr>
        <w:spacing w:after="0" w:line="198" w:lineRule="exact"/>
        <w:rPr>
          <w:sz w:val="20"/>
          <w:szCs w:val="20"/>
          <w:color w:val="auto"/>
        </w:rPr>
      </w:pPr>
    </w:p>
    <w:p>
      <w:pPr>
        <w:ind w:right="2520"/>
        <w:spacing w:after="0" w:line="259" w:lineRule="auto"/>
        <w:rPr>
          <w:sz w:val="20"/>
          <w:szCs w:val="20"/>
          <w:color w:val="auto"/>
        </w:rPr>
      </w:pPr>
      <w:r>
        <w:rPr>
          <w:rFonts w:ascii="Arial" w:cs="Arial" w:eastAsia="Arial" w:hAnsi="Arial"/>
          <w:sz w:val="17"/>
          <w:szCs w:val="17"/>
          <w:color w:val="auto"/>
        </w:rPr>
        <w:t>Mr. Santana brings over 25 years of global executive leadership experience, including international operations, product management, and commercial expertise to this post, including more than 10 years in the transportation industry. He has a proven track record of transforming businesses, while delivering top-and bottom-line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262890</wp:posOffset>
            </wp:positionV>
            <wp:extent cx="58978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400"/>
            <w:col w:w="7060"/>
          </w:cols>
          <w:pgMar w:left="1300" w:top="263" w:right="1319" w:bottom="1440" w:gutter="0" w:footer="0" w:header="0"/>
          <w:type w:val="continuous"/>
        </w:sectPr>
      </w:pPr>
    </w:p>
    <w:p>
      <w:pPr>
        <w:spacing w:after="0" w:line="348"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14</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19" w:name="page20"/>
    <w:bookmarkEnd w:id="19"/>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552"/>
        </w:trPr>
        <w:tc>
          <w:tcPr>
            <w:tcW w:w="2100" w:type="dxa"/>
            <w:vAlign w:val="bottom"/>
            <w:tcBorders>
              <w:top w:val="single" w:sz="8" w:color="EC252A"/>
            </w:tcBorders>
          </w:tcPr>
          <w:p>
            <w:pPr>
              <w:spacing w:after="0"/>
              <w:rPr>
                <w:sz w:val="24"/>
                <w:szCs w:val="24"/>
                <w:color w:val="auto"/>
              </w:rPr>
            </w:pPr>
          </w:p>
        </w:tc>
        <w:tc>
          <w:tcPr>
            <w:tcW w:w="5020" w:type="dxa"/>
            <w:vAlign w:val="bottom"/>
            <w:tcBorders>
              <w:top w:val="single" w:sz="8" w:color="EC252A"/>
            </w:tcBorders>
          </w:tcPr>
          <w:p>
            <w:pPr>
              <w:ind w:left="120"/>
              <w:spacing w:after="0"/>
              <w:rPr>
                <w:sz w:val="20"/>
                <w:szCs w:val="20"/>
                <w:color w:val="auto"/>
              </w:rPr>
            </w:pPr>
            <w:r>
              <w:rPr>
                <w:rFonts w:ascii="Arial" w:cs="Arial" w:eastAsia="Arial" w:hAnsi="Arial"/>
                <w:sz w:val="18"/>
                <w:szCs w:val="18"/>
                <w:b w:val="1"/>
                <w:bCs w:val="1"/>
                <w:color w:val="EC252A"/>
              </w:rPr>
              <w:t>Biographical Information</w:t>
            </w:r>
          </w:p>
        </w:tc>
        <w:tc>
          <w:tcPr>
            <w:tcW w:w="2160" w:type="dxa"/>
            <w:vAlign w:val="bottom"/>
            <w:tcBorders>
              <w:top w:val="single" w:sz="8" w:color="EC252A"/>
            </w:tcBorders>
            <w:shd w:val="clear" w:color="auto" w:fill="FEE7DE"/>
          </w:tcPr>
          <w:p>
            <w:pPr>
              <w:ind w:left="100"/>
              <w:spacing w:after="0"/>
              <w:rPr>
                <w:sz w:val="20"/>
                <w:szCs w:val="20"/>
                <w:color w:val="auto"/>
              </w:rPr>
            </w:pPr>
            <w:r>
              <w:rPr>
                <w:rFonts w:ascii="Arial" w:cs="Arial" w:eastAsia="Arial" w:hAnsi="Arial"/>
                <w:sz w:val="18"/>
                <w:szCs w:val="18"/>
                <w:b w:val="1"/>
                <w:bCs w:val="1"/>
                <w:color w:val="EC252A"/>
              </w:rPr>
              <w:t>Committees</w:t>
            </w:r>
          </w:p>
        </w:tc>
      </w:tr>
      <w:tr>
        <w:trPr>
          <w:trHeight w:val="361"/>
        </w:trPr>
        <w:tc>
          <w:tcPr>
            <w:tcW w:w="2100" w:type="dxa"/>
            <w:vAlign w:val="bottom"/>
          </w:tcPr>
          <w:p>
            <w:pPr>
              <w:spacing w:after="0"/>
              <w:rPr>
                <w:sz w:val="24"/>
                <w:szCs w:val="24"/>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Mr. Banks has been Vice Chairman and President of Parker</w:t>
            </w:r>
          </w:p>
        </w:tc>
        <w:tc>
          <w:tcPr>
            <w:tcW w:w="2160" w:type="dxa"/>
            <w:vAlign w:val="bottom"/>
            <w:shd w:val="clear" w:color="auto" w:fill="FEE7DE"/>
          </w:tcPr>
          <w:p>
            <w:pPr>
              <w:ind w:left="100"/>
              <w:spacing w:after="0"/>
              <w:rPr>
                <w:sz w:val="20"/>
                <w:szCs w:val="20"/>
                <w:color w:val="auto"/>
              </w:rPr>
            </w:pPr>
            <w:r>
              <w:rPr>
                <w:rFonts w:ascii="Arial" w:cs="Arial" w:eastAsia="Arial" w:hAnsi="Arial"/>
                <w:sz w:val="18"/>
                <w:szCs w:val="18"/>
                <w:color w:val="auto"/>
              </w:rPr>
              <w:t>Compensation and</w:t>
            </w: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Hannifin Corporation since August 2021. Prior to that he</w:t>
            </w:r>
          </w:p>
        </w:tc>
        <w:tc>
          <w:tcPr>
            <w:tcW w:w="2160" w:type="dxa"/>
            <w:vAlign w:val="bottom"/>
            <w:shd w:val="clear" w:color="auto" w:fill="FEE7DE"/>
          </w:tcPr>
          <w:p>
            <w:pPr>
              <w:ind w:left="100"/>
              <w:spacing w:after="0" w:line="202" w:lineRule="exact"/>
              <w:rPr>
                <w:sz w:val="20"/>
                <w:szCs w:val="20"/>
                <w:color w:val="auto"/>
              </w:rPr>
            </w:pPr>
            <w:r>
              <w:rPr>
                <w:rFonts w:ascii="Arial" w:cs="Arial" w:eastAsia="Arial" w:hAnsi="Arial"/>
                <w:sz w:val="18"/>
                <w:szCs w:val="18"/>
                <w:color w:val="auto"/>
              </w:rPr>
              <w:t>Talent Management</w:t>
            </w: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was President and chief operating officer of Parker-Hannifin</w:t>
            </w:r>
          </w:p>
        </w:tc>
        <w:tc>
          <w:tcPr>
            <w:tcW w:w="2160" w:type="dxa"/>
            <w:vAlign w:val="bottom"/>
            <w:shd w:val="clear" w:color="auto" w:fill="FEE7DE"/>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since February 2015. Mr. Banks served as executive vice</w:t>
            </w:r>
          </w:p>
        </w:tc>
        <w:tc>
          <w:tcPr>
            <w:tcW w:w="2160" w:type="dxa"/>
            <w:vAlign w:val="bottom"/>
            <w:shd w:val="clear" w:color="auto" w:fill="FEE7DE"/>
          </w:tcPr>
          <w:p>
            <w:pPr>
              <w:ind w:left="100"/>
              <w:spacing w:after="0" w:line="202" w:lineRule="exact"/>
              <w:rPr>
                <w:sz w:val="20"/>
                <w:szCs w:val="20"/>
                <w:color w:val="auto"/>
              </w:rPr>
            </w:pPr>
            <w:r>
              <w:rPr>
                <w:rFonts w:ascii="Arial" w:cs="Arial" w:eastAsia="Arial" w:hAnsi="Arial"/>
                <w:sz w:val="18"/>
                <w:szCs w:val="18"/>
                <w:color w:val="auto"/>
              </w:rPr>
              <w:t>Nominating and</w:t>
            </w: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president and operating officer of Parker-Hannifin from 2008</w:t>
            </w:r>
          </w:p>
        </w:tc>
        <w:tc>
          <w:tcPr>
            <w:tcW w:w="2160" w:type="dxa"/>
            <w:vAlign w:val="bottom"/>
            <w:shd w:val="clear" w:color="auto" w:fill="FEE7DE"/>
          </w:tcPr>
          <w:p>
            <w:pPr>
              <w:ind w:left="100"/>
              <w:spacing w:after="0" w:line="202" w:lineRule="exact"/>
              <w:rPr>
                <w:sz w:val="20"/>
                <w:szCs w:val="20"/>
                <w:color w:val="auto"/>
              </w:rPr>
            </w:pPr>
            <w:r>
              <w:rPr>
                <w:rFonts w:ascii="Arial" w:cs="Arial" w:eastAsia="Arial" w:hAnsi="Arial"/>
                <w:sz w:val="18"/>
                <w:szCs w:val="18"/>
                <w:color w:val="auto"/>
              </w:rPr>
              <w:t>Corporate Governance</w:t>
            </w:r>
          </w:p>
        </w:tc>
      </w:tr>
      <w:tr>
        <w:trPr>
          <w:trHeight w:val="202"/>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to 2015 and senior vice president and operating officer of</w:t>
            </w:r>
          </w:p>
        </w:tc>
        <w:tc>
          <w:tcPr>
            <w:tcW w:w="2160" w:type="dxa"/>
            <w:vAlign w:val="bottom"/>
            <w:shd w:val="clear" w:color="auto" w:fill="FEE7DE"/>
          </w:tcPr>
          <w:p>
            <w:pPr>
              <w:spacing w:after="0"/>
              <w:rPr>
                <w:sz w:val="17"/>
                <w:szCs w:val="17"/>
                <w:color w:val="auto"/>
              </w:rPr>
            </w:pPr>
          </w:p>
        </w:tc>
      </w:tr>
      <w:tr>
        <w:trPr>
          <w:trHeight w:val="239"/>
        </w:trPr>
        <w:tc>
          <w:tcPr>
            <w:tcW w:w="210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Parker-Hannifin from 2006 to 2008.</w:t>
            </w:r>
          </w:p>
        </w:tc>
        <w:tc>
          <w:tcPr>
            <w:tcW w:w="2160" w:type="dxa"/>
            <w:vAlign w:val="bottom"/>
            <w:shd w:val="clear" w:color="auto" w:fill="FEE7DE"/>
          </w:tcPr>
          <w:p>
            <w:pPr>
              <w:spacing w:after="0"/>
              <w:rPr>
                <w:sz w:val="20"/>
                <w:szCs w:val="20"/>
                <w:color w:val="auto"/>
              </w:rPr>
            </w:pPr>
          </w:p>
        </w:tc>
      </w:tr>
      <w:tr>
        <w:trPr>
          <w:trHeight w:val="413"/>
        </w:trPr>
        <w:tc>
          <w:tcPr>
            <w:tcW w:w="2100" w:type="dxa"/>
            <w:vAlign w:val="bottom"/>
          </w:tcPr>
          <w:p>
            <w:pPr>
              <w:ind w:left="140"/>
              <w:spacing w:after="0"/>
              <w:rPr>
                <w:sz w:val="20"/>
                <w:szCs w:val="20"/>
                <w:color w:val="auto"/>
              </w:rPr>
            </w:pPr>
            <w:r>
              <w:rPr>
                <w:rFonts w:ascii="Arial" w:cs="Arial" w:eastAsia="Arial" w:hAnsi="Arial"/>
                <w:sz w:val="22"/>
                <w:szCs w:val="22"/>
                <w:b w:val="1"/>
                <w:bCs w:val="1"/>
                <w:color w:val="auto"/>
              </w:rPr>
              <w:t>Lee C. Banks</w:t>
            </w:r>
          </w:p>
        </w:tc>
        <w:tc>
          <w:tcPr>
            <w:tcW w:w="5020" w:type="dxa"/>
            <w:vAlign w:val="bottom"/>
          </w:tcPr>
          <w:p>
            <w:pPr>
              <w:ind w:left="120"/>
              <w:spacing w:after="0"/>
              <w:rPr>
                <w:sz w:val="20"/>
                <w:szCs w:val="20"/>
                <w:color w:val="auto"/>
              </w:rPr>
            </w:pPr>
            <w:r>
              <w:rPr>
                <w:rFonts w:ascii="Arial" w:cs="Arial" w:eastAsia="Arial" w:hAnsi="Arial"/>
                <w:sz w:val="18"/>
                <w:szCs w:val="18"/>
                <w:b w:val="1"/>
                <w:bCs w:val="1"/>
                <w:color w:val="EC252A"/>
              </w:rPr>
              <w:t>Director Skills</w:t>
            </w:r>
          </w:p>
        </w:tc>
        <w:tc>
          <w:tcPr>
            <w:tcW w:w="2160" w:type="dxa"/>
            <w:vAlign w:val="bottom"/>
            <w:shd w:val="clear" w:color="auto" w:fill="FEE7DE"/>
          </w:tcPr>
          <w:p>
            <w:pPr>
              <w:spacing w:after="0"/>
              <w:rPr>
                <w:sz w:val="24"/>
                <w:szCs w:val="24"/>
                <w:color w:val="auto"/>
              </w:rPr>
            </w:pPr>
          </w:p>
        </w:tc>
      </w:tr>
      <w:tr>
        <w:trPr>
          <w:trHeight w:val="360"/>
        </w:trPr>
        <w:tc>
          <w:tcPr>
            <w:tcW w:w="2100" w:type="dxa"/>
            <w:vAlign w:val="bottom"/>
          </w:tcPr>
          <w:p>
            <w:pPr>
              <w:ind w:left="140"/>
              <w:spacing w:after="0"/>
              <w:rPr>
                <w:sz w:val="20"/>
                <w:szCs w:val="20"/>
                <w:color w:val="auto"/>
              </w:rPr>
            </w:pPr>
            <w:r>
              <w:rPr>
                <w:rFonts w:ascii="Arial" w:cs="Arial" w:eastAsia="Arial" w:hAnsi="Arial"/>
                <w:sz w:val="18"/>
                <w:szCs w:val="18"/>
                <w:b w:val="1"/>
                <w:bCs w:val="1"/>
                <w:color w:val="EC252A"/>
              </w:rPr>
              <w:t>Independent Director</w:t>
            </w:r>
          </w:p>
        </w:tc>
        <w:tc>
          <w:tcPr>
            <w:tcW w:w="5020" w:type="dxa"/>
            <w:vAlign w:val="bottom"/>
          </w:tcPr>
          <w:p>
            <w:pPr>
              <w:ind w:left="120"/>
              <w:spacing w:after="0"/>
              <w:rPr>
                <w:sz w:val="20"/>
                <w:szCs w:val="20"/>
                <w:color w:val="auto"/>
              </w:rPr>
            </w:pPr>
            <w:r>
              <w:rPr>
                <w:rFonts w:ascii="Arial" w:cs="Arial" w:eastAsia="Arial" w:hAnsi="Arial"/>
                <w:sz w:val="18"/>
                <w:szCs w:val="18"/>
                <w:color w:val="auto"/>
              </w:rPr>
              <w:t>As a senior executive and director of a global corporation,</w:t>
            </w:r>
          </w:p>
        </w:tc>
        <w:tc>
          <w:tcPr>
            <w:tcW w:w="2160" w:type="dxa"/>
            <w:vAlign w:val="bottom"/>
            <w:shd w:val="clear" w:color="auto" w:fill="FEE7DE"/>
          </w:tcPr>
          <w:p>
            <w:pPr>
              <w:spacing w:after="0"/>
              <w:rPr>
                <w:sz w:val="24"/>
                <w:szCs w:val="24"/>
                <w:color w:val="auto"/>
              </w:rPr>
            </w:pP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Mr. Banks provides the Board with significant industrial</w:t>
            </w:r>
          </w:p>
        </w:tc>
        <w:tc>
          <w:tcPr>
            <w:tcW w:w="2160" w:type="dxa"/>
            <w:vAlign w:val="bottom"/>
            <w:shd w:val="clear" w:color="auto" w:fill="FEE7DE"/>
          </w:tcPr>
          <w:p>
            <w:pPr>
              <w:spacing w:after="0"/>
              <w:rPr>
                <w:sz w:val="17"/>
                <w:szCs w:val="17"/>
                <w:color w:val="auto"/>
              </w:rPr>
            </w:pPr>
          </w:p>
        </w:tc>
      </w:tr>
      <w:tr>
        <w:trPr>
          <w:trHeight w:val="203"/>
        </w:trPr>
        <w:tc>
          <w:tcPr>
            <w:tcW w:w="2100" w:type="dxa"/>
            <w:vAlign w:val="bottom"/>
          </w:tcPr>
          <w:p>
            <w:pPr>
              <w:ind w:left="140"/>
              <w:spacing w:after="0" w:line="202" w:lineRule="exact"/>
              <w:rPr>
                <w:sz w:val="20"/>
                <w:szCs w:val="20"/>
                <w:color w:val="auto"/>
              </w:rPr>
            </w:pPr>
            <w:r>
              <w:rPr>
                <w:rFonts w:ascii="Arial" w:cs="Arial" w:eastAsia="Arial" w:hAnsi="Arial"/>
                <w:sz w:val="18"/>
                <w:szCs w:val="18"/>
                <w:b w:val="1"/>
                <w:bCs w:val="1"/>
                <w:color w:val="EC252A"/>
              </w:rPr>
              <w:t xml:space="preserve">Age: </w:t>
            </w:r>
            <w:r>
              <w:rPr>
                <w:rFonts w:ascii="Arial" w:cs="Arial" w:eastAsia="Arial" w:hAnsi="Arial"/>
                <w:sz w:val="18"/>
                <w:szCs w:val="18"/>
                <w:color w:val="000000"/>
              </w:rPr>
              <w:t>59</w:t>
            </w: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executive general management and operational</w:t>
            </w:r>
          </w:p>
        </w:tc>
        <w:tc>
          <w:tcPr>
            <w:tcW w:w="2160" w:type="dxa"/>
            <w:vAlign w:val="bottom"/>
            <w:shd w:val="clear" w:color="auto" w:fill="FEE7DE"/>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experiences and a unique perspective in identifying</w:t>
            </w:r>
          </w:p>
        </w:tc>
        <w:tc>
          <w:tcPr>
            <w:tcW w:w="2160" w:type="dxa"/>
            <w:vAlign w:val="bottom"/>
            <w:shd w:val="clear" w:color="auto" w:fill="FEE7DE"/>
          </w:tcPr>
          <w:p>
            <w:pPr>
              <w:spacing w:after="0"/>
              <w:rPr>
                <w:sz w:val="17"/>
                <w:szCs w:val="17"/>
                <w:color w:val="auto"/>
              </w:rPr>
            </w:pPr>
          </w:p>
        </w:tc>
      </w:tr>
      <w:tr>
        <w:trPr>
          <w:trHeight w:val="203"/>
        </w:trPr>
        <w:tc>
          <w:tcPr>
            <w:tcW w:w="2100" w:type="dxa"/>
            <w:vAlign w:val="bottom"/>
          </w:tcPr>
          <w:p>
            <w:pPr>
              <w:ind w:left="140"/>
              <w:spacing w:after="0" w:line="202" w:lineRule="exact"/>
              <w:rPr>
                <w:sz w:val="20"/>
                <w:szCs w:val="20"/>
                <w:color w:val="auto"/>
              </w:rPr>
            </w:pPr>
            <w:r>
              <w:rPr>
                <w:rFonts w:ascii="Arial" w:cs="Arial" w:eastAsia="Arial" w:hAnsi="Arial"/>
                <w:sz w:val="18"/>
                <w:szCs w:val="18"/>
                <w:b w:val="1"/>
                <w:bCs w:val="1"/>
                <w:color w:val="EC252A"/>
              </w:rPr>
              <w:t xml:space="preserve">Director Since </w:t>
            </w:r>
            <w:r>
              <w:rPr>
                <w:rFonts w:ascii="Arial" w:cs="Arial" w:eastAsia="Arial" w:hAnsi="Arial"/>
                <w:sz w:val="18"/>
                <w:szCs w:val="18"/>
                <w:color w:val="000000"/>
              </w:rPr>
              <w:t>2020</w:t>
            </w: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governance, strategic, and tactical risks attendant to a multi-</w:t>
            </w:r>
          </w:p>
        </w:tc>
        <w:tc>
          <w:tcPr>
            <w:tcW w:w="2160" w:type="dxa"/>
            <w:vAlign w:val="bottom"/>
            <w:shd w:val="clear" w:color="auto" w:fill="FEE7DE"/>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national sales, distribution, manufacturing, and operational</w:t>
            </w:r>
          </w:p>
        </w:tc>
        <w:tc>
          <w:tcPr>
            <w:tcW w:w="2160" w:type="dxa"/>
            <w:vAlign w:val="bottom"/>
            <w:shd w:val="clear" w:color="auto" w:fill="FEE7DE"/>
          </w:tcPr>
          <w:p>
            <w:pPr>
              <w:spacing w:after="0"/>
              <w:rPr>
                <w:sz w:val="17"/>
                <w:szCs w:val="17"/>
                <w:color w:val="auto"/>
              </w:rPr>
            </w:pPr>
          </w:p>
        </w:tc>
      </w:tr>
      <w:tr>
        <w:trPr>
          <w:trHeight w:val="239"/>
        </w:trPr>
        <w:tc>
          <w:tcPr>
            <w:tcW w:w="210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footprint.</w:t>
            </w:r>
          </w:p>
        </w:tc>
        <w:tc>
          <w:tcPr>
            <w:tcW w:w="2160" w:type="dxa"/>
            <w:vAlign w:val="bottom"/>
            <w:shd w:val="clear" w:color="auto" w:fill="FEE7DE"/>
          </w:tcPr>
          <w:p>
            <w:pPr>
              <w:spacing w:after="0"/>
              <w:rPr>
                <w:sz w:val="20"/>
                <w:szCs w:val="20"/>
                <w:color w:val="auto"/>
              </w:rPr>
            </w:pPr>
          </w:p>
        </w:tc>
      </w:tr>
      <w:tr>
        <w:trPr>
          <w:trHeight w:val="124"/>
        </w:trPr>
        <w:tc>
          <w:tcPr>
            <w:tcW w:w="2100" w:type="dxa"/>
            <w:vAlign w:val="bottom"/>
            <w:tcBorders>
              <w:bottom w:val="single" w:sz="8" w:color="EC252A"/>
            </w:tcBorders>
          </w:tcPr>
          <w:p>
            <w:pPr>
              <w:spacing w:after="0"/>
              <w:rPr>
                <w:sz w:val="10"/>
                <w:szCs w:val="10"/>
                <w:color w:val="auto"/>
              </w:rPr>
            </w:pPr>
          </w:p>
        </w:tc>
        <w:tc>
          <w:tcPr>
            <w:tcW w:w="5020" w:type="dxa"/>
            <w:vAlign w:val="bottom"/>
            <w:tcBorders>
              <w:bottom w:val="single" w:sz="8" w:color="EC252A"/>
            </w:tcBorders>
          </w:tcPr>
          <w:p>
            <w:pPr>
              <w:spacing w:after="0"/>
              <w:rPr>
                <w:sz w:val="10"/>
                <w:szCs w:val="10"/>
                <w:color w:val="auto"/>
              </w:rPr>
            </w:pPr>
          </w:p>
        </w:tc>
        <w:tc>
          <w:tcPr>
            <w:tcW w:w="2160" w:type="dxa"/>
            <w:vAlign w:val="bottom"/>
            <w:tcBorders>
              <w:bottom w:val="single" w:sz="8" w:color="EC252A"/>
            </w:tcBorders>
            <w:shd w:val="clear" w:color="auto" w:fill="FEE7DE"/>
          </w:tcPr>
          <w:p>
            <w:pPr>
              <w:spacing w:after="0"/>
              <w:rPr>
                <w:sz w:val="10"/>
                <w:szCs w:val="10"/>
                <w:color w:val="auto"/>
              </w:rPr>
            </w:pPr>
          </w:p>
        </w:tc>
      </w:tr>
      <w:tr>
        <w:trPr>
          <w:trHeight w:val="101"/>
        </w:trPr>
        <w:tc>
          <w:tcPr>
            <w:tcW w:w="2100" w:type="dxa"/>
            <w:vAlign w:val="bottom"/>
            <w:tcBorders>
              <w:bottom w:val="single" w:sz="8" w:color="EC252A"/>
            </w:tcBorders>
          </w:tcPr>
          <w:p>
            <w:pPr>
              <w:spacing w:after="0"/>
              <w:rPr>
                <w:sz w:val="8"/>
                <w:szCs w:val="8"/>
                <w:color w:val="auto"/>
              </w:rPr>
            </w:pPr>
          </w:p>
        </w:tc>
        <w:tc>
          <w:tcPr>
            <w:tcW w:w="5020" w:type="dxa"/>
            <w:vAlign w:val="bottom"/>
            <w:tcBorders>
              <w:bottom w:val="single" w:sz="8" w:color="EC252A"/>
            </w:tcBorders>
          </w:tcPr>
          <w:p>
            <w:pPr>
              <w:spacing w:after="0"/>
              <w:rPr>
                <w:sz w:val="8"/>
                <w:szCs w:val="8"/>
                <w:color w:val="auto"/>
              </w:rPr>
            </w:pPr>
          </w:p>
        </w:tc>
        <w:tc>
          <w:tcPr>
            <w:tcW w:w="2160" w:type="dxa"/>
            <w:vAlign w:val="bottom"/>
            <w:tcBorders>
              <w:bottom w:val="single" w:sz="8" w:color="EC252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-2622550</wp:posOffset>
            </wp:positionV>
            <wp:extent cx="985520" cy="9861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85520" cy="9861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-16510</wp:posOffset>
            </wp:positionV>
            <wp:extent cx="5897880" cy="32486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97880" cy="324866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Byron Foster</w:t>
      </w:r>
    </w:p>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EC252A"/>
        </w:rPr>
        <w:t>Independent Director</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EC252A"/>
        </w:rPr>
        <w:t xml:space="preserve">Age: </w:t>
      </w:r>
      <w:r>
        <w:rPr>
          <w:rFonts w:ascii="Arial" w:cs="Arial" w:eastAsia="Arial" w:hAnsi="Arial"/>
          <w:sz w:val="18"/>
          <w:szCs w:val="18"/>
          <w:color w:val="000000"/>
        </w:rPr>
        <w:t>53</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EC252A"/>
        </w:rPr>
        <w:t xml:space="preserve">Director Since </w:t>
      </w:r>
      <w:r>
        <w:rPr>
          <w:rFonts w:ascii="Arial" w:cs="Arial" w:eastAsia="Arial" w:hAnsi="Arial"/>
          <w:sz w:val="18"/>
          <w:szCs w:val="18"/>
          <w:color w:val="000000"/>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1140460</wp:posOffset>
            </wp:positionV>
            <wp:extent cx="47117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4840" w:type="dxa"/>
            <w:vAlign w:val="bottom"/>
          </w:tcPr>
          <w:p>
            <w:pPr>
              <w:spacing w:after="0"/>
              <w:rPr>
                <w:sz w:val="20"/>
                <w:szCs w:val="20"/>
                <w:color w:val="auto"/>
              </w:rPr>
            </w:pPr>
            <w:r>
              <w:rPr>
                <w:rFonts w:ascii="Arial" w:cs="Arial" w:eastAsia="Arial" w:hAnsi="Arial"/>
                <w:sz w:val="18"/>
                <w:szCs w:val="18"/>
                <w:b w:val="1"/>
                <w:bCs w:val="1"/>
                <w:color w:val="EC252A"/>
              </w:rPr>
              <w:t>Biographical Information</w:t>
            </w:r>
          </w:p>
        </w:tc>
        <w:tc>
          <w:tcPr>
            <w:tcW w:w="2120" w:type="dxa"/>
            <w:vAlign w:val="bottom"/>
          </w:tcPr>
          <w:p>
            <w:pPr>
              <w:ind w:left="160"/>
              <w:spacing w:after="0"/>
              <w:rPr>
                <w:sz w:val="20"/>
                <w:szCs w:val="20"/>
                <w:color w:val="auto"/>
              </w:rPr>
            </w:pPr>
            <w:r>
              <w:rPr>
                <w:rFonts w:ascii="Arial" w:cs="Arial" w:eastAsia="Arial" w:hAnsi="Arial"/>
                <w:sz w:val="18"/>
                <w:szCs w:val="18"/>
                <w:b w:val="1"/>
                <w:bCs w:val="1"/>
                <w:color w:val="EC252A"/>
              </w:rPr>
              <w:t>Committees</w:t>
            </w:r>
          </w:p>
        </w:tc>
      </w:tr>
      <w:tr>
        <w:trPr>
          <w:trHeight w:val="361"/>
        </w:trPr>
        <w:tc>
          <w:tcPr>
            <w:tcW w:w="4840" w:type="dxa"/>
            <w:vAlign w:val="bottom"/>
          </w:tcPr>
          <w:p>
            <w:pPr>
              <w:spacing w:after="0"/>
              <w:rPr>
                <w:sz w:val="20"/>
                <w:szCs w:val="20"/>
                <w:color w:val="auto"/>
              </w:rPr>
            </w:pPr>
            <w:r>
              <w:rPr>
                <w:rFonts w:ascii="Arial" w:cs="Arial" w:eastAsia="Arial" w:hAnsi="Arial"/>
                <w:sz w:val="18"/>
                <w:szCs w:val="18"/>
                <w:color w:val="auto"/>
              </w:rPr>
              <w:t>Mr. Foster has served as President, Light Vehicle Drive</w:t>
            </w:r>
          </w:p>
        </w:tc>
        <w:tc>
          <w:tcPr>
            <w:tcW w:w="2120" w:type="dxa"/>
            <w:vAlign w:val="bottom"/>
          </w:tcPr>
          <w:p>
            <w:pPr>
              <w:ind w:left="160"/>
              <w:spacing w:after="0"/>
              <w:rPr>
                <w:sz w:val="20"/>
                <w:szCs w:val="20"/>
                <w:color w:val="auto"/>
              </w:rPr>
            </w:pPr>
            <w:r>
              <w:rPr>
                <w:rFonts w:ascii="Arial" w:cs="Arial" w:eastAsia="Arial" w:hAnsi="Arial"/>
                <w:sz w:val="18"/>
                <w:szCs w:val="18"/>
                <w:color w:val="auto"/>
              </w:rPr>
              <w:t>Audit</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Systems at Dana Incorporated since July 2021. He</w:t>
            </w:r>
          </w:p>
        </w:tc>
        <w:tc>
          <w:tcPr>
            <w:tcW w:w="2120" w:type="dxa"/>
            <w:vAlign w:val="bottom"/>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previously served as Senior Vice President and Chief</w:t>
            </w:r>
          </w:p>
        </w:tc>
        <w:tc>
          <w:tcPr>
            <w:tcW w:w="2120" w:type="dxa"/>
            <w:vAlign w:val="bottom"/>
          </w:tcPr>
          <w:p>
            <w:pPr>
              <w:ind w:left="160"/>
              <w:spacing w:after="0" w:line="202" w:lineRule="exact"/>
              <w:rPr>
                <w:sz w:val="20"/>
                <w:szCs w:val="20"/>
                <w:color w:val="auto"/>
              </w:rPr>
            </w:pPr>
            <w:r>
              <w:rPr>
                <w:rFonts w:ascii="Arial" w:cs="Arial" w:eastAsia="Arial" w:hAnsi="Arial"/>
                <w:sz w:val="18"/>
                <w:szCs w:val="18"/>
                <w:color w:val="auto"/>
              </w:rPr>
              <w:t>Compensation and</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Commercial, Marketing and Communications Officer of</w:t>
            </w:r>
          </w:p>
        </w:tc>
        <w:tc>
          <w:tcPr>
            <w:tcW w:w="2120" w:type="dxa"/>
            <w:vAlign w:val="bottom"/>
          </w:tcPr>
          <w:p>
            <w:pPr>
              <w:ind w:left="160"/>
              <w:spacing w:after="0" w:line="202" w:lineRule="exact"/>
              <w:rPr>
                <w:sz w:val="20"/>
                <w:szCs w:val="20"/>
                <w:color w:val="auto"/>
              </w:rPr>
            </w:pPr>
            <w:r>
              <w:rPr>
                <w:rFonts w:ascii="Arial" w:cs="Arial" w:eastAsia="Arial" w:hAnsi="Arial"/>
                <w:sz w:val="18"/>
                <w:szCs w:val="18"/>
                <w:color w:val="auto"/>
              </w:rPr>
              <w:t>Talent Management</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Dana Incorporated from February 2021 to July 2021. From</w:t>
            </w:r>
          </w:p>
        </w:tc>
        <w:tc>
          <w:tcPr>
            <w:tcW w:w="2120" w:type="dxa"/>
            <w:vAlign w:val="bottom"/>
          </w:tcPr>
          <w:p>
            <w:pPr>
              <w:spacing w:after="0"/>
              <w:rPr>
                <w:sz w:val="17"/>
                <w:szCs w:val="17"/>
                <w:color w:val="auto"/>
              </w:rPr>
            </w:pP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2016 to 2019, Mr. Foster served as Executive Vice</w:t>
            </w:r>
          </w:p>
        </w:tc>
        <w:tc>
          <w:tcPr>
            <w:tcW w:w="2120" w:type="dxa"/>
            <w:vAlign w:val="bottom"/>
          </w:tcPr>
          <w:p>
            <w:pPr>
              <w:ind w:left="160"/>
              <w:spacing w:after="0" w:line="202" w:lineRule="exact"/>
              <w:rPr>
                <w:sz w:val="20"/>
                <w:szCs w:val="20"/>
                <w:color w:val="auto"/>
              </w:rPr>
            </w:pPr>
            <w:r>
              <w:rPr>
                <w:rFonts w:ascii="Arial" w:cs="Arial" w:eastAsia="Arial" w:hAnsi="Arial"/>
                <w:sz w:val="18"/>
                <w:szCs w:val="18"/>
                <w:color w:val="auto"/>
                <w:w w:val="99"/>
              </w:rPr>
              <w:t>Environment, Social and</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President of Adient PLC, and prior to 2016, Mr. Foster</w:t>
            </w:r>
          </w:p>
        </w:tc>
        <w:tc>
          <w:tcPr>
            <w:tcW w:w="2120" w:type="dxa"/>
            <w:vAlign w:val="bottom"/>
          </w:tcPr>
          <w:p>
            <w:pPr>
              <w:ind w:left="160"/>
              <w:spacing w:after="0" w:line="202" w:lineRule="exact"/>
              <w:rPr>
                <w:sz w:val="20"/>
                <w:szCs w:val="20"/>
                <w:color w:val="auto"/>
              </w:rPr>
            </w:pPr>
            <w:r>
              <w:rPr>
                <w:rFonts w:ascii="Arial" w:cs="Arial" w:eastAsia="Arial" w:hAnsi="Arial"/>
                <w:sz w:val="18"/>
                <w:szCs w:val="18"/>
                <w:color w:val="auto"/>
              </w:rPr>
              <w:t>Governance</w:t>
            </w:r>
          </w:p>
        </w:tc>
      </w:tr>
      <w:tr>
        <w:trPr>
          <w:trHeight w:val="220"/>
        </w:trPr>
        <w:tc>
          <w:tcPr>
            <w:tcW w:w="4840" w:type="dxa"/>
            <w:vAlign w:val="bottom"/>
          </w:tcPr>
          <w:p>
            <w:pPr>
              <w:spacing w:after="0"/>
              <w:rPr>
                <w:sz w:val="20"/>
                <w:szCs w:val="20"/>
                <w:color w:val="auto"/>
              </w:rPr>
            </w:pPr>
            <w:r>
              <w:rPr>
                <w:rFonts w:ascii="Arial" w:cs="Arial" w:eastAsia="Arial" w:hAnsi="Arial"/>
                <w:sz w:val="18"/>
                <w:szCs w:val="18"/>
                <w:color w:val="auto"/>
              </w:rPr>
              <w:t>served in various senior executive commercial and</w:t>
            </w:r>
          </w:p>
        </w:tc>
        <w:tc>
          <w:tcPr>
            <w:tcW w:w="2120" w:type="dxa"/>
            <w:vAlign w:val="bottom"/>
          </w:tcPr>
          <w:p>
            <w:pPr>
              <w:ind w:left="160"/>
              <w:spacing w:after="0"/>
              <w:rPr>
                <w:sz w:val="20"/>
                <w:szCs w:val="20"/>
                <w:color w:val="auto"/>
              </w:rPr>
            </w:pPr>
            <w:r>
              <w:rPr>
                <w:rFonts w:ascii="Arial" w:cs="Arial" w:eastAsia="Arial" w:hAnsi="Arial"/>
                <w:sz w:val="18"/>
                <w:szCs w:val="18"/>
                <w:color w:val="auto"/>
              </w:rPr>
              <w:t>Subcommittee</w:t>
            </w:r>
          </w:p>
        </w:tc>
      </w:tr>
    </w:tbl>
    <w:p>
      <w:pPr>
        <w:ind w:right="3200"/>
        <w:spacing w:after="0" w:line="250" w:lineRule="auto"/>
        <w:rPr>
          <w:sz w:val="20"/>
          <w:szCs w:val="20"/>
          <w:color w:val="auto"/>
        </w:rPr>
      </w:pPr>
      <w:r>
        <w:rPr>
          <w:rFonts w:ascii="Arial" w:cs="Arial" w:eastAsia="Arial" w:hAnsi="Arial"/>
          <w:sz w:val="18"/>
          <w:szCs w:val="18"/>
          <w:color w:val="auto"/>
        </w:rPr>
        <w:t>operational roles at Johnson Controls, Inc. From June 2020 to February 2021, Mr. Foster served as CEO of Shield T3.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EC252A"/>
        </w:rPr>
        <w:t>Director Skills</w:t>
      </w:r>
    </w:p>
    <w:p>
      <w:pPr>
        <w:spacing w:after="0" w:line="198" w:lineRule="exact"/>
        <w:rPr>
          <w:sz w:val="20"/>
          <w:szCs w:val="20"/>
          <w:color w:val="auto"/>
        </w:rPr>
      </w:pPr>
    </w:p>
    <w:p>
      <w:pPr>
        <w:ind w:right="3160"/>
        <w:spacing w:after="0"/>
        <w:rPr>
          <w:sz w:val="20"/>
          <w:szCs w:val="20"/>
          <w:color w:val="auto"/>
        </w:rPr>
      </w:pPr>
      <w:r>
        <w:rPr>
          <w:rFonts w:ascii="Arial" w:cs="Arial" w:eastAsia="Arial" w:hAnsi="Arial"/>
          <w:sz w:val="18"/>
          <w:szCs w:val="18"/>
          <w:color w:val="auto"/>
        </w:rPr>
        <w:t>Mr. Foster is an accomplished senior industrial leader with a long track record of success. Mr. Foster brings extensive global operation and commercial experience having led complex global industrial businesses focused on growth, profitability and technical innovation. Mr. Foster’s experience in operations, engineering, marketing and supply chain makes him well suited to serve as a Wabtec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271780</wp:posOffset>
            </wp:positionV>
            <wp:extent cx="58978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260"/>
            <w:col w:w="7940"/>
          </w:cols>
          <w:pgMar w:left="440" w:top="263" w:right="4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15</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Continuing Directors with Three-Year Term Expiring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5897880" cy="44234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97880" cy="4423410"/>
                    </a:xfrm>
                    <a:prstGeom prst="rect">
                      <a:avLst/>
                    </a:prstGeom>
                    <a:noFill/>
                  </pic:spPr>
                </pic:pic>
              </a:graphicData>
            </a:graphic>
          </wp:anchor>
        </w:drawing>
      </w:r>
    </w:p>
    <w:p>
      <w:pPr>
        <w:spacing w:after="0" w:line="391" w:lineRule="exact"/>
        <w:rPr>
          <w:sz w:val="20"/>
          <w:szCs w:val="20"/>
          <w:color w:val="auto"/>
        </w:rPr>
      </w:pPr>
    </w:p>
    <w:tbl>
      <w:tblPr>
        <w:tblLayout w:type="fixed"/>
        <w:tblInd w:w="140" w:type="dxa"/>
        <w:tblCellMar>
          <w:top w:w="0" w:type="dxa"/>
          <w:left w:w="0" w:type="dxa"/>
          <w:bottom w:w="0" w:type="dxa"/>
          <w:right w:w="0" w:type="dxa"/>
        </w:tblCellMar>
      </w:tblPr>
      <w:tr>
        <w:trPr>
          <w:trHeight w:val="247"/>
        </w:trPr>
        <w:tc>
          <w:tcPr>
            <w:tcW w:w="1960" w:type="dxa"/>
            <w:vAlign w:val="bottom"/>
          </w:tcPr>
          <w:p>
            <w:pPr>
              <w:spacing w:after="0"/>
              <w:rPr>
                <w:sz w:val="21"/>
                <w:szCs w:val="21"/>
                <w:color w:val="auto"/>
              </w:rPr>
            </w:pPr>
          </w:p>
        </w:tc>
        <w:tc>
          <w:tcPr>
            <w:tcW w:w="5000" w:type="dxa"/>
            <w:vAlign w:val="bottom"/>
          </w:tcPr>
          <w:p>
            <w:pPr>
              <w:ind w:left="120"/>
              <w:spacing w:after="0"/>
              <w:rPr>
                <w:sz w:val="20"/>
                <w:szCs w:val="20"/>
                <w:color w:val="auto"/>
              </w:rPr>
            </w:pPr>
            <w:r>
              <w:rPr>
                <w:rFonts w:ascii="Arial" w:cs="Arial" w:eastAsia="Arial" w:hAnsi="Arial"/>
                <w:sz w:val="18"/>
                <w:szCs w:val="18"/>
                <w:b w:val="1"/>
                <w:bCs w:val="1"/>
                <w:color w:val="EC252A"/>
              </w:rPr>
              <w:t>Biographical Information</w:t>
            </w:r>
          </w:p>
        </w:tc>
        <w:tc>
          <w:tcPr>
            <w:tcW w:w="1960" w:type="dxa"/>
            <w:vAlign w:val="bottom"/>
          </w:tcPr>
          <w:p>
            <w:pPr>
              <w:ind w:left="120"/>
              <w:spacing w:after="0"/>
              <w:rPr>
                <w:sz w:val="20"/>
                <w:szCs w:val="20"/>
                <w:color w:val="auto"/>
              </w:rPr>
            </w:pPr>
            <w:r>
              <w:rPr>
                <w:rFonts w:ascii="Arial" w:cs="Arial" w:eastAsia="Arial" w:hAnsi="Arial"/>
                <w:sz w:val="18"/>
                <w:szCs w:val="18"/>
                <w:b w:val="1"/>
                <w:bCs w:val="1"/>
                <w:color w:val="EC252A"/>
              </w:rPr>
              <w:t>Committees</w:t>
            </w:r>
          </w:p>
        </w:tc>
        <w:tc>
          <w:tcPr>
            <w:tcW w:w="0" w:type="dxa"/>
            <w:vAlign w:val="bottom"/>
          </w:tcPr>
          <w:p>
            <w:pPr>
              <w:spacing w:after="0"/>
              <w:rPr>
                <w:sz w:val="1"/>
                <w:szCs w:val="1"/>
                <w:color w:val="auto"/>
              </w:rPr>
            </w:pPr>
          </w:p>
        </w:tc>
      </w:tr>
      <w:tr>
        <w:trPr>
          <w:trHeight w:val="361"/>
        </w:trPr>
        <w:tc>
          <w:tcPr>
            <w:tcW w:w="1960" w:type="dxa"/>
            <w:vAlign w:val="bottom"/>
          </w:tcPr>
          <w:p>
            <w:pPr>
              <w:spacing w:after="0"/>
              <w:rPr>
                <w:sz w:val="24"/>
                <w:szCs w:val="24"/>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Ms. Harty served as Treasurer of Medtronic, plc, a global</w:t>
            </w:r>
          </w:p>
        </w:tc>
        <w:tc>
          <w:tcPr>
            <w:tcW w:w="1960" w:type="dxa"/>
            <w:vAlign w:val="bottom"/>
          </w:tcPr>
          <w:p>
            <w:pPr>
              <w:ind w:left="120"/>
              <w:spacing w:after="0"/>
              <w:rPr>
                <w:sz w:val="20"/>
                <w:szCs w:val="20"/>
                <w:color w:val="auto"/>
              </w:rPr>
            </w:pPr>
            <w:r>
              <w:rPr>
                <w:rFonts w:ascii="Arial" w:cs="Arial" w:eastAsia="Arial" w:hAnsi="Arial"/>
                <w:sz w:val="18"/>
                <w:szCs w:val="18"/>
                <w:color w:val="auto"/>
              </w:rPr>
              <w:t>Audit (Chair)</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leader in medical technology services and solutions, from</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February 2010 to April 2017. Prior to her tenure with</w:t>
            </w:r>
          </w:p>
        </w:tc>
        <w:tc>
          <w:tcPr>
            <w:tcW w:w="1960" w:type="dxa"/>
            <w:vAlign w:val="bottom"/>
          </w:tcPr>
          <w:p>
            <w:pPr>
              <w:ind w:left="120"/>
              <w:spacing w:after="0" w:line="202" w:lineRule="exact"/>
              <w:rPr>
                <w:sz w:val="20"/>
                <w:szCs w:val="20"/>
                <w:color w:val="auto"/>
              </w:rPr>
            </w:pPr>
            <w:r>
              <w:rPr>
                <w:rFonts w:ascii="Arial" w:cs="Arial" w:eastAsia="Arial" w:hAnsi="Arial"/>
                <w:sz w:val="18"/>
                <w:szCs w:val="18"/>
                <w:color w:val="auto"/>
              </w:rPr>
              <w:t>Nominating and</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Medtronic, she held executive and management positions</w:t>
            </w:r>
          </w:p>
        </w:tc>
        <w:tc>
          <w:tcPr>
            <w:tcW w:w="1960" w:type="dxa"/>
            <w:vAlign w:val="bottom"/>
          </w:tcPr>
          <w:p>
            <w:pPr>
              <w:ind w:left="120"/>
              <w:spacing w:after="0" w:line="202" w:lineRule="exact"/>
              <w:rPr>
                <w:sz w:val="20"/>
                <w:szCs w:val="20"/>
                <w:color w:val="auto"/>
              </w:rPr>
            </w:pPr>
            <w:r>
              <w:rPr>
                <w:rFonts w:ascii="Arial" w:cs="Arial" w:eastAsia="Arial" w:hAnsi="Arial"/>
                <w:sz w:val="18"/>
                <w:szCs w:val="18"/>
                <w:color w:val="auto"/>
                <w:w w:val="99"/>
              </w:rPr>
              <w:t>Corporate Governance</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with Cardinal Health, RTM Restaurant Group, BellSouth,</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96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ConAgra and Kimberly-Clark.</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960" w:type="dxa"/>
            <w:vAlign w:val="bottom"/>
            <w:vMerge w:val="restart"/>
          </w:tcPr>
          <w:p>
            <w:pPr>
              <w:spacing w:after="0"/>
              <w:rPr>
                <w:sz w:val="20"/>
                <w:szCs w:val="20"/>
                <w:color w:val="auto"/>
              </w:rPr>
            </w:pPr>
            <w:r>
              <w:rPr>
                <w:rFonts w:ascii="Arial" w:cs="Arial" w:eastAsia="Arial" w:hAnsi="Arial"/>
                <w:sz w:val="22"/>
                <w:szCs w:val="22"/>
                <w:b w:val="1"/>
                <w:bCs w:val="1"/>
                <w:color w:val="auto"/>
              </w:rPr>
              <w:t>Linda Harty</w:t>
            </w:r>
          </w:p>
        </w:tc>
        <w:tc>
          <w:tcPr>
            <w:tcW w:w="5000" w:type="dxa"/>
            <w:vAlign w:val="bottom"/>
          </w:tcPr>
          <w:p>
            <w:pPr>
              <w:ind w:left="120"/>
              <w:spacing w:after="0"/>
              <w:rPr>
                <w:sz w:val="20"/>
                <w:szCs w:val="20"/>
                <w:color w:val="auto"/>
              </w:rPr>
            </w:pPr>
            <w:r>
              <w:rPr>
                <w:rFonts w:ascii="Arial" w:cs="Arial" w:eastAsia="Arial" w:hAnsi="Arial"/>
                <w:sz w:val="18"/>
                <w:szCs w:val="18"/>
                <w:color w:val="auto"/>
              </w:rPr>
              <w:t>Ms. Harty is a member of the Board of Directors of Parker-</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60" w:type="dxa"/>
            <w:vAlign w:val="bottom"/>
            <w:vMerge w:val="continue"/>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Hannifin Corporation and serves on the Audit Committee as</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Chair and as a member of the Corporate Governance and</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8"/>
                <w:szCs w:val="18"/>
                <w:b w:val="1"/>
                <w:bCs w:val="1"/>
                <w:color w:val="EC252A"/>
              </w:rPr>
              <w:t>Independent Director</w:t>
            </w: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Nominating Committee. Ms. Harty is also a member of the</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Board of Directors of Syneos Health, Inc. and serves as a</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8"/>
                <w:szCs w:val="18"/>
                <w:b w:val="1"/>
                <w:bCs w:val="1"/>
                <w:color w:val="EC252A"/>
              </w:rPr>
              <w:t>Audit Committee</w:t>
            </w: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member of the Audit Committee and Compensation and</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8"/>
                <w:szCs w:val="18"/>
                <w:b w:val="1"/>
                <w:bCs w:val="1"/>
                <w:color w:val="EC252A"/>
              </w:rPr>
              <w:t>Financial Expert</w:t>
            </w: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Management Development Committee. Ms. Harty is also a</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member of the Board of Directors of Chart Industries, Inc.,</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8"/>
                <w:szCs w:val="18"/>
                <w:b w:val="1"/>
                <w:bCs w:val="1"/>
                <w:color w:val="EC252A"/>
              </w:rPr>
              <w:t xml:space="preserve">Age: </w:t>
            </w:r>
            <w:r>
              <w:rPr>
                <w:rFonts w:ascii="Arial" w:cs="Arial" w:eastAsia="Arial" w:hAnsi="Arial"/>
                <w:sz w:val="18"/>
                <w:szCs w:val="18"/>
                <w:color w:val="000000"/>
              </w:rPr>
              <w:t>61</w:t>
            </w: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serves as a member of the Compensation Committee and</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has recently been elected as the Chair of the Nominations</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960" w:type="dxa"/>
            <w:vAlign w:val="bottom"/>
          </w:tcPr>
          <w:p>
            <w:pPr>
              <w:spacing w:after="0"/>
              <w:rPr>
                <w:sz w:val="20"/>
                <w:szCs w:val="20"/>
                <w:color w:val="auto"/>
              </w:rPr>
            </w:pPr>
            <w:r>
              <w:rPr>
                <w:rFonts w:ascii="Arial" w:cs="Arial" w:eastAsia="Arial" w:hAnsi="Arial"/>
                <w:sz w:val="18"/>
                <w:szCs w:val="18"/>
                <w:b w:val="1"/>
                <w:bCs w:val="1"/>
                <w:color w:val="EC252A"/>
              </w:rPr>
              <w:t xml:space="preserve">Director Since </w:t>
            </w:r>
            <w:r>
              <w:rPr>
                <w:rFonts w:ascii="Arial" w:cs="Arial" w:eastAsia="Arial" w:hAnsi="Arial"/>
                <w:sz w:val="18"/>
                <w:szCs w:val="18"/>
                <w:color w:val="000000"/>
              </w:rPr>
              <w:t>2016</w:t>
            </w:r>
          </w:p>
        </w:tc>
        <w:tc>
          <w:tcPr>
            <w:tcW w:w="5000" w:type="dxa"/>
            <w:vAlign w:val="bottom"/>
          </w:tcPr>
          <w:p>
            <w:pPr>
              <w:ind w:left="120"/>
              <w:spacing w:after="0"/>
              <w:rPr>
                <w:sz w:val="20"/>
                <w:szCs w:val="20"/>
                <w:color w:val="auto"/>
              </w:rPr>
            </w:pPr>
            <w:r>
              <w:rPr>
                <w:rFonts w:ascii="Arial" w:cs="Arial" w:eastAsia="Arial" w:hAnsi="Arial"/>
                <w:sz w:val="18"/>
                <w:szCs w:val="18"/>
                <w:color w:val="auto"/>
              </w:rPr>
              <w:t>and Corporate Governance Committee for Chart Industries.</w:t>
            </w: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EC252A"/>
        </w:rPr>
        <w:t>Director Skills</w:t>
      </w:r>
    </w:p>
    <w:p>
      <w:pPr>
        <w:spacing w:after="0" w:line="198" w:lineRule="exact"/>
        <w:rPr>
          <w:sz w:val="20"/>
          <w:szCs w:val="20"/>
          <w:color w:val="auto"/>
        </w:rPr>
      </w:pPr>
    </w:p>
    <w:p>
      <w:pPr>
        <w:ind w:left="2220" w:right="2400"/>
        <w:spacing w:after="0" w:line="239" w:lineRule="auto"/>
        <w:rPr>
          <w:sz w:val="20"/>
          <w:szCs w:val="20"/>
          <w:color w:val="auto"/>
        </w:rPr>
      </w:pPr>
      <w:r>
        <w:rPr>
          <w:rFonts w:ascii="Arial" w:cs="Arial" w:eastAsia="Arial" w:hAnsi="Arial"/>
          <w:sz w:val="18"/>
          <w:szCs w:val="18"/>
          <w:color w:val="auto"/>
        </w:rPr>
        <w:t>Ms. Harty’s extensive financial expertise, particularly in the areas of treasury, tax, decision support and acquisitions, serves as a valuable resource to Wabtec’s Board and our management team. Ms. Harty’s insights and perspectives are especially helpful as the Company continues to strengthen and grow while navigating a challenging global market. In addition, her service to the boards of other publicly traded companies provides further expertise and insight into corporate governance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58978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16</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-169545</wp:posOffset>
            </wp:positionV>
            <wp:extent cx="471805"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21" w:name="page22"/>
    <w:bookmarkEnd w:id="21"/>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552"/>
        </w:trPr>
        <w:tc>
          <w:tcPr>
            <w:tcW w:w="2100" w:type="dxa"/>
            <w:vAlign w:val="bottom"/>
            <w:tcBorders>
              <w:top w:val="single" w:sz="8" w:color="EC252A"/>
            </w:tcBorders>
          </w:tcPr>
          <w:p>
            <w:pPr>
              <w:spacing w:after="0"/>
              <w:rPr>
                <w:sz w:val="24"/>
                <w:szCs w:val="24"/>
                <w:color w:val="auto"/>
              </w:rPr>
            </w:pPr>
          </w:p>
        </w:tc>
        <w:tc>
          <w:tcPr>
            <w:tcW w:w="5020" w:type="dxa"/>
            <w:vAlign w:val="bottom"/>
            <w:tcBorders>
              <w:top w:val="single" w:sz="8" w:color="EC252A"/>
            </w:tcBorders>
          </w:tcPr>
          <w:p>
            <w:pPr>
              <w:ind w:left="120"/>
              <w:spacing w:after="0"/>
              <w:rPr>
                <w:sz w:val="20"/>
                <w:szCs w:val="20"/>
                <w:color w:val="auto"/>
              </w:rPr>
            </w:pPr>
            <w:r>
              <w:rPr>
                <w:rFonts w:ascii="Arial" w:cs="Arial" w:eastAsia="Arial" w:hAnsi="Arial"/>
                <w:sz w:val="18"/>
                <w:szCs w:val="18"/>
                <w:b w:val="1"/>
                <w:bCs w:val="1"/>
                <w:color w:val="EC252A"/>
              </w:rPr>
              <w:t>Biographical Information</w:t>
            </w:r>
          </w:p>
        </w:tc>
        <w:tc>
          <w:tcPr>
            <w:tcW w:w="2160" w:type="dxa"/>
            <w:vAlign w:val="bottom"/>
            <w:tcBorders>
              <w:top w:val="single" w:sz="8" w:color="EC252A"/>
            </w:tcBorders>
            <w:shd w:val="clear" w:color="auto" w:fill="FEE7DE"/>
          </w:tcPr>
          <w:p>
            <w:pPr>
              <w:ind w:left="100"/>
              <w:spacing w:after="0"/>
              <w:rPr>
                <w:sz w:val="20"/>
                <w:szCs w:val="20"/>
                <w:color w:val="auto"/>
              </w:rPr>
            </w:pPr>
            <w:r>
              <w:rPr>
                <w:rFonts w:ascii="Arial" w:cs="Arial" w:eastAsia="Arial" w:hAnsi="Arial"/>
                <w:sz w:val="18"/>
                <w:szCs w:val="18"/>
                <w:b w:val="1"/>
                <w:bCs w:val="1"/>
                <w:color w:val="EC252A"/>
              </w:rPr>
              <w:t>Committees</w:t>
            </w:r>
          </w:p>
        </w:tc>
        <w:tc>
          <w:tcPr>
            <w:tcW w:w="0" w:type="dxa"/>
            <w:vAlign w:val="bottom"/>
          </w:tcPr>
          <w:p>
            <w:pPr>
              <w:spacing w:after="0"/>
              <w:rPr>
                <w:sz w:val="1"/>
                <w:szCs w:val="1"/>
                <w:color w:val="auto"/>
              </w:rPr>
            </w:pPr>
          </w:p>
        </w:tc>
      </w:tr>
      <w:tr>
        <w:trPr>
          <w:trHeight w:val="361"/>
        </w:trPr>
        <w:tc>
          <w:tcPr>
            <w:tcW w:w="2100" w:type="dxa"/>
            <w:vAlign w:val="bottom"/>
          </w:tcPr>
          <w:p>
            <w:pPr>
              <w:spacing w:after="0"/>
              <w:rPr>
                <w:sz w:val="24"/>
                <w:szCs w:val="24"/>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Retired in June 2008 from Merrill Lynch after 25 years of</w:t>
            </w:r>
          </w:p>
        </w:tc>
        <w:tc>
          <w:tcPr>
            <w:tcW w:w="2160" w:type="dxa"/>
            <w:vAlign w:val="bottom"/>
            <w:shd w:val="clear" w:color="auto" w:fill="FEE7DE"/>
          </w:tcPr>
          <w:p>
            <w:pPr>
              <w:ind w:left="100"/>
              <w:spacing w:after="0"/>
              <w:rPr>
                <w:sz w:val="20"/>
                <w:szCs w:val="20"/>
                <w:color w:val="auto"/>
              </w:rPr>
            </w:pPr>
            <w:r>
              <w:rPr>
                <w:rFonts w:ascii="Arial" w:cs="Arial" w:eastAsia="Arial" w:hAnsi="Arial"/>
                <w:sz w:val="18"/>
                <w:szCs w:val="18"/>
                <w:color w:val="auto"/>
              </w:rPr>
              <w:t>Audit</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service; Vice Chairman of Investment Banking for Merrill</w:t>
            </w:r>
          </w:p>
        </w:tc>
        <w:tc>
          <w:tcPr>
            <w:tcW w:w="2160" w:type="dxa"/>
            <w:vAlign w:val="bottom"/>
            <w:shd w:val="clear" w:color="auto" w:fill="FEE7D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Lynch from 1999 to 2008. Former member of the Board of</w:t>
            </w:r>
          </w:p>
        </w:tc>
        <w:tc>
          <w:tcPr>
            <w:tcW w:w="2160" w:type="dxa"/>
            <w:vAlign w:val="bottom"/>
            <w:shd w:val="clear" w:color="auto" w:fill="FEE7DE"/>
          </w:tcPr>
          <w:p>
            <w:pPr>
              <w:ind w:left="100"/>
              <w:spacing w:after="0" w:line="202" w:lineRule="exact"/>
              <w:rPr>
                <w:sz w:val="20"/>
                <w:szCs w:val="20"/>
                <w:color w:val="auto"/>
              </w:rPr>
            </w:pPr>
            <w:r>
              <w:rPr>
                <w:rFonts w:ascii="Arial" w:cs="Arial" w:eastAsia="Arial" w:hAnsi="Arial"/>
                <w:sz w:val="18"/>
                <w:szCs w:val="18"/>
                <w:color w:val="auto"/>
              </w:rPr>
              <w:t>Compensation and</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Directors of Catholic Health Services of Long Island and</w:t>
            </w:r>
          </w:p>
        </w:tc>
        <w:tc>
          <w:tcPr>
            <w:tcW w:w="2160" w:type="dxa"/>
            <w:vAlign w:val="bottom"/>
            <w:shd w:val="clear" w:color="auto" w:fill="FEE7DE"/>
          </w:tcPr>
          <w:p>
            <w:pPr>
              <w:ind w:left="100"/>
              <w:spacing w:after="0" w:line="202" w:lineRule="exact"/>
              <w:rPr>
                <w:sz w:val="20"/>
                <w:szCs w:val="20"/>
                <w:color w:val="auto"/>
              </w:rPr>
            </w:pPr>
            <w:r>
              <w:rPr>
                <w:rFonts w:ascii="Arial" w:cs="Arial" w:eastAsia="Arial" w:hAnsi="Arial"/>
                <w:sz w:val="18"/>
                <w:szCs w:val="18"/>
                <w:color w:val="auto"/>
              </w:rPr>
              <w:t>Talent Management</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former Chair of the Georgetown University School of</w:t>
            </w:r>
          </w:p>
        </w:tc>
        <w:tc>
          <w:tcPr>
            <w:tcW w:w="2160" w:type="dxa"/>
            <w:vAlign w:val="bottom"/>
            <w:shd w:val="clear" w:color="auto" w:fill="FEE7DE"/>
          </w:tcPr>
          <w:p>
            <w:pPr>
              <w:ind w:left="100"/>
              <w:spacing w:after="0" w:line="202" w:lineRule="exact"/>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Nursing and Health Studies Board of Visitors.</w:t>
            </w:r>
          </w:p>
        </w:tc>
        <w:tc>
          <w:tcPr>
            <w:tcW w:w="2160" w:type="dxa"/>
            <w:vAlign w:val="bottom"/>
            <w:vMerge w:val="restart"/>
            <w:shd w:val="clear" w:color="auto" w:fill="FEE7DE"/>
          </w:tcPr>
          <w:p>
            <w:pPr>
              <w:ind w:left="100"/>
              <w:spacing w:after="0"/>
              <w:rPr>
                <w:sz w:val="20"/>
                <w:szCs w:val="20"/>
                <w:color w:val="auto"/>
              </w:rPr>
            </w:pPr>
            <w:r>
              <w:rPr>
                <w:rFonts w:ascii="Arial" w:cs="Arial" w:eastAsia="Arial" w:hAnsi="Arial"/>
                <w:sz w:val="18"/>
                <w:szCs w:val="18"/>
                <w:color w:val="auto"/>
              </w:rPr>
              <w:t>Nominating and</w:t>
            </w:r>
          </w:p>
        </w:tc>
        <w:tc>
          <w:tcPr>
            <w:tcW w:w="0" w:type="dxa"/>
            <w:vAlign w:val="bottom"/>
          </w:tcPr>
          <w:p>
            <w:pPr>
              <w:spacing w:after="0"/>
              <w:rPr>
                <w:sz w:val="1"/>
                <w:szCs w:val="1"/>
                <w:color w:val="auto"/>
              </w:rPr>
            </w:pPr>
          </w:p>
        </w:tc>
      </w:tr>
      <w:tr>
        <w:trPr>
          <w:trHeight w:val="166"/>
        </w:trPr>
        <w:tc>
          <w:tcPr>
            <w:tcW w:w="21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160" w:type="dxa"/>
            <w:vAlign w:val="bottom"/>
            <w:vMerge w:val="continue"/>
            <w:shd w:val="clear" w:color="auto" w:fill="FEE7D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10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Brian Hehir</w:t>
            </w:r>
          </w:p>
        </w:tc>
        <w:tc>
          <w:tcPr>
            <w:tcW w:w="5020" w:type="dxa"/>
            <w:vAlign w:val="bottom"/>
          </w:tcPr>
          <w:p>
            <w:pPr>
              <w:ind w:left="120"/>
              <w:spacing w:after="0"/>
              <w:rPr>
                <w:sz w:val="20"/>
                <w:szCs w:val="20"/>
                <w:color w:val="auto"/>
              </w:rPr>
            </w:pPr>
            <w:r>
              <w:rPr>
                <w:rFonts w:ascii="Arial" w:cs="Arial" w:eastAsia="Arial" w:hAnsi="Arial"/>
                <w:sz w:val="18"/>
                <w:szCs w:val="18"/>
                <w:b w:val="1"/>
                <w:bCs w:val="1"/>
                <w:color w:val="EC252A"/>
              </w:rPr>
              <w:t>Director Skills</w:t>
            </w:r>
          </w:p>
        </w:tc>
        <w:tc>
          <w:tcPr>
            <w:tcW w:w="2160" w:type="dxa"/>
            <w:vAlign w:val="bottom"/>
            <w:shd w:val="clear" w:color="auto" w:fill="FEE7DE"/>
          </w:tcPr>
          <w:p>
            <w:pPr>
              <w:ind w:left="100"/>
              <w:spacing w:after="0"/>
              <w:rPr>
                <w:sz w:val="20"/>
                <w:szCs w:val="20"/>
                <w:color w:val="auto"/>
              </w:rPr>
            </w:pPr>
            <w:r>
              <w:rPr>
                <w:rFonts w:ascii="Arial" w:cs="Arial" w:eastAsia="Arial" w:hAnsi="Arial"/>
                <w:sz w:val="18"/>
                <w:szCs w:val="18"/>
                <w:color w:val="auto"/>
              </w:rPr>
              <w:t>Corporate Governance</w:t>
            </w: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5020" w:type="dxa"/>
            <w:vAlign w:val="bottom"/>
            <w:vMerge w:val="restart"/>
          </w:tcPr>
          <w:p>
            <w:pPr>
              <w:ind w:left="120"/>
              <w:spacing w:after="0"/>
              <w:rPr>
                <w:sz w:val="20"/>
                <w:szCs w:val="20"/>
                <w:color w:val="auto"/>
              </w:rPr>
            </w:pPr>
            <w:r>
              <w:rPr>
                <w:rFonts w:ascii="Arial" w:cs="Arial" w:eastAsia="Arial" w:hAnsi="Arial"/>
                <w:sz w:val="18"/>
                <w:szCs w:val="18"/>
                <w:color w:val="auto"/>
              </w:rPr>
              <w:t>Mr. Hehir has had an extensive career in global financial</w:t>
            </w:r>
          </w:p>
        </w:tc>
        <w:tc>
          <w:tcPr>
            <w:tcW w:w="2160" w:type="dxa"/>
            <w:vAlign w:val="bottom"/>
            <w:shd w:val="clear" w:color="auto" w:fill="FEE7D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100" w:type="dxa"/>
            <w:vAlign w:val="bottom"/>
          </w:tcPr>
          <w:p>
            <w:pPr>
              <w:spacing w:after="0"/>
              <w:rPr>
                <w:sz w:val="13"/>
                <w:szCs w:val="13"/>
                <w:color w:val="auto"/>
              </w:rPr>
            </w:pPr>
          </w:p>
        </w:tc>
        <w:tc>
          <w:tcPr>
            <w:tcW w:w="5020" w:type="dxa"/>
            <w:vAlign w:val="bottom"/>
            <w:vMerge w:val="continue"/>
          </w:tcPr>
          <w:p>
            <w:pPr>
              <w:spacing w:after="0"/>
              <w:rPr>
                <w:sz w:val="13"/>
                <w:szCs w:val="13"/>
                <w:color w:val="auto"/>
              </w:rPr>
            </w:pPr>
          </w:p>
        </w:tc>
        <w:tc>
          <w:tcPr>
            <w:tcW w:w="2160" w:type="dxa"/>
            <w:vAlign w:val="bottom"/>
            <w:shd w:val="clear" w:color="auto" w:fill="FEE7D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140"/>
              <w:spacing w:after="0" w:line="202" w:lineRule="exact"/>
              <w:rPr>
                <w:sz w:val="20"/>
                <w:szCs w:val="20"/>
                <w:color w:val="auto"/>
              </w:rPr>
            </w:pPr>
            <w:r>
              <w:rPr>
                <w:rFonts w:ascii="Arial" w:cs="Arial" w:eastAsia="Arial" w:hAnsi="Arial"/>
                <w:sz w:val="18"/>
                <w:szCs w:val="18"/>
                <w:b w:val="1"/>
                <w:bCs w:val="1"/>
                <w:color w:val="EC252A"/>
              </w:rPr>
              <w:t>Independent Director</w:t>
            </w: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markets with over 30 years of experience working in</w:t>
            </w:r>
          </w:p>
        </w:tc>
        <w:tc>
          <w:tcPr>
            <w:tcW w:w="2160" w:type="dxa"/>
            <w:vAlign w:val="bottom"/>
            <w:shd w:val="clear" w:color="auto" w:fill="FEE7D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investment banking, financing, corporate advisory services</w:t>
            </w:r>
          </w:p>
        </w:tc>
        <w:tc>
          <w:tcPr>
            <w:tcW w:w="2160" w:type="dxa"/>
            <w:vAlign w:val="bottom"/>
            <w:shd w:val="clear" w:color="auto" w:fill="FEE7D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140"/>
              <w:spacing w:after="0" w:line="202" w:lineRule="exact"/>
              <w:rPr>
                <w:sz w:val="20"/>
                <w:szCs w:val="20"/>
                <w:color w:val="auto"/>
              </w:rPr>
            </w:pPr>
            <w:r>
              <w:rPr>
                <w:rFonts w:ascii="Arial" w:cs="Arial" w:eastAsia="Arial" w:hAnsi="Arial"/>
                <w:sz w:val="18"/>
                <w:szCs w:val="18"/>
                <w:b w:val="1"/>
                <w:bCs w:val="1"/>
                <w:color w:val="EC252A"/>
              </w:rPr>
              <w:t>Audit Committee</w:t>
            </w: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and capital markets. He advised clients on capital markets,</w:t>
            </w:r>
          </w:p>
        </w:tc>
        <w:tc>
          <w:tcPr>
            <w:tcW w:w="2160" w:type="dxa"/>
            <w:vAlign w:val="bottom"/>
            <w:shd w:val="clear" w:color="auto" w:fill="FEE7D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140"/>
              <w:spacing w:after="0" w:line="202" w:lineRule="exact"/>
              <w:rPr>
                <w:sz w:val="20"/>
                <w:szCs w:val="20"/>
                <w:color w:val="auto"/>
              </w:rPr>
            </w:pPr>
            <w:r>
              <w:rPr>
                <w:rFonts w:ascii="Arial" w:cs="Arial" w:eastAsia="Arial" w:hAnsi="Arial"/>
                <w:sz w:val="18"/>
                <w:szCs w:val="18"/>
                <w:b w:val="1"/>
                <w:bCs w:val="1"/>
                <w:color w:val="EC252A"/>
              </w:rPr>
              <w:t>Financial Expert</w:t>
            </w: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mergers and acquisitions and other corporate transactions,</w:t>
            </w:r>
          </w:p>
        </w:tc>
        <w:tc>
          <w:tcPr>
            <w:tcW w:w="2160" w:type="dxa"/>
            <w:vAlign w:val="bottom"/>
            <w:shd w:val="clear" w:color="auto" w:fill="FEE7D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which are an integral part of Wabtec’s growth strategy. His</w:t>
            </w:r>
          </w:p>
        </w:tc>
        <w:tc>
          <w:tcPr>
            <w:tcW w:w="2160" w:type="dxa"/>
            <w:vAlign w:val="bottom"/>
            <w:shd w:val="clear" w:color="auto" w:fill="FEE7D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140"/>
              <w:spacing w:after="0" w:line="202" w:lineRule="exact"/>
              <w:rPr>
                <w:sz w:val="20"/>
                <w:szCs w:val="20"/>
                <w:color w:val="auto"/>
              </w:rPr>
            </w:pPr>
            <w:r>
              <w:rPr>
                <w:rFonts w:ascii="Arial" w:cs="Arial" w:eastAsia="Arial" w:hAnsi="Arial"/>
                <w:sz w:val="18"/>
                <w:szCs w:val="18"/>
                <w:b w:val="1"/>
                <w:bCs w:val="1"/>
                <w:color w:val="EC252A"/>
              </w:rPr>
              <w:t xml:space="preserve">Age: </w:t>
            </w:r>
            <w:r>
              <w:rPr>
                <w:rFonts w:ascii="Arial" w:cs="Arial" w:eastAsia="Arial" w:hAnsi="Arial"/>
                <w:sz w:val="18"/>
                <w:szCs w:val="18"/>
                <w:color w:val="000000"/>
              </w:rPr>
              <w:t>68</w:t>
            </w: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experience from the highly regulated investment banking</w:t>
            </w:r>
          </w:p>
        </w:tc>
        <w:tc>
          <w:tcPr>
            <w:tcW w:w="2160" w:type="dxa"/>
            <w:vAlign w:val="bottom"/>
            <w:shd w:val="clear" w:color="auto" w:fill="FEE7D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industry also provides the Board with a critical perspective</w:t>
            </w:r>
          </w:p>
        </w:tc>
        <w:tc>
          <w:tcPr>
            <w:tcW w:w="2160" w:type="dxa"/>
            <w:vAlign w:val="bottom"/>
            <w:shd w:val="clear" w:color="auto" w:fill="FEE7DE"/>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100" w:type="dxa"/>
            <w:vAlign w:val="bottom"/>
          </w:tcPr>
          <w:p>
            <w:pPr>
              <w:ind w:left="140"/>
              <w:spacing w:after="0"/>
              <w:rPr>
                <w:sz w:val="20"/>
                <w:szCs w:val="20"/>
                <w:color w:val="auto"/>
              </w:rPr>
            </w:pPr>
            <w:r>
              <w:rPr>
                <w:rFonts w:ascii="Arial" w:cs="Arial" w:eastAsia="Arial" w:hAnsi="Arial"/>
                <w:sz w:val="18"/>
                <w:szCs w:val="18"/>
                <w:b w:val="1"/>
                <w:bCs w:val="1"/>
                <w:color w:val="EC252A"/>
              </w:rPr>
              <w:t xml:space="preserve">Director Since </w:t>
            </w:r>
            <w:r>
              <w:rPr>
                <w:rFonts w:ascii="Arial" w:cs="Arial" w:eastAsia="Arial" w:hAnsi="Arial"/>
                <w:sz w:val="18"/>
                <w:szCs w:val="18"/>
                <w:color w:val="000000"/>
              </w:rPr>
              <w:t>2007</w:t>
            </w:r>
          </w:p>
        </w:tc>
        <w:tc>
          <w:tcPr>
            <w:tcW w:w="5020" w:type="dxa"/>
            <w:vAlign w:val="bottom"/>
          </w:tcPr>
          <w:p>
            <w:pPr>
              <w:ind w:left="120"/>
              <w:spacing w:after="0"/>
              <w:rPr>
                <w:sz w:val="20"/>
                <w:szCs w:val="20"/>
                <w:color w:val="auto"/>
              </w:rPr>
            </w:pPr>
            <w:r>
              <w:rPr>
                <w:rFonts w:ascii="Arial" w:cs="Arial" w:eastAsia="Arial" w:hAnsi="Arial"/>
                <w:sz w:val="18"/>
                <w:szCs w:val="18"/>
                <w:color w:val="auto"/>
              </w:rPr>
              <w:t>on risk management.</w:t>
            </w:r>
          </w:p>
        </w:tc>
        <w:tc>
          <w:tcPr>
            <w:tcW w:w="2160" w:type="dxa"/>
            <w:vAlign w:val="bottom"/>
            <w:shd w:val="clear" w:color="auto" w:fill="FEE7DE"/>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100" w:type="dxa"/>
            <w:vAlign w:val="bottom"/>
            <w:tcBorders>
              <w:bottom w:val="single" w:sz="8" w:color="EC252A"/>
            </w:tcBorders>
          </w:tcPr>
          <w:p>
            <w:pPr>
              <w:spacing w:after="0"/>
              <w:rPr>
                <w:sz w:val="10"/>
                <w:szCs w:val="10"/>
                <w:color w:val="auto"/>
              </w:rPr>
            </w:pPr>
          </w:p>
        </w:tc>
        <w:tc>
          <w:tcPr>
            <w:tcW w:w="5020" w:type="dxa"/>
            <w:vAlign w:val="bottom"/>
            <w:tcBorders>
              <w:bottom w:val="single" w:sz="8" w:color="EC252A"/>
            </w:tcBorders>
          </w:tcPr>
          <w:p>
            <w:pPr>
              <w:spacing w:after="0"/>
              <w:rPr>
                <w:sz w:val="10"/>
                <w:szCs w:val="10"/>
                <w:color w:val="auto"/>
              </w:rPr>
            </w:pPr>
          </w:p>
        </w:tc>
        <w:tc>
          <w:tcPr>
            <w:tcW w:w="2160" w:type="dxa"/>
            <w:vAlign w:val="bottom"/>
            <w:tcBorders>
              <w:bottom w:val="single" w:sz="8" w:color="EC252A"/>
            </w:tcBorders>
            <w:shd w:val="clear" w:color="auto" w:fill="FEE7D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100" w:type="dxa"/>
            <w:vAlign w:val="bottom"/>
            <w:tcBorders>
              <w:bottom w:val="single" w:sz="8" w:color="EC252A"/>
            </w:tcBorders>
          </w:tcPr>
          <w:p>
            <w:pPr>
              <w:spacing w:after="0"/>
              <w:rPr>
                <w:sz w:val="8"/>
                <w:szCs w:val="8"/>
                <w:color w:val="auto"/>
              </w:rPr>
            </w:pPr>
          </w:p>
        </w:tc>
        <w:tc>
          <w:tcPr>
            <w:tcW w:w="5020" w:type="dxa"/>
            <w:vAlign w:val="bottom"/>
            <w:tcBorders>
              <w:bottom w:val="single" w:sz="8" w:color="EC252A"/>
            </w:tcBorders>
          </w:tcPr>
          <w:p>
            <w:pPr>
              <w:spacing w:after="0"/>
              <w:rPr>
                <w:sz w:val="8"/>
                <w:szCs w:val="8"/>
                <w:color w:val="auto"/>
              </w:rPr>
            </w:pPr>
          </w:p>
        </w:tc>
        <w:tc>
          <w:tcPr>
            <w:tcW w:w="2160" w:type="dxa"/>
            <w:vAlign w:val="bottom"/>
            <w:tcBorders>
              <w:bottom w:val="single" w:sz="8" w:color="EC252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-2751455</wp:posOffset>
            </wp:positionV>
            <wp:extent cx="985520" cy="9861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85520" cy="9861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-16510</wp:posOffset>
            </wp:positionV>
            <wp:extent cx="5897880" cy="35058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97880" cy="350583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Michael Howell</w:t>
      </w:r>
    </w:p>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EC252A"/>
        </w:rPr>
        <w:t>Independent Director</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EC252A"/>
        </w:rPr>
        <w:t xml:space="preserve">Age: </w:t>
      </w:r>
      <w:r>
        <w:rPr>
          <w:rFonts w:ascii="Arial" w:cs="Arial" w:eastAsia="Arial" w:hAnsi="Arial"/>
          <w:sz w:val="18"/>
          <w:szCs w:val="18"/>
          <w:color w:val="000000"/>
        </w:rPr>
        <w:t>74</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EC252A"/>
        </w:rPr>
        <w:t xml:space="preserve">Director Since </w:t>
      </w:r>
      <w:r>
        <w:rPr>
          <w:rFonts w:ascii="Arial" w:cs="Arial" w:eastAsia="Arial" w:hAnsi="Arial"/>
          <w:sz w:val="18"/>
          <w:szCs w:val="18"/>
          <w:color w:val="000000"/>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1466215</wp:posOffset>
            </wp:positionV>
            <wp:extent cx="471170" cy="180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4900" w:type="dxa"/>
            <w:vAlign w:val="bottom"/>
          </w:tcPr>
          <w:p>
            <w:pPr>
              <w:spacing w:after="0"/>
              <w:rPr>
                <w:sz w:val="20"/>
                <w:szCs w:val="20"/>
                <w:color w:val="auto"/>
              </w:rPr>
            </w:pPr>
            <w:r>
              <w:rPr>
                <w:rFonts w:ascii="Arial" w:cs="Arial" w:eastAsia="Arial" w:hAnsi="Arial"/>
                <w:sz w:val="18"/>
                <w:szCs w:val="18"/>
                <w:b w:val="1"/>
                <w:bCs w:val="1"/>
                <w:color w:val="EC252A"/>
              </w:rPr>
              <w:t>Biographical Information</w:t>
            </w:r>
          </w:p>
        </w:tc>
        <w:tc>
          <w:tcPr>
            <w:tcW w:w="2060" w:type="dxa"/>
            <w:vAlign w:val="bottom"/>
          </w:tcPr>
          <w:p>
            <w:pPr>
              <w:ind w:left="100"/>
              <w:spacing w:after="0"/>
              <w:rPr>
                <w:sz w:val="20"/>
                <w:szCs w:val="20"/>
                <w:color w:val="auto"/>
              </w:rPr>
            </w:pPr>
            <w:r>
              <w:rPr>
                <w:rFonts w:ascii="Arial" w:cs="Arial" w:eastAsia="Arial" w:hAnsi="Arial"/>
                <w:sz w:val="18"/>
                <w:szCs w:val="18"/>
                <w:b w:val="1"/>
                <w:bCs w:val="1"/>
                <w:color w:val="EC252A"/>
              </w:rPr>
              <w:t>Committees</w:t>
            </w:r>
          </w:p>
        </w:tc>
      </w:tr>
      <w:tr>
        <w:trPr>
          <w:trHeight w:val="361"/>
        </w:trPr>
        <w:tc>
          <w:tcPr>
            <w:tcW w:w="4900" w:type="dxa"/>
            <w:vAlign w:val="bottom"/>
          </w:tcPr>
          <w:p>
            <w:pPr>
              <w:spacing w:after="0"/>
              <w:rPr>
                <w:sz w:val="20"/>
                <w:szCs w:val="20"/>
                <w:color w:val="auto"/>
              </w:rPr>
            </w:pPr>
            <w:r>
              <w:rPr>
                <w:rFonts w:ascii="Arial" w:cs="Arial" w:eastAsia="Arial" w:hAnsi="Arial"/>
                <w:sz w:val="18"/>
                <w:szCs w:val="18"/>
                <w:color w:val="auto"/>
              </w:rPr>
              <w:t>CEO of Transport Initiatives Edinburgh Limited from 2002-</w:t>
            </w:r>
          </w:p>
        </w:tc>
        <w:tc>
          <w:tcPr>
            <w:tcW w:w="2060" w:type="dxa"/>
            <w:vAlign w:val="bottom"/>
          </w:tcPr>
          <w:p>
            <w:pPr>
              <w:ind w:left="100"/>
              <w:spacing w:after="0"/>
              <w:rPr>
                <w:sz w:val="20"/>
                <w:szCs w:val="20"/>
                <w:color w:val="auto"/>
              </w:rPr>
            </w:pPr>
            <w:r>
              <w:rPr>
                <w:rFonts w:ascii="Arial" w:cs="Arial" w:eastAsia="Arial" w:hAnsi="Arial"/>
                <w:sz w:val="18"/>
                <w:szCs w:val="18"/>
                <w:color w:val="auto"/>
              </w:rPr>
              <w:t>Compensation and</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06; Chairman of FPT Group Limited 1998-2002; Chairman</w:t>
            </w:r>
          </w:p>
        </w:tc>
        <w:tc>
          <w:tcPr>
            <w:tcW w:w="2060" w:type="dxa"/>
            <w:vAlign w:val="bottom"/>
          </w:tcPr>
          <w:p>
            <w:pPr>
              <w:ind w:left="100"/>
              <w:spacing w:after="0" w:line="202" w:lineRule="exact"/>
              <w:rPr>
                <w:sz w:val="20"/>
                <w:szCs w:val="20"/>
                <w:color w:val="auto"/>
              </w:rPr>
            </w:pPr>
            <w:r>
              <w:rPr>
                <w:rFonts w:ascii="Arial" w:cs="Arial" w:eastAsia="Arial" w:hAnsi="Arial"/>
                <w:sz w:val="18"/>
                <w:szCs w:val="18"/>
                <w:color w:val="auto"/>
              </w:rPr>
              <w:t>Talent Management</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of EVO Electric Limited, London, 2007-12. Member of</w:t>
            </w:r>
          </w:p>
        </w:tc>
        <w:tc>
          <w:tcPr>
            <w:tcW w:w="2060" w:type="dxa"/>
            <w:vAlign w:val="bottom"/>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Council of the University of Leeds, UK since September</w:t>
            </w:r>
          </w:p>
        </w:tc>
        <w:tc>
          <w:tcPr>
            <w:tcW w:w="2060" w:type="dxa"/>
            <w:vAlign w:val="bottom"/>
          </w:tcPr>
          <w:p>
            <w:pPr>
              <w:ind w:left="100"/>
              <w:spacing w:after="0" w:line="202" w:lineRule="exact"/>
              <w:rPr>
                <w:sz w:val="20"/>
                <w:szCs w:val="20"/>
                <w:color w:val="auto"/>
              </w:rPr>
            </w:pPr>
            <w:r>
              <w:rPr>
                <w:rFonts w:ascii="Arial" w:cs="Arial" w:eastAsia="Arial" w:hAnsi="Arial"/>
                <w:sz w:val="18"/>
                <w:szCs w:val="18"/>
                <w:color w:val="auto"/>
              </w:rPr>
              <w:t>Nominating and</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2016; Director of Gama Aviation plc, Farnborough, UK since</w:t>
            </w:r>
          </w:p>
        </w:tc>
        <w:tc>
          <w:tcPr>
            <w:tcW w:w="2060" w:type="dxa"/>
            <w:vAlign w:val="bottom"/>
          </w:tcPr>
          <w:p>
            <w:pPr>
              <w:ind w:left="100"/>
              <w:spacing w:after="0" w:line="202" w:lineRule="exact"/>
              <w:rPr>
                <w:sz w:val="20"/>
                <w:szCs w:val="20"/>
                <w:color w:val="auto"/>
              </w:rPr>
            </w:pPr>
            <w:r>
              <w:rPr>
                <w:rFonts w:ascii="Arial" w:cs="Arial" w:eastAsia="Arial" w:hAnsi="Arial"/>
                <w:sz w:val="18"/>
                <w:szCs w:val="18"/>
                <w:color w:val="auto"/>
              </w:rPr>
              <w:t>Corporate Governance</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April 2019. Director of Hutchison China Meditech Limited,</w:t>
            </w:r>
          </w:p>
        </w:tc>
        <w:tc>
          <w:tcPr>
            <w:tcW w:w="2060" w:type="dxa"/>
            <w:vAlign w:val="bottom"/>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Hong Kong from 2006-17; Director since 1999 and former</w:t>
            </w:r>
          </w:p>
        </w:tc>
        <w:tc>
          <w:tcPr>
            <w:tcW w:w="2060" w:type="dxa"/>
            <w:vAlign w:val="bottom"/>
          </w:tcPr>
          <w:p>
            <w:pPr>
              <w:ind w:left="100"/>
              <w:spacing w:after="0" w:line="202" w:lineRule="exact"/>
              <w:rPr>
                <w:sz w:val="20"/>
                <w:szCs w:val="20"/>
                <w:color w:val="auto"/>
              </w:rPr>
            </w:pPr>
            <w:r>
              <w:rPr>
                <w:rFonts w:ascii="Arial" w:cs="Arial" w:eastAsia="Arial" w:hAnsi="Arial"/>
                <w:sz w:val="18"/>
                <w:szCs w:val="18"/>
                <w:color w:val="auto"/>
                <w:w w:val="99"/>
              </w:rPr>
              <w:t>Environment, Social and</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Chairman (2014-15) of Clothworkers’ Company, London;</w:t>
            </w:r>
          </w:p>
        </w:tc>
        <w:tc>
          <w:tcPr>
            <w:tcW w:w="2060" w:type="dxa"/>
            <w:vAlign w:val="bottom"/>
          </w:tcPr>
          <w:p>
            <w:pPr>
              <w:ind w:left="100"/>
              <w:spacing w:after="0" w:line="202" w:lineRule="exact"/>
              <w:rPr>
                <w:sz w:val="20"/>
                <w:szCs w:val="20"/>
                <w:color w:val="auto"/>
              </w:rPr>
            </w:pPr>
            <w:r>
              <w:rPr>
                <w:rFonts w:ascii="Arial" w:cs="Arial" w:eastAsia="Arial" w:hAnsi="Arial"/>
                <w:sz w:val="18"/>
                <w:szCs w:val="18"/>
                <w:color w:val="auto"/>
              </w:rPr>
              <w:t>Governance</w:t>
            </w:r>
          </w:p>
        </w:tc>
      </w:tr>
      <w:tr>
        <w:trPr>
          <w:trHeight w:val="220"/>
        </w:trPr>
        <w:tc>
          <w:tcPr>
            <w:tcW w:w="4900" w:type="dxa"/>
            <w:vAlign w:val="bottom"/>
          </w:tcPr>
          <w:p>
            <w:pPr>
              <w:spacing w:after="0"/>
              <w:rPr>
                <w:sz w:val="20"/>
                <w:szCs w:val="20"/>
                <w:color w:val="auto"/>
              </w:rPr>
            </w:pPr>
            <w:r>
              <w:rPr>
                <w:rFonts w:ascii="Arial" w:cs="Arial" w:eastAsia="Arial" w:hAnsi="Arial"/>
                <w:sz w:val="18"/>
                <w:szCs w:val="18"/>
                <w:color w:val="auto"/>
              </w:rPr>
              <w:t>Trustee from 1999-2012 (Chairman of Trustees from 2006-</w:t>
            </w:r>
          </w:p>
        </w:tc>
        <w:tc>
          <w:tcPr>
            <w:tcW w:w="2060" w:type="dxa"/>
            <w:vAlign w:val="bottom"/>
          </w:tcPr>
          <w:p>
            <w:pPr>
              <w:ind w:left="100"/>
              <w:spacing w:after="0"/>
              <w:rPr>
                <w:sz w:val="20"/>
                <w:szCs w:val="20"/>
                <w:color w:val="auto"/>
              </w:rPr>
            </w:pPr>
            <w:r>
              <w:rPr>
                <w:rFonts w:ascii="Arial" w:cs="Arial" w:eastAsia="Arial" w:hAnsi="Arial"/>
                <w:sz w:val="18"/>
                <w:szCs w:val="18"/>
                <w:color w:val="auto"/>
              </w:rPr>
              <w:t>Subcommittee</w:t>
            </w:r>
          </w:p>
        </w:tc>
      </w:tr>
    </w:tbl>
    <w:p>
      <w:pPr>
        <w:spacing w:after="0"/>
        <w:rPr>
          <w:sz w:val="20"/>
          <w:szCs w:val="20"/>
          <w:color w:val="auto"/>
        </w:rPr>
      </w:pPr>
      <w:r>
        <w:rPr>
          <w:rFonts w:ascii="Arial" w:cs="Arial" w:eastAsia="Arial" w:hAnsi="Arial"/>
          <w:sz w:val="18"/>
          <w:szCs w:val="18"/>
          <w:color w:val="auto"/>
        </w:rPr>
        <w:t>12) City &amp; Guilds of London Institute.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EC252A"/>
        </w:rPr>
        <w:t>Director Skills</w:t>
      </w:r>
    </w:p>
    <w:p>
      <w:pPr>
        <w:spacing w:after="0" w:line="198" w:lineRule="exact"/>
        <w:rPr>
          <w:sz w:val="20"/>
          <w:szCs w:val="20"/>
          <w:color w:val="auto"/>
        </w:rPr>
      </w:pPr>
    </w:p>
    <w:p>
      <w:pPr>
        <w:ind w:right="3160"/>
        <w:spacing w:after="0" w:line="239" w:lineRule="auto"/>
        <w:rPr>
          <w:sz w:val="20"/>
          <w:szCs w:val="20"/>
          <w:color w:val="auto"/>
        </w:rPr>
      </w:pPr>
      <w:r>
        <w:rPr>
          <w:rFonts w:ascii="Arial" w:cs="Arial" w:eastAsia="Arial" w:hAnsi="Arial"/>
          <w:sz w:val="18"/>
          <w:szCs w:val="18"/>
          <w:color w:val="auto"/>
        </w:rPr>
        <w:t>Mr. Howell has 36 years of experience from executive and board positions with various companies in the railroad sector, such as Cummins Engine Company, Inc., General Electric Company, Inc., Railtrack Group plc and Transport Initiatives Edinburgh Limited. His understanding of many aspects of the international railroad and transportation industries, as well as his CEO and Chairman experience, provides the Board with a broad and relevant background regarding the management and operations of a major public company in the railroad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271780</wp:posOffset>
            </wp:positionV>
            <wp:extent cx="58978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260"/>
            <w:col w:w="7940"/>
          </w:cols>
          <w:pgMar w:left="440" w:top="263" w:right="4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17</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type w:val="continuous"/>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897880" cy="3429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Corporate Governance Highlights</w:t>
      </w:r>
    </w:p>
    <w:p>
      <w:pPr>
        <w:spacing w:after="0" w:line="195" w:lineRule="exact"/>
        <w:rPr>
          <w:sz w:val="20"/>
          <w:szCs w:val="20"/>
          <w:color w:val="auto"/>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Majority Voting for Uncontested Director Elections</w:t>
      </w:r>
    </w:p>
    <w:p>
      <w:pPr>
        <w:spacing w:after="0" w:line="103" w:lineRule="exact"/>
        <w:rPr>
          <w:rFonts w:ascii="Arial" w:cs="Arial" w:eastAsia="Arial" w:hAnsi="Arial"/>
          <w:sz w:val="18"/>
          <w:szCs w:val="18"/>
          <w:color w:val="EC252A"/>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Lead Independent Director leads all executive sessions of independent directors</w:t>
      </w:r>
    </w:p>
    <w:p>
      <w:pPr>
        <w:spacing w:after="0" w:line="103" w:lineRule="exact"/>
        <w:rPr>
          <w:rFonts w:ascii="Arial" w:cs="Arial" w:eastAsia="Arial" w:hAnsi="Arial"/>
          <w:sz w:val="18"/>
          <w:szCs w:val="18"/>
          <w:color w:val="EC252A"/>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Non-executive Board Chair</w:t>
      </w:r>
    </w:p>
    <w:p>
      <w:pPr>
        <w:spacing w:after="0" w:line="103" w:lineRule="exact"/>
        <w:rPr>
          <w:rFonts w:ascii="Arial" w:cs="Arial" w:eastAsia="Arial" w:hAnsi="Arial"/>
          <w:sz w:val="18"/>
          <w:szCs w:val="18"/>
          <w:color w:val="EC252A"/>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Separate Chair and Chief Executive Officer</w:t>
      </w:r>
    </w:p>
    <w:p>
      <w:pPr>
        <w:spacing w:after="0" w:line="103" w:lineRule="exact"/>
        <w:rPr>
          <w:rFonts w:ascii="Arial" w:cs="Arial" w:eastAsia="Arial" w:hAnsi="Arial"/>
          <w:sz w:val="18"/>
          <w:szCs w:val="18"/>
          <w:color w:val="EC252A"/>
        </w:rPr>
      </w:pPr>
    </w:p>
    <w:p>
      <w:pPr>
        <w:ind w:left="720" w:right="120" w:hanging="360"/>
        <w:spacing w:after="0" w:line="271" w:lineRule="auto"/>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All directors attended the 2021 Annual Meeting and 75% or more of the Board and Committee meetings in 2021</w:t>
      </w:r>
    </w:p>
    <w:p>
      <w:pPr>
        <w:spacing w:after="0" w:line="45" w:lineRule="exact"/>
        <w:rPr>
          <w:rFonts w:ascii="Arial" w:cs="Arial" w:eastAsia="Arial" w:hAnsi="Arial"/>
          <w:sz w:val="18"/>
          <w:szCs w:val="18"/>
          <w:color w:val="EC252A"/>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Executive sessions of non-management directors at all regular Board meetings</w:t>
      </w:r>
    </w:p>
    <w:p>
      <w:pPr>
        <w:spacing w:after="0" w:line="103" w:lineRule="exact"/>
        <w:rPr>
          <w:rFonts w:ascii="Arial" w:cs="Arial" w:eastAsia="Arial" w:hAnsi="Arial"/>
          <w:sz w:val="18"/>
          <w:szCs w:val="18"/>
          <w:color w:val="EC252A"/>
        </w:rPr>
      </w:pPr>
    </w:p>
    <w:p>
      <w:pPr>
        <w:ind w:left="720" w:right="560" w:hanging="360"/>
        <w:spacing w:after="0" w:line="271" w:lineRule="auto"/>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Audit Committee, Compensation and Talent Management Committee and Nominating and Corporate Governance Committee comprised solely of independent directors</w:t>
      </w:r>
    </w:p>
    <w:p>
      <w:pPr>
        <w:spacing w:after="0" w:line="45" w:lineRule="exact"/>
        <w:rPr>
          <w:rFonts w:ascii="Arial" w:cs="Arial" w:eastAsia="Arial" w:hAnsi="Arial"/>
          <w:sz w:val="18"/>
          <w:szCs w:val="18"/>
          <w:color w:val="EC252A"/>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Three members of the Audit Committee are deemed to be “audit committee financial experts”</w:t>
      </w:r>
    </w:p>
    <w:p>
      <w:pPr>
        <w:spacing w:after="0" w:line="103" w:lineRule="exact"/>
        <w:rPr>
          <w:rFonts w:ascii="Arial" w:cs="Arial" w:eastAsia="Arial" w:hAnsi="Arial"/>
          <w:sz w:val="18"/>
          <w:szCs w:val="18"/>
          <w:color w:val="EC252A"/>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Limits on Outside Directorships</w:t>
      </w:r>
    </w:p>
    <w:p>
      <w:pPr>
        <w:spacing w:after="0" w:line="103" w:lineRule="exact"/>
        <w:rPr>
          <w:rFonts w:ascii="Arial" w:cs="Arial" w:eastAsia="Arial" w:hAnsi="Arial"/>
          <w:sz w:val="18"/>
          <w:szCs w:val="18"/>
          <w:color w:val="EC252A"/>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External Board Evaluation</w:t>
      </w:r>
    </w:p>
    <w:p>
      <w:pPr>
        <w:spacing w:after="0" w:line="103" w:lineRule="exact"/>
        <w:rPr>
          <w:rFonts w:ascii="Arial" w:cs="Arial" w:eastAsia="Arial" w:hAnsi="Arial"/>
          <w:sz w:val="18"/>
          <w:szCs w:val="18"/>
          <w:color w:val="EC252A"/>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Bylaws provide a stockholder right to call special meetings</w:t>
      </w:r>
    </w:p>
    <w:p>
      <w:pPr>
        <w:spacing w:after="0" w:line="103" w:lineRule="exact"/>
        <w:rPr>
          <w:rFonts w:ascii="Arial" w:cs="Arial" w:eastAsia="Arial" w:hAnsi="Arial"/>
          <w:sz w:val="18"/>
          <w:szCs w:val="18"/>
          <w:color w:val="EC252A"/>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Robust stock ownership guidelines for officers and directors</w:t>
      </w:r>
    </w:p>
    <w:p>
      <w:pPr>
        <w:spacing w:after="0" w:line="103" w:lineRule="exact"/>
        <w:rPr>
          <w:rFonts w:ascii="Arial" w:cs="Arial" w:eastAsia="Arial" w:hAnsi="Arial"/>
          <w:sz w:val="18"/>
          <w:szCs w:val="18"/>
          <w:color w:val="EC252A"/>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Minimum vesting of 12 months for restricted stock and options</w:t>
      </w:r>
    </w:p>
    <w:p>
      <w:pPr>
        <w:spacing w:after="0" w:line="103" w:lineRule="exact"/>
        <w:rPr>
          <w:rFonts w:ascii="Arial" w:cs="Arial" w:eastAsia="Arial" w:hAnsi="Arial"/>
          <w:sz w:val="18"/>
          <w:szCs w:val="18"/>
          <w:color w:val="EC252A"/>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Policy against hedging or pledging of Wabtec shares by officers and directors</w:t>
      </w:r>
    </w:p>
    <w:p>
      <w:pPr>
        <w:spacing w:after="0" w:line="103" w:lineRule="exact"/>
        <w:rPr>
          <w:rFonts w:ascii="Arial" w:cs="Arial" w:eastAsia="Arial" w:hAnsi="Arial"/>
          <w:sz w:val="18"/>
          <w:szCs w:val="18"/>
          <w:color w:val="EC252A"/>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Policy against using Preferred Shares for Anti-Takeover Purposes</w:t>
      </w:r>
    </w:p>
    <w:p>
      <w:pPr>
        <w:spacing w:after="0" w:line="103" w:lineRule="exact"/>
        <w:rPr>
          <w:rFonts w:ascii="Arial" w:cs="Arial" w:eastAsia="Arial" w:hAnsi="Arial"/>
          <w:sz w:val="18"/>
          <w:szCs w:val="18"/>
          <w:color w:val="EC252A"/>
        </w:rPr>
      </w:pPr>
    </w:p>
    <w:p>
      <w:pPr>
        <w:ind w:left="720" w:hanging="360"/>
        <w:spacing w:after="0"/>
        <w:tabs>
          <w:tab w:leader="none" w:pos="720" w:val="left"/>
        </w:tabs>
        <w:numPr>
          <w:ilvl w:val="0"/>
          <w:numId w:val="19"/>
        </w:numPr>
        <w:rPr>
          <w:rFonts w:ascii="Arial" w:cs="Arial" w:eastAsia="Arial" w:hAnsi="Arial"/>
          <w:sz w:val="18"/>
          <w:szCs w:val="18"/>
          <w:color w:val="EC252A"/>
        </w:rPr>
      </w:pPr>
      <w:r>
        <w:rPr>
          <w:rFonts w:ascii="Arial" w:cs="Arial" w:eastAsia="Arial" w:hAnsi="Arial"/>
          <w:sz w:val="18"/>
          <w:szCs w:val="18"/>
          <w:color w:val="auto"/>
        </w:rPr>
        <w:t>Proxy Access for Large, Long term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58978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18</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80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23" w:name="page24"/>
    <w:bookmarkEnd w:id="23"/>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299085</wp:posOffset>
            </wp:positionV>
            <wp:extent cx="5897880" cy="3429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3400"/>
        <w:spacing w:after="0"/>
        <w:rPr>
          <w:sz w:val="20"/>
          <w:szCs w:val="20"/>
          <w:color w:val="auto"/>
        </w:rPr>
      </w:pPr>
      <w:r>
        <w:rPr>
          <w:rFonts w:ascii="Arial" w:cs="Arial" w:eastAsia="Arial" w:hAnsi="Arial"/>
          <w:sz w:val="29"/>
          <w:szCs w:val="29"/>
          <w:b w:val="1"/>
          <w:bCs w:val="1"/>
          <w:color w:val="FFFFFF"/>
        </w:rPr>
        <w:t>Corporate Governance Matters</w:t>
      </w:r>
    </w:p>
    <w:p>
      <w:pPr>
        <w:spacing w:after="0" w:line="315"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The Board and Committees</w:t>
      </w:r>
    </w:p>
    <w:p>
      <w:pPr>
        <w:spacing w:after="0" w:line="128" w:lineRule="exact"/>
        <w:rPr>
          <w:sz w:val="20"/>
          <w:szCs w:val="20"/>
          <w:color w:val="auto"/>
        </w:rPr>
      </w:pPr>
    </w:p>
    <w:p>
      <w:pPr>
        <w:ind w:left="860" w:right="1020"/>
        <w:spacing w:after="0" w:line="239" w:lineRule="auto"/>
        <w:rPr>
          <w:sz w:val="20"/>
          <w:szCs w:val="20"/>
          <w:color w:val="auto"/>
        </w:rPr>
      </w:pPr>
      <w:r>
        <w:rPr>
          <w:rFonts w:ascii="Arial" w:cs="Arial" w:eastAsia="Arial" w:hAnsi="Arial"/>
          <w:sz w:val="18"/>
          <w:szCs w:val="18"/>
          <w:color w:val="auto"/>
        </w:rPr>
        <w:t>Wabtec’s business is managed under the oversight of our Board which conducts business through meetings of its members and its committees. The Board met nine times during 2021. All directors attended more than 75% of all meetings of the Board and the committees on which they served in 2021. The standing Board committees that help the Board fulfill its duties include the Nominating and Corporate Governance Committee, the Audit Committee and the Compensation and Talent Management Committee (the “Compensation Committee”). The Board also holds regularly scheduled meetings of non-employee directors. It is the Company’s policy that all directors attend the annual meeting of stockholders if reasonably possible. All directors attended the 2021 annual meeting of stockholders. The Board conducts annual self-assessments and has engaged a third party to conduct an external evaluation of the Board’s performance.</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Director Independence</w:t>
      </w:r>
    </w:p>
    <w:p>
      <w:pPr>
        <w:spacing w:after="0" w:line="128" w:lineRule="exact"/>
        <w:rPr>
          <w:sz w:val="20"/>
          <w:szCs w:val="20"/>
          <w:color w:val="auto"/>
        </w:rPr>
      </w:pPr>
    </w:p>
    <w:p>
      <w:pPr>
        <w:ind w:left="860" w:right="1200"/>
        <w:spacing w:after="0" w:line="242" w:lineRule="auto"/>
        <w:rPr>
          <w:sz w:val="20"/>
          <w:szCs w:val="20"/>
          <w:color w:val="auto"/>
        </w:rPr>
      </w:pPr>
      <w:r>
        <w:rPr>
          <w:rFonts w:ascii="Arial" w:cs="Arial" w:eastAsia="Arial" w:hAnsi="Arial"/>
          <w:sz w:val="18"/>
          <w:szCs w:val="18"/>
          <w:color w:val="auto"/>
        </w:rPr>
        <w:t>Our Corporate Governance Guidelines require a majority of the Board to be independent. For a Director to be considered an “Independent Director”, the Board must annually determine that they have no material relationship with the Company (either directly or as a partner, shareholder or officer of an organization which has such a relationship with the Company). The basis for the Company’s determination of independence is based on the applicable New York Stock Exchange (the “NYSE”) and SEC rules, however no Director is considered to be an Independent Director if they:</w:t>
      </w:r>
    </w:p>
    <w:p>
      <w:pPr>
        <w:spacing w:after="0" w:line="71" w:lineRule="exact"/>
        <w:rPr>
          <w:sz w:val="20"/>
          <w:szCs w:val="20"/>
          <w:color w:val="auto"/>
        </w:rPr>
      </w:pPr>
    </w:p>
    <w:p>
      <w:pPr>
        <w:ind w:left="1580" w:hanging="360"/>
        <w:spacing w:after="0"/>
        <w:tabs>
          <w:tab w:leader="none" w:pos="1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in the last three years been employed by the Company;</w:t>
      </w:r>
    </w:p>
    <w:p>
      <w:pPr>
        <w:spacing w:after="0" w:line="103" w:lineRule="exact"/>
        <w:rPr>
          <w:rFonts w:ascii="Arial" w:cs="Arial" w:eastAsia="Arial" w:hAnsi="Arial"/>
          <w:sz w:val="18"/>
          <w:szCs w:val="18"/>
          <w:color w:val="auto"/>
        </w:rPr>
      </w:pPr>
    </w:p>
    <w:p>
      <w:pPr>
        <w:ind w:left="1580" w:right="1680" w:hanging="360"/>
        <w:spacing w:after="0" w:line="271" w:lineRule="auto"/>
        <w:tabs>
          <w:tab w:leader="none" w:pos="1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in the last three years been affiliated with or employed by a (present or former) auditor of the Company or of an affiliate of the Company;</w:t>
      </w:r>
    </w:p>
    <w:p>
      <w:pPr>
        <w:spacing w:after="0" w:line="45" w:lineRule="exact"/>
        <w:rPr>
          <w:rFonts w:ascii="Arial" w:cs="Arial" w:eastAsia="Arial" w:hAnsi="Arial"/>
          <w:sz w:val="18"/>
          <w:szCs w:val="18"/>
          <w:color w:val="auto"/>
        </w:rPr>
      </w:pPr>
    </w:p>
    <w:p>
      <w:pPr>
        <w:ind w:left="1580" w:right="1380" w:hanging="360"/>
        <w:spacing w:after="0" w:line="253" w:lineRule="auto"/>
        <w:tabs>
          <w:tab w:leader="none" w:pos="1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in the last three years been part of an interlocking directorate in which an executive officer of the Company sits on the compensation committee of another company which concurrently employs the director;</w:t>
      </w:r>
    </w:p>
    <w:p>
      <w:pPr>
        <w:spacing w:after="0" w:line="60" w:lineRule="exact"/>
        <w:rPr>
          <w:rFonts w:ascii="Arial" w:cs="Arial" w:eastAsia="Arial" w:hAnsi="Arial"/>
          <w:sz w:val="18"/>
          <w:szCs w:val="18"/>
          <w:color w:val="auto"/>
        </w:rPr>
      </w:pPr>
    </w:p>
    <w:p>
      <w:pPr>
        <w:ind w:left="1580" w:right="1020" w:hanging="360"/>
        <w:spacing w:after="0" w:line="247" w:lineRule="auto"/>
        <w:tabs>
          <w:tab w:leader="none" w:pos="1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in the last three years received more than $120,000 in direct compensation from the Company, other than director fees and deferred compensation, and with respect to Audit Committee members, accepted directly or indirectly any consulting, advisory, or other compensatory fee from the Company or any of its subsidiaries;</w:t>
      </w:r>
    </w:p>
    <w:p>
      <w:pPr>
        <w:spacing w:after="0" w:line="65" w:lineRule="exact"/>
        <w:rPr>
          <w:rFonts w:ascii="Arial" w:cs="Arial" w:eastAsia="Arial" w:hAnsi="Arial"/>
          <w:sz w:val="18"/>
          <w:szCs w:val="18"/>
          <w:color w:val="auto"/>
        </w:rPr>
      </w:pPr>
    </w:p>
    <w:p>
      <w:pPr>
        <w:ind w:left="1580" w:right="1140" w:hanging="360"/>
        <w:spacing w:after="0" w:line="253" w:lineRule="auto"/>
        <w:tabs>
          <w:tab w:leader="none" w:pos="1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are currently employed by a company that in any of the last three years has received payments from or made payments to the Company in an amount that exceeds the greater of $1 million or 2% of such other company’s gross revenue; or</w:t>
      </w:r>
    </w:p>
    <w:p>
      <w:pPr>
        <w:spacing w:after="0" w:line="60" w:lineRule="exact"/>
        <w:rPr>
          <w:rFonts w:ascii="Arial" w:cs="Arial" w:eastAsia="Arial" w:hAnsi="Arial"/>
          <w:sz w:val="18"/>
          <w:szCs w:val="18"/>
          <w:color w:val="auto"/>
        </w:rPr>
      </w:pPr>
    </w:p>
    <w:p>
      <w:pPr>
        <w:ind w:left="1580" w:right="960" w:hanging="360"/>
        <w:spacing w:after="0" w:line="247" w:lineRule="auto"/>
        <w:tabs>
          <w:tab w:leader="none" w:pos="1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an immediate family member who falls within any of the above categories, except that an immediate family member may be an employee of, but not a partner of, the auditor of the Company and not impair the director’s independence if such immediate family member does not personally work on the Company’s audit.</w:t>
      </w:r>
    </w:p>
    <w:p>
      <w:pPr>
        <w:spacing w:after="0" w:line="66" w:lineRule="exact"/>
        <w:rPr>
          <w:sz w:val="20"/>
          <w:szCs w:val="20"/>
          <w:color w:val="auto"/>
        </w:rPr>
      </w:pPr>
    </w:p>
    <w:p>
      <w:pPr>
        <w:ind w:left="860" w:right="880"/>
        <w:spacing w:after="0" w:line="239" w:lineRule="auto"/>
        <w:rPr>
          <w:sz w:val="20"/>
          <w:szCs w:val="20"/>
          <w:color w:val="auto"/>
        </w:rPr>
      </w:pPr>
      <w:r>
        <w:rPr>
          <w:rFonts w:ascii="Arial" w:cs="Arial" w:eastAsia="Arial" w:hAnsi="Arial"/>
          <w:sz w:val="18"/>
          <w:szCs w:val="18"/>
          <w:color w:val="auto"/>
        </w:rPr>
        <w:t>The Board has reviewed the independence of its members considering these standards and any other commercial, legal, accounting and familial relationships between the directors and Wabtec and has determined that all of its members were independent during 2021, with the exception of Mr. Neupaver and Mr. Santana. Specifically, none of such independent directors has a material relationship with Wabtec, and each such director meets the Board’s categorical independence standards and the independence requirements of the NYSE listing standards. The Board’s Audit Committee, Compensation Committee, and Nominating &amp; Corporate Governance Committee are composed entirely of directors who meet the independence requirements of the NYSE. Each member of the Audit Committee also meets the additional independence standards for Audit Committee members required by the SEC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171450</wp:posOffset>
            </wp:positionV>
            <wp:extent cx="58978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282575</wp:posOffset>
            </wp:positionV>
            <wp:extent cx="47117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19</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Board Leadership Structure</w:t>
      </w:r>
    </w:p>
    <w:p>
      <w:pPr>
        <w:spacing w:after="0" w:line="128" w:lineRule="exact"/>
        <w:rPr>
          <w:sz w:val="20"/>
          <w:szCs w:val="20"/>
          <w:color w:val="auto"/>
        </w:rPr>
      </w:pPr>
    </w:p>
    <w:p>
      <w:pPr>
        <w:ind w:right="6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The Board currently has a non-executive, non-independent Chair of the Board, a separate Chief Executive Officer, and a Lead Independent Director. The Chief Executive Officer is responsible for setting the strategic direction for Wabtec and the day to day leadership and performance of the Company. The Chairman provides guidance to the Chief Executive Officer, sets the agenda for Board meetings and presides over meetings of the full Board. The Lead Independent Director, who is appointed by our independent directors, leads the meetings of our Independent Directors outside the presence of management and can be reached directly by our stockholders as set forth in Communications with the Board on page </w:t>
      </w:r>
      <w:hyperlink w:anchor="page61">
        <w:r>
          <w:rPr>
            <w:rFonts w:ascii="Arial" w:cs="Arial" w:eastAsia="Arial" w:hAnsi="Arial"/>
            <w:sz w:val="18"/>
            <w:szCs w:val="18"/>
            <w:u w:val="single" w:color="auto"/>
            <w:color w:val="0000EE"/>
          </w:rPr>
          <w:t>56</w:t>
        </w:r>
      </w:hyperlink>
      <w:r>
        <w:rPr>
          <w:rFonts w:ascii="Arial" w:cs="Arial" w:eastAsia="Arial" w:hAnsi="Arial"/>
          <w:sz w:val="18"/>
          <w:szCs w:val="18"/>
          <w:color w:val="auto"/>
        </w:rPr>
        <w:t>. The Board believes that this structure is in the best interests of Wabtec and provides clear leadership responsibility and accountability, while providing for effective corporate governance and oversight by an independent Board of strong and seasoned Directors. The Board evaluates this leadership structure annually.</w:t>
      </w:r>
    </w:p>
    <w:p>
      <w:pPr>
        <w:spacing w:after="0" w:line="192"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Meetings of Independent Directors</w:t>
      </w:r>
    </w:p>
    <w:p>
      <w:pPr>
        <w:spacing w:after="0" w:line="12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Board of Directors appointed Mr. Lee Foster as “Lead Independent Director” in February 2021 to preside at all executive sessions of “non-management” directors during 2021, as defined under the rules of the NYSE. Our Board has also appointed Mr. Lee Foster as “Lead Independent Director” to preside at all such 2022 executive sessions.</w:t>
      </w:r>
    </w:p>
    <w:p>
      <w:pPr>
        <w:spacing w:after="0" w:line="44" w:lineRule="exact"/>
        <w:rPr>
          <w:sz w:val="20"/>
          <w:szCs w:val="20"/>
          <w:color w:val="auto"/>
        </w:rPr>
      </w:pPr>
    </w:p>
    <w:p>
      <w:pPr>
        <w:jc w:val="both"/>
        <w:ind w:right="420"/>
        <w:spacing w:after="0" w:line="247" w:lineRule="auto"/>
        <w:rPr>
          <w:sz w:val="20"/>
          <w:szCs w:val="20"/>
          <w:color w:val="auto"/>
        </w:rPr>
      </w:pPr>
      <w:r>
        <w:rPr>
          <w:rFonts w:ascii="Arial" w:cs="Arial" w:eastAsia="Arial" w:hAnsi="Arial"/>
          <w:sz w:val="18"/>
          <w:szCs w:val="18"/>
          <w:color w:val="auto"/>
        </w:rPr>
        <w:t>The non-management Directors hold regular executive sessions without management in order to promote open discussion among the non-management Directors. The Board generally holds such executive sessions at every regularly scheduled Board meeting. At least one executive session each year is required to be attended only by independent directors.</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The Board’s Role in Risk Oversight</w:t>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Board of Directors is responsible for overseeing and monitoring the material risks facing the Company. In its oversight role, the Board of Directors annually reviews Wabtec’s strategic plan which addresses, among other things, the risks and opportunities facing the Company. The Board also has overall responsibility for executive officer succession planning and reviews succession plans each year. The Board has delegated certain risk management oversight responsibility to the Board committees. As part of its responsibilities set forth in its charter, the Audit Committee is responsible for discussing with management Wabtec’s major risk exposures and the steps management has taken to monitor and control those exposures, including the Company’s risk assessment and risk management policies. In this regard, Wabtec’s management prepares a comprehensive risk assessment report and reviews that report with the Audit Committee twice each year. This report identifies the material business risks (including strategic, operational, cybersecurity, financial reporting and compliance risks) for the Company as a whole, as well as for each business unit and for corporate common services and identifies the controls that respond to and mitigate those risks. Wabtec’s management regularly evaluates these controls, and periodically reports to the Audit Committee regarding the controls’ design and effectiveness. The Audit Committee also receives annual reports from management on Wabtec’s ethics program and on environmental compliance. The Compensation Committee extensively reviewed the elements of compensation to determine whether any portion of compensation encouraged excessive risk taking and concluded:</w:t>
      </w:r>
    </w:p>
    <w:p>
      <w:pPr>
        <w:spacing w:after="0" w:line="78" w:lineRule="exact"/>
        <w:rPr>
          <w:sz w:val="20"/>
          <w:szCs w:val="20"/>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weighting towards long-term incentive compensation discourages short-term risk taking;</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rolling three-year performance targets discourage short-term risk taking;</w:t>
      </w:r>
    </w:p>
    <w:p>
      <w:pPr>
        <w:spacing w:after="0" w:line="103" w:lineRule="exact"/>
        <w:rPr>
          <w:rFonts w:ascii="Arial" w:cs="Arial" w:eastAsia="Arial" w:hAnsi="Arial"/>
          <w:sz w:val="18"/>
          <w:szCs w:val="18"/>
          <w:color w:val="auto"/>
        </w:rPr>
      </w:pPr>
    </w:p>
    <w:p>
      <w:pPr>
        <w:ind w:left="720" w:right="320" w:hanging="360"/>
        <w:spacing w:after="0" w:line="271"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incentive awards are capped by the Compensation Committee which discourages excessive risk taking; and</w:t>
      </w:r>
    </w:p>
    <w:p>
      <w:pPr>
        <w:spacing w:after="0" w:line="45"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equity ownership guidelines discourage excessive risk taking.</w:t>
      </w:r>
    </w:p>
    <w:p>
      <w:pPr>
        <w:spacing w:after="0" w:line="104"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The Nominating and Corporate Governance Committee annually reviews Wabtec’s Corporate Governance Guidelines and their implementation. Each committee reports to the full Board.</w:t>
      </w:r>
    </w:p>
    <w:p>
      <w:pPr>
        <w:spacing w:after="0" w:line="15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Diversity</w:t>
      </w:r>
    </w:p>
    <w:p>
      <w:pPr>
        <w:spacing w:after="0" w:line="12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Although the Board does not establish specific goals with respect to diversity, the Board’s overall diversity is a significant consideration in the director nomination process. Our Board of Directors, including this year’s nominees, consists of individuals who bring valuable diversity to the Board in terms of gender, ethnicity, race,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58978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66"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20</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2"/>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-169545</wp:posOffset>
            </wp:positionV>
            <wp:extent cx="471805" cy="1803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25" w:name="page26"/>
    <w:bookmarkEnd w:id="25"/>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860" w:right="1160"/>
        <w:spacing w:after="0" w:line="253" w:lineRule="auto"/>
        <w:rPr>
          <w:sz w:val="20"/>
          <w:szCs w:val="20"/>
          <w:color w:val="auto"/>
        </w:rPr>
      </w:pPr>
      <w:r>
        <w:rPr>
          <w:rFonts w:ascii="Arial" w:cs="Arial" w:eastAsia="Arial" w:hAnsi="Arial"/>
          <w:sz w:val="18"/>
          <w:szCs w:val="18"/>
          <w:color w:val="auto"/>
        </w:rPr>
        <w:t>represented, experience, age, and tenure. The Directors and nominees range in age from 50 to 78. Four of our Directors (including nominees) (40% of our directors) represent diversity of gender, race and ethnicity. 40% of our Directors (including nominees) have served on the Board for less than five years.</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The Nominating and Corporate Governance Committee</w:t>
      </w:r>
    </w:p>
    <w:p>
      <w:pPr>
        <w:spacing w:after="0" w:line="195" w:lineRule="exact"/>
        <w:rPr>
          <w:sz w:val="20"/>
          <w:szCs w:val="20"/>
          <w:color w:val="auto"/>
        </w:rPr>
      </w:pPr>
    </w:p>
    <w:p>
      <w:pPr>
        <w:ind w:left="860"/>
        <w:spacing w:after="0"/>
        <w:tabs>
          <w:tab w:leader="none" w:pos="3640" w:val="left"/>
        </w:tabs>
        <w:rPr>
          <w:sz w:val="20"/>
          <w:szCs w:val="20"/>
          <w:color w:val="auto"/>
        </w:rPr>
      </w:pPr>
      <w:r>
        <w:rPr>
          <w:rFonts w:ascii="Arial" w:cs="Arial" w:eastAsia="Arial" w:hAnsi="Arial"/>
          <w:sz w:val="18"/>
          <w:szCs w:val="18"/>
          <w:b w:val="1"/>
          <w:bCs w:val="1"/>
          <w:color w:val="auto"/>
        </w:rPr>
        <w:t>Committee Members:</w:t>
      </w:r>
      <w:r>
        <w:rPr>
          <w:sz w:val="20"/>
          <w:szCs w:val="20"/>
          <w:color w:val="auto"/>
        </w:rPr>
        <w:tab/>
      </w:r>
      <w:r>
        <w:rPr>
          <w:rFonts w:ascii="Arial" w:cs="Arial" w:eastAsia="Arial" w:hAnsi="Arial"/>
          <w:sz w:val="17"/>
          <w:szCs w:val="17"/>
          <w:color w:val="auto"/>
        </w:rPr>
        <w:t>A current copy of the charter is available on Wabtec’s website at:</w:t>
      </w:r>
    </w:p>
    <w:p>
      <w:pPr>
        <w:spacing w:after="0" w:line="9" w:lineRule="exact"/>
        <w:rPr>
          <w:sz w:val="20"/>
          <w:szCs w:val="20"/>
          <w:color w:val="auto"/>
        </w:rPr>
      </w:pPr>
    </w:p>
    <w:p>
      <w:pPr>
        <w:ind w:left="860"/>
        <w:spacing w:after="0"/>
        <w:tabs>
          <w:tab w:leader="none" w:pos="3640" w:val="left"/>
        </w:tabs>
        <w:rPr>
          <w:sz w:val="20"/>
          <w:szCs w:val="20"/>
          <w:color w:val="auto"/>
        </w:rPr>
      </w:pPr>
      <w:r>
        <w:rPr>
          <w:rFonts w:ascii="Arial" w:cs="Arial" w:eastAsia="Arial" w:hAnsi="Arial"/>
          <w:sz w:val="18"/>
          <w:szCs w:val="18"/>
          <w:b w:val="1"/>
          <w:bCs w:val="1"/>
          <w:color w:val="auto"/>
        </w:rPr>
        <w:t>Lee Foster, Chair</w:t>
      </w:r>
      <w:r>
        <w:rPr>
          <w:sz w:val="20"/>
          <w:szCs w:val="20"/>
          <w:color w:val="auto"/>
        </w:rPr>
        <w:tab/>
      </w:r>
      <w:r>
        <w:rPr>
          <w:rFonts w:ascii="Arial" w:cs="Arial" w:eastAsia="Arial" w:hAnsi="Arial"/>
          <w:sz w:val="17"/>
          <w:szCs w:val="17"/>
          <w:i w:val="1"/>
          <w:iCs w:val="1"/>
          <w:color w:val="auto"/>
        </w:rPr>
        <w:t>http://www.wabteccorp.com -&gt; investor relations -&gt; corporate governance</w:t>
      </w:r>
    </w:p>
    <w:p>
      <w:pPr>
        <w:ind w:left="860"/>
        <w:spacing w:after="0" w:line="234" w:lineRule="auto"/>
        <w:rPr>
          <w:sz w:val="20"/>
          <w:szCs w:val="20"/>
          <w:color w:val="auto"/>
        </w:rPr>
      </w:pPr>
      <w:r>
        <w:rPr>
          <w:rFonts w:ascii="Arial" w:cs="Arial" w:eastAsia="Arial" w:hAnsi="Arial"/>
          <w:sz w:val="18"/>
          <w:szCs w:val="18"/>
          <w:b w:val="1"/>
          <w:bCs w:val="1"/>
          <w:color w:val="auto"/>
        </w:rPr>
        <w:t>Lee Banks</w:t>
      </w:r>
    </w:p>
    <w:p>
      <w:pPr>
        <w:ind w:left="860"/>
        <w:spacing w:after="0" w:line="235" w:lineRule="auto"/>
        <w:rPr>
          <w:sz w:val="20"/>
          <w:szCs w:val="20"/>
          <w:color w:val="auto"/>
        </w:rPr>
      </w:pPr>
      <w:r>
        <w:rPr>
          <w:rFonts w:ascii="Arial" w:cs="Arial" w:eastAsia="Arial" w:hAnsi="Arial"/>
          <w:sz w:val="18"/>
          <w:szCs w:val="18"/>
          <w:b w:val="1"/>
          <w:bCs w:val="1"/>
          <w:color w:val="auto"/>
        </w:rPr>
        <w:t>Byron Foster</w:t>
      </w:r>
    </w:p>
    <w:p>
      <w:pPr>
        <w:ind w:left="860"/>
        <w:spacing w:after="0" w:line="235" w:lineRule="auto"/>
        <w:rPr>
          <w:sz w:val="20"/>
          <w:szCs w:val="20"/>
          <w:color w:val="auto"/>
        </w:rPr>
      </w:pPr>
      <w:r>
        <w:rPr>
          <w:rFonts w:ascii="Arial" w:cs="Arial" w:eastAsia="Arial" w:hAnsi="Arial"/>
          <w:sz w:val="18"/>
          <w:szCs w:val="18"/>
          <w:b w:val="1"/>
          <w:bCs w:val="1"/>
          <w:color w:val="auto"/>
        </w:rPr>
        <w:t>Linda Harty</w:t>
      </w:r>
    </w:p>
    <w:p>
      <w:pPr>
        <w:ind w:left="860"/>
        <w:spacing w:after="0" w:line="235" w:lineRule="auto"/>
        <w:rPr>
          <w:sz w:val="20"/>
          <w:szCs w:val="20"/>
          <w:color w:val="auto"/>
        </w:rPr>
      </w:pPr>
      <w:r>
        <w:rPr>
          <w:rFonts w:ascii="Arial" w:cs="Arial" w:eastAsia="Arial" w:hAnsi="Arial"/>
          <w:sz w:val="18"/>
          <w:szCs w:val="18"/>
          <w:b w:val="1"/>
          <w:bCs w:val="1"/>
          <w:color w:val="auto"/>
        </w:rPr>
        <w:t>Brian Hehir</w:t>
      </w:r>
    </w:p>
    <w:p>
      <w:pPr>
        <w:ind w:left="860"/>
        <w:spacing w:after="0" w:line="235" w:lineRule="auto"/>
        <w:rPr>
          <w:sz w:val="20"/>
          <w:szCs w:val="20"/>
          <w:color w:val="auto"/>
        </w:rPr>
      </w:pPr>
      <w:r>
        <w:rPr>
          <w:rFonts w:ascii="Arial" w:cs="Arial" w:eastAsia="Arial" w:hAnsi="Arial"/>
          <w:sz w:val="18"/>
          <w:szCs w:val="18"/>
          <w:b w:val="1"/>
          <w:bCs w:val="1"/>
          <w:color w:val="auto"/>
        </w:rPr>
        <w:t>Michael Howell</w:t>
      </w:r>
    </w:p>
    <w:p>
      <w:pPr>
        <w:ind w:left="860"/>
        <w:spacing w:after="0"/>
        <w:rPr>
          <w:sz w:val="20"/>
          <w:szCs w:val="20"/>
          <w:color w:val="auto"/>
        </w:rPr>
      </w:pPr>
      <w:r>
        <w:rPr>
          <w:rFonts w:ascii="Arial" w:cs="Arial" w:eastAsia="Arial" w:hAnsi="Arial"/>
          <w:sz w:val="18"/>
          <w:szCs w:val="18"/>
          <w:b w:val="1"/>
          <w:bCs w:val="1"/>
          <w:color w:val="auto"/>
        </w:rPr>
        <w:t>Ann Klee</w:t>
      </w:r>
    </w:p>
    <w:p>
      <w:pPr>
        <w:spacing w:after="0" w:line="140" w:lineRule="exact"/>
        <w:rPr>
          <w:sz w:val="20"/>
          <w:szCs w:val="20"/>
          <w:color w:val="auto"/>
        </w:rPr>
      </w:pPr>
    </w:p>
    <w:p>
      <w:pPr>
        <w:ind w:left="860" w:right="1800"/>
        <w:spacing w:after="0" w:line="271" w:lineRule="auto"/>
        <w:rPr>
          <w:sz w:val="20"/>
          <w:szCs w:val="20"/>
          <w:color w:val="auto"/>
        </w:rPr>
      </w:pPr>
      <w:r>
        <w:rPr>
          <w:rFonts w:ascii="Arial" w:cs="Arial" w:eastAsia="Arial" w:hAnsi="Arial"/>
          <w:sz w:val="18"/>
          <w:szCs w:val="18"/>
          <w:color w:val="auto"/>
        </w:rPr>
        <w:t>The Nominating and Corporate Governance Committee Charter was re-approved by the Committee at its February 10, 2022 meeting.</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principal functions of the Nominating and Corporate Governance Committee are to:</w:t>
      </w:r>
    </w:p>
    <w:p>
      <w:pPr>
        <w:spacing w:after="0" w:line="104" w:lineRule="exact"/>
        <w:rPr>
          <w:sz w:val="20"/>
          <w:szCs w:val="20"/>
          <w:color w:val="auto"/>
        </w:rPr>
      </w:pPr>
    </w:p>
    <w:p>
      <w:pPr>
        <w:ind w:left="1580" w:hanging="360"/>
        <w:spacing w:after="0"/>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individuals qualified to become Board of Director members;</w:t>
      </w:r>
    </w:p>
    <w:p>
      <w:pPr>
        <w:spacing w:after="0" w:line="103" w:lineRule="exact"/>
        <w:rPr>
          <w:rFonts w:ascii="Arial" w:cs="Arial" w:eastAsia="Arial" w:hAnsi="Arial"/>
          <w:sz w:val="18"/>
          <w:szCs w:val="18"/>
          <w:color w:val="auto"/>
        </w:rPr>
      </w:pPr>
    </w:p>
    <w:p>
      <w:pPr>
        <w:ind w:left="1580" w:right="1100" w:hanging="360"/>
        <w:spacing w:after="0" w:line="271" w:lineRule="auto"/>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recommend to the full Board director nominees from time to time, including with respect to any vacancies that may occur;</w:t>
      </w:r>
    </w:p>
    <w:p>
      <w:pPr>
        <w:spacing w:after="0" w:line="45" w:lineRule="exact"/>
        <w:rPr>
          <w:rFonts w:ascii="Arial" w:cs="Arial" w:eastAsia="Arial" w:hAnsi="Arial"/>
          <w:sz w:val="18"/>
          <w:szCs w:val="18"/>
          <w:color w:val="auto"/>
        </w:rPr>
      </w:pPr>
    </w:p>
    <w:p>
      <w:pPr>
        <w:ind w:left="1580" w:hanging="360"/>
        <w:spacing w:after="0"/>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consider and make recommendations for the Company’s strategies related to corporate responsibility;</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recommend to the Board of Directors corporate governance principles; and</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lead the Board of Directors in complying with its corporate governance principles.</w:t>
      </w:r>
    </w:p>
    <w:p>
      <w:pPr>
        <w:spacing w:after="0" w:line="104" w:lineRule="exact"/>
        <w:rPr>
          <w:sz w:val="20"/>
          <w:szCs w:val="20"/>
          <w:color w:val="auto"/>
        </w:rPr>
      </w:pPr>
    </w:p>
    <w:p>
      <w:pPr>
        <w:ind w:left="860" w:right="900"/>
        <w:spacing w:after="0" w:line="238" w:lineRule="auto"/>
        <w:rPr>
          <w:sz w:val="20"/>
          <w:szCs w:val="20"/>
          <w:color w:val="auto"/>
        </w:rPr>
      </w:pPr>
      <w:r>
        <w:rPr>
          <w:rFonts w:ascii="Arial" w:cs="Arial" w:eastAsia="Arial" w:hAnsi="Arial"/>
          <w:sz w:val="18"/>
          <w:szCs w:val="18"/>
          <w:color w:val="auto"/>
        </w:rPr>
        <w:t>In addition, the Committee is committed to ensuring that all the nominees for membership on the Board of Directors are of the highest possible caliber and are able to provide insightful, intelligent and effective guidance to the management of the Company and that the governance of the Company is in full compliance with law, reflects generally accepted principles of good corporate governance, encourages flexible and dynamic management without undue burdens and effectively oversees and monitors the risks of the business and operations of the Company. With respect to Board refreshment, the Committee is seeking potential directors to fill anticipated vacancies due to</w:t>
      </w:r>
    </w:p>
    <w:p>
      <w:pPr>
        <w:spacing w:after="0" w:line="1" w:lineRule="exact"/>
        <w:rPr>
          <w:sz w:val="20"/>
          <w:szCs w:val="20"/>
          <w:color w:val="auto"/>
        </w:rPr>
      </w:pPr>
    </w:p>
    <w:p>
      <w:pPr>
        <w:ind w:left="860" w:right="1240"/>
        <w:spacing w:after="0" w:line="250" w:lineRule="auto"/>
        <w:rPr>
          <w:sz w:val="20"/>
          <w:szCs w:val="20"/>
          <w:color w:val="auto"/>
        </w:rPr>
      </w:pPr>
      <w:r>
        <w:rPr>
          <w:rFonts w:ascii="Arial" w:cs="Arial" w:eastAsia="Arial" w:hAnsi="Arial"/>
          <w:sz w:val="18"/>
          <w:szCs w:val="18"/>
          <w:color w:val="auto"/>
        </w:rPr>
        <w:t>Mr. Lee Foster and Mr. Howell reaching the mandatory retirement age. The Committee has engaged an external search firm to assist in its identification of diverse and highly qualified potential board candidates.</w:t>
      </w:r>
    </w:p>
    <w:p>
      <w:pPr>
        <w:spacing w:after="0" w:line="64" w:lineRule="exact"/>
        <w:rPr>
          <w:sz w:val="20"/>
          <w:szCs w:val="20"/>
          <w:color w:val="auto"/>
        </w:rPr>
      </w:pPr>
    </w:p>
    <w:p>
      <w:pPr>
        <w:ind w:left="860" w:right="940"/>
        <w:spacing w:after="0" w:line="244" w:lineRule="auto"/>
        <w:rPr>
          <w:sz w:val="20"/>
          <w:szCs w:val="20"/>
          <w:color w:val="auto"/>
        </w:rPr>
      </w:pPr>
      <w:r>
        <w:rPr>
          <w:rFonts w:ascii="Arial" w:cs="Arial" w:eastAsia="Arial" w:hAnsi="Arial"/>
          <w:sz w:val="18"/>
          <w:szCs w:val="18"/>
          <w:color w:val="auto"/>
        </w:rPr>
        <w:t>The Committee met five times during 2021. The members of the Nominating and Corporate Governance Committee in 2021 were Mr. Lee Foster, who served as the Chair starting in August of 2020, Mr. Erwan Faiveley (who resigned from the Board in May of 2021), Ms. Harty, Mr. Hehir, Mr. Howell, Ms. Klee, Mr. Banks and Mr. Byron Foster (who joined in July of 2021), all of whom were independent, as independence for such members is defined in the listing standards of the NYSE and the rules of the SEC.</w:t>
      </w:r>
    </w:p>
    <w:p>
      <w:pPr>
        <w:spacing w:after="0" w:line="68" w:lineRule="exact"/>
        <w:rPr>
          <w:sz w:val="20"/>
          <w:szCs w:val="20"/>
          <w:color w:val="auto"/>
        </w:rPr>
      </w:pPr>
    </w:p>
    <w:p>
      <w:pPr>
        <w:ind w:left="860" w:right="880"/>
        <w:spacing w:after="0" w:line="250" w:lineRule="auto"/>
        <w:rPr>
          <w:sz w:val="20"/>
          <w:szCs w:val="20"/>
          <w:color w:val="auto"/>
        </w:rPr>
      </w:pPr>
      <w:r>
        <w:rPr>
          <w:rFonts w:ascii="Arial" w:cs="Arial" w:eastAsia="Arial" w:hAnsi="Arial"/>
          <w:sz w:val="17"/>
          <w:szCs w:val="17"/>
          <w:color w:val="auto"/>
        </w:rPr>
        <w:t>The Committee will consider director nominees recommended by stockholders. Stockholders wishing to recommend a director candidate for consideration by the Committee can do so by writing the Secretary of Wabtec at 30 Isabella Street, Pittsburgh, PA 15212 and providing the information required under our amended and restated bylaws, including, but not limited to the candidate’s name, biographical data and qualifications. Any such recommendation should be accompanied by a written statement from the individual of their consent to be named as a candidate and, if nominated and elected, to serve as a director. No candidates for Board membership have been put forward by stockholders for election at the 2022 annual meeting of stockholders. Our amended and restated by-laws require that for a stockholder to recommend a director nominee, notice in writing must be delivered to the Secretary of Wabtec no later than the 60th day and no earlier than the 90th day prior to the first anniversary of the previous year’s annual meeting proxy statement. Our amended and restated bylaws also permit a stockholder, or a group of up to</w:t>
      </w:r>
    </w:p>
    <w:p>
      <w:pPr>
        <w:spacing w:after="0" w:line="7" w:lineRule="exact"/>
        <w:rPr>
          <w:sz w:val="20"/>
          <w:szCs w:val="20"/>
          <w:color w:val="auto"/>
        </w:rPr>
      </w:pPr>
    </w:p>
    <w:p>
      <w:pPr>
        <w:ind w:left="860" w:right="1020"/>
        <w:spacing w:after="0" w:line="234" w:lineRule="auto"/>
        <w:rPr>
          <w:sz w:val="20"/>
          <w:szCs w:val="20"/>
          <w:color w:val="auto"/>
        </w:rPr>
      </w:pPr>
      <w:r>
        <w:rPr>
          <w:rFonts w:ascii="Arial" w:cs="Arial" w:eastAsia="Arial" w:hAnsi="Arial"/>
          <w:sz w:val="18"/>
          <w:szCs w:val="18"/>
          <w:color w:val="auto"/>
        </w:rPr>
        <w:t>20 stockholders, that has owned at least three percent of our outstanding Common Stock for at least three years to nominate and include in our proxy statement candidates for our Board, subject to certain requirements. Each stockholder, or group of stockholders, may nominate candidates for director, up to a limit of the greater of two or</w:t>
      </w:r>
    </w:p>
    <w:p>
      <w:pPr>
        <w:spacing w:after="0" w:line="2" w:lineRule="exact"/>
        <w:rPr>
          <w:sz w:val="20"/>
          <w:szCs w:val="20"/>
          <w:color w:val="auto"/>
        </w:rPr>
      </w:pPr>
    </w:p>
    <w:p>
      <w:pPr>
        <w:ind w:left="860" w:right="980"/>
        <w:spacing w:after="0" w:line="250" w:lineRule="auto"/>
        <w:rPr>
          <w:sz w:val="20"/>
          <w:szCs w:val="20"/>
          <w:color w:val="auto"/>
        </w:rPr>
      </w:pPr>
      <w:r>
        <w:rPr>
          <w:rFonts w:ascii="Arial" w:cs="Arial" w:eastAsia="Arial" w:hAnsi="Arial"/>
          <w:sz w:val="18"/>
          <w:szCs w:val="18"/>
          <w:color w:val="auto"/>
        </w:rPr>
        <w:t>20 percent of the number of directors on the Board. Any nominee must meet the qualification standards listed in our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163830</wp:posOffset>
            </wp:positionV>
            <wp:extent cx="58978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21</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evaluating candidates for the Board, the Nominating and Corporate Governance Committee considers the entirety of each candidate’s credentials. In doing so, the Committee identifies candidates of requisite skills and characteristics to be found in individuals qualified to serve as members of the Board of Directors who collectively provide meaningful counsel to management. As part of this process, a goal of the Committee is ensuring that the Board of Directors consists of individuals from diverse backgrounds (including diversity of gender, race, and ethnicity) and experience who, collectively, provide meaningful counsel to management. In order to achieve this goal, the Committee seeks and considers diverse candidates, inclusive of gender, race and ethnicity. The Committee also considers the candidate’s character, integrity, experience, understanding of strategy and policy-setting and reputation for working well with others. In connection with this evaluation, the Nominating and Corporate Governance Committee determines whether to interview the prospective nominee and, if warranted, one or more members of the Committee, and others as appropriate, interview prospective nominees. After completing this evaluation and interview, the Nominating and Corporate Governance Committee makes a recommendation to the full Board as to the persons who should be nominated by the Board, and the Board determines the nominees after considering the recommendation and report of the Nominating and Corporate Governance Committee. If candidates are recommended by the Company’s stockholders, such candidates are evaluated using the same criteria. With respect to nomination of continuing directors for re-election, the individual’s contributions to the Board are also considered.</w:t>
      </w:r>
    </w:p>
    <w:p>
      <w:pPr>
        <w:spacing w:after="0" w:line="7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Committee is also charged with oversight of the evaluation of the Board of Directors and management. In this regard the Committee evaluates, and reports to the Board of Directors, the effectiveness of the Board of Directors (as a whole) and each Committee of the Board of Directors (as a whole) (including, without limitation, the effectiveness of the Compensation Committee in its process of establishing goals and objectives for, and evaluating the performance of, the Chief Executive Officer and the other officers of the Company). In this process, the Committee receives comments from all Directors and reviews each Committee’s evaluation of its performance. The Committee may also obtain such external evaluations as it deems appropriate.</w:t>
      </w:r>
    </w:p>
    <w:p>
      <w:pPr>
        <w:spacing w:after="0" w:line="197"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Environment, Social and Governance Subcommittee</w:t>
      </w:r>
    </w:p>
    <w:p>
      <w:pPr>
        <w:spacing w:after="0" w:line="12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To further our Board of Directors’ commitment to oversight and accountability of environmental and social issues, the Board established the Environment, Social and Governance Subcommittee (the “ESG Subcommittee”) of the Nominating and Corporate Governance Committee, chaired by Board member Ms. Klee and includes board members Mr. Byron Foster and Mr. Howell. The ESG Subcommittee supports Wabtec’s on-going commitment to environmental, social and governance (“ESG”) matters relevant to Wabtec including complying with all applicable laws and regulations affecting the health and safety of our employees and stakeholders, as well as protection of the environment (including climate) and other public policy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ESG subcommittee is tasked with:</w:t>
      </w:r>
    </w:p>
    <w:p>
      <w:pPr>
        <w:spacing w:after="0" w:line="104" w:lineRule="exact"/>
        <w:rPr>
          <w:sz w:val="20"/>
          <w:szCs w:val="20"/>
          <w:color w:val="auto"/>
        </w:rPr>
      </w:pPr>
    </w:p>
    <w:p>
      <w:pPr>
        <w:ind w:left="720" w:hanging="36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setting the Company’s general strategy relating to ESG matters;</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the Company’s evolving reporting and disclosure requirements with respect to ESG matters;</w:t>
      </w:r>
    </w:p>
    <w:p>
      <w:pPr>
        <w:spacing w:after="0" w:line="103" w:lineRule="exact"/>
        <w:rPr>
          <w:rFonts w:ascii="Arial" w:cs="Arial" w:eastAsia="Arial" w:hAnsi="Arial"/>
          <w:sz w:val="18"/>
          <w:szCs w:val="18"/>
          <w:color w:val="auto"/>
        </w:rPr>
      </w:pPr>
    </w:p>
    <w:p>
      <w:pPr>
        <w:ind w:left="720" w:right="460" w:hanging="360"/>
        <w:spacing w:after="0" w:line="271"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communications with investors and other stakeholders, including oversight of the annual Sustainability Report, with respect to ESG matters;</w:t>
      </w:r>
    </w:p>
    <w:p>
      <w:pPr>
        <w:spacing w:after="0" w:line="45" w:lineRule="exact"/>
        <w:rPr>
          <w:rFonts w:ascii="Arial" w:cs="Arial" w:eastAsia="Arial" w:hAnsi="Arial"/>
          <w:sz w:val="18"/>
          <w:szCs w:val="18"/>
          <w:color w:val="auto"/>
        </w:rPr>
      </w:pPr>
    </w:p>
    <w:p>
      <w:pPr>
        <w:ind w:left="720" w:right="600" w:hanging="360"/>
        <w:spacing w:after="0" w:line="271"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the Company’s programs and practices to promote and provide safe, healthy and secure workplaces;</w:t>
      </w:r>
    </w:p>
    <w:p>
      <w:pPr>
        <w:spacing w:after="0" w:line="45" w:lineRule="exact"/>
        <w:rPr>
          <w:rFonts w:ascii="Arial" w:cs="Arial" w:eastAsia="Arial" w:hAnsi="Arial"/>
          <w:sz w:val="18"/>
          <w:szCs w:val="18"/>
          <w:color w:val="auto"/>
        </w:rPr>
      </w:pPr>
    </w:p>
    <w:p>
      <w:pPr>
        <w:ind w:left="720" w:right="60" w:hanging="360"/>
        <w:spacing w:after="0" w:line="271"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monitoring the Company’s compliance with legal and regulatory requirements as well as industry standards and guidelines applicable to ESG and health and safety matters;</w:t>
      </w:r>
    </w:p>
    <w:p>
      <w:pPr>
        <w:spacing w:after="0" w:line="45" w:lineRule="exact"/>
        <w:rPr>
          <w:rFonts w:ascii="Arial" w:cs="Arial" w:eastAsia="Arial" w:hAnsi="Arial"/>
          <w:sz w:val="18"/>
          <w:szCs w:val="18"/>
          <w:color w:val="auto"/>
        </w:rPr>
      </w:pPr>
    </w:p>
    <w:p>
      <w:pPr>
        <w:ind w:left="720" w:hanging="36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monitoring the Company’s ESG performance and health and safety compliance and related risks;</w:t>
      </w:r>
    </w:p>
    <w:p>
      <w:pPr>
        <w:spacing w:after="0" w:line="103" w:lineRule="exact"/>
        <w:rPr>
          <w:rFonts w:ascii="Arial" w:cs="Arial" w:eastAsia="Arial" w:hAnsi="Arial"/>
          <w:sz w:val="18"/>
          <w:szCs w:val="18"/>
          <w:color w:val="auto"/>
        </w:rPr>
      </w:pPr>
    </w:p>
    <w:p>
      <w:pPr>
        <w:ind w:left="720" w:right="340" w:hanging="360"/>
        <w:spacing w:after="0" w:line="271"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periodic reviews and discussions with management and the Board of Directors with respect to ESG and health and safety matters, and</w:t>
      </w:r>
    </w:p>
    <w:p>
      <w:pPr>
        <w:spacing w:after="0" w:line="45" w:lineRule="exact"/>
        <w:rPr>
          <w:rFonts w:ascii="Arial" w:cs="Arial" w:eastAsia="Arial" w:hAnsi="Arial"/>
          <w:sz w:val="18"/>
          <w:szCs w:val="18"/>
          <w:color w:val="auto"/>
        </w:rPr>
      </w:pPr>
    </w:p>
    <w:p>
      <w:pPr>
        <w:ind w:left="720" w:right="700" w:hanging="360"/>
        <w:spacing w:after="0" w:line="271"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performing such other responsibilities as may be assigned or delegated to it by the Nominating and Corporate Governance Committee.</w:t>
      </w:r>
    </w:p>
    <w:p>
      <w:pPr>
        <w:spacing w:after="0" w:line="4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Additional details regarding the ESG Subcommittee’s duties and responsibilities can be found in the Nominating and Corporate Governance Committee Charter located at https://ir.wabteccorp.com/investor-relations.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58978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68"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22</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2"/>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-169545</wp:posOffset>
            </wp:positionV>
            <wp:extent cx="471805" cy="180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27" w:name="page28"/>
    <w:bookmarkEnd w:id="27"/>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The Audit Committee</w:t>
      </w:r>
    </w:p>
    <w:p>
      <w:pPr>
        <w:spacing w:after="0" w:line="195" w:lineRule="exact"/>
        <w:rPr>
          <w:sz w:val="20"/>
          <w:szCs w:val="20"/>
          <w:color w:val="auto"/>
        </w:rPr>
      </w:pPr>
    </w:p>
    <w:p>
      <w:pPr>
        <w:ind w:left="860"/>
        <w:spacing w:after="0"/>
        <w:tabs>
          <w:tab w:leader="none" w:pos="3640" w:val="left"/>
        </w:tabs>
        <w:rPr>
          <w:sz w:val="20"/>
          <w:szCs w:val="20"/>
          <w:color w:val="auto"/>
        </w:rPr>
      </w:pPr>
      <w:r>
        <w:rPr>
          <w:rFonts w:ascii="Arial" w:cs="Arial" w:eastAsia="Arial" w:hAnsi="Arial"/>
          <w:sz w:val="18"/>
          <w:szCs w:val="18"/>
          <w:b w:val="1"/>
          <w:bCs w:val="1"/>
          <w:color w:val="auto"/>
        </w:rPr>
        <w:t>Committee Members:</w:t>
      </w:r>
      <w:r>
        <w:rPr>
          <w:sz w:val="20"/>
          <w:szCs w:val="20"/>
          <w:color w:val="auto"/>
        </w:rPr>
        <w:tab/>
      </w:r>
      <w:r>
        <w:rPr>
          <w:rFonts w:ascii="Arial" w:cs="Arial" w:eastAsia="Arial" w:hAnsi="Arial"/>
          <w:sz w:val="17"/>
          <w:szCs w:val="17"/>
          <w:color w:val="auto"/>
        </w:rPr>
        <w:t>A current copy of the charter is available on Wabtec’s website at:</w:t>
      </w:r>
    </w:p>
    <w:p>
      <w:pPr>
        <w:spacing w:after="0" w:line="9" w:lineRule="exact"/>
        <w:rPr>
          <w:sz w:val="20"/>
          <w:szCs w:val="20"/>
          <w:color w:val="auto"/>
        </w:rPr>
      </w:pPr>
    </w:p>
    <w:p>
      <w:pPr>
        <w:ind w:left="860"/>
        <w:spacing w:after="0"/>
        <w:tabs>
          <w:tab w:leader="none" w:pos="3640" w:val="left"/>
        </w:tabs>
        <w:rPr>
          <w:sz w:val="20"/>
          <w:szCs w:val="20"/>
          <w:color w:val="auto"/>
        </w:rPr>
      </w:pPr>
      <w:r>
        <w:rPr>
          <w:rFonts w:ascii="Arial" w:cs="Arial" w:eastAsia="Arial" w:hAnsi="Arial"/>
          <w:sz w:val="18"/>
          <w:szCs w:val="18"/>
          <w:b w:val="1"/>
          <w:bCs w:val="1"/>
          <w:color w:val="auto"/>
        </w:rPr>
        <w:t>Linda Harty, Chair</w:t>
      </w:r>
      <w:r>
        <w:rPr>
          <w:sz w:val="20"/>
          <w:szCs w:val="20"/>
          <w:color w:val="auto"/>
        </w:rPr>
        <w:tab/>
      </w:r>
      <w:r>
        <w:rPr>
          <w:rFonts w:ascii="Arial" w:cs="Arial" w:eastAsia="Arial" w:hAnsi="Arial"/>
          <w:sz w:val="17"/>
          <w:szCs w:val="17"/>
          <w:i w:val="1"/>
          <w:iCs w:val="1"/>
          <w:color w:val="auto"/>
        </w:rPr>
        <w:t>http://www.wabteccorp.com -&gt; investor relations -&gt; corporate governance</w:t>
      </w:r>
    </w:p>
    <w:p>
      <w:pPr>
        <w:ind w:left="860"/>
        <w:spacing w:after="0" w:line="234" w:lineRule="auto"/>
        <w:rPr>
          <w:sz w:val="20"/>
          <w:szCs w:val="20"/>
          <w:color w:val="auto"/>
        </w:rPr>
      </w:pPr>
      <w:r>
        <w:rPr>
          <w:rFonts w:ascii="Arial" w:cs="Arial" w:eastAsia="Arial" w:hAnsi="Arial"/>
          <w:sz w:val="18"/>
          <w:szCs w:val="18"/>
          <w:b w:val="1"/>
          <w:bCs w:val="1"/>
          <w:color w:val="auto"/>
        </w:rPr>
        <w:t>Byron Foster</w:t>
      </w:r>
    </w:p>
    <w:p>
      <w:pPr>
        <w:ind w:left="860"/>
        <w:spacing w:after="0" w:line="235" w:lineRule="auto"/>
        <w:rPr>
          <w:sz w:val="20"/>
          <w:szCs w:val="20"/>
          <w:color w:val="auto"/>
        </w:rPr>
      </w:pPr>
      <w:r>
        <w:rPr>
          <w:rFonts w:ascii="Arial" w:cs="Arial" w:eastAsia="Arial" w:hAnsi="Arial"/>
          <w:sz w:val="18"/>
          <w:szCs w:val="18"/>
          <w:b w:val="1"/>
          <w:bCs w:val="1"/>
          <w:color w:val="auto"/>
        </w:rPr>
        <w:t>Lee Foster</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Brian Hehir</w:t>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Audit Committee reviewed and approved the continued use of its charter at its February 10, 2021 meeting.</w:t>
      </w:r>
    </w:p>
    <w:p>
      <w:pPr>
        <w:spacing w:after="0" w:line="104" w:lineRule="exact"/>
        <w:rPr>
          <w:sz w:val="20"/>
          <w:szCs w:val="20"/>
          <w:color w:val="auto"/>
        </w:rPr>
      </w:pPr>
    </w:p>
    <w:p>
      <w:pPr>
        <w:ind w:left="860" w:right="920"/>
        <w:spacing w:after="0" w:line="242" w:lineRule="auto"/>
        <w:rPr>
          <w:sz w:val="20"/>
          <w:szCs w:val="20"/>
          <w:color w:val="auto"/>
        </w:rPr>
      </w:pPr>
      <w:r>
        <w:rPr>
          <w:rFonts w:ascii="Arial" w:cs="Arial" w:eastAsia="Arial" w:hAnsi="Arial"/>
          <w:sz w:val="18"/>
          <w:szCs w:val="18"/>
          <w:color w:val="auto"/>
        </w:rPr>
        <w:t>The Audit Committee provides assistance to the Board in fulfilling the Board’s oversight responsibility to the stockholders, potential stockholders, the investment community, and others relating to the integrity of the Company’s financial statements, the financial reporting process, the systems of internal accounting and financial controls, the performance of the Company’s internal audit function and independent auditors, the independent auditor’s qualifications and independence, the Company’s compliance with ethics policies and legal and regulatory requirements, and the Company’s enterprise risk management review and assessment.</w:t>
      </w:r>
    </w:p>
    <w:p>
      <w:pPr>
        <w:spacing w:after="0" w:line="71" w:lineRule="exact"/>
        <w:rPr>
          <w:sz w:val="20"/>
          <w:szCs w:val="20"/>
          <w:color w:val="auto"/>
        </w:rPr>
      </w:pPr>
    </w:p>
    <w:p>
      <w:pPr>
        <w:ind w:left="860" w:right="940"/>
        <w:spacing w:after="0" w:line="275" w:lineRule="auto"/>
        <w:rPr>
          <w:sz w:val="20"/>
          <w:szCs w:val="20"/>
          <w:color w:val="auto"/>
        </w:rPr>
      </w:pPr>
      <w:r>
        <w:rPr>
          <w:rFonts w:ascii="Arial" w:cs="Arial" w:eastAsia="Arial" w:hAnsi="Arial"/>
          <w:sz w:val="17"/>
          <w:szCs w:val="17"/>
          <w:color w:val="auto"/>
        </w:rPr>
        <w:t>In discharging its oversight role, the Audit Committee is empowered to investigate any matter brought to its attention with full access to all books, records, facilities, and personnel of the Company and has the authority to engage independent counsel and other advisers, including accountants, as it determines necessary to carry out its duties.</w:t>
      </w:r>
    </w:p>
    <w:p>
      <w:pPr>
        <w:spacing w:after="0" w:line="44" w:lineRule="exact"/>
        <w:rPr>
          <w:sz w:val="20"/>
          <w:szCs w:val="20"/>
          <w:color w:val="auto"/>
        </w:rPr>
      </w:pPr>
    </w:p>
    <w:p>
      <w:pPr>
        <w:ind w:left="860" w:right="1000"/>
        <w:spacing w:after="0" w:line="244" w:lineRule="auto"/>
        <w:rPr>
          <w:sz w:val="20"/>
          <w:szCs w:val="20"/>
          <w:color w:val="auto"/>
        </w:rPr>
      </w:pPr>
      <w:r>
        <w:rPr>
          <w:rFonts w:ascii="Arial" w:cs="Arial" w:eastAsia="Arial" w:hAnsi="Arial"/>
          <w:sz w:val="18"/>
          <w:szCs w:val="18"/>
          <w:color w:val="auto"/>
        </w:rPr>
        <w:t>The Audit Committee is directly responsible for appointing, compensating, retaining and overseeing the work of the independent registered public accounting firm engaged by Wabtec. The Audit Committee has established procedures for the receipt, retention and treatment of complaints received by Wabtec regarding accounting, internal controls or auditing matters and the confidential anonymous submission by employees of concerns regarding questionable accounting or auditing matters.</w:t>
      </w:r>
    </w:p>
    <w:p>
      <w:pPr>
        <w:spacing w:after="0" w:line="68" w:lineRule="exact"/>
        <w:rPr>
          <w:sz w:val="20"/>
          <w:szCs w:val="20"/>
          <w:color w:val="auto"/>
        </w:rPr>
      </w:pPr>
    </w:p>
    <w:p>
      <w:pPr>
        <w:ind w:left="860" w:right="940"/>
        <w:spacing w:after="0" w:line="242" w:lineRule="auto"/>
        <w:rPr>
          <w:sz w:val="20"/>
          <w:szCs w:val="20"/>
          <w:color w:val="auto"/>
        </w:rPr>
      </w:pPr>
      <w:r>
        <w:rPr>
          <w:rFonts w:ascii="Arial" w:cs="Arial" w:eastAsia="Arial" w:hAnsi="Arial"/>
          <w:sz w:val="18"/>
          <w:szCs w:val="18"/>
          <w:color w:val="auto"/>
        </w:rPr>
        <w:t>The Audit Committee met five times in 2021. The members of the Audit Committee in 2021 were, Mr. Lee Foster, Ms. Harty, Mr. Hehir, Mr. Faiveley (until his resignation in May of 2021) and Mr. Byron Foster (appointed July of 2021). Ms. Harty is the Chairperson of the Audit Committee. Each of the foregoing members of the Audit Committee during 2021, and currently, is independent, as independence is defined in the rules of the SEC and in the listing standards of the NYSE. The Board has determined that each of Ms. Harty, Mr. Lee Foster and Mr. Hehir qualifies as an “audit committee financial expert” as defined in the regulations of the SEC.</w:t>
      </w:r>
    </w:p>
    <w:p>
      <w:pPr>
        <w:spacing w:after="0" w:line="191"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Audit Committee Report</w:t>
      </w:r>
    </w:p>
    <w:p>
      <w:pPr>
        <w:spacing w:after="0" w:line="128" w:lineRule="exact"/>
        <w:rPr>
          <w:sz w:val="20"/>
          <w:szCs w:val="20"/>
          <w:color w:val="auto"/>
        </w:rPr>
      </w:pPr>
    </w:p>
    <w:p>
      <w:pPr>
        <w:ind w:left="860" w:right="880"/>
        <w:spacing w:after="0"/>
        <w:rPr>
          <w:sz w:val="20"/>
          <w:szCs w:val="20"/>
          <w:color w:val="auto"/>
        </w:rPr>
      </w:pPr>
      <w:r>
        <w:rPr>
          <w:rFonts w:ascii="Arial" w:cs="Arial" w:eastAsia="Arial" w:hAnsi="Arial"/>
          <w:sz w:val="18"/>
          <w:szCs w:val="18"/>
          <w:color w:val="auto"/>
        </w:rPr>
        <w:t>The Audit Committee is responsible for reviewing Wabtec’s financial reporting process on behalf of the Board of Directors. Management of the Company has the primary responsibility for the financial statements and the reporting process, including the system of internal controls. In the performance of its oversight function, the Audit Committee meets with management periodically to consider the adequacy of the Company’s internal controls and the objectivity of its financial reporting. The Audit Committee meets privately with the independent registered public accountants, who have unrestricted access to the Audit Committee. Specifically, the Audit Committee has reviewed and discussed with management and the independent registered public accountants the Company’s consolidated financial statements as of and for the fiscal year ended December 31, 2021.</w:t>
      </w:r>
    </w:p>
    <w:p>
      <w:pPr>
        <w:spacing w:after="0" w:line="72" w:lineRule="exact"/>
        <w:rPr>
          <w:sz w:val="20"/>
          <w:szCs w:val="20"/>
          <w:color w:val="auto"/>
        </w:rPr>
      </w:pPr>
    </w:p>
    <w:p>
      <w:pPr>
        <w:jc w:val="both"/>
        <w:ind w:left="860" w:right="940"/>
        <w:spacing w:after="0" w:line="253" w:lineRule="auto"/>
        <w:rPr>
          <w:sz w:val="20"/>
          <w:szCs w:val="20"/>
          <w:color w:val="auto"/>
        </w:rPr>
      </w:pPr>
      <w:r>
        <w:rPr>
          <w:rFonts w:ascii="Arial" w:cs="Arial" w:eastAsia="Arial" w:hAnsi="Arial"/>
          <w:sz w:val="18"/>
          <w:szCs w:val="18"/>
          <w:color w:val="auto"/>
        </w:rPr>
        <w:t>The Audit Committee has also discussed with the independent registered public accountants the matters required to be discussed by the applicable requirements of the Public Company Accounting Oversight Board and the Securities and Exchange Commission.</w:t>
      </w:r>
    </w:p>
    <w:p>
      <w:pPr>
        <w:spacing w:after="0" w:line="61" w:lineRule="exact"/>
        <w:rPr>
          <w:sz w:val="20"/>
          <w:szCs w:val="20"/>
          <w:color w:val="auto"/>
        </w:rPr>
      </w:pPr>
    </w:p>
    <w:p>
      <w:pPr>
        <w:ind w:left="860" w:right="900"/>
        <w:spacing w:after="0" w:line="247" w:lineRule="auto"/>
        <w:rPr>
          <w:sz w:val="20"/>
          <w:szCs w:val="20"/>
          <w:color w:val="auto"/>
        </w:rPr>
      </w:pPr>
      <w:r>
        <w:rPr>
          <w:rFonts w:ascii="Arial" w:cs="Arial" w:eastAsia="Arial" w:hAnsi="Arial"/>
          <w:sz w:val="18"/>
          <w:szCs w:val="18"/>
          <w:color w:val="auto"/>
        </w:rPr>
        <w:t>Furthermore, the Audit Committee received and reviewed the written disclosures and the letter from the independent registered public accountants required by applicable requirements of the Public Company Accounting Oversight Board regarding the independent accountant's communications with the Audit Committee concerning independence and have discussed with the independent registered public accountants their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165100</wp:posOffset>
            </wp:positionV>
            <wp:extent cx="58978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23</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Wabtec’s audited financial statements, as of and for the fiscal year ended December 31, 2021, be included in the Company’s Annual Report on Form 10-K, for the year ended December 31, 2021, to be filed with the Securities and Exchange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Linda A. Harty, Chair</w:t>
      </w:r>
    </w:p>
    <w:p>
      <w:pPr>
        <w:spacing w:after="0" w:line="234" w:lineRule="auto"/>
        <w:rPr>
          <w:sz w:val="20"/>
          <w:szCs w:val="20"/>
          <w:color w:val="auto"/>
        </w:rPr>
      </w:pPr>
      <w:r>
        <w:rPr>
          <w:rFonts w:ascii="Arial" w:cs="Arial" w:eastAsia="Arial" w:hAnsi="Arial"/>
          <w:sz w:val="18"/>
          <w:szCs w:val="18"/>
          <w:color w:val="auto"/>
        </w:rPr>
        <w:t>Byron Foster</w:t>
      </w:r>
    </w:p>
    <w:p>
      <w:pPr>
        <w:spacing w:after="0" w:line="235" w:lineRule="auto"/>
        <w:rPr>
          <w:sz w:val="20"/>
          <w:szCs w:val="20"/>
          <w:color w:val="auto"/>
        </w:rPr>
      </w:pPr>
      <w:r>
        <w:rPr>
          <w:rFonts w:ascii="Arial" w:cs="Arial" w:eastAsia="Arial" w:hAnsi="Arial"/>
          <w:sz w:val="18"/>
          <w:szCs w:val="18"/>
          <w:color w:val="auto"/>
        </w:rPr>
        <w:t>Lee B. Foster, II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Brian P. Hehir</w:t>
      </w:r>
    </w:p>
    <w:p>
      <w:pPr>
        <w:spacing w:after="0" w:line="19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The Compensation and Talent Management Committee</w:t>
      </w:r>
    </w:p>
    <w:p>
      <w:pPr>
        <w:spacing w:after="0" w:line="209"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b w:val="1"/>
          <w:bCs w:val="1"/>
          <w:color w:val="auto"/>
        </w:rPr>
        <w:t>Committee Members:</w:t>
      </w:r>
      <w:r>
        <w:rPr>
          <w:sz w:val="20"/>
          <w:szCs w:val="20"/>
          <w:color w:val="auto"/>
        </w:rPr>
        <w:tab/>
      </w:r>
      <w:r>
        <w:rPr>
          <w:rFonts w:ascii="Arial" w:cs="Arial" w:eastAsia="Arial" w:hAnsi="Arial"/>
          <w:sz w:val="17"/>
          <w:szCs w:val="17"/>
          <w:color w:val="auto"/>
        </w:rPr>
        <w:t>A current copy of the charter is available on Wabtec’s website at:</w:t>
      </w:r>
    </w:p>
    <w:p>
      <w:pPr>
        <w:spacing w:after="0" w:line="9"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b w:val="1"/>
          <w:bCs w:val="1"/>
          <w:color w:val="auto"/>
        </w:rPr>
        <w:t>Brian Hehir, Chair</w:t>
      </w:r>
      <w:r>
        <w:rPr>
          <w:sz w:val="20"/>
          <w:szCs w:val="20"/>
          <w:color w:val="auto"/>
        </w:rPr>
        <w:tab/>
      </w:r>
      <w:r>
        <w:rPr>
          <w:rFonts w:ascii="Arial" w:cs="Arial" w:eastAsia="Arial" w:hAnsi="Arial"/>
          <w:sz w:val="17"/>
          <w:szCs w:val="17"/>
          <w:i w:val="1"/>
          <w:iCs w:val="1"/>
          <w:color w:val="auto"/>
        </w:rPr>
        <w:t>http://www.wabteccorp.com -&gt; investor relations -&gt; corporate governance</w:t>
      </w:r>
    </w:p>
    <w:p>
      <w:pPr>
        <w:spacing w:after="0" w:line="234" w:lineRule="auto"/>
        <w:rPr>
          <w:sz w:val="20"/>
          <w:szCs w:val="20"/>
          <w:color w:val="auto"/>
        </w:rPr>
      </w:pPr>
      <w:r>
        <w:rPr>
          <w:rFonts w:ascii="Arial" w:cs="Arial" w:eastAsia="Arial" w:hAnsi="Arial"/>
          <w:sz w:val="18"/>
          <w:szCs w:val="18"/>
          <w:b w:val="1"/>
          <w:bCs w:val="1"/>
          <w:color w:val="auto"/>
        </w:rPr>
        <w:t>Lee Banks</w:t>
      </w:r>
    </w:p>
    <w:p>
      <w:pPr>
        <w:spacing w:after="0" w:line="235" w:lineRule="auto"/>
        <w:rPr>
          <w:sz w:val="20"/>
          <w:szCs w:val="20"/>
          <w:color w:val="auto"/>
        </w:rPr>
      </w:pPr>
      <w:r>
        <w:rPr>
          <w:rFonts w:ascii="Arial" w:cs="Arial" w:eastAsia="Arial" w:hAnsi="Arial"/>
          <w:sz w:val="18"/>
          <w:szCs w:val="18"/>
          <w:b w:val="1"/>
          <w:bCs w:val="1"/>
          <w:color w:val="auto"/>
        </w:rPr>
        <w:t>Byron Foster</w:t>
      </w:r>
    </w:p>
    <w:p>
      <w:pPr>
        <w:spacing w:after="0" w:line="235" w:lineRule="auto"/>
        <w:rPr>
          <w:sz w:val="20"/>
          <w:szCs w:val="20"/>
          <w:color w:val="auto"/>
        </w:rPr>
      </w:pPr>
      <w:r>
        <w:rPr>
          <w:rFonts w:ascii="Arial" w:cs="Arial" w:eastAsia="Arial" w:hAnsi="Arial"/>
          <w:sz w:val="18"/>
          <w:szCs w:val="18"/>
          <w:b w:val="1"/>
          <w:bCs w:val="1"/>
          <w:color w:val="auto"/>
        </w:rPr>
        <w:t>Michael Howell</w:t>
      </w:r>
    </w:p>
    <w:p>
      <w:pPr>
        <w:spacing w:after="0"/>
        <w:rPr>
          <w:sz w:val="20"/>
          <w:szCs w:val="20"/>
          <w:color w:val="auto"/>
        </w:rPr>
      </w:pPr>
      <w:r>
        <w:rPr>
          <w:rFonts w:ascii="Arial" w:cs="Arial" w:eastAsia="Arial" w:hAnsi="Arial"/>
          <w:sz w:val="18"/>
          <w:szCs w:val="18"/>
          <w:b w:val="1"/>
          <w:bCs w:val="1"/>
          <w:color w:val="auto"/>
        </w:rPr>
        <w:t>Ann Klee</w:t>
      </w:r>
    </w:p>
    <w:p>
      <w:pPr>
        <w:spacing w:after="0" w:line="140"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The Compensation Committee adopted, and the Board approved an amended committee charter which included changing the name of the Compensation Committee to the Compensation and Talent Management Committee in February 2022.</w:t>
      </w:r>
    </w:p>
    <w:p>
      <w:pPr>
        <w:spacing w:after="0" w:line="6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Compensation Committee provides assistance to the Board relating to the compensation of Wabtec’s officers and directors. The Compensation Committee has authority, pursuant to its charter, to make recommendations to the Board, which then establishes compensation. The Compensation Committee’s principal responsibilities include:</w:t>
      </w:r>
    </w:p>
    <w:p>
      <w:pPr>
        <w:spacing w:after="0" w:line="61" w:lineRule="exact"/>
        <w:rPr>
          <w:sz w:val="20"/>
          <w:szCs w:val="20"/>
          <w:color w:val="auto"/>
        </w:rPr>
      </w:pPr>
    </w:p>
    <w:p>
      <w:pPr>
        <w:ind w:left="720" w:right="400" w:hanging="360"/>
        <w:spacing w:after="0" w:line="271"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approving goals and objectives for the Chief Executive Officer and determining the Chief Executive Officer’s compensation;</w:t>
      </w:r>
    </w:p>
    <w:p>
      <w:pPr>
        <w:spacing w:after="0" w:line="45" w:lineRule="exact"/>
        <w:rPr>
          <w:rFonts w:ascii="Arial" w:cs="Arial" w:eastAsia="Arial" w:hAnsi="Arial"/>
          <w:sz w:val="18"/>
          <w:szCs w:val="18"/>
          <w:color w:val="auto"/>
        </w:rPr>
      </w:pPr>
    </w:p>
    <w:p>
      <w:pPr>
        <w:ind w:left="720" w:hanging="36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approving incentive compensation plans and equity-based plans;</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recommending compensation of all executive officers and non-employee directors; and</w:t>
      </w:r>
    </w:p>
    <w:p>
      <w:pPr>
        <w:spacing w:after="0" w:line="103" w:lineRule="exact"/>
        <w:rPr>
          <w:rFonts w:ascii="Arial" w:cs="Arial" w:eastAsia="Arial" w:hAnsi="Arial"/>
          <w:sz w:val="18"/>
          <w:szCs w:val="18"/>
          <w:color w:val="auto"/>
        </w:rPr>
      </w:pPr>
    </w:p>
    <w:p>
      <w:pPr>
        <w:ind w:left="720" w:right="400" w:hanging="360"/>
        <w:spacing w:after="0" w:line="271"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the Company’s human capital management strategies and programs including in respect of diversity, equity and inclusion.</w:t>
      </w:r>
    </w:p>
    <w:p>
      <w:pPr>
        <w:spacing w:after="0" w:line="4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Compensation Committee members in 2021 were Mr. Banks, Ms. Klee, Mr. Hehir, Mr. Howell and Mr. Byron Foster (appointed July of 2021), all of whom were independent, as independence for such members is defined in the rules of the SEC and the listing standards of the NYSE. In addition, the Compensation Committee members each qualify as “outside directors” within the meaning of Section 162(m) of the Internal Revenue Code of 1986, as amended. Mr. Hehir served as the Compensation Committee’s Chair. The Nominating and Corporate Governance Committee recommends the Compensation Committee members who are approved by the full Board of Directors. The Compensation Committee met six times in 2021.</w:t>
      </w:r>
    </w:p>
    <w:p>
      <w:pPr>
        <w:spacing w:after="0" w:line="77"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Compensation Committee reviews our executive compensation programs and recommends changes or adjustments to the Board, which then establishes these items. Base salaries and bonus targets are established at the beginning of the fiscal year. Base salaries depend mainly on the executive officer’s position and responsibility, while cash bonuses are based on pre-established performance factors. These factors were established at the beginning of the year for 2021 and include (i) financial performance indicators measuring earnings per share, earnings before interest and taxes, and cash from operations; and (ii) a personal performance indicator which measures whether the individual executive attained certain quantitative and measurable goals established for that executive.</w:t>
      </w:r>
    </w:p>
    <w:p>
      <w:pPr>
        <w:spacing w:after="0" w:line="72"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Executive officers also receive long-term incentive compensation. With respect to the long-term incentive portion of executive compensation, the Compensation Committee has discretion to grant equity-based, long-term incentive awards under our 2011 Stock Incentive Plan, as amended and restated (the “2011 Stock Incentive Plan”). Such awards take the form of restricted share awards, performance units and stock options. The performance units are paid three years after award based on achieving a rolling three-year performance metric established at award, and the restricted shares and options vest in 1/3 increments on March 1 of each succeeding year.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58978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66"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24</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2"/>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Committee bases the amount of the award upon the executive’s job level, as well as other factors. These factors include benchmarking the total compensation an executive may earn to ensure it is competitive, compensating executives in a “pay for performance” manner and aligning the interests of the executives with the interests of the stockholders. The Compensation Committee also reviews the ratio of total compensation to total target cash compensation to ensure that the mix of long-term compensation is appropriate for each executive. See “Long-Term Incentive Compensation” on page 37 for additional details.</w:t>
      </w:r>
    </w:p>
    <w:p>
      <w:pPr>
        <w:spacing w:after="0" w:line="71"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Chief Executive Officer and Chief Human Resources Officer suggest guidelines in discussions with the Compensation Committee regarding executive compensation. They provide recommendations and information regarding the competitiveness of the industry, key employees, performance of individuals, succession planning and other relevant data to the committee. The Chief Executive Officer is not present during any discussions concerning his own compensation. The Compensation Committee also has the authority to retain compensation consultants, advisors and legal counsel as it deems necessary and has the sole authority to approve such consultants’ fees, which are payable by the Company. The Compensation Committee engaged the consulting firm Pay Governance, LLC (“Pay Governance”) during 2021. During its engagement, Pay Governance provided the following services:</w:t>
      </w:r>
    </w:p>
    <w:p>
      <w:pPr>
        <w:ind w:left="200" w:hanging="200"/>
        <w:spacing w:after="0" w:line="237" w:lineRule="auto"/>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reviewed and assessed the Company’s current compensation practices for executives; (ii) reviewed the current</w:t>
      </w:r>
    </w:p>
    <w:p>
      <w:pPr>
        <w:ind w:right="40"/>
        <w:spacing w:after="0" w:line="234" w:lineRule="auto"/>
        <w:rPr>
          <w:rFonts w:ascii="Arial" w:cs="Arial" w:eastAsia="Arial" w:hAnsi="Arial"/>
          <w:sz w:val="18"/>
          <w:szCs w:val="18"/>
          <w:color w:val="auto"/>
        </w:rPr>
      </w:pPr>
      <w:r>
        <w:rPr>
          <w:rFonts w:ascii="Arial" w:cs="Arial" w:eastAsia="Arial" w:hAnsi="Arial"/>
          <w:sz w:val="18"/>
          <w:szCs w:val="18"/>
          <w:color w:val="auto"/>
        </w:rPr>
        <w:t>peer group and made recommendations to update the peer group; (iii) reviewed and provided a pay for performance assessment of Chief Executive Officer compensation; (iv) provided benchmarking of peer group and relevant industry data; (v) provided data and recommendations associated with a review of the long-term incentive plan; and</w:t>
      </w:r>
    </w:p>
    <w:p>
      <w:pPr>
        <w:spacing w:after="0" w:line="2" w:lineRule="exact"/>
        <w:rPr>
          <w:rFonts w:ascii="Arial" w:cs="Arial" w:eastAsia="Arial" w:hAnsi="Arial"/>
          <w:sz w:val="18"/>
          <w:szCs w:val="18"/>
          <w:color w:val="auto"/>
        </w:rPr>
      </w:pPr>
    </w:p>
    <w:p>
      <w:pPr>
        <w:ind w:right="20"/>
        <w:spacing w:after="0" w:line="264" w:lineRule="auto"/>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provided data and recommendations on changes to the annual cash incentive program. In addition, Pay Governance reviewed and assessed the competitiveness of compensation provided to non-employee members of the Company’s Board of Directors. This review included benchmarking of the Peer Group and relevant industry data.</w:t>
      </w:r>
    </w:p>
    <w:p>
      <w:pPr>
        <w:spacing w:after="0" w:line="133" w:lineRule="exact"/>
        <w:rPr>
          <w:sz w:val="20"/>
          <w:szCs w:val="20"/>
          <w:color w:val="auto"/>
        </w:rPr>
      </w:pPr>
    </w:p>
    <w:p>
      <w:pPr>
        <w:ind w:right="1180"/>
        <w:spacing w:after="0" w:line="306" w:lineRule="auto"/>
        <w:rPr>
          <w:sz w:val="20"/>
          <w:szCs w:val="20"/>
          <w:color w:val="auto"/>
        </w:rPr>
      </w:pPr>
      <w:r>
        <w:rPr>
          <w:rFonts w:ascii="Arial" w:cs="Arial" w:eastAsia="Arial" w:hAnsi="Arial"/>
          <w:sz w:val="23"/>
          <w:szCs w:val="23"/>
          <w:b w:val="1"/>
          <w:bCs w:val="1"/>
          <w:color w:val="EC252A"/>
        </w:rPr>
        <w:t>Compensation and Talent Management Committee Interlocks and Insider Participation</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During 2021, Wabtec had no interlocking relationships in which (i) an executive officer of Wabtec served as a member of the compensation committee of another entity, one of whose executive officers served on the Compensation Committee of Wabtec; (ii) an executive officer of Wabtec served as a director of another entity, one of whose executive officers served on the Compensation Committee of Wabtec; or (iii) an executive officer of Wabtec served as a member of the compensation committee of another entity, one of whose executive officers served as a director of Wabtec. No member of the Compensation Committee was at any time during the 2021 fiscal year or at any other time an officer or employee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Compensation and Talent Management Committee Report</w:t>
      </w:r>
    </w:p>
    <w:p>
      <w:pPr>
        <w:spacing w:after="0" w:line="128" w:lineRule="exact"/>
        <w:rPr>
          <w:sz w:val="20"/>
          <w:szCs w:val="20"/>
          <w:color w:val="auto"/>
        </w:rPr>
      </w:pPr>
    </w:p>
    <w:p>
      <w:pPr>
        <w:ind w:right="100"/>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The Compensation Committee of the Board of Directors has reviewed and discussed the Compensation Discussion and Analysis included on pages </w:t>
      </w:r>
      <w:hyperlink w:anchor="page34">
        <w:r>
          <w:rPr>
            <w:rFonts w:ascii="Arial" w:cs="Arial" w:eastAsia="Arial" w:hAnsi="Arial"/>
            <w:sz w:val="18"/>
            <w:szCs w:val="18"/>
            <w:u w:val="single" w:color="auto"/>
            <w:color w:val="0000EE"/>
          </w:rPr>
          <w:t>29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through </w:t>
      </w:r>
      <w:hyperlink w:anchor="page55">
        <w:r>
          <w:rPr>
            <w:rFonts w:ascii="Arial" w:cs="Arial" w:eastAsia="Arial" w:hAnsi="Arial"/>
            <w:sz w:val="18"/>
            <w:szCs w:val="18"/>
            <w:u w:val="single" w:color="auto"/>
            <w:color w:val="0000EE"/>
          </w:rPr>
          <w:t>50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with management.</w:t>
      </w:r>
    </w:p>
    <w:p>
      <w:pPr>
        <w:spacing w:after="0" w:line="4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Based on this review and discussion, the Compensation Committee recommends to the Board of Directors that the Compensation Discussion and Analysis be included in this proxy statement, and incorporated by reference in our Annual Report on Form 10-K for the year ended December 31, 2021 filed with the SEC.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P. Hehir, Chair</w:t>
      </w:r>
    </w:p>
    <w:p>
      <w:pPr>
        <w:spacing w:after="0" w:line="234" w:lineRule="auto"/>
        <w:rPr>
          <w:sz w:val="20"/>
          <w:szCs w:val="20"/>
          <w:color w:val="auto"/>
        </w:rPr>
      </w:pPr>
      <w:r>
        <w:rPr>
          <w:rFonts w:ascii="Arial" w:cs="Arial" w:eastAsia="Arial" w:hAnsi="Arial"/>
          <w:sz w:val="18"/>
          <w:szCs w:val="18"/>
          <w:color w:val="auto"/>
        </w:rPr>
        <w:t>Lee C. Banks</w:t>
      </w:r>
    </w:p>
    <w:p>
      <w:pPr>
        <w:spacing w:after="0" w:line="235" w:lineRule="auto"/>
        <w:rPr>
          <w:sz w:val="20"/>
          <w:szCs w:val="20"/>
          <w:color w:val="auto"/>
        </w:rPr>
      </w:pPr>
      <w:r>
        <w:rPr>
          <w:rFonts w:ascii="Arial" w:cs="Arial" w:eastAsia="Arial" w:hAnsi="Arial"/>
          <w:sz w:val="18"/>
          <w:szCs w:val="18"/>
          <w:color w:val="auto"/>
        </w:rPr>
        <w:t>Michael W. D. Howell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 R. Klee</w:t>
      </w:r>
    </w:p>
    <w:p>
      <w:pPr>
        <w:spacing w:after="0" w:line="19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Stockholder Engagement</w:t>
      </w:r>
    </w:p>
    <w:p>
      <w:pPr>
        <w:spacing w:after="0" w:line="12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Ongoing engagement with our stockholders is important to us. We value our stockholders’ views and their input is important. Our Investor Relations and Finance teams are dedicated to leading our engagement efforts and collaborating with Wabtec’s management teams and subject matter experts in order to provide appropriate resources for engagement with our stockholders. Our engagements with stockholders have been constructive and have provided management and the Board with insights on issues and initiatives that are important to our stockholders and other stakeholders.</w:t>
      </w:r>
    </w:p>
    <w:p>
      <w:pPr>
        <w:spacing w:after="0" w:line="71"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We communicate with our stockholders through a variety of means, including direct interface, investor presentations, investor conferences, analyst meetings, our website, and publications we issue. We also initiate formal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58978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363" w:lineRule="exact"/>
        <w:rPr>
          <w:sz w:val="20"/>
          <w:szCs w:val="20"/>
          <w:color w:val="auto"/>
        </w:rPr>
      </w:pPr>
    </w:p>
    <w:p>
      <w:pPr>
        <w:spacing w:after="0"/>
        <w:tabs>
          <w:tab w:leader="none" w:pos="8980" w:val="left"/>
        </w:tabs>
        <w:rPr>
          <w:sz w:val="20"/>
          <w:szCs w:val="20"/>
          <w:color w:val="auto"/>
        </w:rPr>
      </w:pPr>
      <w:r>
        <w:rPr>
          <w:sz w:val="1"/>
          <w:szCs w:val="1"/>
          <w:color w:val="auto"/>
        </w:rPr>
        <w:drawing>
          <wp:inline distT="0" distB="0" distL="0" distR="0">
            <wp:extent cx="471170" cy="18034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1170" cy="180340"/>
                    </a:xfrm>
                    <a:prstGeom prst="rect">
                      <a:avLst/>
                    </a:prstGeom>
                    <a:noFill/>
                    <a:ln>
                      <a:noFill/>
                    </a:ln>
                  </pic:spPr>
                </pic:pic>
              </a:graphicData>
            </a:graphic>
          </wp:inline>
        </w:drawing>
      </w:r>
      <w:r>
        <w:rPr>
          <w:rFonts w:ascii="Arial" w:cs="Arial" w:eastAsia="Arial" w:hAnsi="Arial"/>
          <w:sz w:val="12"/>
          <w:szCs w:val="12"/>
          <w:color w:val="EC252A"/>
        </w:rPr>
        <w:t xml:space="preserve"> 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r>
        <w:rPr>
          <w:sz w:val="20"/>
          <w:szCs w:val="20"/>
          <w:color w:val="auto"/>
        </w:rPr>
        <w:tab/>
      </w:r>
      <w:r>
        <w:rPr>
          <w:rFonts w:ascii="Arial" w:cs="Arial" w:eastAsia="Arial" w:hAnsi="Arial"/>
          <w:sz w:val="24"/>
          <w:szCs w:val="24"/>
          <w:b w:val="1"/>
          <w:bCs w:val="1"/>
          <w:color w:val="auto"/>
          <w:vertAlign w:val="superscript"/>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120015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efforts in the months prior to our annual meeting of stockholders. Through that process, we contact stockholders and invite them to engage in discussions with our senior management team and subject matter experts on a variety of topics, including the stockholders’ priorities and interests, our proxy statement disclosures, stockholder proposals, and company strategy. In 2021, conversations with stockholders focused on the following key areas:</w:t>
      </w:r>
    </w:p>
    <w:p>
      <w:pPr>
        <w:spacing w:after="0" w:line="52" w:lineRule="exact"/>
        <w:rPr>
          <w:sz w:val="20"/>
          <w:szCs w:val="20"/>
          <w:color w:val="auto"/>
        </w:rPr>
      </w:pPr>
    </w:p>
    <w:p>
      <w:pPr>
        <w:ind w:left="720" w:right="20" w:hanging="360"/>
        <w:spacing w:after="0" w:line="23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Wabtec’s ongoing response to the COVID-19 pandemic and our commitment to the health and safety of our employees;</w:t>
      </w:r>
    </w:p>
    <w:p>
      <w:pPr>
        <w:ind w:left="720" w:hanging="360"/>
        <w:spacing w:after="0" w:line="184" w:lineRule="auto"/>
        <w:tabs>
          <w:tab w:leader="none" w:pos="720" w:val="left"/>
        </w:tabs>
        <w:numPr>
          <w:ilvl w:val="0"/>
          <w:numId w:val="27"/>
        </w:numPr>
        <w:rPr>
          <w:rFonts w:ascii="Arial" w:cs="Arial" w:eastAsia="Arial" w:hAnsi="Arial"/>
          <w:sz w:val="25"/>
          <w:szCs w:val="25"/>
          <w:color w:val="auto"/>
          <w:vertAlign w:val="subscript"/>
        </w:rPr>
      </w:pPr>
      <w:r>
        <w:rPr>
          <w:rFonts w:ascii="Arial" w:cs="Arial" w:eastAsia="Arial" w:hAnsi="Arial"/>
          <w:sz w:val="14"/>
          <w:szCs w:val="14"/>
          <w:color w:val="auto"/>
        </w:rPr>
        <w:t>Business strategy;</w:t>
      </w:r>
    </w:p>
    <w:p>
      <w:pPr>
        <w:spacing w:after="0" w:line="90" w:lineRule="exact"/>
        <w:rPr>
          <w:rFonts w:ascii="Arial" w:cs="Arial" w:eastAsia="Arial" w:hAnsi="Arial"/>
          <w:sz w:val="25"/>
          <w:szCs w:val="25"/>
          <w:color w:val="auto"/>
          <w:vertAlign w:val="subscript"/>
        </w:rPr>
      </w:pPr>
    </w:p>
    <w:p>
      <w:pPr>
        <w:ind w:left="720" w:hanging="360"/>
        <w:spacing w:after="0" w:line="184" w:lineRule="auto"/>
        <w:tabs>
          <w:tab w:leader="none" w:pos="720" w:val="left"/>
        </w:tabs>
        <w:numPr>
          <w:ilvl w:val="0"/>
          <w:numId w:val="27"/>
        </w:numPr>
        <w:rPr>
          <w:rFonts w:ascii="Arial" w:cs="Arial" w:eastAsia="Arial" w:hAnsi="Arial"/>
          <w:sz w:val="25"/>
          <w:szCs w:val="25"/>
          <w:color w:val="auto"/>
          <w:vertAlign w:val="subscript"/>
        </w:rPr>
      </w:pPr>
      <w:r>
        <w:rPr>
          <w:rFonts w:ascii="Arial" w:cs="Arial" w:eastAsia="Arial" w:hAnsi="Arial"/>
          <w:sz w:val="14"/>
          <w:szCs w:val="14"/>
          <w:color w:val="auto"/>
        </w:rPr>
        <w:t>Financial performance;</w:t>
      </w:r>
    </w:p>
    <w:p>
      <w:pPr>
        <w:spacing w:after="0" w:line="90" w:lineRule="exact"/>
        <w:rPr>
          <w:rFonts w:ascii="Arial" w:cs="Arial" w:eastAsia="Arial" w:hAnsi="Arial"/>
          <w:sz w:val="25"/>
          <w:szCs w:val="25"/>
          <w:color w:val="auto"/>
          <w:vertAlign w:val="subscript"/>
        </w:rPr>
      </w:pPr>
    </w:p>
    <w:p>
      <w:pPr>
        <w:ind w:left="720" w:hanging="360"/>
        <w:spacing w:after="0" w:line="184" w:lineRule="auto"/>
        <w:tabs>
          <w:tab w:leader="none" w:pos="720" w:val="left"/>
        </w:tabs>
        <w:numPr>
          <w:ilvl w:val="0"/>
          <w:numId w:val="27"/>
        </w:numPr>
        <w:rPr>
          <w:rFonts w:ascii="Arial" w:cs="Arial" w:eastAsia="Arial" w:hAnsi="Arial"/>
          <w:sz w:val="25"/>
          <w:szCs w:val="25"/>
          <w:color w:val="auto"/>
          <w:vertAlign w:val="subscript"/>
        </w:rPr>
      </w:pPr>
      <w:r>
        <w:rPr>
          <w:rFonts w:ascii="Arial" w:cs="Arial" w:eastAsia="Arial" w:hAnsi="Arial"/>
          <w:sz w:val="14"/>
          <w:szCs w:val="14"/>
          <w:color w:val="auto"/>
        </w:rPr>
        <w:t>Company culture and ongoing integration and restructuring efforts;</w:t>
      </w:r>
    </w:p>
    <w:p>
      <w:pPr>
        <w:spacing w:after="0" w:line="90" w:lineRule="exact"/>
        <w:rPr>
          <w:rFonts w:ascii="Arial" w:cs="Arial" w:eastAsia="Arial" w:hAnsi="Arial"/>
          <w:sz w:val="25"/>
          <w:szCs w:val="25"/>
          <w:color w:val="auto"/>
          <w:vertAlign w:val="subscript"/>
        </w:rPr>
      </w:pPr>
    </w:p>
    <w:p>
      <w:pPr>
        <w:ind w:left="720" w:hanging="360"/>
        <w:spacing w:after="0" w:line="184" w:lineRule="auto"/>
        <w:tabs>
          <w:tab w:leader="none" w:pos="720" w:val="left"/>
        </w:tabs>
        <w:numPr>
          <w:ilvl w:val="0"/>
          <w:numId w:val="27"/>
        </w:numPr>
        <w:rPr>
          <w:rFonts w:ascii="Arial" w:cs="Arial" w:eastAsia="Arial" w:hAnsi="Arial"/>
          <w:sz w:val="25"/>
          <w:szCs w:val="25"/>
          <w:color w:val="auto"/>
          <w:vertAlign w:val="subscript"/>
        </w:rPr>
      </w:pPr>
      <w:r>
        <w:rPr>
          <w:rFonts w:ascii="Arial" w:cs="Arial" w:eastAsia="Arial" w:hAnsi="Arial"/>
          <w:sz w:val="14"/>
          <w:szCs w:val="14"/>
          <w:color w:val="auto"/>
        </w:rPr>
        <w:t>Capital allocation;</w:t>
      </w:r>
    </w:p>
    <w:p>
      <w:pPr>
        <w:spacing w:after="0" w:line="90" w:lineRule="exact"/>
        <w:rPr>
          <w:rFonts w:ascii="Arial" w:cs="Arial" w:eastAsia="Arial" w:hAnsi="Arial"/>
          <w:sz w:val="25"/>
          <w:szCs w:val="25"/>
          <w:color w:val="auto"/>
          <w:vertAlign w:val="subscript"/>
        </w:rPr>
      </w:pPr>
    </w:p>
    <w:p>
      <w:pPr>
        <w:ind w:left="720" w:hanging="360"/>
        <w:spacing w:after="0" w:line="184" w:lineRule="auto"/>
        <w:tabs>
          <w:tab w:leader="none" w:pos="720" w:val="left"/>
        </w:tabs>
        <w:numPr>
          <w:ilvl w:val="0"/>
          <w:numId w:val="27"/>
        </w:numPr>
        <w:rPr>
          <w:rFonts w:ascii="Arial" w:cs="Arial" w:eastAsia="Arial" w:hAnsi="Arial"/>
          <w:sz w:val="25"/>
          <w:szCs w:val="25"/>
          <w:color w:val="auto"/>
          <w:vertAlign w:val="subscript"/>
        </w:rPr>
      </w:pPr>
      <w:r>
        <w:rPr>
          <w:rFonts w:ascii="Arial" w:cs="Arial" w:eastAsia="Arial" w:hAnsi="Arial"/>
          <w:sz w:val="14"/>
          <w:szCs w:val="14"/>
          <w:color w:val="auto"/>
        </w:rPr>
        <w:t>Executive compensation;</w:t>
      </w:r>
    </w:p>
    <w:p>
      <w:pPr>
        <w:spacing w:after="0" w:line="90" w:lineRule="exact"/>
        <w:rPr>
          <w:rFonts w:ascii="Arial" w:cs="Arial" w:eastAsia="Arial" w:hAnsi="Arial"/>
          <w:sz w:val="25"/>
          <w:szCs w:val="25"/>
          <w:color w:val="auto"/>
          <w:vertAlign w:val="subscript"/>
        </w:rPr>
      </w:pPr>
    </w:p>
    <w:p>
      <w:pPr>
        <w:ind w:left="720" w:hanging="360"/>
        <w:spacing w:after="0" w:line="184" w:lineRule="auto"/>
        <w:tabs>
          <w:tab w:leader="none" w:pos="720" w:val="left"/>
        </w:tabs>
        <w:numPr>
          <w:ilvl w:val="0"/>
          <w:numId w:val="27"/>
        </w:numPr>
        <w:rPr>
          <w:rFonts w:ascii="Arial" w:cs="Arial" w:eastAsia="Arial" w:hAnsi="Arial"/>
          <w:sz w:val="25"/>
          <w:szCs w:val="25"/>
          <w:color w:val="auto"/>
          <w:vertAlign w:val="subscript"/>
        </w:rPr>
      </w:pPr>
      <w:r>
        <w:rPr>
          <w:rFonts w:ascii="Arial" w:cs="Arial" w:eastAsia="Arial" w:hAnsi="Arial"/>
          <w:sz w:val="14"/>
          <w:szCs w:val="14"/>
          <w:color w:val="auto"/>
        </w:rPr>
        <w:t>Corporate governance practices;</w:t>
      </w:r>
    </w:p>
    <w:p>
      <w:pPr>
        <w:spacing w:after="0" w:line="90" w:lineRule="exact"/>
        <w:rPr>
          <w:rFonts w:ascii="Arial" w:cs="Arial" w:eastAsia="Arial" w:hAnsi="Arial"/>
          <w:sz w:val="25"/>
          <w:szCs w:val="25"/>
          <w:color w:val="auto"/>
          <w:vertAlign w:val="subscript"/>
        </w:rPr>
      </w:pPr>
    </w:p>
    <w:p>
      <w:pPr>
        <w:ind w:left="720" w:hanging="360"/>
        <w:spacing w:after="0" w:line="184" w:lineRule="auto"/>
        <w:tabs>
          <w:tab w:leader="none" w:pos="720" w:val="left"/>
        </w:tabs>
        <w:numPr>
          <w:ilvl w:val="0"/>
          <w:numId w:val="27"/>
        </w:numPr>
        <w:rPr>
          <w:rFonts w:ascii="Arial" w:cs="Arial" w:eastAsia="Arial" w:hAnsi="Arial"/>
          <w:sz w:val="25"/>
          <w:szCs w:val="25"/>
          <w:color w:val="auto"/>
          <w:vertAlign w:val="subscript"/>
        </w:rPr>
      </w:pPr>
      <w:r>
        <w:rPr>
          <w:rFonts w:ascii="Arial" w:cs="Arial" w:eastAsia="Arial" w:hAnsi="Arial"/>
          <w:sz w:val="14"/>
          <w:szCs w:val="14"/>
          <w:color w:val="auto"/>
        </w:rPr>
        <w:t>Board composition; and</w:t>
      </w:r>
    </w:p>
    <w:p>
      <w:pPr>
        <w:spacing w:after="0" w:line="90" w:lineRule="exact"/>
        <w:rPr>
          <w:rFonts w:ascii="Arial" w:cs="Arial" w:eastAsia="Arial" w:hAnsi="Arial"/>
          <w:sz w:val="25"/>
          <w:szCs w:val="25"/>
          <w:color w:val="auto"/>
          <w:vertAlign w:val="subscript"/>
        </w:rPr>
      </w:pPr>
    </w:p>
    <w:p>
      <w:pPr>
        <w:ind w:left="720" w:hanging="360"/>
        <w:spacing w:after="0" w:line="184" w:lineRule="auto"/>
        <w:tabs>
          <w:tab w:leader="none" w:pos="720" w:val="left"/>
        </w:tabs>
        <w:numPr>
          <w:ilvl w:val="0"/>
          <w:numId w:val="27"/>
        </w:numPr>
        <w:rPr>
          <w:rFonts w:ascii="Arial" w:cs="Arial" w:eastAsia="Arial" w:hAnsi="Arial"/>
          <w:sz w:val="25"/>
          <w:szCs w:val="25"/>
          <w:color w:val="auto"/>
          <w:vertAlign w:val="subscript"/>
        </w:rPr>
      </w:pPr>
      <w:r>
        <w:rPr>
          <w:rFonts w:ascii="Arial" w:cs="Arial" w:eastAsia="Arial" w:hAnsi="Arial"/>
          <w:sz w:val="14"/>
          <w:szCs w:val="14"/>
          <w:color w:val="auto"/>
        </w:rPr>
        <w:t>Other topics, including climate-related risks and opportunities.</w:t>
      </w:r>
    </w:p>
    <w:p>
      <w:pPr>
        <w:spacing w:after="0" w:line="180"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Following our annual meeting, our engagement efforts continue so that we may follow up on matters brought to our attention and/or discuss new issues of interest. We also respond routinely to individual stockholders and other stakeholders who inquire about our business. Input from our stockholders helps us formulate an appropriate action plan for addressing certain issues.</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Corporate Responsibility and Sustainability</w:t>
      </w:r>
    </w:p>
    <w:p>
      <w:pPr>
        <w:spacing w:after="0" w:line="12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This year, we released our 2021 Sustainability Report, which highlights Wabtec’s accomplishments and commitments to building a more responsible and sustainable future. Wabtec established the following Sustainability Principles to guide our sustainability strategy:</w:t>
      </w:r>
    </w:p>
    <w:p>
      <w:pPr>
        <w:spacing w:after="0" w:line="47" w:lineRule="exact"/>
        <w:rPr>
          <w:sz w:val="20"/>
          <w:szCs w:val="20"/>
          <w:color w:val="auto"/>
        </w:rPr>
      </w:pPr>
    </w:p>
    <w:p>
      <w:pPr>
        <w:ind w:left="720" w:right="60" w:hanging="360"/>
        <w:spacing w:after="0" w:line="25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Innovation with Purpose</w:t>
      </w:r>
      <w:r>
        <w:rPr>
          <w:rFonts w:ascii="Arial" w:cs="Arial" w:eastAsia="Arial" w:hAnsi="Arial"/>
          <w:sz w:val="18"/>
          <w:szCs w:val="18"/>
          <w:color w:val="auto"/>
        </w:rPr>
        <w:t>, which is a commitment to developing responsible and sustainable products that</w:t>
      </w:r>
      <w:r>
        <w:rPr>
          <w:rFonts w:ascii="Arial" w:cs="Arial" w:eastAsia="Arial" w:hAnsi="Arial"/>
          <w:sz w:val="18"/>
          <w:szCs w:val="18"/>
          <w:b w:val="1"/>
          <w:bCs w:val="1"/>
          <w:color w:val="auto"/>
        </w:rPr>
        <w:t xml:space="preserve"> </w:t>
      </w:r>
      <w:r>
        <w:rPr>
          <w:rFonts w:ascii="Arial" w:cs="Arial" w:eastAsia="Arial" w:hAnsi="Arial"/>
          <w:sz w:val="18"/>
          <w:szCs w:val="18"/>
          <w:color w:val="auto"/>
        </w:rPr>
        <w:t>minimize the impact on our planet;</w:t>
      </w:r>
    </w:p>
    <w:p>
      <w:pPr>
        <w:spacing w:after="0" w:line="44" w:lineRule="exact"/>
        <w:rPr>
          <w:rFonts w:ascii="Arial" w:cs="Arial" w:eastAsia="Arial" w:hAnsi="Arial"/>
          <w:sz w:val="18"/>
          <w:szCs w:val="18"/>
          <w:color w:val="auto"/>
        </w:rPr>
      </w:pPr>
    </w:p>
    <w:p>
      <w:pPr>
        <w:ind w:left="720" w:right="380" w:hanging="360"/>
        <w:spacing w:after="0" w:line="25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Driving Responsible Operations</w:t>
      </w:r>
      <w:r>
        <w:rPr>
          <w:rFonts w:ascii="Arial" w:cs="Arial" w:eastAsia="Arial" w:hAnsi="Arial"/>
          <w:sz w:val="18"/>
          <w:szCs w:val="18"/>
          <w:color w:val="auto"/>
        </w:rPr>
        <w:t>, which is a commitment to providing safe working environments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that enable productive and efficient use of resources; and</w:t>
      </w:r>
    </w:p>
    <w:p>
      <w:pPr>
        <w:spacing w:after="0" w:line="44" w:lineRule="exact"/>
        <w:rPr>
          <w:rFonts w:ascii="Arial" w:cs="Arial" w:eastAsia="Arial" w:hAnsi="Arial"/>
          <w:sz w:val="18"/>
          <w:szCs w:val="18"/>
          <w:color w:val="auto"/>
        </w:rPr>
      </w:pPr>
    </w:p>
    <w:p>
      <w:pPr>
        <w:ind w:left="720" w:hanging="360"/>
        <w:spacing w:after="0" w:line="238"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Empowering People and Communities</w:t>
      </w:r>
      <w:r>
        <w:rPr>
          <w:rFonts w:ascii="Arial" w:cs="Arial" w:eastAsia="Arial" w:hAnsi="Arial"/>
          <w:sz w:val="18"/>
          <w:szCs w:val="18"/>
          <w:color w:val="auto"/>
        </w:rPr>
        <w:t>, which is a commitment to driving an inclusive culture grounded in</w:t>
      </w:r>
      <w:r>
        <w:rPr>
          <w:rFonts w:ascii="Arial" w:cs="Arial" w:eastAsia="Arial" w:hAnsi="Arial"/>
          <w:sz w:val="18"/>
          <w:szCs w:val="18"/>
          <w:b w:val="1"/>
          <w:bCs w:val="1"/>
          <w:color w:val="auto"/>
        </w:rPr>
        <w:t xml:space="preserve"> </w:t>
      </w:r>
      <w:r>
        <w:rPr>
          <w:rFonts w:ascii="Arial" w:cs="Arial" w:eastAsia="Arial" w:hAnsi="Arial"/>
          <w:sz w:val="18"/>
          <w:szCs w:val="18"/>
          <w:color w:val="auto"/>
        </w:rPr>
        <w:t>integrity, committed to the development of and investment in the communities where our teams live and work.</w:t>
      </w:r>
    </w:p>
    <w:p>
      <w:pPr>
        <w:spacing w:after="0" w:line="7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2021 Sustainability Report outlines a series of goals to improve our performance on global environmental, social, and governance matters, and drive a better future for people and the planet. The report also shares notable actions taken by Wabtec to advance its sustainability strategy.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report can be found at www.wabteccorp.com/sustainability.</w:t>
      </w:r>
    </w:p>
    <w:p>
      <w:pPr>
        <w:spacing w:after="0" w:line="104"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In addition, and to further our Board of Directors’ commitment to oversight and accountability of environmental and social issues, the Board established the ESG Subcommittee of the Nominating and Corporate Governance Committee, chaired by Board member Ms. Klee. The ESG Subcommittee supports Wabtec’s on-going commitment to environmental, health and safety matters relevant to Wabtec including complying with all applicable laws and regulations affecting the health and safety of our employees and stakeholders, as well as protection of the environment.</w:t>
      </w:r>
    </w:p>
    <w:p>
      <w:pPr>
        <w:spacing w:after="0" w:line="71"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Details of the ESG Subcommittee’s duties and responsibilities can be found in the Nominating and Corporate Governance Committee Charter located at https://ir.wabteccorp.com/investor-relations.</w:t>
      </w:r>
    </w:p>
    <w:p>
      <w:pPr>
        <w:spacing w:after="0" w:line="4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i w:val="1"/>
          <w:iCs w:val="1"/>
          <w:color w:val="auto"/>
        </w:rPr>
        <w:t>Wabtec’s 2021 Sustainability Report is not a part of this proxy statement. The report is not “soliciting material,” is not deemed filed with the SEC, and is not to be incorporated by reference into any of Wabtec’s filings under the Securities Act of 1933, as amended, or the Securities Exchange Act of 1934, as amended, whether made before or after the date of this proxy statement and irrespective of any general incorporation language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389255</wp:posOffset>
            </wp:positionV>
            <wp:extent cx="58978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26</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31" w:name="page32"/>
    <w:bookmarkEnd w:id="31"/>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6172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97880" cy="6172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FFFFFF"/>
        </w:rPr>
        <w:t>Proposal 2—Advisory (Non-Binding) Resolution Relating to the</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FFFFFF"/>
        </w:rPr>
        <w:t>Approval of 2021 Named Executive Officer Compensation</w:t>
      </w:r>
    </w:p>
    <w:p>
      <w:pPr>
        <w:spacing w:after="0" w:line="165" w:lineRule="exact"/>
        <w:rPr>
          <w:sz w:val="20"/>
          <w:szCs w:val="20"/>
          <w:color w:val="auto"/>
        </w:rPr>
      </w:pPr>
    </w:p>
    <w:p>
      <w:pPr>
        <w:ind w:left="860" w:right="880"/>
        <w:spacing w:after="0"/>
        <w:rPr>
          <w:sz w:val="20"/>
          <w:szCs w:val="20"/>
          <w:color w:val="auto"/>
        </w:rPr>
      </w:pPr>
      <w:r>
        <w:rPr>
          <w:rFonts w:ascii="Arial" w:cs="Arial" w:eastAsia="Arial" w:hAnsi="Arial"/>
          <w:sz w:val="18"/>
          <w:szCs w:val="18"/>
          <w:color w:val="auto"/>
        </w:rPr>
        <w:t>As required under the Dodd-Frank Wall Street Reform and Consumer Protection Act (the “Dodd- Frank Act”), we are providing our stockholders with a non-binding vote to approve our executive compensation programs and arrangements in accordance with Section 14A of the Exchange Act. In 2017, our shareholders indicated their approval of the Board of Directors’ recommendation that we solicit an advisory vote such as this on an annual basis. Our Board of Directors has adopted a policy that is consistent with that preference and, accordingly, we are providing our stockholders with an opportunity to vote on this proposal at this Annual Meeting. A “say on-frequency” vote is required every six years, and as such, our next say-on-frequency vote is expected to occur in 2023.</w:t>
      </w:r>
    </w:p>
    <w:p>
      <w:pPr>
        <w:spacing w:after="0" w:line="77" w:lineRule="exact"/>
        <w:rPr>
          <w:sz w:val="20"/>
          <w:szCs w:val="20"/>
          <w:color w:val="auto"/>
        </w:rPr>
      </w:pPr>
    </w:p>
    <w:p>
      <w:pPr>
        <w:ind w:left="860" w:right="880"/>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As described in greater detail under the heading “Compensation Discussion and Analysis,” on page </w:t>
      </w:r>
      <w:hyperlink w:anchor="page34">
        <w:r>
          <w:rPr>
            <w:rFonts w:ascii="Arial" w:cs="Arial" w:eastAsia="Arial" w:hAnsi="Arial"/>
            <w:sz w:val="18"/>
            <w:szCs w:val="18"/>
            <w:u w:val="single" w:color="auto"/>
            <w:color w:val="0000EE"/>
          </w:rPr>
          <w:t>29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we seek to closely align the interests of our named executive officers with the interests of our stockholders. Our compensation programs are designed to reward our named executive officers for the achievement of short-term and long-term strategic and operational goals and the achievement of increased total stockholder return, while at the same time avoiding the encouragement of unnecessary or excessive risk-taking. The overall objectives of our executive compensation program are to (i) enable us to attract, motivate and retain key executive talent essential to the achievement of our short-term and long-term business objectives; (ii) provide compensation competitive with others in our industry; (iii) reward senior executive officers in a “pay for performance” manner for accomplishment of pre-defined business goals and objectives; and (iv) align the interests of our executives with our stockholders. A significant portion of total executive compensation is variable compensation linked to corporate, business unit and individual performance. Our objective is to provide a significant portion of an executive’s total compensation in a form that is contingent upon achieving established performance goals that are intended to align the executives’ interests with those of our stockholders. In regard to compensation based on long-term performance, our objective is to provide a significant portion of such compensation in the form of equity awards.</w:t>
      </w:r>
    </w:p>
    <w:p>
      <w:pPr>
        <w:spacing w:after="0" w:line="81" w:lineRule="exact"/>
        <w:rPr>
          <w:sz w:val="20"/>
          <w:szCs w:val="20"/>
          <w:color w:val="auto"/>
        </w:rPr>
      </w:pPr>
    </w:p>
    <w:p>
      <w:pPr>
        <w:ind w:left="860" w:right="880"/>
        <w:spacing w:after="0" w:line="253" w:lineRule="auto"/>
        <w:rPr>
          <w:sz w:val="20"/>
          <w:szCs w:val="20"/>
          <w:color w:val="auto"/>
        </w:rPr>
      </w:pPr>
      <w:r>
        <w:rPr>
          <w:rFonts w:ascii="Arial" w:cs="Arial" w:eastAsia="Arial" w:hAnsi="Arial"/>
          <w:sz w:val="18"/>
          <w:szCs w:val="18"/>
          <w:color w:val="auto"/>
        </w:rPr>
        <w:t>Pursuant to the SEC rules, we are asking you to approve the 2021 compensation of the named executive officers, as disclosed in this proxy statement pursuant to Item 402 of Regulation S-K of the SEC, including the Compensation Discussion and Analysis, the compensation tables and other narrative executive compensation disclosures.</w:t>
      </w:r>
    </w:p>
    <w:p>
      <w:pPr>
        <w:spacing w:after="0" w:line="61" w:lineRule="exact"/>
        <w:rPr>
          <w:sz w:val="20"/>
          <w:szCs w:val="20"/>
          <w:color w:val="auto"/>
        </w:rPr>
      </w:pPr>
    </w:p>
    <w:p>
      <w:pPr>
        <w:ind w:left="860" w:right="900"/>
        <w:spacing w:after="0" w:line="239" w:lineRule="auto"/>
        <w:rPr>
          <w:sz w:val="20"/>
          <w:szCs w:val="20"/>
          <w:color w:val="auto"/>
        </w:rPr>
      </w:pPr>
      <w:r>
        <w:rPr>
          <w:rFonts w:ascii="Arial" w:cs="Arial" w:eastAsia="Arial" w:hAnsi="Arial"/>
          <w:sz w:val="18"/>
          <w:szCs w:val="18"/>
          <w:color w:val="auto"/>
        </w:rPr>
        <w:t>Under the Dodd-Frank Act and the related SEC rules, your vote on this resolution is an advisory or “non-binding” vote. This means that the purpose of the vote is to provide stockholders with a method to give their opinion to the Board of Directors of Wabtec about certain issues, like executive compensation. None of the Board, its committees or Wabtec is required by law to take any action in response to the stockholder vote. However, the Board values our stockholders’ opinions, and the Board intends to evaluate the results of this year’s vote carefully when making future decisions regarding compensation of the named executive officers. The stockholder advisory vote in connection with our 2021 annual meeting received over 90% approval by our stockholders, indicating support of our compensation programs and policies. We believe that providing our stockholders with an advisory vote on our executive compensation program will further enhance communication with our stockholders, and it meets our obligations under the Dodd-Frank Act and the SEC’s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168910</wp:posOffset>
            </wp:positionV>
            <wp:extent cx="58978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27</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Vote Required</w:t>
      </w:r>
    </w:p>
    <w:p>
      <w:pPr>
        <w:spacing w:after="0" w:line="12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This proposal is adopted if a majority of the shares present in person or by proxy vote for the proposal. Because the total shares voted “for,” “against,” or “abstain” are counted to determine the minimum votes required for approval, if you abstain from voting, it has the same legal effect as if you vote against. If a broker limits the number of shares voted on the proposal on its proxy card or indicates that the shares represented by the proxy card are not being voted on the proposal, it is considered a broker non-vote. Broker non-votes are not counted as a vote or used to determine the favorable votes required to approve the proposal.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approve the following resolution:</w:t>
      </w:r>
    </w:p>
    <w:p>
      <w:pPr>
        <w:spacing w:after="0" w:line="104" w:lineRule="exact"/>
        <w:rPr>
          <w:sz w:val="20"/>
          <w:szCs w:val="20"/>
          <w:color w:val="auto"/>
        </w:rPr>
      </w:pPr>
    </w:p>
    <w:p>
      <w:pPr>
        <w:ind w:left="360" w:right="180"/>
        <w:spacing w:after="0" w:line="247" w:lineRule="auto"/>
        <w:rPr>
          <w:sz w:val="20"/>
          <w:szCs w:val="20"/>
          <w:color w:val="auto"/>
        </w:rPr>
      </w:pPr>
      <w:r>
        <w:rPr>
          <w:rFonts w:ascii="Arial" w:cs="Arial" w:eastAsia="Arial" w:hAnsi="Arial"/>
          <w:sz w:val="18"/>
          <w:szCs w:val="18"/>
          <w:color w:val="auto"/>
        </w:rPr>
        <w:t>RESOLVED, that the stockholders approve the 2021 compensation of the named executive officers, as disclosed in this proxy statement pursuant to Item 402 of Regulation S-K of the SEC, including the Compensation Discussion and Analysis, the compensation tables and other narrative executive compensation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27940</wp:posOffset>
            </wp:positionV>
            <wp:extent cx="5074920" cy="651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74920" cy="651510"/>
                    </a:xfrm>
                    <a:prstGeom prst="rect">
                      <a:avLst/>
                    </a:prstGeom>
                    <a:noFill/>
                  </pic:spPr>
                </pic:pic>
              </a:graphicData>
            </a:graphic>
          </wp:anchor>
        </w:drawing>
      </w:r>
    </w:p>
    <w:p>
      <w:pPr>
        <w:spacing w:after="0" w:line="86" w:lineRule="exact"/>
        <w:rPr>
          <w:sz w:val="20"/>
          <w:szCs w:val="20"/>
          <w:color w:val="auto"/>
        </w:rPr>
      </w:pPr>
    </w:p>
    <w:p>
      <w:pPr>
        <w:ind w:left="1480"/>
        <w:spacing w:after="0"/>
        <w:rPr>
          <w:sz w:val="20"/>
          <w:szCs w:val="20"/>
          <w:color w:val="auto"/>
        </w:rPr>
      </w:pPr>
      <w:r>
        <w:rPr>
          <w:rFonts w:ascii="Arial" w:cs="Arial" w:eastAsia="Arial" w:hAnsi="Arial"/>
          <w:sz w:val="22"/>
          <w:szCs w:val="22"/>
          <w:b w:val="1"/>
          <w:bCs w:val="1"/>
          <w:color w:val="auto"/>
        </w:rPr>
        <w:t xml:space="preserve">The Board recommends you vote </w:t>
      </w:r>
      <w:r>
        <w:rPr>
          <w:rFonts w:ascii="Arial" w:cs="Arial" w:eastAsia="Arial" w:hAnsi="Arial"/>
          <w:sz w:val="22"/>
          <w:szCs w:val="22"/>
          <w:b w:val="1"/>
          <w:bCs w:val="1"/>
          <w:color w:val="EC252A"/>
        </w:rPr>
        <w:t>FOR</w:t>
      </w:r>
      <w:r>
        <w:rPr>
          <w:rFonts w:ascii="Arial" w:cs="Arial" w:eastAsia="Arial" w:hAnsi="Arial"/>
          <w:sz w:val="22"/>
          <w:szCs w:val="22"/>
          <w:b w:val="1"/>
          <w:bCs w:val="1"/>
          <w:color w:val="auto"/>
        </w:rPr>
        <w:t xml:space="preserve"> the approval of the 2021</w:t>
      </w:r>
    </w:p>
    <w:p>
      <w:pPr>
        <w:spacing w:after="0" w:line="102" w:lineRule="exact"/>
        <w:rPr>
          <w:sz w:val="20"/>
          <w:szCs w:val="20"/>
          <w:color w:val="auto"/>
        </w:rPr>
      </w:pPr>
    </w:p>
    <w:p>
      <w:pPr>
        <w:ind w:left="1480" w:right="840" w:hanging="562"/>
        <w:spacing w:after="0" w:line="189" w:lineRule="auto"/>
        <w:tabs>
          <w:tab w:leader="none" w:pos="1480" w:val="left"/>
        </w:tabs>
        <w:numPr>
          <w:ilvl w:val="0"/>
          <w:numId w:val="29"/>
        </w:numPr>
        <w:rPr>
          <w:rFonts w:ascii="MS PGothic" w:cs="MS PGothic" w:eastAsia="MS PGothic" w:hAnsi="MS PGothic"/>
          <w:sz w:val="43"/>
          <w:szCs w:val="43"/>
          <w:color w:val="EC252A"/>
        </w:rPr>
      </w:pPr>
      <w:r>
        <w:rPr>
          <w:rFonts w:ascii="Arial" w:cs="Arial" w:eastAsia="Arial" w:hAnsi="Arial"/>
          <w:sz w:val="22"/>
          <w:szCs w:val="22"/>
          <w:b w:val="1"/>
          <w:bCs w:val="1"/>
          <w:color w:val="auto"/>
        </w:rPr>
        <w:t>compensation of our named executive officers, as disclosed in this proxy statement pursuant to Regulation S-K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58978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28</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-169545</wp:posOffset>
            </wp:positionV>
            <wp:extent cx="471805"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33" w:name="page34"/>
    <w:bookmarkEnd w:id="33"/>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299085</wp:posOffset>
            </wp:positionV>
            <wp:extent cx="5897880" cy="3429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400"/>
        <w:spacing w:after="0"/>
        <w:rPr>
          <w:sz w:val="20"/>
          <w:szCs w:val="20"/>
          <w:color w:val="auto"/>
        </w:rPr>
      </w:pPr>
      <w:r>
        <w:rPr>
          <w:rFonts w:ascii="Arial" w:cs="Arial" w:eastAsia="Arial" w:hAnsi="Arial"/>
          <w:sz w:val="29"/>
          <w:szCs w:val="29"/>
          <w:b w:val="1"/>
          <w:bCs w:val="1"/>
          <w:color w:val="FFFFFF"/>
        </w:rPr>
        <w:t>Executive Officer and Director Compensation</w:t>
      </w:r>
    </w:p>
    <w:p>
      <w:pPr>
        <w:spacing w:after="0" w:line="315"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Compensation Discussion and Analysis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 of December 31, 2021, our named executive officers (“NEOs”) were:</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2160" w:type="dxa"/>
            <w:vAlign w:val="bottom"/>
          </w:tcPr>
          <w:p>
            <w:pPr>
              <w:ind w:left="80"/>
              <w:spacing w:after="0"/>
              <w:rPr>
                <w:sz w:val="20"/>
                <w:szCs w:val="20"/>
                <w:color w:val="auto"/>
              </w:rPr>
            </w:pPr>
            <w:r>
              <w:rPr>
                <w:rFonts w:ascii="Arial" w:cs="Arial" w:eastAsia="Arial" w:hAnsi="Arial"/>
                <w:sz w:val="16"/>
                <w:szCs w:val="16"/>
                <w:b w:val="1"/>
                <w:bCs w:val="1"/>
                <w:color w:val="EC252A"/>
              </w:rPr>
              <w:t>Name</w:t>
            </w:r>
          </w:p>
        </w:tc>
        <w:tc>
          <w:tcPr>
            <w:tcW w:w="7120" w:type="dxa"/>
            <w:vAlign w:val="bottom"/>
          </w:tcPr>
          <w:p>
            <w:pPr>
              <w:ind w:left="600"/>
              <w:spacing w:after="0"/>
              <w:rPr>
                <w:sz w:val="20"/>
                <w:szCs w:val="20"/>
                <w:color w:val="auto"/>
              </w:rPr>
            </w:pPr>
            <w:r>
              <w:rPr>
                <w:rFonts w:ascii="Arial" w:cs="Arial" w:eastAsia="Arial" w:hAnsi="Arial"/>
                <w:sz w:val="16"/>
                <w:szCs w:val="16"/>
                <w:b w:val="1"/>
                <w:bCs w:val="1"/>
                <w:color w:val="EC252A"/>
              </w:rPr>
              <w:t>Title</w:t>
            </w:r>
          </w:p>
        </w:tc>
      </w:tr>
      <w:tr>
        <w:trPr>
          <w:trHeight w:val="88"/>
        </w:trPr>
        <w:tc>
          <w:tcPr>
            <w:tcW w:w="2160" w:type="dxa"/>
            <w:vAlign w:val="bottom"/>
            <w:tcBorders>
              <w:bottom w:val="single" w:sz="8" w:color="EC252A"/>
            </w:tcBorders>
          </w:tcPr>
          <w:p>
            <w:pPr>
              <w:spacing w:after="0"/>
              <w:rPr>
                <w:sz w:val="7"/>
                <w:szCs w:val="7"/>
                <w:color w:val="auto"/>
              </w:rPr>
            </w:pPr>
          </w:p>
        </w:tc>
        <w:tc>
          <w:tcPr>
            <w:tcW w:w="7120" w:type="dxa"/>
            <w:vAlign w:val="bottom"/>
            <w:tcBorders>
              <w:bottom w:val="single" w:sz="8" w:color="EC252A"/>
            </w:tcBorders>
          </w:tcPr>
          <w:p>
            <w:pPr>
              <w:spacing w:after="0"/>
              <w:rPr>
                <w:sz w:val="7"/>
                <w:szCs w:val="7"/>
                <w:color w:val="auto"/>
              </w:rPr>
            </w:pPr>
          </w:p>
        </w:tc>
      </w:tr>
      <w:tr>
        <w:trPr>
          <w:trHeight w:val="322"/>
        </w:trPr>
        <w:tc>
          <w:tcPr>
            <w:tcW w:w="2160" w:type="dxa"/>
            <w:vAlign w:val="bottom"/>
          </w:tcPr>
          <w:p>
            <w:pPr>
              <w:ind w:left="80"/>
              <w:spacing w:after="0"/>
              <w:rPr>
                <w:sz w:val="20"/>
                <w:szCs w:val="20"/>
                <w:color w:val="auto"/>
              </w:rPr>
            </w:pPr>
            <w:r>
              <w:rPr>
                <w:rFonts w:ascii="Arial" w:cs="Arial" w:eastAsia="Arial" w:hAnsi="Arial"/>
                <w:sz w:val="18"/>
                <w:szCs w:val="18"/>
                <w:color w:val="auto"/>
              </w:rPr>
              <w:t>Rafael Santana</w:t>
            </w:r>
          </w:p>
        </w:tc>
        <w:tc>
          <w:tcPr>
            <w:tcW w:w="7120" w:type="dxa"/>
            <w:vAlign w:val="bottom"/>
          </w:tcPr>
          <w:p>
            <w:pPr>
              <w:ind w:left="600"/>
              <w:spacing w:after="0"/>
              <w:rPr>
                <w:sz w:val="20"/>
                <w:szCs w:val="20"/>
                <w:color w:val="auto"/>
              </w:rPr>
            </w:pPr>
            <w:r>
              <w:rPr>
                <w:rFonts w:ascii="Arial" w:cs="Arial" w:eastAsia="Arial" w:hAnsi="Arial"/>
                <w:sz w:val="18"/>
                <w:szCs w:val="18"/>
                <w:color w:val="auto"/>
              </w:rPr>
              <w:t>President and Chief Executive Officer</w:t>
            </w:r>
          </w:p>
        </w:tc>
      </w:tr>
      <w:tr>
        <w:trPr>
          <w:trHeight w:val="90"/>
        </w:trPr>
        <w:tc>
          <w:tcPr>
            <w:tcW w:w="2160" w:type="dxa"/>
            <w:vAlign w:val="bottom"/>
          </w:tcPr>
          <w:p>
            <w:pPr>
              <w:spacing w:after="0"/>
              <w:rPr>
                <w:sz w:val="7"/>
                <w:szCs w:val="7"/>
                <w:color w:val="auto"/>
              </w:rPr>
            </w:pPr>
          </w:p>
        </w:tc>
        <w:tc>
          <w:tcPr>
            <w:tcW w:w="7120" w:type="dxa"/>
            <w:vAlign w:val="bottom"/>
          </w:tcPr>
          <w:p>
            <w:pPr>
              <w:spacing w:after="0"/>
              <w:rPr>
                <w:sz w:val="7"/>
                <w:szCs w:val="7"/>
                <w:color w:val="auto"/>
              </w:rPr>
            </w:pPr>
          </w:p>
        </w:tc>
      </w:tr>
      <w:tr>
        <w:trPr>
          <w:trHeight w:val="328"/>
        </w:trPr>
        <w:tc>
          <w:tcPr>
            <w:tcW w:w="2160" w:type="dxa"/>
            <w:vAlign w:val="bottom"/>
            <w:shd w:val="clear" w:color="auto" w:fill="FCD3C3"/>
          </w:tcPr>
          <w:p>
            <w:pPr>
              <w:ind w:left="80"/>
              <w:spacing w:after="0"/>
              <w:rPr>
                <w:sz w:val="20"/>
                <w:szCs w:val="20"/>
                <w:color w:val="auto"/>
              </w:rPr>
            </w:pPr>
            <w:r>
              <w:rPr>
                <w:rFonts w:ascii="Arial" w:cs="Arial" w:eastAsia="Arial" w:hAnsi="Arial"/>
                <w:sz w:val="18"/>
                <w:szCs w:val="18"/>
                <w:color w:val="auto"/>
              </w:rPr>
              <w:t>John Olin</w:t>
            </w:r>
          </w:p>
        </w:tc>
        <w:tc>
          <w:tcPr>
            <w:tcW w:w="7120" w:type="dxa"/>
            <w:vAlign w:val="bottom"/>
            <w:shd w:val="clear" w:color="auto" w:fill="FCD3C3"/>
          </w:tcPr>
          <w:p>
            <w:pPr>
              <w:ind w:left="600"/>
              <w:spacing w:after="0"/>
              <w:rPr>
                <w:sz w:val="20"/>
                <w:szCs w:val="20"/>
                <w:color w:val="auto"/>
              </w:rPr>
            </w:pPr>
            <w:r>
              <w:rPr>
                <w:rFonts w:ascii="Arial" w:cs="Arial" w:eastAsia="Arial" w:hAnsi="Arial"/>
                <w:sz w:val="18"/>
                <w:szCs w:val="18"/>
                <w:color w:val="auto"/>
              </w:rPr>
              <w:t>Executive Vice President and Chief Financial Officer</w:t>
            </w:r>
          </w:p>
        </w:tc>
      </w:tr>
      <w:tr>
        <w:trPr>
          <w:trHeight w:val="91"/>
        </w:trPr>
        <w:tc>
          <w:tcPr>
            <w:tcW w:w="2160" w:type="dxa"/>
            <w:vAlign w:val="bottom"/>
            <w:shd w:val="clear" w:color="auto" w:fill="FCD3C3"/>
          </w:tcPr>
          <w:p>
            <w:pPr>
              <w:spacing w:after="0"/>
              <w:rPr>
                <w:sz w:val="7"/>
                <w:szCs w:val="7"/>
                <w:color w:val="auto"/>
              </w:rPr>
            </w:pPr>
          </w:p>
        </w:tc>
        <w:tc>
          <w:tcPr>
            <w:tcW w:w="7120" w:type="dxa"/>
            <w:vAlign w:val="bottom"/>
            <w:shd w:val="clear" w:color="auto" w:fill="FCD3C3"/>
          </w:tcPr>
          <w:p>
            <w:pPr>
              <w:spacing w:after="0"/>
              <w:rPr>
                <w:sz w:val="7"/>
                <w:szCs w:val="7"/>
                <w:color w:val="auto"/>
              </w:rPr>
            </w:pPr>
          </w:p>
        </w:tc>
      </w:tr>
      <w:tr>
        <w:trPr>
          <w:trHeight w:val="328"/>
        </w:trPr>
        <w:tc>
          <w:tcPr>
            <w:tcW w:w="2160" w:type="dxa"/>
            <w:vAlign w:val="bottom"/>
          </w:tcPr>
          <w:p>
            <w:pPr>
              <w:ind w:left="80"/>
              <w:spacing w:after="0"/>
              <w:rPr>
                <w:sz w:val="20"/>
                <w:szCs w:val="20"/>
                <w:color w:val="auto"/>
              </w:rPr>
            </w:pPr>
            <w:r>
              <w:rPr>
                <w:rFonts w:ascii="Arial" w:cs="Arial" w:eastAsia="Arial" w:hAnsi="Arial"/>
                <w:sz w:val="18"/>
                <w:szCs w:val="18"/>
                <w:color w:val="auto"/>
              </w:rPr>
              <w:t>David DeNinno</w:t>
            </w:r>
          </w:p>
        </w:tc>
        <w:tc>
          <w:tcPr>
            <w:tcW w:w="7120" w:type="dxa"/>
            <w:vAlign w:val="bottom"/>
          </w:tcPr>
          <w:p>
            <w:pPr>
              <w:ind w:left="60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90"/>
        </w:trPr>
        <w:tc>
          <w:tcPr>
            <w:tcW w:w="2160" w:type="dxa"/>
            <w:vAlign w:val="bottom"/>
          </w:tcPr>
          <w:p>
            <w:pPr>
              <w:spacing w:after="0"/>
              <w:rPr>
                <w:sz w:val="7"/>
                <w:szCs w:val="7"/>
                <w:color w:val="auto"/>
              </w:rPr>
            </w:pPr>
          </w:p>
        </w:tc>
        <w:tc>
          <w:tcPr>
            <w:tcW w:w="7120" w:type="dxa"/>
            <w:vAlign w:val="bottom"/>
          </w:tcPr>
          <w:p>
            <w:pPr>
              <w:spacing w:after="0"/>
              <w:rPr>
                <w:sz w:val="7"/>
                <w:szCs w:val="7"/>
                <w:color w:val="auto"/>
              </w:rPr>
            </w:pPr>
          </w:p>
        </w:tc>
      </w:tr>
      <w:tr>
        <w:trPr>
          <w:trHeight w:val="328"/>
        </w:trPr>
        <w:tc>
          <w:tcPr>
            <w:tcW w:w="2160" w:type="dxa"/>
            <w:vAlign w:val="bottom"/>
            <w:shd w:val="clear" w:color="auto" w:fill="FCD3C3"/>
          </w:tcPr>
          <w:p>
            <w:pPr>
              <w:ind w:left="80"/>
              <w:spacing w:after="0"/>
              <w:rPr>
                <w:sz w:val="20"/>
                <w:szCs w:val="20"/>
                <w:color w:val="auto"/>
              </w:rPr>
            </w:pPr>
            <w:r>
              <w:rPr>
                <w:rFonts w:ascii="Arial" w:cs="Arial" w:eastAsia="Arial" w:hAnsi="Arial"/>
                <w:sz w:val="18"/>
                <w:szCs w:val="18"/>
                <w:color w:val="auto"/>
              </w:rPr>
              <w:t>Pascal Schweitzer</w:t>
            </w:r>
          </w:p>
        </w:tc>
        <w:tc>
          <w:tcPr>
            <w:tcW w:w="7120" w:type="dxa"/>
            <w:vAlign w:val="bottom"/>
            <w:shd w:val="clear" w:color="auto" w:fill="FCD3C3"/>
          </w:tcPr>
          <w:p>
            <w:pPr>
              <w:ind w:left="600"/>
              <w:spacing w:after="0"/>
              <w:rPr>
                <w:sz w:val="20"/>
                <w:szCs w:val="20"/>
                <w:color w:val="auto"/>
              </w:rPr>
            </w:pPr>
            <w:r>
              <w:rPr>
                <w:rFonts w:ascii="Arial" w:cs="Arial" w:eastAsia="Arial" w:hAnsi="Arial"/>
                <w:sz w:val="18"/>
                <w:szCs w:val="18"/>
                <w:color w:val="auto"/>
              </w:rPr>
              <w:t>President, Freight Services Group</w:t>
            </w:r>
          </w:p>
        </w:tc>
      </w:tr>
      <w:tr>
        <w:trPr>
          <w:trHeight w:val="90"/>
        </w:trPr>
        <w:tc>
          <w:tcPr>
            <w:tcW w:w="2160" w:type="dxa"/>
            <w:vAlign w:val="bottom"/>
            <w:shd w:val="clear" w:color="auto" w:fill="FCD3C3"/>
          </w:tcPr>
          <w:p>
            <w:pPr>
              <w:spacing w:after="0"/>
              <w:rPr>
                <w:sz w:val="7"/>
                <w:szCs w:val="7"/>
                <w:color w:val="auto"/>
              </w:rPr>
            </w:pPr>
          </w:p>
        </w:tc>
        <w:tc>
          <w:tcPr>
            <w:tcW w:w="7120" w:type="dxa"/>
            <w:vAlign w:val="bottom"/>
            <w:shd w:val="clear" w:color="auto" w:fill="FCD3C3"/>
          </w:tcPr>
          <w:p>
            <w:pPr>
              <w:spacing w:after="0"/>
              <w:rPr>
                <w:sz w:val="7"/>
                <w:szCs w:val="7"/>
                <w:color w:val="auto"/>
              </w:rPr>
            </w:pPr>
          </w:p>
        </w:tc>
      </w:tr>
      <w:tr>
        <w:trPr>
          <w:trHeight w:val="328"/>
        </w:trPr>
        <w:tc>
          <w:tcPr>
            <w:tcW w:w="2160" w:type="dxa"/>
            <w:vAlign w:val="bottom"/>
          </w:tcPr>
          <w:p>
            <w:pPr>
              <w:ind w:left="80"/>
              <w:spacing w:after="0"/>
              <w:rPr>
                <w:sz w:val="20"/>
                <w:szCs w:val="20"/>
                <w:color w:val="auto"/>
              </w:rPr>
            </w:pPr>
            <w:r>
              <w:rPr>
                <w:rFonts w:ascii="Arial" w:cs="Arial" w:eastAsia="Arial" w:hAnsi="Arial"/>
                <w:sz w:val="18"/>
                <w:szCs w:val="18"/>
                <w:color w:val="auto"/>
              </w:rPr>
              <w:t>Eric Gebhardt</w:t>
            </w:r>
          </w:p>
        </w:tc>
        <w:tc>
          <w:tcPr>
            <w:tcW w:w="7120" w:type="dxa"/>
            <w:vAlign w:val="bottom"/>
          </w:tcPr>
          <w:p>
            <w:pPr>
              <w:ind w:left="600"/>
              <w:spacing w:after="0"/>
              <w:rPr>
                <w:sz w:val="20"/>
                <w:szCs w:val="20"/>
                <w:color w:val="auto"/>
              </w:rPr>
            </w:pPr>
            <w:r>
              <w:rPr>
                <w:rFonts w:ascii="Arial" w:cs="Arial" w:eastAsia="Arial" w:hAnsi="Arial"/>
                <w:sz w:val="18"/>
                <w:szCs w:val="18"/>
                <w:color w:val="auto"/>
              </w:rPr>
              <w:t>Executive Vice President and Chief Technology Officer</w:t>
            </w:r>
          </w:p>
        </w:tc>
      </w:tr>
      <w:tr>
        <w:trPr>
          <w:trHeight w:val="90"/>
        </w:trPr>
        <w:tc>
          <w:tcPr>
            <w:tcW w:w="2160" w:type="dxa"/>
            <w:vAlign w:val="bottom"/>
          </w:tcPr>
          <w:p>
            <w:pPr>
              <w:spacing w:after="0"/>
              <w:rPr>
                <w:sz w:val="7"/>
                <w:szCs w:val="7"/>
                <w:color w:val="auto"/>
              </w:rPr>
            </w:pPr>
          </w:p>
        </w:tc>
        <w:tc>
          <w:tcPr>
            <w:tcW w:w="7120" w:type="dxa"/>
            <w:vAlign w:val="bottom"/>
          </w:tcPr>
          <w:p>
            <w:pPr>
              <w:spacing w:after="0"/>
              <w:rPr>
                <w:sz w:val="7"/>
                <w:szCs w:val="7"/>
                <w:color w:val="auto"/>
              </w:rPr>
            </w:pPr>
          </w:p>
        </w:tc>
      </w:tr>
      <w:tr>
        <w:trPr>
          <w:trHeight w:val="344"/>
        </w:trPr>
        <w:tc>
          <w:tcPr>
            <w:tcW w:w="2160" w:type="dxa"/>
            <w:vAlign w:val="bottom"/>
            <w:tcBorders>
              <w:bottom w:val="single" w:sz="8" w:color="FCD3C3"/>
            </w:tcBorders>
            <w:shd w:val="clear" w:color="auto" w:fill="FCD3C3"/>
          </w:tcPr>
          <w:p>
            <w:pPr>
              <w:ind w:left="80"/>
              <w:spacing w:after="0"/>
              <w:rPr>
                <w:sz w:val="20"/>
                <w:szCs w:val="20"/>
                <w:color w:val="auto"/>
              </w:rPr>
            </w:pPr>
            <w:r>
              <w:rPr>
                <w:rFonts w:ascii="Arial" w:cs="Arial" w:eastAsia="Arial" w:hAnsi="Arial"/>
                <w:sz w:val="18"/>
                <w:szCs w:val="18"/>
                <w:color w:val="auto"/>
              </w:rPr>
              <w:t>Patrick Dugan</w:t>
            </w:r>
          </w:p>
        </w:tc>
        <w:tc>
          <w:tcPr>
            <w:tcW w:w="7120" w:type="dxa"/>
            <w:vAlign w:val="bottom"/>
            <w:tcBorders>
              <w:bottom w:val="single" w:sz="8" w:color="FCD3C3"/>
            </w:tcBorders>
            <w:shd w:val="clear" w:color="auto" w:fill="FCD3C3"/>
          </w:tcPr>
          <w:p>
            <w:pPr>
              <w:ind w:left="600"/>
              <w:spacing w:after="0"/>
              <w:rPr>
                <w:sz w:val="20"/>
                <w:szCs w:val="20"/>
                <w:color w:val="auto"/>
              </w:rPr>
            </w:pPr>
            <w:r>
              <w:rPr>
                <w:rFonts w:ascii="Arial" w:cs="Arial" w:eastAsia="Arial" w:hAnsi="Arial"/>
                <w:sz w:val="18"/>
                <w:szCs w:val="18"/>
                <w:color w:val="auto"/>
              </w:rPr>
              <w:t>Former Executive Vice President and Chief Financial Officer</w:t>
            </w:r>
          </w:p>
        </w:tc>
      </w:tr>
      <w:tr>
        <w:trPr>
          <w:trHeight w:val="20"/>
        </w:trPr>
        <w:tc>
          <w:tcPr>
            <w:tcW w:w="2160" w:type="dxa"/>
            <w:vAlign w:val="bottom"/>
            <w:shd w:val="clear" w:color="auto" w:fill="EC252A"/>
          </w:tcPr>
          <w:p>
            <w:pPr>
              <w:spacing w:after="0" w:line="20" w:lineRule="exact"/>
              <w:rPr>
                <w:sz w:val="1"/>
                <w:szCs w:val="1"/>
                <w:color w:val="auto"/>
              </w:rPr>
            </w:pPr>
          </w:p>
        </w:tc>
        <w:tc>
          <w:tcPr>
            <w:tcW w:w="7120" w:type="dxa"/>
            <w:vAlign w:val="bottom"/>
            <w:shd w:val="clear" w:color="auto" w:fill="EC252A"/>
          </w:tcPr>
          <w:p>
            <w:pPr>
              <w:spacing w:after="0" w:line="20" w:lineRule="exact"/>
              <w:rPr>
                <w:sz w:val="1"/>
                <w:szCs w:val="1"/>
                <w:color w:val="auto"/>
              </w:rPr>
            </w:pPr>
          </w:p>
        </w:tc>
      </w:tr>
    </w:tbl>
    <w:p>
      <w:pPr>
        <w:spacing w:after="0" w:line="89" w:lineRule="exact"/>
        <w:rPr>
          <w:sz w:val="20"/>
          <w:szCs w:val="20"/>
          <w:color w:val="auto"/>
        </w:rPr>
      </w:pPr>
    </w:p>
    <w:p>
      <w:pPr>
        <w:ind w:left="860" w:right="10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In connection with the termination of his employment, Mr. Dugan ceased being Executive Vice President and Chief Financial Officer effective October 1, 2021. Mr. Olin became the Company’s Executive Vice President and Chief Financial Officer effective October 1, 2021. See “2021 Severance of Mr. Dugan” on page </w:t>
      </w:r>
      <w:hyperlink w:anchor="page55">
        <w:r>
          <w:rPr>
            <w:rFonts w:ascii="Arial" w:cs="Arial" w:eastAsia="Arial" w:hAnsi="Arial"/>
            <w:sz w:val="18"/>
            <w:szCs w:val="18"/>
            <w:u w:val="single" w:color="auto"/>
            <w:color w:val="0000EE"/>
          </w:rPr>
          <w:t>50</w:t>
        </w:r>
      </w:hyperlink>
      <w:r>
        <w:rPr>
          <w:rFonts w:ascii="Arial" w:cs="Arial" w:eastAsia="Arial" w:hAnsi="Arial"/>
          <w:sz w:val="18"/>
          <w:szCs w:val="18"/>
          <w:color w:val="auto"/>
        </w:rPr>
        <w:t>.</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27" w:lineRule="exact"/>
        <w:rPr>
          <w:sz w:val="20"/>
          <w:szCs w:val="20"/>
          <w:color w:val="auto"/>
        </w:rPr>
      </w:pPr>
    </w:p>
    <w:p>
      <w:pPr>
        <w:ind w:left="860" w:right="90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This Compensation Discussion and Analysis should be read in conjunction with the tabular and narrative disclosures beginning on page </w:t>
      </w:r>
      <w:hyperlink w:anchor="page34">
        <w:r>
          <w:rPr>
            <w:rFonts w:ascii="Arial" w:cs="Arial" w:eastAsia="Arial" w:hAnsi="Arial"/>
            <w:sz w:val="18"/>
            <w:szCs w:val="18"/>
            <w:u w:val="single" w:color="auto"/>
            <w:color w:val="0000EE"/>
          </w:rPr>
          <w:t>29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this Proxy Statement. See “Executive Compensation Philosophy and Objectives” on page </w:t>
      </w:r>
      <w:hyperlink w:anchor="page37">
        <w:r>
          <w:rPr>
            <w:rFonts w:ascii="Arial" w:cs="Arial" w:eastAsia="Arial" w:hAnsi="Arial"/>
            <w:sz w:val="18"/>
            <w:szCs w:val="18"/>
            <w:u w:val="single" w:color="auto"/>
            <w:color w:val="0000EE"/>
          </w:rPr>
          <w:t>32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the tables that follow for more information regarding our executive compensation programs.</w:t>
      </w:r>
    </w:p>
    <w:p>
      <w:pPr>
        <w:spacing w:after="0" w:line="164"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Continued Impact of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27" w:lineRule="exact"/>
        <w:rPr>
          <w:sz w:val="20"/>
          <w:szCs w:val="20"/>
          <w:color w:val="auto"/>
        </w:rPr>
      </w:pPr>
    </w:p>
    <w:p>
      <w:pPr>
        <w:ind w:left="860" w:right="1380"/>
        <w:spacing w:after="0" w:line="247" w:lineRule="auto"/>
        <w:rPr>
          <w:sz w:val="20"/>
          <w:szCs w:val="20"/>
          <w:color w:val="auto"/>
        </w:rPr>
      </w:pPr>
      <w:r>
        <w:rPr>
          <w:rFonts w:ascii="Arial" w:cs="Arial" w:eastAsia="Arial" w:hAnsi="Arial"/>
          <w:sz w:val="18"/>
          <w:szCs w:val="18"/>
          <w:color w:val="auto"/>
        </w:rPr>
        <w:t>In 2020, Wabtec implemented changes to our compensation programs as a result of the Covid-19 pandemic (“COVID”). These included preliminarily freezing salaries for all salaried employees, subsequently paying merit increases in a lump sum, and modifying the metrics and weightings associated with our Annual Cash Incentive Program.</w:t>
      </w:r>
    </w:p>
    <w:p>
      <w:pPr>
        <w:spacing w:after="0" w:line="66" w:lineRule="exact"/>
        <w:rPr>
          <w:sz w:val="20"/>
          <w:szCs w:val="20"/>
          <w:color w:val="auto"/>
        </w:rPr>
      </w:pPr>
    </w:p>
    <w:p>
      <w:pPr>
        <w:ind w:left="860" w:right="1040"/>
        <w:spacing w:after="0" w:line="247" w:lineRule="auto"/>
        <w:rPr>
          <w:sz w:val="20"/>
          <w:szCs w:val="20"/>
          <w:color w:val="auto"/>
        </w:rPr>
      </w:pPr>
      <w:r>
        <w:rPr>
          <w:rFonts w:ascii="Arial" w:cs="Arial" w:eastAsia="Arial" w:hAnsi="Arial"/>
          <w:sz w:val="18"/>
          <w:szCs w:val="18"/>
          <w:color w:val="auto"/>
        </w:rPr>
        <w:t>As Wabtec re-evaluated our compensation programs in 2021, the Company made the decision to re-implement the annual merit increase process for all employees, modified our Annual Cash Incentive Plan back to similar design and metrics utilized prior to the pandemic and made adjustments to our 2019 - 2021 long term incentive plan. The modifications included the following:</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Annual Cash Incentive Plan</w:t>
      </w:r>
    </w:p>
    <w:p>
      <w:pPr>
        <w:spacing w:after="0" w:line="104" w:lineRule="exact"/>
        <w:rPr>
          <w:sz w:val="20"/>
          <w:szCs w:val="20"/>
          <w:color w:val="auto"/>
        </w:rPr>
      </w:pPr>
    </w:p>
    <w:p>
      <w:pPr>
        <w:ind w:left="1580" w:right="920" w:hanging="360"/>
        <w:spacing w:after="0" w:line="271" w:lineRule="auto"/>
        <w:tabs>
          <w:tab w:leader="none" w:pos="1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weighting associated with the individual performance goals was reinstated, with individual performance being weighted at 20%;</w:t>
      </w:r>
    </w:p>
    <w:p>
      <w:pPr>
        <w:spacing w:after="0" w:line="45" w:lineRule="exact"/>
        <w:rPr>
          <w:rFonts w:ascii="Arial" w:cs="Arial" w:eastAsia="Arial" w:hAnsi="Arial"/>
          <w:sz w:val="18"/>
          <w:szCs w:val="18"/>
          <w:color w:val="auto"/>
        </w:rPr>
      </w:pPr>
    </w:p>
    <w:p>
      <w:pPr>
        <w:ind w:left="1580" w:hanging="360"/>
        <w:spacing w:after="0"/>
        <w:tabs>
          <w:tab w:leader="none" w:pos="1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Metrics were changed back to earnings per share and earnings before interest and taxes;</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cash flow from operations metric was not changed;</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metrics were weighted at 80%;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197485</wp:posOffset>
            </wp:positionV>
            <wp:extent cx="58978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300355</wp:posOffset>
            </wp:positionV>
            <wp:extent cx="471170" cy="180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29</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sectPr>
      </w:pPr>
    </w:p>
    <w:bookmarkStart w:id="34" w:name="page35"/>
    <w:bookmarkEnd w:id="3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720" w:hanging="36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metrics were weighted as follows:</w:t>
      </w:r>
    </w:p>
    <w:p>
      <w:pPr>
        <w:spacing w:after="0" w:line="189" w:lineRule="exact"/>
        <w:rPr>
          <w:sz w:val="20"/>
          <w:szCs w:val="20"/>
          <w:color w:val="auto"/>
        </w:rPr>
      </w:pPr>
    </w:p>
    <w:tbl>
      <w:tblPr>
        <w:tblLayout w:type="fixed"/>
        <w:tblInd w:w="720" w:type="dxa"/>
        <w:tblCellMar>
          <w:top w:w="0" w:type="dxa"/>
          <w:left w:w="0" w:type="dxa"/>
          <w:bottom w:w="0" w:type="dxa"/>
          <w:right w:w="0" w:type="dxa"/>
        </w:tblCellMar>
      </w:tblPr>
      <w:tr>
        <w:trPr>
          <w:trHeight w:val="223"/>
        </w:trPr>
        <w:tc>
          <w:tcPr>
            <w:tcW w:w="4060" w:type="dxa"/>
            <w:vAlign w:val="bottom"/>
          </w:tcPr>
          <w:p>
            <w:pPr>
              <w:spacing w:after="0"/>
              <w:rPr>
                <w:sz w:val="19"/>
                <w:szCs w:val="19"/>
                <w:color w:val="auto"/>
              </w:rPr>
            </w:pPr>
          </w:p>
        </w:tc>
        <w:tc>
          <w:tcPr>
            <w:tcW w:w="2580" w:type="dxa"/>
            <w:vAlign w:val="bottom"/>
          </w:tcPr>
          <w:p>
            <w:pPr>
              <w:jc w:val="right"/>
              <w:ind w:right="452"/>
              <w:spacing w:after="0"/>
              <w:rPr>
                <w:sz w:val="20"/>
                <w:szCs w:val="20"/>
                <w:color w:val="auto"/>
              </w:rPr>
            </w:pPr>
            <w:r>
              <w:rPr>
                <w:rFonts w:ascii="Arial" w:cs="Arial" w:eastAsia="Arial" w:hAnsi="Arial"/>
                <w:sz w:val="16"/>
                <w:szCs w:val="16"/>
                <w:b w:val="1"/>
                <w:bCs w:val="1"/>
                <w:color w:val="EC252A"/>
              </w:rPr>
              <w:t>Corporate</w:t>
            </w:r>
          </w:p>
        </w:tc>
        <w:tc>
          <w:tcPr>
            <w:tcW w:w="1200" w:type="dxa"/>
            <w:vAlign w:val="bottom"/>
          </w:tcPr>
          <w:p>
            <w:pPr>
              <w:jc w:val="right"/>
              <w:ind w:right="31"/>
              <w:spacing w:after="0"/>
              <w:rPr>
                <w:sz w:val="20"/>
                <w:szCs w:val="20"/>
                <w:color w:val="auto"/>
              </w:rPr>
            </w:pPr>
            <w:r>
              <w:rPr>
                <w:rFonts w:ascii="Arial" w:cs="Arial" w:eastAsia="Arial" w:hAnsi="Arial"/>
                <w:sz w:val="16"/>
                <w:szCs w:val="16"/>
                <w:b w:val="1"/>
                <w:bCs w:val="1"/>
                <w:color w:val="EC252A"/>
              </w:rPr>
              <w:t>Group</w:t>
            </w:r>
          </w:p>
        </w:tc>
      </w:tr>
      <w:tr>
        <w:trPr>
          <w:trHeight w:val="21"/>
        </w:trPr>
        <w:tc>
          <w:tcPr>
            <w:tcW w:w="4060" w:type="dxa"/>
            <w:vAlign w:val="bottom"/>
            <w:tcBorders>
              <w:bottom w:val="single" w:sz="8" w:color="EC252A"/>
            </w:tcBorders>
          </w:tcPr>
          <w:p>
            <w:pPr>
              <w:spacing w:after="0" w:line="20" w:lineRule="exact"/>
              <w:rPr>
                <w:sz w:val="1"/>
                <w:szCs w:val="1"/>
                <w:color w:val="auto"/>
              </w:rPr>
            </w:pPr>
          </w:p>
        </w:tc>
        <w:tc>
          <w:tcPr>
            <w:tcW w:w="2580" w:type="dxa"/>
            <w:vAlign w:val="bottom"/>
            <w:tcBorders>
              <w:bottom w:val="single" w:sz="8" w:color="EC252A"/>
            </w:tcBorders>
          </w:tcPr>
          <w:p>
            <w:pPr>
              <w:spacing w:after="0" w:line="20" w:lineRule="exact"/>
              <w:rPr>
                <w:sz w:val="1"/>
                <w:szCs w:val="1"/>
                <w:color w:val="auto"/>
              </w:rPr>
            </w:pPr>
          </w:p>
        </w:tc>
        <w:tc>
          <w:tcPr>
            <w:tcW w:w="1200" w:type="dxa"/>
            <w:vAlign w:val="bottom"/>
            <w:tcBorders>
              <w:bottom w:val="single" w:sz="8" w:color="EC252A"/>
            </w:tcBorders>
          </w:tcPr>
          <w:p>
            <w:pPr>
              <w:spacing w:after="0" w:line="20" w:lineRule="exact"/>
              <w:rPr>
                <w:sz w:val="1"/>
                <w:szCs w:val="1"/>
                <w:color w:val="auto"/>
              </w:rPr>
            </w:pPr>
          </w:p>
        </w:tc>
      </w:tr>
      <w:tr>
        <w:trPr>
          <w:trHeight w:val="259"/>
        </w:trPr>
        <w:tc>
          <w:tcPr>
            <w:tcW w:w="4060" w:type="dxa"/>
            <w:vAlign w:val="bottom"/>
          </w:tcPr>
          <w:p>
            <w:pPr>
              <w:ind w:left="60"/>
              <w:spacing w:after="0"/>
              <w:rPr>
                <w:sz w:val="20"/>
                <w:szCs w:val="20"/>
                <w:color w:val="auto"/>
              </w:rPr>
            </w:pPr>
            <w:r>
              <w:rPr>
                <w:rFonts w:ascii="Arial" w:cs="Arial" w:eastAsia="Arial" w:hAnsi="Arial"/>
                <w:sz w:val="18"/>
                <w:szCs w:val="18"/>
                <w:color w:val="auto"/>
              </w:rPr>
              <w:t>EPS - Corporate</w:t>
            </w:r>
          </w:p>
        </w:tc>
        <w:tc>
          <w:tcPr>
            <w:tcW w:w="2580" w:type="dxa"/>
            <w:vAlign w:val="bottom"/>
          </w:tcPr>
          <w:p>
            <w:pPr>
              <w:jc w:val="right"/>
              <w:ind w:right="472"/>
              <w:spacing w:after="0"/>
              <w:rPr>
                <w:sz w:val="20"/>
                <w:szCs w:val="20"/>
                <w:color w:val="auto"/>
              </w:rPr>
            </w:pPr>
            <w:r>
              <w:rPr>
                <w:rFonts w:ascii="Arial" w:cs="Arial" w:eastAsia="Arial" w:hAnsi="Arial"/>
                <w:sz w:val="18"/>
                <w:szCs w:val="18"/>
                <w:color w:val="auto"/>
              </w:rPr>
              <w:t>48.0%</w:t>
            </w: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61"/>
        </w:trPr>
        <w:tc>
          <w:tcPr>
            <w:tcW w:w="4060" w:type="dxa"/>
            <w:vAlign w:val="bottom"/>
            <w:shd w:val="clear" w:color="auto" w:fill="FCD3C3"/>
          </w:tcPr>
          <w:p>
            <w:pPr>
              <w:ind w:left="60"/>
              <w:spacing w:after="0"/>
              <w:rPr>
                <w:sz w:val="20"/>
                <w:szCs w:val="20"/>
                <w:color w:val="auto"/>
              </w:rPr>
            </w:pPr>
            <w:r>
              <w:rPr>
                <w:rFonts w:ascii="Arial" w:cs="Arial" w:eastAsia="Arial" w:hAnsi="Arial"/>
                <w:sz w:val="18"/>
                <w:szCs w:val="18"/>
                <w:color w:val="auto"/>
              </w:rPr>
              <w:t>Cash from Operations - Corporate</w:t>
            </w:r>
          </w:p>
        </w:tc>
        <w:tc>
          <w:tcPr>
            <w:tcW w:w="2580" w:type="dxa"/>
            <w:vAlign w:val="bottom"/>
            <w:shd w:val="clear" w:color="auto" w:fill="FCD3C3"/>
          </w:tcPr>
          <w:p>
            <w:pPr>
              <w:jc w:val="right"/>
              <w:ind w:right="472"/>
              <w:spacing w:after="0"/>
              <w:rPr>
                <w:sz w:val="20"/>
                <w:szCs w:val="20"/>
                <w:color w:val="auto"/>
              </w:rPr>
            </w:pPr>
            <w:r>
              <w:rPr>
                <w:rFonts w:ascii="Arial" w:cs="Arial" w:eastAsia="Arial" w:hAnsi="Arial"/>
                <w:sz w:val="18"/>
                <w:szCs w:val="18"/>
                <w:color w:val="auto"/>
              </w:rPr>
              <w:t>32.0%</w:t>
            </w:r>
          </w:p>
        </w:tc>
        <w:tc>
          <w:tcPr>
            <w:tcW w:w="1200" w:type="dxa"/>
            <w:vAlign w:val="bottom"/>
            <w:shd w:val="clear" w:color="auto" w:fill="FCD3C3"/>
          </w:tcPr>
          <w:p>
            <w:pPr>
              <w:jc w:val="right"/>
              <w:spacing w:after="0"/>
              <w:rPr>
                <w:sz w:val="20"/>
                <w:szCs w:val="20"/>
                <w:color w:val="auto"/>
              </w:rPr>
            </w:pPr>
            <w:r>
              <w:rPr>
                <w:rFonts w:ascii="Arial" w:cs="Arial" w:eastAsia="Arial" w:hAnsi="Arial"/>
                <w:sz w:val="18"/>
                <w:szCs w:val="18"/>
                <w:color w:val="auto"/>
              </w:rPr>
              <w:t>12.5%</w:t>
            </w:r>
          </w:p>
        </w:tc>
      </w:tr>
      <w:tr>
        <w:trPr>
          <w:trHeight w:val="252"/>
        </w:trPr>
        <w:tc>
          <w:tcPr>
            <w:tcW w:w="4060" w:type="dxa"/>
            <w:vAlign w:val="bottom"/>
          </w:tcPr>
          <w:p>
            <w:pPr>
              <w:ind w:left="60"/>
              <w:spacing w:after="0"/>
              <w:rPr>
                <w:sz w:val="20"/>
                <w:szCs w:val="20"/>
                <w:color w:val="auto"/>
              </w:rPr>
            </w:pPr>
            <w:r>
              <w:rPr>
                <w:rFonts w:ascii="Arial" w:cs="Arial" w:eastAsia="Arial" w:hAnsi="Arial"/>
                <w:sz w:val="18"/>
                <w:szCs w:val="18"/>
                <w:color w:val="auto"/>
              </w:rPr>
              <w:t>EBIT - Group</w:t>
            </w:r>
          </w:p>
        </w:tc>
        <w:tc>
          <w:tcPr>
            <w:tcW w:w="2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61"/>
        </w:trPr>
        <w:tc>
          <w:tcPr>
            <w:tcW w:w="4060" w:type="dxa"/>
            <w:vAlign w:val="bottom"/>
            <w:shd w:val="clear" w:color="auto" w:fill="FCD3C3"/>
          </w:tcPr>
          <w:p>
            <w:pPr>
              <w:ind w:left="60"/>
              <w:spacing w:after="0"/>
              <w:rPr>
                <w:sz w:val="20"/>
                <w:szCs w:val="20"/>
                <w:color w:val="auto"/>
              </w:rPr>
            </w:pPr>
            <w:r>
              <w:rPr>
                <w:rFonts w:ascii="Arial" w:cs="Arial" w:eastAsia="Arial" w:hAnsi="Arial"/>
                <w:sz w:val="18"/>
                <w:szCs w:val="18"/>
                <w:color w:val="auto"/>
              </w:rPr>
              <w:t>Cash from Operations - Group</w:t>
            </w:r>
          </w:p>
        </w:tc>
        <w:tc>
          <w:tcPr>
            <w:tcW w:w="2580" w:type="dxa"/>
            <w:vAlign w:val="bottom"/>
            <w:shd w:val="clear" w:color="auto" w:fill="FCD3C3"/>
          </w:tcPr>
          <w:p>
            <w:pPr>
              <w:spacing w:after="0"/>
              <w:rPr>
                <w:sz w:val="22"/>
                <w:szCs w:val="22"/>
                <w:color w:val="auto"/>
              </w:rPr>
            </w:pPr>
          </w:p>
        </w:tc>
        <w:tc>
          <w:tcPr>
            <w:tcW w:w="1200" w:type="dxa"/>
            <w:vAlign w:val="bottom"/>
            <w:shd w:val="clear" w:color="auto" w:fill="FCD3C3"/>
          </w:tcPr>
          <w:p>
            <w:pPr>
              <w:jc w:val="right"/>
              <w:spacing w:after="0"/>
              <w:rPr>
                <w:sz w:val="20"/>
                <w:szCs w:val="20"/>
                <w:color w:val="auto"/>
              </w:rPr>
            </w:pPr>
            <w:r>
              <w:rPr>
                <w:rFonts w:ascii="Arial" w:cs="Arial" w:eastAsia="Arial" w:hAnsi="Arial"/>
                <w:sz w:val="18"/>
                <w:szCs w:val="18"/>
                <w:color w:val="auto"/>
              </w:rPr>
              <w:t>19.5%</w:t>
            </w:r>
          </w:p>
        </w:tc>
      </w:tr>
      <w:tr>
        <w:trPr>
          <w:trHeight w:val="247"/>
        </w:trPr>
        <w:tc>
          <w:tcPr>
            <w:tcW w:w="4060" w:type="dxa"/>
            <w:vAlign w:val="bottom"/>
          </w:tcPr>
          <w:p>
            <w:pPr>
              <w:ind w:left="60"/>
              <w:spacing w:after="0"/>
              <w:rPr>
                <w:sz w:val="20"/>
                <w:szCs w:val="20"/>
                <w:color w:val="auto"/>
              </w:rPr>
            </w:pPr>
            <w:r>
              <w:rPr>
                <w:rFonts w:ascii="Arial" w:cs="Arial" w:eastAsia="Arial" w:hAnsi="Arial"/>
                <w:sz w:val="18"/>
                <w:szCs w:val="18"/>
                <w:color w:val="auto"/>
              </w:rPr>
              <w:t>Corporate (Total)</w:t>
            </w:r>
          </w:p>
        </w:tc>
        <w:tc>
          <w:tcPr>
            <w:tcW w:w="2580" w:type="dxa"/>
            <w:vAlign w:val="bottom"/>
          </w:tcPr>
          <w:p>
            <w:pPr>
              <w:jc w:val="right"/>
              <w:ind w:right="472"/>
              <w:spacing w:after="0"/>
              <w:rPr>
                <w:sz w:val="20"/>
                <w:szCs w:val="20"/>
                <w:color w:val="auto"/>
              </w:rPr>
            </w:pPr>
            <w:r>
              <w:rPr>
                <w:rFonts w:ascii="Arial" w:cs="Arial" w:eastAsia="Arial" w:hAnsi="Arial"/>
                <w:sz w:val="18"/>
                <w:szCs w:val="18"/>
                <w:color w:val="auto"/>
              </w:rPr>
              <w:t>80%</w:t>
            </w: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
        </w:trPr>
        <w:tc>
          <w:tcPr>
            <w:tcW w:w="4060" w:type="dxa"/>
            <w:vAlign w:val="bottom"/>
            <w:tcBorders>
              <w:bottom w:val="single" w:sz="8" w:color="EC252A"/>
            </w:tcBorders>
          </w:tcPr>
          <w:p>
            <w:pPr>
              <w:spacing w:after="0"/>
              <w:rPr>
                <w:sz w:val="2"/>
                <w:szCs w:val="2"/>
                <w:color w:val="auto"/>
              </w:rPr>
            </w:pPr>
          </w:p>
        </w:tc>
        <w:tc>
          <w:tcPr>
            <w:tcW w:w="2580" w:type="dxa"/>
            <w:vAlign w:val="bottom"/>
            <w:tcBorders>
              <w:bottom w:val="single" w:sz="8" w:color="EC252A"/>
            </w:tcBorders>
          </w:tcPr>
          <w:p>
            <w:pPr>
              <w:spacing w:after="0"/>
              <w:rPr>
                <w:sz w:val="2"/>
                <w:szCs w:val="2"/>
                <w:color w:val="auto"/>
              </w:rPr>
            </w:pPr>
          </w:p>
        </w:tc>
        <w:tc>
          <w:tcPr>
            <w:tcW w:w="1200" w:type="dxa"/>
            <w:vAlign w:val="bottom"/>
            <w:tcBorders>
              <w:bottom w:val="single" w:sz="8" w:color="EC252A"/>
            </w:tcBorders>
          </w:tcPr>
          <w:p>
            <w:pPr>
              <w:spacing w:after="0"/>
              <w:rPr>
                <w:sz w:val="2"/>
                <w:szCs w:val="2"/>
                <w:color w:val="auto"/>
              </w:rPr>
            </w:pPr>
          </w:p>
        </w:tc>
      </w:tr>
      <w:tr>
        <w:trPr>
          <w:trHeight w:val="282"/>
        </w:trPr>
        <w:tc>
          <w:tcPr>
            <w:tcW w:w="4060" w:type="dxa"/>
            <w:vAlign w:val="bottom"/>
            <w:tcBorders>
              <w:bottom w:val="single" w:sz="8" w:color="FCD3C3"/>
            </w:tcBorders>
            <w:shd w:val="clear" w:color="auto" w:fill="FCD3C3"/>
          </w:tcPr>
          <w:p>
            <w:pPr>
              <w:ind w:left="60"/>
              <w:spacing w:after="0"/>
              <w:rPr>
                <w:sz w:val="20"/>
                <w:szCs w:val="20"/>
                <w:color w:val="auto"/>
              </w:rPr>
            </w:pPr>
            <w:r>
              <w:rPr>
                <w:rFonts w:ascii="Arial" w:cs="Arial" w:eastAsia="Arial" w:hAnsi="Arial"/>
                <w:sz w:val="18"/>
                <w:szCs w:val="18"/>
                <w:color w:val="auto"/>
              </w:rPr>
              <w:t>Personal Performance</w:t>
            </w:r>
          </w:p>
        </w:tc>
        <w:tc>
          <w:tcPr>
            <w:tcW w:w="2580" w:type="dxa"/>
            <w:vAlign w:val="bottom"/>
            <w:tcBorders>
              <w:bottom w:val="single" w:sz="8" w:color="FCD3C3"/>
            </w:tcBorders>
            <w:shd w:val="clear" w:color="auto" w:fill="FCD3C3"/>
          </w:tcPr>
          <w:p>
            <w:pPr>
              <w:jc w:val="right"/>
              <w:ind w:right="472"/>
              <w:spacing w:after="0"/>
              <w:rPr>
                <w:sz w:val="20"/>
                <w:szCs w:val="20"/>
                <w:color w:val="auto"/>
              </w:rPr>
            </w:pPr>
            <w:r>
              <w:rPr>
                <w:rFonts w:ascii="Arial" w:cs="Arial" w:eastAsia="Arial" w:hAnsi="Arial"/>
                <w:sz w:val="18"/>
                <w:szCs w:val="18"/>
                <w:color w:val="auto"/>
              </w:rPr>
              <w:t>20.0%</w:t>
            </w:r>
          </w:p>
        </w:tc>
        <w:tc>
          <w:tcPr>
            <w:tcW w:w="120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20.0%</w:t>
            </w:r>
          </w:p>
        </w:tc>
      </w:tr>
      <w:tr>
        <w:trPr>
          <w:trHeight w:val="254"/>
        </w:trPr>
        <w:tc>
          <w:tcPr>
            <w:tcW w:w="4060" w:type="dxa"/>
            <w:vAlign w:val="bottom"/>
            <w:tcBorders>
              <w:top w:val="single" w:sz="8" w:color="EC252A"/>
            </w:tcBorders>
          </w:tcPr>
          <w:p>
            <w:pPr>
              <w:ind w:left="60"/>
              <w:spacing w:after="0"/>
              <w:rPr>
                <w:sz w:val="20"/>
                <w:szCs w:val="20"/>
                <w:color w:val="auto"/>
              </w:rPr>
            </w:pPr>
            <w:r>
              <w:rPr>
                <w:rFonts w:ascii="Arial" w:cs="Arial" w:eastAsia="Arial" w:hAnsi="Arial"/>
                <w:sz w:val="18"/>
                <w:szCs w:val="18"/>
                <w:color w:val="auto"/>
              </w:rPr>
              <w:t>Total</w:t>
            </w:r>
          </w:p>
        </w:tc>
        <w:tc>
          <w:tcPr>
            <w:tcW w:w="2580" w:type="dxa"/>
            <w:vAlign w:val="bottom"/>
            <w:tcBorders>
              <w:top w:val="single" w:sz="8" w:color="EC252A"/>
            </w:tcBorders>
          </w:tcPr>
          <w:p>
            <w:pPr>
              <w:jc w:val="right"/>
              <w:ind w:right="452"/>
              <w:spacing w:after="0"/>
              <w:rPr>
                <w:sz w:val="20"/>
                <w:szCs w:val="20"/>
                <w:color w:val="auto"/>
              </w:rPr>
            </w:pPr>
            <w:r>
              <w:rPr>
                <w:rFonts w:ascii="Arial" w:cs="Arial" w:eastAsia="Arial" w:hAnsi="Arial"/>
                <w:sz w:val="18"/>
                <w:szCs w:val="18"/>
                <w:color w:val="auto"/>
              </w:rPr>
              <w:t>100.0%</w:t>
            </w:r>
          </w:p>
        </w:tc>
        <w:tc>
          <w:tcPr>
            <w:tcW w:w="1200" w:type="dxa"/>
            <w:vAlign w:val="bottom"/>
            <w:tcBorders>
              <w:top w:val="single" w:sz="8" w:color="EC252A"/>
            </w:tcBorders>
          </w:tcPr>
          <w:p>
            <w:pPr>
              <w:jc w:val="right"/>
              <w:spacing w:after="0"/>
              <w:rPr>
                <w:sz w:val="20"/>
                <w:szCs w:val="20"/>
                <w:color w:val="auto"/>
              </w:rPr>
            </w:pPr>
            <w:r>
              <w:rPr>
                <w:rFonts w:ascii="Arial" w:cs="Arial" w:eastAsia="Arial" w:hAnsi="Arial"/>
                <w:sz w:val="18"/>
                <w:szCs w:val="18"/>
                <w:color w:val="auto"/>
              </w:rPr>
              <w:t>100.0%</w:t>
            </w:r>
          </w:p>
        </w:tc>
      </w:tr>
      <w:tr>
        <w:trPr>
          <w:trHeight w:val="36"/>
        </w:trPr>
        <w:tc>
          <w:tcPr>
            <w:tcW w:w="4060" w:type="dxa"/>
            <w:vAlign w:val="bottom"/>
            <w:tcBorders>
              <w:bottom w:val="single" w:sz="8" w:color="EC252A"/>
            </w:tcBorders>
          </w:tcPr>
          <w:p>
            <w:pPr>
              <w:spacing w:after="0"/>
              <w:rPr>
                <w:sz w:val="3"/>
                <w:szCs w:val="3"/>
                <w:color w:val="auto"/>
              </w:rPr>
            </w:pPr>
          </w:p>
        </w:tc>
        <w:tc>
          <w:tcPr>
            <w:tcW w:w="2580" w:type="dxa"/>
            <w:vAlign w:val="bottom"/>
            <w:tcBorders>
              <w:bottom w:val="single" w:sz="8" w:color="EC252A"/>
            </w:tcBorders>
          </w:tcPr>
          <w:p>
            <w:pPr>
              <w:spacing w:after="0"/>
              <w:rPr>
                <w:sz w:val="3"/>
                <w:szCs w:val="3"/>
                <w:color w:val="auto"/>
              </w:rPr>
            </w:pPr>
          </w:p>
        </w:tc>
        <w:tc>
          <w:tcPr>
            <w:tcW w:w="1200" w:type="dxa"/>
            <w:vAlign w:val="bottom"/>
            <w:tcBorders>
              <w:bottom w:val="single" w:sz="8" w:color="EC252A"/>
            </w:tcBorders>
          </w:tcPr>
          <w:p>
            <w:pPr>
              <w:spacing w:after="0"/>
              <w:rPr>
                <w:sz w:val="3"/>
                <w:szCs w:val="3"/>
                <w:color w:val="auto"/>
              </w:rPr>
            </w:pPr>
          </w:p>
        </w:tc>
      </w:tr>
    </w:tbl>
    <w:p>
      <w:pPr>
        <w:spacing w:after="0" w:line="8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EPS means our “adjusted earnings per diluted share” as described in our 2021 year-end earnings release included with our Form 8-K filed on February 16, 2022. The amount is based on our GAAP earnings per diluted share, adjusted for amortization expense, certain restructuring costs and other non-recurring items detailed in the earnings release.</w:t>
      </w:r>
    </w:p>
    <w:p>
      <w:pPr>
        <w:spacing w:after="0" w:line="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Cash from operations means our “adjusted cash flow” based on our GAAP cash flow from operations, adjusted for certain restructuring costs and other non-recurring items detailed in our earnings release included with our Form 8-K filed on February 16, 2022.</w:t>
      </w:r>
    </w:p>
    <w:p>
      <w:pPr>
        <w:spacing w:after="0" w:line="61"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EBIT means our “adjusted earnings before interest and taxes” (as described in our 2021 year-end earnings release included with our Form 8-K filed on February 16, 2022). The amount is based on our GAAP income from operations, adjusted for amortization expense, certain restructuring costs and other non-recurring items detailed in the earnings release.</w:t>
      </w:r>
    </w:p>
    <w:p>
      <w:pPr>
        <w:spacing w:after="0" w:line="66" w:lineRule="exact"/>
        <w:rPr>
          <w:sz w:val="20"/>
          <w:szCs w:val="20"/>
          <w:color w:val="auto"/>
        </w:rPr>
      </w:pPr>
    </w:p>
    <w:p>
      <w:pPr>
        <w:ind w:right="460"/>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The modifications to our Annual Cash Incentive Plan are discussed in more detail below in the “Components of Compensation” beginning on page </w:t>
      </w:r>
      <w:hyperlink w:anchor="page40">
        <w:r>
          <w:rPr>
            <w:rFonts w:ascii="Arial" w:cs="Arial" w:eastAsia="Arial" w:hAnsi="Arial"/>
            <w:sz w:val="18"/>
            <w:szCs w:val="18"/>
            <w:u w:val="single" w:color="auto"/>
            <w:color w:val="0000EE"/>
          </w:rPr>
          <w:t>35</w:t>
        </w:r>
      </w:hyperlink>
      <w:r>
        <w:rPr>
          <w:rFonts w:ascii="Arial" w:cs="Arial" w:eastAsia="Arial" w:hAnsi="Arial"/>
          <w:sz w:val="18"/>
          <w:szCs w:val="18"/>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2021, bonuses were earned under the plan at 144.81% of target for Mr. Santana, Mr. Olin, Mr. DeNinno, Mr.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Gebhardt, and Mr. Dugan. Mr. Schweitzer’s bonus was earned at 137.52% of target.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 2021 Long-Term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58978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14" w:lineRule="exact"/>
        <w:rPr>
          <w:sz w:val="20"/>
          <w:szCs w:val="20"/>
          <w:color w:val="auto"/>
        </w:rPr>
      </w:pPr>
    </w:p>
    <w:p>
      <w:pPr>
        <w:ind w:right="2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In its deliberations, due to the impact of COVID on the business, the Compensation Committee also determined that modifications were necessary to the 2019 – 2021 long-term incentive program. Rather than having one three-year performance period, the Compensation Committee decided to split the performance periods into three separate periods: one for 2019, one for 2020 and one for 2021. The performance measurement of economic profit did not change. Performance for each period is measured separately, and the payout is determined by averaging the payout percentages of the three separate performance periods. The economic profit goal was achieved at target for 2019, but not achieved for 2020 or 2021. Therefore, payouts for the 2019 - 2021 performance period were earned at 33% of target on three-year economic profit goals established in February 2019. The modifications to our 2019 – 2021 long-term incentive program are discussed in more detail below in the “Components of Compensation” beginning on page </w:t>
      </w:r>
      <w:hyperlink w:anchor="page40">
        <w:r>
          <w:rPr>
            <w:rFonts w:ascii="Arial" w:cs="Arial" w:eastAsia="Arial" w:hAnsi="Arial"/>
            <w:sz w:val="18"/>
            <w:szCs w:val="18"/>
            <w:u w:val="single" w:color="auto"/>
            <w:color w:val="0000EE"/>
          </w:rPr>
          <w:t>35</w:t>
        </w:r>
      </w:hyperlink>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58978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394"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30</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2"/>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-168910</wp:posOffset>
            </wp:positionV>
            <wp:extent cx="471805" cy="1803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35" w:name="page36"/>
    <w:bookmarkEnd w:id="35"/>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27" w:lineRule="exact"/>
        <w:rPr>
          <w:sz w:val="20"/>
          <w:szCs w:val="20"/>
          <w:color w:val="auto"/>
        </w:rPr>
      </w:pPr>
    </w:p>
    <w:p>
      <w:pPr>
        <w:ind w:left="860" w:right="1760"/>
        <w:spacing w:after="0" w:line="271" w:lineRule="auto"/>
        <w:rPr>
          <w:sz w:val="20"/>
          <w:szCs w:val="20"/>
          <w:color w:val="auto"/>
        </w:rPr>
      </w:pPr>
      <w:r>
        <w:rPr>
          <w:rFonts w:ascii="Arial" w:cs="Arial" w:eastAsia="Arial" w:hAnsi="Arial"/>
          <w:sz w:val="18"/>
          <w:szCs w:val="18"/>
          <w:color w:val="auto"/>
        </w:rPr>
        <w:t>The Compensation Committee has implemented the following best practices with respect to the executive compensation program:</w:t>
      </w:r>
    </w:p>
    <w:p>
      <w:pPr>
        <w:spacing w:after="0" w:line="176" w:lineRule="exact"/>
        <w:rPr>
          <w:sz w:val="20"/>
          <w:szCs w:val="20"/>
          <w:color w:val="auto"/>
        </w:rPr>
      </w:pPr>
    </w:p>
    <w:p>
      <w:pPr>
        <w:ind w:left="2560"/>
        <w:spacing w:after="0"/>
        <w:tabs>
          <w:tab w:leader="none" w:pos="7000" w:val="left"/>
        </w:tabs>
        <w:rPr>
          <w:sz w:val="20"/>
          <w:szCs w:val="20"/>
          <w:color w:val="auto"/>
        </w:rPr>
      </w:pPr>
      <w:r>
        <w:rPr>
          <w:rFonts w:ascii="Arial" w:cs="Arial" w:eastAsia="Arial" w:hAnsi="Arial"/>
          <w:sz w:val="20"/>
          <w:szCs w:val="20"/>
          <w:b w:val="1"/>
          <w:bCs w:val="1"/>
          <w:color w:val="EC252A"/>
        </w:rPr>
        <w:t>What we do:</w:t>
      </w:r>
      <w:r>
        <w:rPr>
          <w:sz w:val="20"/>
          <w:szCs w:val="20"/>
          <w:color w:val="auto"/>
        </w:rPr>
        <w:tab/>
      </w:r>
      <w:r>
        <w:rPr>
          <w:rFonts w:ascii="Arial" w:cs="Arial" w:eastAsia="Arial" w:hAnsi="Arial"/>
          <w:sz w:val="19"/>
          <w:szCs w:val="19"/>
          <w:b w:val="1"/>
          <w:bCs w:val="1"/>
          <w:color w:val="EC252A"/>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74930</wp:posOffset>
            </wp:positionV>
            <wp:extent cx="58978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220" w:lineRule="exact"/>
        <w:rPr>
          <w:sz w:val="20"/>
          <w:szCs w:val="20"/>
          <w:color w:val="auto"/>
        </w:rPr>
      </w:pPr>
    </w:p>
    <w:p>
      <w:pPr>
        <w:ind w:left="1200" w:hanging="250"/>
        <w:spacing w:after="0" w:line="253" w:lineRule="auto"/>
        <w:tabs>
          <w:tab w:leader="none" w:pos="1193" w:val="left"/>
        </w:tabs>
        <w:numPr>
          <w:ilvl w:val="0"/>
          <w:numId w:val="32"/>
        </w:numPr>
        <w:rPr>
          <w:rFonts w:ascii="MS PGothic" w:cs="MS PGothic" w:eastAsia="MS PGothic" w:hAnsi="MS PGothic"/>
          <w:sz w:val="17"/>
          <w:szCs w:val="17"/>
          <w:color w:val="EC252A"/>
        </w:rPr>
      </w:pPr>
      <w:r>
        <w:rPr>
          <w:rFonts w:ascii="Arial" w:cs="Arial" w:eastAsia="Arial" w:hAnsi="Arial"/>
          <w:sz w:val="17"/>
          <w:szCs w:val="17"/>
          <w:color w:val="auto"/>
        </w:rPr>
        <w:t>Review the executive compensation programs each year and the Company’s long-term business strategy, the results of the most recent say-on-pay advisory vote and contemporary market practices as periodically provided by our independent consultant.</w:t>
      </w:r>
    </w:p>
    <w:p>
      <w:pPr>
        <w:ind w:left="1200" w:right="220" w:hanging="250"/>
        <w:spacing w:after="0" w:line="234" w:lineRule="auto"/>
        <w:tabs>
          <w:tab w:leader="none" w:pos="1193" w:val="left"/>
        </w:tabs>
        <w:numPr>
          <w:ilvl w:val="0"/>
          <w:numId w:val="32"/>
        </w:numPr>
        <w:rPr>
          <w:rFonts w:ascii="MS PGothic" w:cs="MS PGothic" w:eastAsia="MS PGothic" w:hAnsi="MS PGothic"/>
          <w:sz w:val="18"/>
          <w:szCs w:val="18"/>
          <w:color w:val="EC252A"/>
        </w:rPr>
      </w:pPr>
      <w:r>
        <w:rPr>
          <w:rFonts w:ascii="Arial" w:cs="Arial" w:eastAsia="Arial" w:hAnsi="Arial"/>
          <w:sz w:val="18"/>
          <w:szCs w:val="18"/>
          <w:color w:val="auto"/>
        </w:rPr>
        <w:t>Use the Company’s stock price and other value-creating financial metrics such as earnings before interest and taxes, earnings per share, working capital, cash flow, return on invested capital and relative total stockholder return in our executive incentive programs.</w:t>
      </w:r>
    </w:p>
    <w:p>
      <w:pPr>
        <w:spacing w:after="0" w:line="4" w:lineRule="exact"/>
        <w:rPr>
          <w:rFonts w:ascii="MS PGothic" w:cs="MS PGothic" w:eastAsia="MS PGothic" w:hAnsi="MS PGothic"/>
          <w:sz w:val="18"/>
          <w:szCs w:val="18"/>
          <w:color w:val="EC252A"/>
        </w:rPr>
      </w:pPr>
    </w:p>
    <w:p>
      <w:pPr>
        <w:ind w:left="1200" w:right="200" w:hanging="250"/>
        <w:spacing w:after="0" w:line="248" w:lineRule="auto"/>
        <w:tabs>
          <w:tab w:leader="none" w:pos="1183" w:val="left"/>
        </w:tabs>
        <w:numPr>
          <w:ilvl w:val="0"/>
          <w:numId w:val="32"/>
        </w:numPr>
        <w:rPr>
          <w:rFonts w:ascii="MS PGothic" w:cs="MS PGothic" w:eastAsia="MS PGothic" w:hAnsi="MS PGothic"/>
          <w:sz w:val="17"/>
          <w:szCs w:val="17"/>
          <w:color w:val="EC252A"/>
        </w:rPr>
      </w:pPr>
      <w:r>
        <w:rPr>
          <w:rFonts w:ascii="Arial" w:cs="Arial" w:eastAsia="Arial" w:hAnsi="Arial"/>
          <w:sz w:val="17"/>
          <w:szCs w:val="17"/>
          <w:color w:val="auto"/>
        </w:rPr>
        <w:t>Annually review the risks associated with our compensation programs and mitigate the risks by:</w:t>
      </w:r>
    </w:p>
    <w:p>
      <w:pPr>
        <w:spacing w:after="0" w:line="1" w:lineRule="exact"/>
        <w:rPr>
          <w:rFonts w:ascii="MS PGothic" w:cs="MS PGothic" w:eastAsia="MS PGothic" w:hAnsi="MS PGothic"/>
          <w:sz w:val="17"/>
          <w:szCs w:val="17"/>
          <w:color w:val="EC252A"/>
        </w:rPr>
      </w:pPr>
    </w:p>
    <w:p>
      <w:pPr>
        <w:ind w:left="1560" w:right="340" w:hanging="184"/>
        <w:spacing w:after="0" w:line="248" w:lineRule="auto"/>
        <w:tabs>
          <w:tab w:leader="none" w:pos="1530" w:val="left"/>
        </w:tabs>
        <w:numPr>
          <w:ilvl w:val="1"/>
          <w:numId w:val="32"/>
        </w:numPr>
        <w:rPr>
          <w:rFonts w:ascii="Arial" w:cs="Arial" w:eastAsia="Arial" w:hAnsi="Arial"/>
          <w:sz w:val="17"/>
          <w:szCs w:val="17"/>
          <w:color w:val="EC252A"/>
        </w:rPr>
      </w:pPr>
      <w:r>
        <w:rPr>
          <w:rFonts w:ascii="Arial" w:cs="Arial" w:eastAsia="Arial" w:hAnsi="Arial"/>
          <w:sz w:val="17"/>
          <w:szCs w:val="17"/>
          <w:color w:val="auto"/>
        </w:rPr>
        <w:t>capping incentive payouts earned under our annual cash incentive award plan and our performance unit long-term incentive plan;</w:t>
      </w:r>
    </w:p>
    <w:p>
      <w:pPr>
        <w:spacing w:after="0" w:line="1" w:lineRule="exact"/>
        <w:rPr>
          <w:rFonts w:ascii="Arial" w:cs="Arial" w:eastAsia="Arial" w:hAnsi="Arial"/>
          <w:sz w:val="17"/>
          <w:szCs w:val="17"/>
          <w:color w:val="EC252A"/>
        </w:rPr>
      </w:pPr>
    </w:p>
    <w:p>
      <w:pPr>
        <w:jc w:val="both"/>
        <w:ind w:left="1560" w:right="400" w:hanging="187"/>
        <w:spacing w:after="0" w:line="234" w:lineRule="auto"/>
        <w:tabs>
          <w:tab w:leader="none" w:pos="1530" w:val="left"/>
        </w:tabs>
        <w:numPr>
          <w:ilvl w:val="1"/>
          <w:numId w:val="32"/>
        </w:numPr>
        <w:rPr>
          <w:rFonts w:ascii="Arial" w:cs="Arial" w:eastAsia="Arial" w:hAnsi="Arial"/>
          <w:sz w:val="18"/>
          <w:szCs w:val="18"/>
          <w:color w:val="EC252A"/>
        </w:rPr>
      </w:pPr>
      <w:r>
        <w:rPr>
          <w:rFonts w:ascii="Arial" w:cs="Arial" w:eastAsia="Arial" w:hAnsi="Arial"/>
          <w:sz w:val="18"/>
          <w:szCs w:val="18"/>
          <w:color w:val="auto"/>
        </w:rPr>
        <w:t>maintaining stock ownership guidelines for executive management and non-employee directors;</w:t>
      </w:r>
    </w:p>
    <w:p>
      <w:pPr>
        <w:spacing w:after="0" w:line="2" w:lineRule="exact"/>
        <w:rPr>
          <w:rFonts w:ascii="Arial" w:cs="Arial" w:eastAsia="Arial" w:hAnsi="Arial"/>
          <w:sz w:val="18"/>
          <w:szCs w:val="18"/>
          <w:color w:val="EC252A"/>
        </w:rPr>
      </w:pPr>
    </w:p>
    <w:p>
      <w:pPr>
        <w:ind w:left="1560" w:right="80" w:hanging="187"/>
        <w:spacing w:after="0" w:line="234" w:lineRule="auto"/>
        <w:tabs>
          <w:tab w:leader="none" w:pos="1530" w:val="left"/>
        </w:tabs>
        <w:numPr>
          <w:ilvl w:val="1"/>
          <w:numId w:val="32"/>
        </w:numPr>
        <w:rPr>
          <w:rFonts w:ascii="Arial" w:cs="Arial" w:eastAsia="Arial" w:hAnsi="Arial"/>
          <w:sz w:val="18"/>
          <w:szCs w:val="18"/>
          <w:color w:val="EC252A"/>
        </w:rPr>
      </w:pPr>
      <w:r>
        <w:rPr>
          <w:rFonts w:ascii="Arial" w:cs="Arial" w:eastAsia="Arial" w:hAnsi="Arial"/>
          <w:sz w:val="18"/>
          <w:szCs w:val="18"/>
          <w:color w:val="auto"/>
        </w:rPr>
        <w:t>maintaining a recoupment policy that applies to our cash and equity incentive awards;</w:t>
      </w:r>
    </w:p>
    <w:p>
      <w:pPr>
        <w:spacing w:after="0" w:line="1" w:lineRule="exact"/>
        <w:rPr>
          <w:rFonts w:ascii="Arial" w:cs="Arial" w:eastAsia="Arial" w:hAnsi="Arial"/>
          <w:sz w:val="18"/>
          <w:szCs w:val="18"/>
          <w:color w:val="EC252A"/>
        </w:rPr>
      </w:pPr>
    </w:p>
    <w:p>
      <w:pPr>
        <w:ind w:left="1560" w:right="140" w:hanging="187"/>
        <w:spacing w:after="0" w:line="234" w:lineRule="auto"/>
        <w:tabs>
          <w:tab w:leader="none" w:pos="1530" w:val="left"/>
        </w:tabs>
        <w:numPr>
          <w:ilvl w:val="1"/>
          <w:numId w:val="32"/>
        </w:numPr>
        <w:rPr>
          <w:rFonts w:ascii="Arial" w:cs="Arial" w:eastAsia="Arial" w:hAnsi="Arial"/>
          <w:sz w:val="18"/>
          <w:szCs w:val="18"/>
          <w:color w:val="EC252A"/>
        </w:rPr>
      </w:pPr>
      <w:r>
        <w:rPr>
          <w:rFonts w:ascii="Arial" w:cs="Arial" w:eastAsia="Arial" w:hAnsi="Arial"/>
          <w:sz w:val="18"/>
          <w:szCs w:val="18"/>
          <w:color w:val="auto"/>
        </w:rPr>
        <w:t>maintaining a policy that prohibits the pledging of Company stock; and</w:t>
      </w:r>
    </w:p>
    <w:p>
      <w:pPr>
        <w:spacing w:after="0" w:line="1" w:lineRule="exact"/>
        <w:rPr>
          <w:rFonts w:ascii="Arial" w:cs="Arial" w:eastAsia="Arial" w:hAnsi="Arial"/>
          <w:sz w:val="18"/>
          <w:szCs w:val="18"/>
          <w:color w:val="EC252A"/>
        </w:rPr>
      </w:pPr>
    </w:p>
    <w:p>
      <w:pPr>
        <w:ind w:left="1560" w:right="180" w:hanging="187"/>
        <w:spacing w:after="0" w:line="234" w:lineRule="auto"/>
        <w:tabs>
          <w:tab w:leader="none" w:pos="1530" w:val="left"/>
        </w:tabs>
        <w:numPr>
          <w:ilvl w:val="1"/>
          <w:numId w:val="32"/>
        </w:numPr>
        <w:rPr>
          <w:rFonts w:ascii="Arial" w:cs="Arial" w:eastAsia="Arial" w:hAnsi="Arial"/>
          <w:sz w:val="18"/>
          <w:szCs w:val="18"/>
          <w:color w:val="EC252A"/>
        </w:rPr>
      </w:pPr>
      <w:r>
        <w:rPr>
          <w:rFonts w:ascii="Arial" w:cs="Arial" w:eastAsia="Arial" w:hAnsi="Arial"/>
          <w:sz w:val="18"/>
          <w:szCs w:val="18"/>
          <w:color w:val="auto"/>
        </w:rPr>
        <w:t>maintaining a policy that prohibits the hedging of Company stock.</w:t>
      </w:r>
    </w:p>
    <w:p>
      <w:pPr>
        <w:spacing w:after="0" w:line="1" w:lineRule="exact"/>
        <w:rPr>
          <w:rFonts w:ascii="Arial" w:cs="Arial" w:eastAsia="Arial" w:hAnsi="Arial"/>
          <w:sz w:val="18"/>
          <w:szCs w:val="18"/>
          <w:color w:val="EC252A"/>
        </w:rPr>
      </w:pPr>
    </w:p>
    <w:p>
      <w:pPr>
        <w:ind w:left="1200" w:right="380" w:hanging="250"/>
        <w:spacing w:after="0"/>
        <w:tabs>
          <w:tab w:leader="none" w:pos="1193" w:val="left"/>
        </w:tabs>
        <w:numPr>
          <w:ilvl w:val="0"/>
          <w:numId w:val="32"/>
        </w:numPr>
        <w:rPr>
          <w:rFonts w:ascii="MS PGothic" w:cs="MS PGothic" w:eastAsia="MS PGothic" w:hAnsi="MS PGothic"/>
          <w:sz w:val="18"/>
          <w:szCs w:val="18"/>
          <w:color w:val="EC252A"/>
        </w:rPr>
      </w:pPr>
      <w:r>
        <w:rPr>
          <w:rFonts w:ascii="Arial" w:cs="Arial" w:eastAsia="Arial" w:hAnsi="Arial"/>
          <w:sz w:val="18"/>
          <w:szCs w:val="18"/>
          <w:color w:val="auto"/>
        </w:rPr>
        <w:t>Require both a qualified change in control and employment termination (double trigger) for any cash severance to be paid under our change in control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38" w:right="940" w:hanging="238"/>
        <w:spacing w:after="0" w:line="259" w:lineRule="auto"/>
        <w:tabs>
          <w:tab w:leader="none" w:pos="245" w:val="left"/>
        </w:tabs>
        <w:numPr>
          <w:ilvl w:val="0"/>
          <w:numId w:val="33"/>
        </w:numPr>
        <w:rPr>
          <w:rFonts w:ascii="MS PGothic" w:cs="MS PGothic" w:eastAsia="MS PGothic" w:hAnsi="MS PGothic"/>
          <w:sz w:val="17"/>
          <w:szCs w:val="17"/>
          <w:color w:val="EC252A"/>
        </w:rPr>
      </w:pPr>
      <w:r>
        <w:rPr>
          <w:rFonts w:ascii="Arial" w:cs="Arial" w:eastAsia="Arial" w:hAnsi="Arial"/>
          <w:sz w:val="17"/>
          <w:szCs w:val="17"/>
          <w:color w:val="auto"/>
        </w:rPr>
        <w:t>Gross-up for income or excise taxes on perquisites or severance benefits related to a change in control.</w:t>
      </w:r>
    </w:p>
    <w:p>
      <w:pPr>
        <w:spacing w:after="0" w:line="1" w:lineRule="exact"/>
        <w:rPr>
          <w:rFonts w:ascii="MS PGothic" w:cs="MS PGothic" w:eastAsia="MS PGothic" w:hAnsi="MS PGothic"/>
          <w:sz w:val="17"/>
          <w:szCs w:val="17"/>
          <w:color w:val="EC252A"/>
        </w:rPr>
      </w:pPr>
    </w:p>
    <w:p>
      <w:pPr>
        <w:ind w:left="238" w:right="960" w:hanging="238"/>
        <w:spacing w:after="0" w:line="234" w:lineRule="auto"/>
        <w:tabs>
          <w:tab w:leader="none" w:pos="245" w:val="left"/>
        </w:tabs>
        <w:numPr>
          <w:ilvl w:val="0"/>
          <w:numId w:val="33"/>
        </w:numPr>
        <w:rPr>
          <w:rFonts w:ascii="MS PGothic" w:cs="MS PGothic" w:eastAsia="MS PGothic" w:hAnsi="MS PGothic"/>
          <w:sz w:val="18"/>
          <w:szCs w:val="18"/>
          <w:color w:val="EC252A"/>
        </w:rPr>
      </w:pPr>
      <w:r>
        <w:rPr>
          <w:rFonts w:ascii="Arial" w:cs="Arial" w:eastAsia="Arial" w:hAnsi="Arial"/>
          <w:sz w:val="18"/>
          <w:szCs w:val="18"/>
          <w:color w:val="auto"/>
        </w:rPr>
        <w:t>Provide executives with an enhanced executive retirement program but rather a defined contribution or defined benefit plan similar to that provided to all employees in the country where such employees reside.</w:t>
      </w:r>
    </w:p>
    <w:p>
      <w:pPr>
        <w:spacing w:after="0" w:line="3" w:lineRule="exact"/>
        <w:rPr>
          <w:rFonts w:ascii="MS PGothic" w:cs="MS PGothic" w:eastAsia="MS PGothic" w:hAnsi="MS PGothic"/>
          <w:sz w:val="18"/>
          <w:szCs w:val="18"/>
          <w:color w:val="EC252A"/>
        </w:rPr>
      </w:pPr>
    </w:p>
    <w:p>
      <w:pPr>
        <w:ind w:left="238" w:right="1520" w:hanging="238"/>
        <w:spacing w:after="0" w:line="234" w:lineRule="auto"/>
        <w:tabs>
          <w:tab w:leader="none" w:pos="245" w:val="left"/>
        </w:tabs>
        <w:numPr>
          <w:ilvl w:val="0"/>
          <w:numId w:val="33"/>
        </w:numPr>
        <w:rPr>
          <w:rFonts w:ascii="MS PGothic" w:cs="MS PGothic" w:eastAsia="MS PGothic" w:hAnsi="MS PGothic"/>
          <w:sz w:val="18"/>
          <w:szCs w:val="18"/>
          <w:color w:val="EC252A"/>
        </w:rPr>
      </w:pPr>
      <w:r>
        <w:rPr>
          <w:rFonts w:ascii="Arial" w:cs="Arial" w:eastAsia="Arial" w:hAnsi="Arial"/>
          <w:sz w:val="18"/>
          <w:szCs w:val="18"/>
          <w:color w:val="auto"/>
        </w:rPr>
        <w:t>Provide dividends or dividend equivalents on unearned performance shares.</w:t>
      </w:r>
    </w:p>
    <w:p>
      <w:pPr>
        <w:spacing w:after="0" w:line="1" w:lineRule="exact"/>
        <w:rPr>
          <w:rFonts w:ascii="MS PGothic" w:cs="MS PGothic" w:eastAsia="MS PGothic" w:hAnsi="MS PGothic"/>
          <w:sz w:val="18"/>
          <w:szCs w:val="18"/>
          <w:color w:val="EC252A"/>
        </w:rPr>
      </w:pPr>
    </w:p>
    <w:p>
      <w:pPr>
        <w:ind w:left="238" w:hanging="238"/>
        <w:spacing w:after="0"/>
        <w:tabs>
          <w:tab w:leader="none" w:pos="238" w:val="left"/>
        </w:tabs>
        <w:numPr>
          <w:ilvl w:val="0"/>
          <w:numId w:val="33"/>
        </w:numPr>
        <w:rPr>
          <w:rFonts w:ascii="MS PGothic" w:cs="MS PGothic" w:eastAsia="MS PGothic" w:hAnsi="MS PGothic"/>
          <w:sz w:val="18"/>
          <w:szCs w:val="18"/>
          <w:color w:val="EC252A"/>
        </w:rPr>
      </w:pPr>
      <w:r>
        <w:rPr>
          <w:rFonts w:ascii="Arial" w:cs="Arial" w:eastAsia="Arial" w:hAnsi="Arial"/>
          <w:sz w:val="18"/>
          <w:szCs w:val="18"/>
          <w:color w:val="auto"/>
        </w:rPr>
        <w:t>Re-price or backdate stock options.</w:t>
      </w:r>
    </w:p>
    <w:p>
      <w:pPr>
        <w:spacing w:after="0" w:line="4060" w:lineRule="exact"/>
        <w:rPr>
          <w:sz w:val="20"/>
          <w:szCs w:val="20"/>
          <w:color w:val="auto"/>
        </w:rPr>
      </w:pPr>
    </w:p>
    <w:p>
      <w:pPr>
        <w:sectPr>
          <w:pgSz w:w="11900" w:h="16838" w:orient="portrait"/>
          <w:cols w:equalWidth="0" w:num="2">
            <w:col w:w="5360" w:space="342"/>
            <w:col w:w="5318"/>
          </w:cols>
          <w:pgMar w:left="440" w:top="263" w:right="439" w:bottom="1440" w:gutter="0" w:footer="0" w:header="0"/>
          <w:type w:val="continuous"/>
        </w:sectPr>
      </w:pPr>
    </w:p>
    <w:p>
      <w:pPr>
        <w:spacing w:after="0" w:line="2"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2021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92075</wp:posOffset>
            </wp:positionV>
            <wp:extent cx="58978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27" w:lineRule="exact"/>
        <w:rPr>
          <w:sz w:val="20"/>
          <w:szCs w:val="20"/>
          <w:color w:val="auto"/>
        </w:rPr>
      </w:pPr>
    </w:p>
    <w:p>
      <w:pPr>
        <w:ind w:left="860" w:right="1040"/>
        <w:spacing w:after="0" w:line="247" w:lineRule="auto"/>
        <w:rPr>
          <w:sz w:val="20"/>
          <w:szCs w:val="20"/>
          <w:color w:val="auto"/>
        </w:rPr>
      </w:pPr>
      <w:r>
        <w:rPr>
          <w:rFonts w:ascii="Arial" w:cs="Arial" w:eastAsia="Arial" w:hAnsi="Arial"/>
          <w:sz w:val="18"/>
          <w:szCs w:val="18"/>
          <w:color w:val="auto"/>
        </w:rPr>
        <w:t>In 2021, Wabtec delivered strong financial performance driven by growth in both Freight and Transit segments. Sales increased 3.5 percent to $ 7.82 billion and cash flow from operations was a record $1.07 billion. We achieved an adjusted EBIT margin of 15.9 percent and ended the year with adjusted earnings per diluted share of $4.26, excluding certain expenses detailed later in this report.</w:t>
      </w:r>
    </w:p>
    <w:p>
      <w:pPr>
        <w:spacing w:after="0" w:line="66" w:lineRule="exact"/>
        <w:rPr>
          <w:sz w:val="20"/>
          <w:szCs w:val="20"/>
          <w:color w:val="auto"/>
        </w:rPr>
      </w:pPr>
    </w:p>
    <w:p>
      <w:pPr>
        <w:ind w:left="860" w:right="900"/>
        <w:spacing w:after="0" w:line="247" w:lineRule="auto"/>
        <w:rPr>
          <w:sz w:val="20"/>
          <w:szCs w:val="20"/>
          <w:color w:val="auto"/>
        </w:rPr>
      </w:pPr>
      <w:r>
        <w:rPr>
          <w:rFonts w:ascii="Arial" w:cs="Arial" w:eastAsia="Arial" w:hAnsi="Arial"/>
          <w:sz w:val="18"/>
          <w:szCs w:val="18"/>
          <w:color w:val="auto"/>
        </w:rPr>
        <w:t>We aggressively mitigated the impacts of escalating metals, labor and logistics costs; components shortages; and supply chain disruptions. Additionally, we accelerated integration synergies, achieving $250 million of run-rate synergies in the third quarter of 2021, more than one year earlier than forecasted. These actions continue to position the Company for long-term profitable growth.</w:t>
      </w:r>
    </w:p>
    <w:p>
      <w:pPr>
        <w:spacing w:after="0" w:line="66" w:lineRule="exact"/>
        <w:rPr>
          <w:sz w:val="20"/>
          <w:szCs w:val="20"/>
          <w:color w:val="auto"/>
        </w:rPr>
      </w:pPr>
    </w:p>
    <w:p>
      <w:pPr>
        <w:ind w:left="860" w:right="1140"/>
        <w:spacing w:after="0" w:line="244" w:lineRule="auto"/>
        <w:rPr>
          <w:sz w:val="20"/>
          <w:szCs w:val="20"/>
          <w:color w:val="auto"/>
        </w:rPr>
      </w:pPr>
      <w:r>
        <w:rPr>
          <w:rFonts w:ascii="Arial" w:cs="Arial" w:eastAsia="Arial" w:hAnsi="Arial"/>
          <w:sz w:val="18"/>
          <w:szCs w:val="18"/>
          <w:color w:val="auto"/>
        </w:rPr>
        <w:t>Our balance sheet was strengthened by reducing debt by $ 181 million, while keeping a focus on our liquidity position, which at end of year stood at $1.67 billion in cash, cash equivalents, and available credit facilities. We executed on our strategic priorities and returned $392 million of capital to shareholders via dividends and share repurchases. Our multi-year backlog also remained strong at $22.17 billion, giving us good visibility into 2022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167005</wp:posOffset>
            </wp:positionV>
            <wp:extent cx="58978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278130</wp:posOffset>
            </wp:positionV>
            <wp:extent cx="471170" cy="180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31</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type w:val="continuous"/>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Key business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189230</wp:posOffset>
            </wp:positionV>
            <wp:extent cx="5563235" cy="48088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63235" cy="480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0" w:hanging="300"/>
        <w:spacing w:after="0"/>
        <w:tabs>
          <w:tab w:leader="none" w:pos="3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See page </w:t>
      </w:r>
      <w:r>
        <w:rPr>
          <w:rFonts w:ascii="Arial" w:cs="Arial" w:eastAsia="Arial" w:hAnsi="Arial"/>
          <w:sz w:val="14"/>
          <w:szCs w:val="14"/>
          <w:u w:val="single" w:color="auto"/>
          <w:color w:val="0000EE"/>
        </w:rPr>
        <w:t>57</w:t>
      </w:r>
      <w:r>
        <w:rPr>
          <w:rFonts w:ascii="Arial" w:cs="Arial" w:eastAsia="Arial" w:hAnsi="Arial"/>
          <w:sz w:val="14"/>
          <w:szCs w:val="14"/>
          <w:color w:val="auto"/>
        </w:rPr>
        <w:t xml:space="preserve"> for reconciliation of GAAP to non-GAAP measures referenced in this section.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2021 Advisory Vote on Executive Compensation in the Compensation Decision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58978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2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Compensation Committee reviewed the results of the 2021 stockholder advisory vote on executive officer compensation and incorporated the results as one of the many factors considered in connection with the discharge of its responsibilities. At our 2021 Annual Meeting of Stockholders, over 90% of the votes cast approved the compensation program described in our 2021 proxy statement. The Compensation Committee interpreted this level of support as affirmation of the design and objectives of our executive compensation programs; however, the Compensation Committee continues to monitor best practices and the practices of our peers to improve our compensation program.</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58978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27"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color w:val="auto"/>
        </w:rPr>
        <w:t>This compensation discussion describes the material elements of compensation awarded to, earned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paid to each of our executive officers who served as named executive officers during 2021. This discussion focuses primarily on the fiscal year 2021 information contained in the following tables and related footnotes and narrative. We discuss compensation actions taken prior to 2021 or in 2022 if we believe it provides relevant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58978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326" w:lineRule="exact"/>
        <w:rPr>
          <w:sz w:val="20"/>
          <w:szCs w:val="20"/>
          <w:color w:val="auto"/>
        </w:rPr>
      </w:pPr>
    </w:p>
    <w:p>
      <w:pPr>
        <w:ind w:left="140"/>
        <w:spacing w:after="0"/>
        <w:tabs>
          <w:tab w:leader="none" w:pos="5690" w:val="left"/>
        </w:tabs>
        <w:rPr>
          <w:sz w:val="20"/>
          <w:szCs w:val="20"/>
          <w:color w:val="auto"/>
        </w:rPr>
      </w:pPr>
      <w:r>
        <w:rPr>
          <w:rFonts w:ascii="Arial" w:cs="Arial" w:eastAsia="Arial" w:hAnsi="Arial"/>
          <w:sz w:val="32"/>
          <w:szCs w:val="32"/>
          <w:b w:val="1"/>
          <w:bCs w:val="1"/>
          <w:color w:val="auto"/>
          <w:vertAlign w:val="superscript"/>
        </w:rPr>
        <w:t>32</w:t>
      </w:r>
      <w:r>
        <w:rPr>
          <w:sz w:val="20"/>
          <w:szCs w:val="20"/>
          <w:color w:val="auto"/>
        </w:rPr>
        <w:tab/>
      </w:r>
      <w:r>
        <w:rPr>
          <w:sz w:val="1"/>
          <w:szCs w:val="1"/>
          <w:color w:val="auto"/>
        </w:rPr>
        <w:drawing>
          <wp:inline distT="0" distB="0" distL="0" distR="0">
            <wp:extent cx="471805" cy="17970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1805" cy="179705"/>
                    </a:xfrm>
                    <a:prstGeom prst="rect">
                      <a:avLst/>
                    </a:prstGeom>
                    <a:noFill/>
                    <a:ln>
                      <a:noFill/>
                    </a:ln>
                  </pic:spPr>
                </pic:pic>
              </a:graphicData>
            </a:graphic>
          </wp:inline>
        </w:drawing>
      </w:r>
      <w:r>
        <w:rPr>
          <w:rFonts w:ascii="Arial" w:cs="Arial" w:eastAsia="Arial" w:hAnsi="Arial"/>
          <w:sz w:val="12"/>
          <w:szCs w:val="12"/>
          <w:color w:val="EC252A"/>
        </w:rPr>
        <w:t xml:space="preserve"> 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137795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37" w:name="page38"/>
    <w:bookmarkEnd w:id="37"/>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860" w:right="1000"/>
        <w:spacing w:after="0" w:line="239" w:lineRule="auto"/>
        <w:rPr>
          <w:sz w:val="20"/>
          <w:szCs w:val="20"/>
          <w:color w:val="auto"/>
        </w:rPr>
      </w:pPr>
      <w:r>
        <w:rPr>
          <w:rFonts w:ascii="Arial" w:cs="Arial" w:eastAsia="Arial" w:hAnsi="Arial"/>
          <w:sz w:val="18"/>
          <w:szCs w:val="18"/>
          <w:color w:val="auto"/>
        </w:rPr>
        <w:t>The principal elements of our executive compensation program are base salary, annual cash incentives, and long-term equity incentives in the form of restricted stock awards and units, stock options and performance units. Our other benefits and perquisites consist of life and health insurance benefits, social and health club dues, and a qualified 401(k) savings plan (including company matching contributions). Our philosophy is to position the aggregate of these elements at approximately the median of that paid to executives of our Peer Group with similar responsibilities. To ensure that the Company is able to attract and retain highly talented and diverse executives, the Company benchmarks executive compensation using a reputable compensation survey of similar-sized companies and also uses available proxy disclosure compensation information of a group of similar-sized manufacturing companies. This group was reviewed and updated in late 2020. This peer group provided insights to the Compensation Committee as it made compensation decisions in 2021.</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Our Peer Group represents a group of manufacturing companies who generally align with the following criteria:</w:t>
      </w:r>
    </w:p>
    <w:p>
      <w:pPr>
        <w:spacing w:after="0" w:line="104" w:lineRule="exact"/>
        <w:rPr>
          <w:sz w:val="20"/>
          <w:szCs w:val="20"/>
          <w:color w:val="auto"/>
        </w:rPr>
      </w:pPr>
    </w:p>
    <w:p>
      <w:pPr>
        <w:ind w:left="1580" w:right="1100" w:hanging="360"/>
        <w:spacing w:after="0" w:line="253" w:lineRule="auto"/>
        <w:tabs>
          <w:tab w:leader="none" w:pos="1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Large industrial companies in Global Industry Classification Standard (“GICS”) sectors generally representing Machinery, Electrical Equipment, Auto Components, Aerospace and Defense and Road and Rail;</w:t>
      </w:r>
    </w:p>
    <w:p>
      <w:pPr>
        <w:spacing w:after="0" w:line="60" w:lineRule="exact"/>
        <w:rPr>
          <w:rFonts w:ascii="Arial" w:cs="Arial" w:eastAsia="Arial" w:hAnsi="Arial"/>
          <w:sz w:val="18"/>
          <w:szCs w:val="18"/>
          <w:color w:val="auto"/>
        </w:rPr>
      </w:pPr>
    </w:p>
    <w:p>
      <w:pPr>
        <w:ind w:left="1580" w:hanging="360"/>
        <w:spacing w:after="0"/>
        <w:tabs>
          <w:tab w:leader="none" w:pos="1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Revenues that range from approximately half to double that of the Company;</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capitalization reasonably aligned with the Company; and</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intensive businesses.</w:t>
      </w:r>
    </w:p>
    <w:p>
      <w:pPr>
        <w:spacing w:after="0" w:line="104" w:lineRule="exact"/>
        <w:rPr>
          <w:sz w:val="20"/>
          <w:szCs w:val="20"/>
          <w:color w:val="auto"/>
        </w:rPr>
      </w:pPr>
    </w:p>
    <w:p>
      <w:pPr>
        <w:ind w:left="860" w:right="1080"/>
        <w:spacing w:after="0" w:line="271" w:lineRule="auto"/>
        <w:rPr>
          <w:sz w:val="20"/>
          <w:szCs w:val="20"/>
          <w:color w:val="auto"/>
        </w:rPr>
      </w:pPr>
      <w:r>
        <w:rPr>
          <w:rFonts w:ascii="Arial" w:cs="Arial" w:eastAsia="Arial" w:hAnsi="Arial"/>
          <w:sz w:val="18"/>
          <w:szCs w:val="18"/>
          <w:color w:val="auto"/>
        </w:rPr>
        <w:t>This peer group was used for relative performance purposes for the Company’s 2021 long-term incentive plan and for use in making 2021 compensation decisions:</w:t>
      </w:r>
    </w:p>
    <w:p>
      <w:pPr>
        <w:spacing w:after="0" w:line="4" w:lineRule="exact"/>
        <w:rPr>
          <w:sz w:val="20"/>
          <w:szCs w:val="20"/>
          <w:color w:val="auto"/>
        </w:rPr>
      </w:pPr>
    </w:p>
    <w:tbl>
      <w:tblPr>
        <w:tblLayout w:type="fixed"/>
        <w:tblInd w:w="870" w:type="dxa"/>
        <w:tblCellMar>
          <w:top w:w="0" w:type="dxa"/>
          <w:left w:w="0" w:type="dxa"/>
          <w:bottom w:w="0" w:type="dxa"/>
          <w:right w:w="0" w:type="dxa"/>
        </w:tblCellMar>
      </w:tblPr>
      <w:tr>
        <w:trPr>
          <w:trHeight w:val="342"/>
        </w:trPr>
        <w:tc>
          <w:tcPr>
            <w:tcW w:w="31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AGCO Corporation</w:t>
            </w:r>
          </w:p>
        </w:tc>
        <w:tc>
          <w:tcPr>
            <w:tcW w:w="31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Fortive Corporation</w:t>
            </w:r>
          </w:p>
        </w:tc>
        <w:tc>
          <w:tcPr>
            <w:tcW w:w="3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Parker Hannifin Corporation</w:t>
            </w:r>
          </w:p>
        </w:tc>
      </w:tr>
      <w:tr>
        <w:trPr>
          <w:trHeight w:val="50"/>
        </w:trPr>
        <w:tc>
          <w:tcPr>
            <w:tcW w:w="31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r>
      <w:tr>
        <w:trPr>
          <w:trHeight w:val="281"/>
        </w:trPr>
        <w:tc>
          <w:tcPr>
            <w:tcW w:w="3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AMETEK, Inc.</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Howmet Aerospace, Inc.</w:t>
            </w: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Rockwell Automation, Inc.</w:t>
            </w:r>
          </w:p>
        </w:tc>
      </w:tr>
      <w:tr>
        <w:trPr>
          <w:trHeight w:val="50"/>
        </w:trPr>
        <w:tc>
          <w:tcPr>
            <w:tcW w:w="31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r>
      <w:tr>
        <w:trPr>
          <w:trHeight w:val="281"/>
        </w:trPr>
        <w:tc>
          <w:tcPr>
            <w:tcW w:w="3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BorgWarner, Inc.</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Illinois Tool Works, Inc.</w:t>
            </w: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Terex Corporation</w:t>
            </w:r>
          </w:p>
        </w:tc>
      </w:tr>
      <w:tr>
        <w:trPr>
          <w:trHeight w:val="50"/>
        </w:trPr>
        <w:tc>
          <w:tcPr>
            <w:tcW w:w="31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r>
      <w:tr>
        <w:trPr>
          <w:trHeight w:val="281"/>
        </w:trPr>
        <w:tc>
          <w:tcPr>
            <w:tcW w:w="3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CSX Corporation</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Ingersoll Rand, Inc.</w:t>
            </w: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Textron, Inc.</w:t>
            </w:r>
          </w:p>
        </w:tc>
      </w:tr>
      <w:tr>
        <w:trPr>
          <w:trHeight w:val="50"/>
        </w:trPr>
        <w:tc>
          <w:tcPr>
            <w:tcW w:w="31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r>
      <w:tr>
        <w:trPr>
          <w:trHeight w:val="281"/>
        </w:trPr>
        <w:tc>
          <w:tcPr>
            <w:tcW w:w="3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Cummins, Inc.</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Navistar International Corporation</w:t>
            </w: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Greenbrier Companies, Inc.</w:t>
            </w:r>
          </w:p>
        </w:tc>
      </w:tr>
      <w:tr>
        <w:trPr>
          <w:trHeight w:val="50"/>
        </w:trPr>
        <w:tc>
          <w:tcPr>
            <w:tcW w:w="31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r>
      <w:tr>
        <w:trPr>
          <w:trHeight w:val="281"/>
        </w:trPr>
        <w:tc>
          <w:tcPr>
            <w:tcW w:w="3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Dover Corporation</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Norfolk Southern Corporation</w:t>
            </w: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Trinity Industries, Inc.</w:t>
            </w:r>
          </w:p>
        </w:tc>
      </w:tr>
      <w:tr>
        <w:trPr>
          <w:trHeight w:val="50"/>
        </w:trPr>
        <w:tc>
          <w:tcPr>
            <w:tcW w:w="31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r>
      <w:tr>
        <w:trPr>
          <w:trHeight w:val="281"/>
        </w:trPr>
        <w:tc>
          <w:tcPr>
            <w:tcW w:w="3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Emerson Electric Co.</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Oshkosh Corporation</w:t>
            </w: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Xylem, Inc.</w:t>
            </w:r>
          </w:p>
        </w:tc>
      </w:tr>
      <w:tr>
        <w:trPr>
          <w:trHeight w:val="37"/>
        </w:trPr>
        <w:tc>
          <w:tcPr>
            <w:tcW w:w="3100" w:type="dxa"/>
            <w:vAlign w:val="bottom"/>
            <w:tcBorders>
              <w:left w:val="single" w:sz="8" w:color="auto"/>
              <w:bottom w:val="single" w:sz="8" w:color="auto"/>
              <w:right w:val="single" w:sz="8" w:color="auto"/>
            </w:tcBorders>
          </w:tcPr>
          <w:p>
            <w:pPr>
              <w:spacing w:after="0"/>
              <w:rPr>
                <w:sz w:val="3"/>
                <w:szCs w:val="3"/>
                <w:color w:val="auto"/>
              </w:rPr>
            </w:pPr>
          </w:p>
        </w:tc>
        <w:tc>
          <w:tcPr>
            <w:tcW w:w="312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r>
    </w:tbl>
    <w:p>
      <w:pPr>
        <w:spacing w:after="0" w:line="89" w:lineRule="exact"/>
        <w:rPr>
          <w:sz w:val="20"/>
          <w:szCs w:val="20"/>
          <w:color w:val="auto"/>
        </w:rPr>
      </w:pPr>
    </w:p>
    <w:p>
      <w:pPr>
        <w:ind w:left="860" w:right="960"/>
        <w:spacing w:after="0" w:line="253" w:lineRule="auto"/>
        <w:rPr>
          <w:sz w:val="20"/>
          <w:szCs w:val="20"/>
          <w:color w:val="auto"/>
        </w:rPr>
      </w:pPr>
      <w:r>
        <w:rPr>
          <w:rFonts w:ascii="Arial" w:cs="Arial" w:eastAsia="Arial" w:hAnsi="Arial"/>
          <w:sz w:val="18"/>
          <w:szCs w:val="18"/>
          <w:color w:val="auto"/>
        </w:rPr>
        <w:t>During fourth quarter of 2021, the Compensation Committee, with the assistance of its independent consultant, reviewed the peer group list. Twenty (20) of the 21 companies remained unchanged. The Compensation Committee removed Navistar as it was acquired in July 2021.</w:t>
      </w:r>
    </w:p>
    <w:p>
      <w:pPr>
        <w:spacing w:after="0" w:line="61" w:lineRule="exact"/>
        <w:rPr>
          <w:sz w:val="20"/>
          <w:szCs w:val="20"/>
          <w:color w:val="auto"/>
        </w:rPr>
      </w:pPr>
    </w:p>
    <w:p>
      <w:pPr>
        <w:ind w:left="860" w:right="1060"/>
        <w:spacing w:after="0"/>
        <w:rPr>
          <w:sz w:val="20"/>
          <w:szCs w:val="20"/>
          <w:color w:val="auto"/>
        </w:rPr>
      </w:pPr>
      <w:r>
        <w:rPr>
          <w:rFonts w:ascii="Arial" w:cs="Arial" w:eastAsia="Arial" w:hAnsi="Arial"/>
          <w:sz w:val="18"/>
          <w:szCs w:val="18"/>
          <w:b w:val="1"/>
          <w:bCs w:val="1"/>
          <w:i w:val="1"/>
          <w:iCs w:val="1"/>
          <w:color w:val="auto"/>
        </w:rPr>
        <w:t>Objectives and Philosophy</w:t>
      </w:r>
      <w:r>
        <w:rPr>
          <w:rFonts w:ascii="Arial" w:cs="Arial" w:eastAsia="Arial" w:hAnsi="Arial"/>
          <w:sz w:val="18"/>
          <w:szCs w:val="18"/>
          <w:color w:val="auto"/>
        </w:rPr>
        <w:t>. The overall objectives of our executive compensation program are to (i) enable us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 motivate and retain key executive talent essential to the achievement of our short-term and long-term business objectives; (ii) provide compensation competitive with others in our industry; (iii) reward senior executive officers in a “pay for performance” manner for accomplishment of pre-defined business goals and objectives; and</w:t>
      </w:r>
    </w:p>
    <w:p>
      <w:pPr>
        <w:ind w:left="860" w:right="880"/>
        <w:spacing w:after="0" w:line="239"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align the interests of our executives with our stockholders. A significant portion of total executive compensation is variable compensation linked to corporate, business unit and individual performance. Our objective is to provide a significant portion of an executive’s total compensation in a form that is contingent upon achieving established performance goals. In regard to compensation based on performance, our objective is to provide a significant portion of such compensation in the form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168910</wp:posOffset>
            </wp:positionV>
            <wp:extent cx="58978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280670</wp:posOffset>
            </wp:positionV>
            <wp:extent cx="471170"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33</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 2021, our named executive officers’ compensation, based on actual amounts awarded, was allocated as follows (excluding Mr. Dugan because he was terminated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152400</wp:posOffset>
            </wp:positionV>
            <wp:extent cx="5888990" cy="3977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8899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setting base salaries at the beginning of the year, the Compensation Committee generally reviews benchmark information about compensation levels in Wabtec’s industry and among its peer group based on the position and responsibility of the particular executive provided by the Compensation Committee’s independent consultant. The Compensation Committee uses benchmarking to establish base salaries as discussed below. The cash bonus for 2021 is a cash award determined by the Compensation Committee based on pre-established performance factors. These factors are established at the beginning of the year and include (i) a financial performance indicator measuring EPS, EBIT, and cash from operations; and (ii) a personal performance indicator which measures whether the individual executive attained certain quantitative and measurable objectives which are tied to the overall company strategic objectives for that year. Long-term incentives in the form of stock options, restricted stock, restricted stock units and performance units are granted to provide the opportunity for long-term compensation based upon the performance of Wabtec and its ability to meet its long-term goals and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Process.</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Executive officer compensation is administered by the Compensation Committee.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approved the 2021 compensation programs for executive officers, including base salaries, cash bonuses and equity awards, described in this compensation discussion and analysis and recommended them to the full Board, which then approved them. Our Board of Directors delegates to the Compensation Committee the direct responsibility for, among other matters:</w:t>
      </w:r>
    </w:p>
    <w:p>
      <w:pPr>
        <w:spacing w:after="0" w:line="68" w:lineRule="exact"/>
        <w:rPr>
          <w:sz w:val="20"/>
          <w:szCs w:val="20"/>
          <w:color w:val="auto"/>
        </w:rPr>
      </w:pPr>
    </w:p>
    <w:p>
      <w:pPr>
        <w:ind w:left="720" w:right="400" w:hanging="360"/>
        <w:spacing w:after="0" w:line="271"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approving goals and objectives for the Chief Executive Officer and determining the Chief Executive Officer’s compensation;</w:t>
      </w:r>
    </w:p>
    <w:p>
      <w:pPr>
        <w:spacing w:after="0" w:line="45" w:lineRule="exact"/>
        <w:rPr>
          <w:rFonts w:ascii="Arial" w:cs="Arial" w:eastAsia="Arial" w:hAnsi="Arial"/>
          <w:sz w:val="18"/>
          <w:szCs w:val="18"/>
          <w:color w:val="auto"/>
        </w:rPr>
      </w:pPr>
    </w:p>
    <w:p>
      <w:pPr>
        <w:ind w:left="720" w:hanging="360"/>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recommending compensation of all non-employee directors and executive officers; and</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recommending incentive compensation plans and equity-based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58978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348" w:lineRule="exact"/>
        <w:rPr>
          <w:sz w:val="20"/>
          <w:szCs w:val="20"/>
          <w:color w:val="auto"/>
        </w:rPr>
      </w:pPr>
    </w:p>
    <w:p>
      <w:pPr>
        <w:ind w:left="140"/>
        <w:spacing w:after="0"/>
        <w:tabs>
          <w:tab w:leader="none" w:pos="5690" w:val="left"/>
        </w:tabs>
        <w:rPr>
          <w:sz w:val="20"/>
          <w:szCs w:val="20"/>
          <w:color w:val="auto"/>
        </w:rPr>
      </w:pPr>
      <w:r>
        <w:rPr>
          <w:rFonts w:ascii="Arial" w:cs="Arial" w:eastAsia="Arial" w:hAnsi="Arial"/>
          <w:sz w:val="32"/>
          <w:szCs w:val="32"/>
          <w:b w:val="1"/>
          <w:bCs w:val="1"/>
          <w:color w:val="auto"/>
          <w:vertAlign w:val="superscript"/>
        </w:rPr>
        <w:t>34</w:t>
      </w:r>
      <w:r>
        <w:rPr>
          <w:sz w:val="20"/>
          <w:szCs w:val="20"/>
          <w:color w:val="auto"/>
        </w:rPr>
        <w:tab/>
      </w:r>
      <w:r>
        <w:rPr>
          <w:sz w:val="1"/>
          <w:szCs w:val="1"/>
          <w:color w:val="auto"/>
        </w:rPr>
        <w:drawing>
          <wp:inline distT="0" distB="0" distL="0" distR="0">
            <wp:extent cx="471805" cy="18034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1805" cy="180340"/>
                    </a:xfrm>
                    <a:prstGeom prst="rect">
                      <a:avLst/>
                    </a:prstGeom>
                    <a:noFill/>
                    <a:ln>
                      <a:noFill/>
                    </a:ln>
                  </pic:spPr>
                </pic:pic>
              </a:graphicData>
            </a:graphic>
          </wp:inline>
        </w:drawing>
      </w:r>
      <w:r>
        <w:rPr>
          <w:rFonts w:ascii="Arial" w:cs="Arial" w:eastAsia="Arial" w:hAnsi="Arial"/>
          <w:sz w:val="12"/>
          <w:szCs w:val="12"/>
          <w:color w:val="EC252A"/>
        </w:rPr>
        <w:t xml:space="preserve"> 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137795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39" w:name="page40"/>
    <w:bookmarkEnd w:id="39"/>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860" w:right="900"/>
        <w:spacing w:after="0" w:line="238" w:lineRule="auto"/>
        <w:rPr>
          <w:sz w:val="20"/>
          <w:szCs w:val="20"/>
          <w:color w:val="auto"/>
        </w:rPr>
      </w:pPr>
      <w:r>
        <w:rPr>
          <w:rFonts w:ascii="Arial" w:cs="Arial" w:eastAsia="Arial" w:hAnsi="Arial"/>
          <w:sz w:val="18"/>
          <w:szCs w:val="18"/>
          <w:i w:val="1"/>
          <w:iCs w:val="1"/>
          <w:color w:val="auto"/>
        </w:rPr>
        <w:t xml:space="preserve">Role of Compensation Experts. </w:t>
      </w:r>
      <w:r>
        <w:rPr>
          <w:rFonts w:ascii="Arial" w:cs="Arial" w:eastAsia="Arial" w:hAnsi="Arial"/>
          <w:sz w:val="18"/>
          <w:szCs w:val="18"/>
          <w:color w:val="auto"/>
        </w:rPr>
        <w:t>Pursuant to its charter, the Compensation Committee is authorized to engage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consultants to assist it with its duties. The Compensation Committee has the sole authority to engage any outside counsel or other experts or consultants to assist it in the evaluation of compensation of our directors and executive officers, including the sole authority to approve such consultants’ fees and other retention terms. The Compensation Committee may also obtain advice from legal, accounting, human resources and other advisors as it deems necessary. The Compensation Committee engaged the consulting firm Pay Governance during 2021. During its engagement, Pay Governance provided the following services: (i) reviewed and assessed the Company’s current compensation practices for executives; (ii) reviewed the current peer group and made recommendations to update the peer group; (iii) reviewed and provided a pay for performance assessment of the Chief Executive Officer compensation; (iv) provided benchmarking of peer group and relevant industry data; (v) provided data and recommendations associated with a review of the long term incentive program; and (vi) provided data and recommendations on changes to the annual cash incentive program.</w:t>
      </w:r>
    </w:p>
    <w:p>
      <w:pPr>
        <w:spacing w:after="0" w:line="75" w:lineRule="exact"/>
        <w:rPr>
          <w:sz w:val="20"/>
          <w:szCs w:val="20"/>
          <w:color w:val="auto"/>
        </w:rPr>
      </w:pPr>
    </w:p>
    <w:p>
      <w:pPr>
        <w:ind w:left="860" w:right="940"/>
        <w:spacing w:after="0" w:line="261" w:lineRule="auto"/>
        <w:rPr>
          <w:sz w:val="20"/>
          <w:szCs w:val="20"/>
          <w:color w:val="auto"/>
        </w:rPr>
      </w:pPr>
      <w:r>
        <w:rPr>
          <w:rFonts w:ascii="Arial" w:cs="Arial" w:eastAsia="Arial" w:hAnsi="Arial"/>
          <w:sz w:val="17"/>
          <w:szCs w:val="17"/>
          <w:i w:val="1"/>
          <w:iCs w:val="1"/>
          <w:color w:val="auto"/>
        </w:rPr>
        <w:t xml:space="preserve">Role of Our Executive Officers in the Compensation Process. </w:t>
      </w:r>
      <w:r>
        <w:rPr>
          <w:rFonts w:ascii="Arial" w:cs="Arial" w:eastAsia="Arial" w:hAnsi="Arial"/>
          <w:sz w:val="17"/>
          <w:szCs w:val="17"/>
          <w:color w:val="auto"/>
        </w:rPr>
        <w:t>The Chief Executive Officer and the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Chief Human Resources Officer suggest guidelines in discussions with the Compensation Committee regarding executive compensation. They provide recommendations and information regarding the competitiveness of the industry, key employees, performance of individuals, succession and other relevant data to the Compensation Committee. The Chief Executive Officer is not present during any discussions concerning his own compensation.</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Components of Compensation.</w:t>
      </w:r>
    </w:p>
    <w:p>
      <w:pPr>
        <w:spacing w:after="0" w:line="102" w:lineRule="exact"/>
        <w:rPr>
          <w:sz w:val="20"/>
          <w:szCs w:val="20"/>
          <w:color w:val="auto"/>
        </w:rPr>
      </w:pPr>
    </w:p>
    <w:p>
      <w:pPr>
        <w:ind w:left="860" w:right="1100"/>
        <w:spacing w:after="0" w:line="271" w:lineRule="auto"/>
        <w:rPr>
          <w:sz w:val="20"/>
          <w:szCs w:val="20"/>
          <w:color w:val="auto"/>
        </w:rPr>
      </w:pPr>
      <w:r>
        <w:rPr>
          <w:rFonts w:ascii="Arial" w:cs="Arial" w:eastAsia="Arial" w:hAnsi="Arial"/>
          <w:sz w:val="18"/>
          <w:szCs w:val="18"/>
          <w:color w:val="auto"/>
        </w:rPr>
        <w:t>Our 2021 compensation program elements were primarily structured to reward our executive officers for achieving certain financial and business objectives.</w:t>
      </w:r>
    </w:p>
    <w:p>
      <w:pPr>
        <w:spacing w:after="0" w:line="46" w:lineRule="exact"/>
        <w:rPr>
          <w:sz w:val="20"/>
          <w:szCs w:val="20"/>
          <w:color w:val="auto"/>
        </w:rPr>
      </w:pPr>
    </w:p>
    <w:p>
      <w:pPr>
        <w:ind w:left="860" w:right="920"/>
        <w:spacing w:after="0" w:line="239" w:lineRule="auto"/>
        <w:rPr>
          <w:sz w:val="20"/>
          <w:szCs w:val="20"/>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Base salaries for our executive officers are reviewed annually and reflect the executive’s role and</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relative to the competitive market. In defining the competitive market, the Company uses two different benchmarks, compensation information representing our Peer Group and broader benchmark compensation data based on a survey of companies that are similarly sized in terms of revenue. Individual salaries may be above or below the competitive median based on the individual’s contribution to business results, length of time in role, capabilities and qualifications, potential and the importance of the individual’s position to our success. Due to the impacts of COVID, named executive officer base salaries were adjusted in December 2020 to reflect the base salary rates originally approved at the beginning of 2020 before the pandemic. None of Wabtec’s named executive officers were granted base salary increases in 2021.</w:t>
      </w:r>
    </w:p>
    <w:p>
      <w:pPr>
        <w:spacing w:after="0" w:line="21" w:lineRule="exact"/>
        <w:rPr>
          <w:sz w:val="20"/>
          <w:szCs w:val="20"/>
          <w:color w:val="auto"/>
        </w:rPr>
      </w:pPr>
    </w:p>
    <w:p>
      <w:pPr>
        <w:ind w:left="860" w:right="1620"/>
        <w:spacing w:after="0" w:line="266" w:lineRule="auto"/>
        <w:rPr>
          <w:sz w:val="20"/>
          <w:szCs w:val="20"/>
          <w:color w:val="auto"/>
        </w:rPr>
      </w:pPr>
      <w:r>
        <w:rPr>
          <w:rFonts w:ascii="Arial" w:cs="Arial" w:eastAsia="Arial" w:hAnsi="Arial"/>
          <w:sz w:val="18"/>
          <w:szCs w:val="18"/>
          <w:color w:val="auto"/>
        </w:rPr>
        <w:t>The Compensation Committee is dedicated to ensuring competitive compensation for each of Wabtec’s key employees and believes that current base salaries are in line with comparable industry practices.</w:t>
      </w:r>
    </w:p>
    <w:p>
      <w:pPr>
        <w:ind w:left="860" w:right="900"/>
        <w:spacing w:after="0" w:line="242"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Our annual incentive award plan is intended to: (i) compensate participants directly if</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 strategic and financial performance targets are achieved and (ii) reward participants for performance on those activities that are most directly under their control and for which they are held accountable. Corporate, business unit and individual performance goals under the annual incentive plan are linked to our annual business plan and budget. The actual amount of cash bonuses is a function of the Company’s overall financial performance, the participant’s individual performance and Board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168275</wp:posOffset>
            </wp:positionV>
            <wp:extent cx="58978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280035</wp:posOffset>
            </wp:positionV>
            <wp:extent cx="471170" cy="1803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35</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sectPr>
      </w:pPr>
    </w:p>
    <w:bookmarkStart w:id="40" w:name="page41"/>
    <w:bookmarkEnd w:id="4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cash bonus targets for 2021 for each of the named executive officers as a percentage of base salary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154940</wp:posOffset>
            </wp:positionV>
            <wp:extent cx="5460365" cy="3574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60365"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For 2021, Mr. DeNinno’s bonus target was increased from 70% of his base salary to 80% of his base salary to more closely align with market practice and his contributions to the business.</w:t>
      </w:r>
    </w:p>
    <w:p>
      <w:pPr>
        <w:spacing w:after="0" w:line="4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Overall, total target cash compensation (the sum of salary and target cash bonus) for our executive officers is competitive with market practice for similar executive positions in similar companies when performance goals under the annual cash bonus plan are achieved.</w:t>
      </w:r>
    </w:p>
    <w:p>
      <w:pPr>
        <w:spacing w:after="0" w:line="6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Entering 2021, the Company re-evaluated the changes it had made to the cash bonus incentive program as a result of the impact of COVID on the business in 2020. After careful evaluation and review, design of the 2021 cash incentive program was reverted back to a plan design similar to what the Company had adopted at the beginning of 2020. 2021 cash bonuses are based upon the success of two factors:</w:t>
      </w:r>
    </w:p>
    <w:p>
      <w:pPr>
        <w:spacing w:after="0" w:line="66" w:lineRule="exact"/>
        <w:rPr>
          <w:sz w:val="20"/>
          <w:szCs w:val="20"/>
          <w:color w:val="auto"/>
        </w:rPr>
      </w:pPr>
    </w:p>
    <w:p>
      <w:pPr>
        <w:jc w:val="both"/>
        <w:ind w:left="720" w:right="160" w:hanging="360"/>
        <w:spacing w:after="0" w:line="253"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performance constituting 80% of the total payout opportunity, measured by adjusted earnings per share (“EPS”), earnings before interest and taxes (“EBIT”) and cash from operations (measured excluding extraordinary items related to transaction costs, restructuring, and debt refinancing costs); and</w:t>
      </w:r>
    </w:p>
    <w:p>
      <w:pPr>
        <w:spacing w:after="0" w:line="60" w:lineRule="exact"/>
        <w:rPr>
          <w:rFonts w:ascii="Arial" w:cs="Arial" w:eastAsia="Arial" w:hAnsi="Arial"/>
          <w:sz w:val="18"/>
          <w:szCs w:val="18"/>
          <w:color w:val="auto"/>
        </w:rPr>
      </w:pPr>
    </w:p>
    <w:p>
      <w:pPr>
        <w:ind w:left="720" w:right="100" w:hanging="360"/>
        <w:spacing w:after="0" w:line="271"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personal performance constituting 20% of the total payout opportunity, measured by whether the executive attains certain goals agreed to by the executive, the executive’s supervisor, and the Board.</w:t>
      </w:r>
    </w:p>
    <w:p>
      <w:pPr>
        <w:spacing w:after="0" w:line="4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weighted average results of the two measurements are then combined and called the combined performance factor or “CPF”. The cash bonus formula is based on the product of the participant’s base salary, the participant’s target cash bonus percentage, and the CPF. If both the financial performance and the applicable personal performance results are achieved, the named executive officers will earn 100% of their target cash bonus. Each metric includes a threshold level of performance (generally, 80% of the target goal at which a minimum 25% payout will be made), below which no payout will be made on the metric. Each metric also includes a maximum level of performance (generally, 125% of the target goal), at which a maximum 225% payout will be made on that metric. We believe that this philosophy encourages Wabtec and our executives to establish ambitious goals and that the program promotes teamwork, productivity and profitability. Target cash bonuses and performance factors were approved by the Compensation Committee at its meeting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58978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81"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36</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2"/>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41" w:name="page42"/>
    <w:bookmarkEnd w:id="4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table below provides both the 2021 financial metrics and our performance achieved in 2021 for our corporate wide executives including, Mr. Santana, Mr. Olin, Mr. DeNinno, and Mr. Gebhardt: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EC252A"/>
              </w:rPr>
              <w:t>Goal</w:t>
            </w: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EC252A"/>
              </w:rPr>
              <w:t>2021</w:t>
            </w:r>
          </w:p>
        </w:tc>
        <w:tc>
          <w:tcPr>
            <w:tcW w:w="1080" w:type="dxa"/>
            <w:vAlign w:val="bottom"/>
          </w:tcPr>
          <w:p>
            <w:pPr>
              <w:ind w:left="280"/>
              <w:spacing w:after="0"/>
              <w:rPr>
                <w:sz w:val="20"/>
                <w:szCs w:val="20"/>
                <w:color w:val="auto"/>
              </w:rPr>
            </w:pPr>
            <w:r>
              <w:rPr>
                <w:rFonts w:ascii="Arial" w:cs="Arial" w:eastAsia="Arial" w:hAnsi="Arial"/>
                <w:sz w:val="16"/>
                <w:szCs w:val="16"/>
                <w:b w:val="1"/>
                <w:bCs w:val="1"/>
                <w:color w:val="EC252A"/>
              </w:rPr>
              <w:t>Target</w:t>
            </w:r>
          </w:p>
        </w:tc>
        <w:tc>
          <w:tcPr>
            <w:tcW w:w="1180" w:type="dxa"/>
            <w:vAlign w:val="bottom"/>
          </w:tcPr>
          <w:p>
            <w:pPr>
              <w:jc w:val="center"/>
              <w:ind w:left="42"/>
              <w:spacing w:after="0"/>
              <w:rPr>
                <w:sz w:val="20"/>
                <w:szCs w:val="20"/>
                <w:color w:val="auto"/>
              </w:rPr>
            </w:pPr>
            <w:r>
              <w:rPr>
                <w:rFonts w:ascii="Arial" w:cs="Arial" w:eastAsia="Arial" w:hAnsi="Arial"/>
                <w:sz w:val="16"/>
                <w:szCs w:val="16"/>
                <w:b w:val="1"/>
                <w:bCs w:val="1"/>
                <w:color w:val="EC252A"/>
              </w:rPr>
              <w:t>Performance</w:t>
            </w:r>
          </w:p>
        </w:tc>
      </w:tr>
      <w:tr>
        <w:trPr>
          <w:trHeight w:val="223"/>
        </w:trPr>
        <w:tc>
          <w:tcPr>
            <w:tcW w:w="17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EC252A"/>
              </w:rPr>
              <w:t>Type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EC252A"/>
              </w:rPr>
              <w:t>Threshold</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EC252A"/>
                <w:w w:val="98"/>
              </w:rPr>
              <w:t>Target</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EC252A"/>
              </w:rPr>
              <w:t>Maximum</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EC252A"/>
              </w:rPr>
              <w:t>Performance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EC252A"/>
              </w:rPr>
              <w:t>Weighting</w:t>
            </w:r>
          </w:p>
        </w:tc>
        <w:tc>
          <w:tcPr>
            <w:tcW w:w="1180" w:type="dxa"/>
            <w:vAlign w:val="bottom"/>
          </w:tcPr>
          <w:p>
            <w:pPr>
              <w:jc w:val="center"/>
              <w:ind w:left="22"/>
              <w:spacing w:after="0"/>
              <w:rPr>
                <w:sz w:val="20"/>
                <w:szCs w:val="20"/>
                <w:color w:val="auto"/>
              </w:rPr>
            </w:pPr>
            <w:r>
              <w:rPr>
                <w:rFonts w:ascii="Arial" w:cs="Arial" w:eastAsia="Arial" w:hAnsi="Arial"/>
                <w:sz w:val="16"/>
                <w:szCs w:val="16"/>
                <w:b w:val="1"/>
                <w:bCs w:val="1"/>
                <w:color w:val="EC252A"/>
              </w:rPr>
              <w:t>Achieved</w:t>
            </w:r>
          </w:p>
        </w:tc>
      </w:tr>
      <w:tr>
        <w:trPr>
          <w:trHeight w:val="21"/>
        </w:trPr>
        <w:tc>
          <w:tcPr>
            <w:tcW w:w="1740" w:type="dxa"/>
            <w:vAlign w:val="bottom"/>
            <w:tcBorders>
              <w:bottom w:val="single" w:sz="8" w:color="EC252A"/>
            </w:tcBorders>
          </w:tcPr>
          <w:p>
            <w:pPr>
              <w:spacing w:after="0" w:line="20" w:lineRule="exact"/>
              <w:rPr>
                <w:sz w:val="1"/>
                <w:szCs w:val="1"/>
                <w:color w:val="auto"/>
              </w:rPr>
            </w:pPr>
          </w:p>
        </w:tc>
        <w:tc>
          <w:tcPr>
            <w:tcW w:w="900" w:type="dxa"/>
            <w:vAlign w:val="bottom"/>
            <w:tcBorders>
              <w:bottom w:val="single" w:sz="8" w:color="EC252A"/>
            </w:tcBorders>
          </w:tcPr>
          <w:p>
            <w:pPr>
              <w:spacing w:after="0" w:line="20" w:lineRule="exact"/>
              <w:rPr>
                <w:sz w:val="1"/>
                <w:szCs w:val="1"/>
                <w:color w:val="auto"/>
              </w:rPr>
            </w:pPr>
          </w:p>
        </w:tc>
        <w:tc>
          <w:tcPr>
            <w:tcW w:w="1100" w:type="dxa"/>
            <w:vAlign w:val="bottom"/>
            <w:tcBorders>
              <w:bottom w:val="single" w:sz="8" w:color="EC252A"/>
            </w:tcBorders>
          </w:tcPr>
          <w:p>
            <w:pPr>
              <w:spacing w:after="0" w:line="20" w:lineRule="exact"/>
              <w:rPr>
                <w:sz w:val="1"/>
                <w:szCs w:val="1"/>
                <w:color w:val="auto"/>
              </w:rPr>
            </w:pPr>
          </w:p>
        </w:tc>
        <w:tc>
          <w:tcPr>
            <w:tcW w:w="880" w:type="dxa"/>
            <w:vAlign w:val="bottom"/>
            <w:tcBorders>
              <w:bottom w:val="single" w:sz="8" w:color="EC252A"/>
            </w:tcBorders>
          </w:tcPr>
          <w:p>
            <w:pPr>
              <w:spacing w:after="0" w:line="20" w:lineRule="exact"/>
              <w:rPr>
                <w:sz w:val="1"/>
                <w:szCs w:val="1"/>
                <w:color w:val="auto"/>
              </w:rPr>
            </w:pPr>
          </w:p>
        </w:tc>
        <w:tc>
          <w:tcPr>
            <w:tcW w:w="1100" w:type="dxa"/>
            <w:vAlign w:val="bottom"/>
            <w:tcBorders>
              <w:bottom w:val="single" w:sz="8" w:color="EC252A"/>
            </w:tcBorders>
          </w:tcPr>
          <w:p>
            <w:pPr>
              <w:spacing w:after="0" w:line="20" w:lineRule="exact"/>
              <w:rPr>
                <w:sz w:val="1"/>
                <w:szCs w:val="1"/>
                <w:color w:val="auto"/>
              </w:rPr>
            </w:pPr>
          </w:p>
        </w:tc>
        <w:tc>
          <w:tcPr>
            <w:tcW w:w="1300" w:type="dxa"/>
            <w:vAlign w:val="bottom"/>
            <w:tcBorders>
              <w:bottom w:val="single" w:sz="8" w:color="EC252A"/>
            </w:tcBorders>
          </w:tcPr>
          <w:p>
            <w:pPr>
              <w:spacing w:after="0" w:line="20" w:lineRule="exact"/>
              <w:rPr>
                <w:sz w:val="1"/>
                <w:szCs w:val="1"/>
                <w:color w:val="auto"/>
              </w:rPr>
            </w:pPr>
          </w:p>
        </w:tc>
        <w:tc>
          <w:tcPr>
            <w:tcW w:w="1080" w:type="dxa"/>
            <w:vAlign w:val="bottom"/>
            <w:tcBorders>
              <w:bottom w:val="single" w:sz="8" w:color="EC252A"/>
            </w:tcBorders>
          </w:tcPr>
          <w:p>
            <w:pPr>
              <w:spacing w:after="0" w:line="20" w:lineRule="exact"/>
              <w:rPr>
                <w:sz w:val="1"/>
                <w:szCs w:val="1"/>
                <w:color w:val="auto"/>
              </w:rPr>
            </w:pPr>
          </w:p>
        </w:tc>
        <w:tc>
          <w:tcPr>
            <w:tcW w:w="1180" w:type="dxa"/>
            <w:vAlign w:val="bottom"/>
            <w:tcBorders>
              <w:bottom w:val="single" w:sz="8" w:color="EC252A"/>
            </w:tcBorders>
          </w:tcPr>
          <w:p>
            <w:pPr>
              <w:spacing w:after="0" w:line="20" w:lineRule="exact"/>
              <w:rPr>
                <w:sz w:val="1"/>
                <w:szCs w:val="1"/>
                <w:color w:val="auto"/>
              </w:rPr>
            </w:pPr>
          </w:p>
        </w:tc>
      </w:tr>
      <w:tr>
        <w:trPr>
          <w:trHeight w:val="220"/>
        </w:trPr>
        <w:tc>
          <w:tcPr>
            <w:tcW w:w="1740" w:type="dxa"/>
            <w:vAlign w:val="bottom"/>
          </w:tcPr>
          <w:p>
            <w:pPr>
              <w:ind w:left="60"/>
              <w:spacing w:after="0"/>
              <w:rPr>
                <w:sz w:val="20"/>
                <w:szCs w:val="20"/>
                <w:color w:val="auto"/>
              </w:rPr>
            </w:pPr>
            <w:r>
              <w:rPr>
                <w:rFonts w:ascii="Arial" w:cs="Arial" w:eastAsia="Arial" w:hAnsi="Arial"/>
                <w:sz w:val="15"/>
                <w:szCs w:val="15"/>
                <w:color w:val="auto"/>
              </w:rPr>
              <w:t>Earnings Per Share</w:t>
            </w:r>
          </w:p>
        </w:tc>
        <w:tc>
          <w:tcPr>
            <w:tcW w:w="900" w:type="dxa"/>
            <w:vAlign w:val="bottom"/>
          </w:tcPr>
          <w:p>
            <w:pPr>
              <w:jc w:val="center"/>
              <w:spacing w:after="0"/>
              <w:rPr>
                <w:sz w:val="20"/>
                <w:szCs w:val="20"/>
                <w:color w:val="auto"/>
              </w:rPr>
            </w:pPr>
            <w:r>
              <w:rPr>
                <w:rFonts w:ascii="Arial" w:cs="Arial" w:eastAsia="Arial" w:hAnsi="Arial"/>
                <w:sz w:val="15"/>
                <w:szCs w:val="15"/>
                <w:color w:val="auto"/>
                <w:w w:val="99"/>
              </w:rPr>
              <w:t>Financial</w:t>
            </w:r>
          </w:p>
        </w:tc>
        <w:tc>
          <w:tcPr>
            <w:tcW w:w="1100" w:type="dxa"/>
            <w:vAlign w:val="bottom"/>
          </w:tcPr>
          <w:p>
            <w:pPr>
              <w:jc w:val="center"/>
              <w:spacing w:after="0"/>
              <w:rPr>
                <w:sz w:val="20"/>
                <w:szCs w:val="20"/>
                <w:color w:val="auto"/>
              </w:rPr>
            </w:pPr>
            <w:r>
              <w:rPr>
                <w:rFonts w:ascii="Arial" w:cs="Arial" w:eastAsia="Arial" w:hAnsi="Arial"/>
                <w:sz w:val="15"/>
                <w:szCs w:val="15"/>
                <w:color w:val="auto"/>
              </w:rPr>
              <w:t>$3.28</w:t>
            </w:r>
          </w:p>
        </w:tc>
        <w:tc>
          <w:tcPr>
            <w:tcW w:w="880" w:type="dxa"/>
            <w:vAlign w:val="bottom"/>
          </w:tcPr>
          <w:p>
            <w:pPr>
              <w:jc w:val="center"/>
              <w:spacing w:after="0"/>
              <w:rPr>
                <w:sz w:val="20"/>
                <w:szCs w:val="20"/>
                <w:color w:val="auto"/>
              </w:rPr>
            </w:pPr>
            <w:r>
              <w:rPr>
                <w:rFonts w:ascii="Arial" w:cs="Arial" w:eastAsia="Arial" w:hAnsi="Arial"/>
                <w:sz w:val="15"/>
                <w:szCs w:val="15"/>
                <w:color w:val="auto"/>
              </w:rPr>
              <w:t>$4.10</w:t>
            </w:r>
          </w:p>
        </w:tc>
        <w:tc>
          <w:tcPr>
            <w:tcW w:w="1100" w:type="dxa"/>
            <w:vAlign w:val="bottom"/>
          </w:tcPr>
          <w:p>
            <w:pPr>
              <w:jc w:val="center"/>
              <w:spacing w:after="0"/>
              <w:rPr>
                <w:sz w:val="20"/>
                <w:szCs w:val="20"/>
                <w:color w:val="auto"/>
              </w:rPr>
            </w:pPr>
            <w:r>
              <w:rPr>
                <w:rFonts w:ascii="Arial" w:cs="Arial" w:eastAsia="Arial" w:hAnsi="Arial"/>
                <w:sz w:val="15"/>
                <w:szCs w:val="15"/>
                <w:color w:val="auto"/>
              </w:rPr>
              <w:t>$5.13</w:t>
            </w:r>
          </w:p>
        </w:tc>
        <w:tc>
          <w:tcPr>
            <w:tcW w:w="1300" w:type="dxa"/>
            <w:vAlign w:val="bottom"/>
          </w:tcPr>
          <w:p>
            <w:pPr>
              <w:jc w:val="center"/>
              <w:spacing w:after="0"/>
              <w:rPr>
                <w:sz w:val="20"/>
                <w:szCs w:val="20"/>
                <w:color w:val="auto"/>
              </w:rPr>
            </w:pPr>
            <w:r>
              <w:rPr>
                <w:rFonts w:ascii="Arial" w:cs="Arial" w:eastAsia="Arial" w:hAnsi="Arial"/>
                <w:sz w:val="15"/>
                <w:szCs w:val="15"/>
                <w:color w:val="auto"/>
              </w:rPr>
              <w:t>$4.26</w:t>
            </w:r>
          </w:p>
        </w:tc>
        <w:tc>
          <w:tcPr>
            <w:tcW w:w="1080" w:type="dxa"/>
            <w:vAlign w:val="bottom"/>
          </w:tcPr>
          <w:p>
            <w:pPr>
              <w:jc w:val="center"/>
              <w:spacing w:after="0"/>
              <w:rPr>
                <w:sz w:val="20"/>
                <w:szCs w:val="20"/>
                <w:color w:val="auto"/>
              </w:rPr>
            </w:pPr>
            <w:r>
              <w:rPr>
                <w:rFonts w:ascii="Arial" w:cs="Arial" w:eastAsia="Arial" w:hAnsi="Arial"/>
                <w:sz w:val="15"/>
                <w:szCs w:val="15"/>
                <w:color w:val="auto"/>
              </w:rPr>
              <w:t>48.00%</w:t>
            </w:r>
          </w:p>
        </w:tc>
        <w:tc>
          <w:tcPr>
            <w:tcW w:w="1180" w:type="dxa"/>
            <w:vAlign w:val="bottom"/>
          </w:tcPr>
          <w:p>
            <w:pPr>
              <w:jc w:val="center"/>
              <w:ind w:left="22"/>
              <w:spacing w:after="0"/>
              <w:rPr>
                <w:sz w:val="20"/>
                <w:szCs w:val="20"/>
                <w:color w:val="auto"/>
              </w:rPr>
            </w:pPr>
            <w:r>
              <w:rPr>
                <w:rFonts w:ascii="Arial" w:cs="Arial" w:eastAsia="Arial" w:hAnsi="Arial"/>
                <w:sz w:val="15"/>
                <w:szCs w:val="15"/>
                <w:color w:val="auto"/>
              </w:rPr>
              <w:t>56.78%</w:t>
            </w:r>
          </w:p>
        </w:tc>
      </w:tr>
      <w:tr>
        <w:trPr>
          <w:trHeight w:val="175"/>
        </w:trPr>
        <w:tc>
          <w:tcPr>
            <w:tcW w:w="1740" w:type="dxa"/>
            <w:vAlign w:val="bottom"/>
            <w:shd w:val="clear" w:color="auto" w:fill="FCD3C3"/>
          </w:tcPr>
          <w:p>
            <w:pPr>
              <w:ind w:left="60"/>
              <w:spacing w:after="0"/>
              <w:rPr>
                <w:sz w:val="20"/>
                <w:szCs w:val="20"/>
                <w:color w:val="auto"/>
              </w:rPr>
            </w:pPr>
            <w:r>
              <w:rPr>
                <w:rFonts w:ascii="Arial" w:cs="Arial" w:eastAsia="Arial" w:hAnsi="Arial"/>
                <w:sz w:val="15"/>
                <w:szCs w:val="15"/>
                <w:color w:val="auto"/>
              </w:rPr>
              <w:t>Cash From Operations</w:t>
            </w:r>
          </w:p>
        </w:tc>
        <w:tc>
          <w:tcPr>
            <w:tcW w:w="900" w:type="dxa"/>
            <w:vAlign w:val="bottom"/>
            <w:shd w:val="clear" w:color="auto" w:fill="FCD3C3"/>
          </w:tcPr>
          <w:p>
            <w:pPr>
              <w:jc w:val="center"/>
              <w:spacing w:after="0"/>
              <w:rPr>
                <w:sz w:val="20"/>
                <w:szCs w:val="20"/>
                <w:color w:val="auto"/>
              </w:rPr>
            </w:pPr>
            <w:r>
              <w:rPr>
                <w:rFonts w:ascii="Arial" w:cs="Arial" w:eastAsia="Arial" w:hAnsi="Arial"/>
                <w:sz w:val="15"/>
                <w:szCs w:val="15"/>
                <w:color w:val="auto"/>
                <w:w w:val="99"/>
              </w:rPr>
              <w:t>Financial</w:t>
            </w:r>
          </w:p>
        </w:tc>
        <w:tc>
          <w:tcPr>
            <w:tcW w:w="110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$726</w:t>
            </w:r>
          </w:p>
        </w:tc>
        <w:tc>
          <w:tcPr>
            <w:tcW w:w="88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$907</w:t>
            </w:r>
          </w:p>
        </w:tc>
        <w:tc>
          <w:tcPr>
            <w:tcW w:w="110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$1.13</w:t>
            </w:r>
          </w:p>
        </w:tc>
        <w:tc>
          <w:tcPr>
            <w:tcW w:w="130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$1.119</w:t>
            </w:r>
          </w:p>
        </w:tc>
        <w:tc>
          <w:tcPr>
            <w:tcW w:w="108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32.00%</w:t>
            </w:r>
          </w:p>
        </w:tc>
        <w:tc>
          <w:tcPr>
            <w:tcW w:w="1180" w:type="dxa"/>
            <w:vAlign w:val="bottom"/>
            <w:shd w:val="clear" w:color="auto" w:fill="FCD3C3"/>
          </w:tcPr>
          <w:p>
            <w:pPr>
              <w:jc w:val="center"/>
              <w:ind w:left="22"/>
              <w:spacing w:after="0"/>
              <w:rPr>
                <w:sz w:val="20"/>
                <w:szCs w:val="20"/>
                <w:color w:val="auto"/>
              </w:rPr>
            </w:pPr>
            <w:r>
              <w:rPr>
                <w:rFonts w:ascii="Arial" w:cs="Arial" w:eastAsia="Arial" w:hAnsi="Arial"/>
                <w:sz w:val="15"/>
                <w:szCs w:val="15"/>
                <w:color w:val="auto"/>
              </w:rPr>
              <w:t>69.40%</w:t>
            </w:r>
          </w:p>
        </w:tc>
      </w:tr>
      <w:tr>
        <w:trPr>
          <w:trHeight w:val="206"/>
        </w:trPr>
        <w:tc>
          <w:tcPr>
            <w:tcW w:w="1740" w:type="dxa"/>
            <w:vAlign w:val="bottom"/>
            <w:shd w:val="clear" w:color="auto" w:fill="FCD3C3"/>
          </w:tcPr>
          <w:p>
            <w:pPr>
              <w:spacing w:after="0"/>
              <w:rPr>
                <w:sz w:val="17"/>
                <w:szCs w:val="17"/>
                <w:color w:val="auto"/>
              </w:rPr>
            </w:pPr>
          </w:p>
        </w:tc>
        <w:tc>
          <w:tcPr>
            <w:tcW w:w="900" w:type="dxa"/>
            <w:vAlign w:val="bottom"/>
            <w:shd w:val="clear" w:color="auto" w:fill="FCD3C3"/>
          </w:tcPr>
          <w:p>
            <w:pPr>
              <w:spacing w:after="0"/>
              <w:rPr>
                <w:sz w:val="17"/>
                <w:szCs w:val="17"/>
                <w:color w:val="auto"/>
              </w:rPr>
            </w:pPr>
          </w:p>
        </w:tc>
        <w:tc>
          <w:tcPr>
            <w:tcW w:w="1100" w:type="dxa"/>
            <w:vAlign w:val="bottom"/>
            <w:shd w:val="clear" w:color="auto" w:fill="FCD3C3"/>
          </w:tcPr>
          <w:p>
            <w:pPr>
              <w:jc w:val="center"/>
              <w:spacing w:after="0"/>
              <w:rPr>
                <w:sz w:val="20"/>
                <w:szCs w:val="20"/>
                <w:color w:val="auto"/>
              </w:rPr>
            </w:pPr>
            <w:r>
              <w:rPr>
                <w:rFonts w:ascii="Arial" w:cs="Arial" w:eastAsia="Arial" w:hAnsi="Arial"/>
                <w:sz w:val="15"/>
                <w:szCs w:val="15"/>
                <w:color w:val="auto"/>
                <w:w w:val="98"/>
              </w:rPr>
              <w:t>Million</w:t>
            </w:r>
          </w:p>
        </w:tc>
        <w:tc>
          <w:tcPr>
            <w:tcW w:w="88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Million</w:t>
            </w:r>
          </w:p>
        </w:tc>
        <w:tc>
          <w:tcPr>
            <w:tcW w:w="1100" w:type="dxa"/>
            <w:vAlign w:val="bottom"/>
            <w:shd w:val="clear" w:color="auto" w:fill="FCD3C3"/>
          </w:tcPr>
          <w:p>
            <w:pPr>
              <w:jc w:val="center"/>
              <w:spacing w:after="0"/>
              <w:rPr>
                <w:sz w:val="20"/>
                <w:szCs w:val="20"/>
                <w:color w:val="auto"/>
              </w:rPr>
            </w:pPr>
            <w:r>
              <w:rPr>
                <w:rFonts w:ascii="Arial" w:cs="Arial" w:eastAsia="Arial" w:hAnsi="Arial"/>
                <w:sz w:val="15"/>
                <w:szCs w:val="15"/>
                <w:color w:val="auto"/>
                <w:w w:val="99"/>
              </w:rPr>
              <w:t>Billion</w:t>
            </w:r>
          </w:p>
        </w:tc>
        <w:tc>
          <w:tcPr>
            <w:tcW w:w="130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Billion</w:t>
            </w:r>
          </w:p>
        </w:tc>
        <w:tc>
          <w:tcPr>
            <w:tcW w:w="1080" w:type="dxa"/>
            <w:vAlign w:val="bottom"/>
            <w:shd w:val="clear" w:color="auto" w:fill="FCD3C3"/>
          </w:tcPr>
          <w:p>
            <w:pPr>
              <w:spacing w:after="0"/>
              <w:rPr>
                <w:sz w:val="17"/>
                <w:szCs w:val="17"/>
                <w:color w:val="auto"/>
              </w:rPr>
            </w:pPr>
          </w:p>
        </w:tc>
        <w:tc>
          <w:tcPr>
            <w:tcW w:w="1180" w:type="dxa"/>
            <w:vAlign w:val="bottom"/>
            <w:shd w:val="clear" w:color="auto" w:fill="FCD3C3"/>
          </w:tcPr>
          <w:p>
            <w:pPr>
              <w:spacing w:after="0"/>
              <w:rPr>
                <w:sz w:val="17"/>
                <w:szCs w:val="17"/>
                <w:color w:val="auto"/>
              </w:rPr>
            </w:pPr>
          </w:p>
        </w:tc>
      </w:tr>
      <w:tr>
        <w:trPr>
          <w:trHeight w:val="213"/>
        </w:trPr>
        <w:tc>
          <w:tcPr>
            <w:tcW w:w="1740" w:type="dxa"/>
            <w:vAlign w:val="bottom"/>
          </w:tcPr>
          <w:p>
            <w:pPr>
              <w:ind w:left="60"/>
              <w:spacing w:after="0"/>
              <w:rPr>
                <w:sz w:val="20"/>
                <w:szCs w:val="20"/>
                <w:color w:val="auto"/>
              </w:rPr>
            </w:pPr>
            <w:r>
              <w:rPr>
                <w:rFonts w:ascii="Arial" w:cs="Arial" w:eastAsia="Arial" w:hAnsi="Arial"/>
                <w:sz w:val="15"/>
                <w:szCs w:val="15"/>
                <w:color w:val="auto"/>
              </w:rPr>
              <w:t>EBIT Margin %</w:t>
            </w:r>
          </w:p>
        </w:tc>
        <w:tc>
          <w:tcPr>
            <w:tcW w:w="900" w:type="dxa"/>
            <w:vAlign w:val="bottom"/>
          </w:tcPr>
          <w:p>
            <w:pPr>
              <w:jc w:val="center"/>
              <w:spacing w:after="0"/>
              <w:rPr>
                <w:sz w:val="20"/>
                <w:szCs w:val="20"/>
                <w:color w:val="auto"/>
              </w:rPr>
            </w:pPr>
            <w:r>
              <w:rPr>
                <w:rFonts w:ascii="Arial" w:cs="Arial" w:eastAsia="Arial" w:hAnsi="Arial"/>
                <w:sz w:val="15"/>
                <w:szCs w:val="15"/>
                <w:color w:val="auto"/>
              </w:rPr>
              <w:t>Personal</w:t>
            </w:r>
          </w:p>
        </w:tc>
        <w:tc>
          <w:tcPr>
            <w:tcW w:w="1100" w:type="dxa"/>
            <w:vAlign w:val="bottom"/>
          </w:tcPr>
          <w:p>
            <w:pPr>
              <w:jc w:val="center"/>
              <w:spacing w:after="0"/>
              <w:rPr>
                <w:sz w:val="20"/>
                <w:szCs w:val="20"/>
                <w:color w:val="auto"/>
              </w:rPr>
            </w:pPr>
            <w:r>
              <w:rPr>
                <w:rFonts w:ascii="Arial" w:cs="Arial" w:eastAsia="Arial" w:hAnsi="Arial"/>
                <w:sz w:val="15"/>
                <w:szCs w:val="15"/>
                <w:color w:val="auto"/>
                <w:w w:val="98"/>
              </w:rPr>
              <w:t>12.1%</w:t>
            </w:r>
          </w:p>
        </w:tc>
        <w:tc>
          <w:tcPr>
            <w:tcW w:w="880" w:type="dxa"/>
            <w:vAlign w:val="bottom"/>
          </w:tcPr>
          <w:p>
            <w:pPr>
              <w:jc w:val="center"/>
              <w:spacing w:after="0"/>
              <w:rPr>
                <w:sz w:val="20"/>
                <w:szCs w:val="20"/>
                <w:color w:val="auto"/>
              </w:rPr>
            </w:pPr>
            <w:r>
              <w:rPr>
                <w:rFonts w:ascii="Arial" w:cs="Arial" w:eastAsia="Arial" w:hAnsi="Arial"/>
                <w:sz w:val="15"/>
                <w:szCs w:val="15"/>
                <w:color w:val="auto"/>
              </w:rPr>
              <w:t>15.1%</w:t>
            </w:r>
          </w:p>
        </w:tc>
        <w:tc>
          <w:tcPr>
            <w:tcW w:w="1100" w:type="dxa"/>
            <w:vAlign w:val="bottom"/>
          </w:tcPr>
          <w:p>
            <w:pPr>
              <w:jc w:val="center"/>
              <w:spacing w:after="0"/>
              <w:rPr>
                <w:sz w:val="20"/>
                <w:szCs w:val="20"/>
                <w:color w:val="auto"/>
              </w:rPr>
            </w:pPr>
            <w:r>
              <w:rPr>
                <w:rFonts w:ascii="Arial" w:cs="Arial" w:eastAsia="Arial" w:hAnsi="Arial"/>
                <w:sz w:val="15"/>
                <w:szCs w:val="15"/>
                <w:color w:val="auto"/>
              </w:rPr>
              <w:t>18.9%</w:t>
            </w:r>
          </w:p>
        </w:tc>
        <w:tc>
          <w:tcPr>
            <w:tcW w:w="1300" w:type="dxa"/>
            <w:vAlign w:val="bottom"/>
          </w:tcPr>
          <w:p>
            <w:pPr>
              <w:jc w:val="center"/>
              <w:spacing w:after="0"/>
              <w:rPr>
                <w:sz w:val="20"/>
                <w:szCs w:val="20"/>
                <w:color w:val="auto"/>
              </w:rPr>
            </w:pPr>
            <w:r>
              <w:rPr>
                <w:rFonts w:ascii="Arial" w:cs="Arial" w:eastAsia="Arial" w:hAnsi="Arial"/>
                <w:sz w:val="15"/>
                <w:szCs w:val="15"/>
                <w:color w:val="auto"/>
                <w:w w:val="98"/>
              </w:rPr>
              <w:t>15.9%</w:t>
            </w:r>
          </w:p>
        </w:tc>
        <w:tc>
          <w:tcPr>
            <w:tcW w:w="1080" w:type="dxa"/>
            <w:vAlign w:val="bottom"/>
          </w:tcPr>
          <w:p>
            <w:pPr>
              <w:jc w:val="center"/>
              <w:spacing w:after="0"/>
              <w:rPr>
                <w:sz w:val="20"/>
                <w:szCs w:val="20"/>
                <w:color w:val="auto"/>
              </w:rPr>
            </w:pPr>
            <w:r>
              <w:rPr>
                <w:rFonts w:ascii="Arial" w:cs="Arial" w:eastAsia="Arial" w:hAnsi="Arial"/>
                <w:sz w:val="15"/>
                <w:szCs w:val="15"/>
                <w:color w:val="auto"/>
              </w:rPr>
              <w:t>10.00%</w:t>
            </w:r>
          </w:p>
        </w:tc>
        <w:tc>
          <w:tcPr>
            <w:tcW w:w="1180" w:type="dxa"/>
            <w:vAlign w:val="bottom"/>
          </w:tcPr>
          <w:p>
            <w:pPr>
              <w:jc w:val="center"/>
              <w:ind w:left="22"/>
              <w:spacing w:after="0"/>
              <w:rPr>
                <w:sz w:val="20"/>
                <w:szCs w:val="20"/>
                <w:color w:val="auto"/>
              </w:rPr>
            </w:pPr>
            <w:r>
              <w:rPr>
                <w:rFonts w:ascii="Arial" w:cs="Arial" w:eastAsia="Arial" w:hAnsi="Arial"/>
                <w:sz w:val="15"/>
                <w:szCs w:val="15"/>
                <w:color w:val="auto"/>
              </w:rPr>
              <w:t>12.65%</w:t>
            </w:r>
          </w:p>
        </w:tc>
      </w:tr>
      <w:tr>
        <w:trPr>
          <w:trHeight w:val="226"/>
        </w:trPr>
        <w:tc>
          <w:tcPr>
            <w:tcW w:w="1740" w:type="dxa"/>
            <w:vAlign w:val="bottom"/>
            <w:tcBorders>
              <w:bottom w:val="single" w:sz="8" w:color="EC252A"/>
            </w:tcBorders>
            <w:shd w:val="clear" w:color="auto" w:fill="FCD3C3"/>
          </w:tcPr>
          <w:p>
            <w:pPr>
              <w:ind w:left="60"/>
              <w:spacing w:after="0"/>
              <w:rPr>
                <w:sz w:val="20"/>
                <w:szCs w:val="20"/>
                <w:color w:val="auto"/>
              </w:rPr>
            </w:pPr>
            <w:r>
              <w:rPr>
                <w:rFonts w:ascii="Arial" w:cs="Arial" w:eastAsia="Arial" w:hAnsi="Arial"/>
                <w:sz w:val="15"/>
                <w:szCs w:val="15"/>
                <w:color w:val="auto"/>
              </w:rPr>
              <w:t>Acquisition Goal</w:t>
            </w:r>
          </w:p>
        </w:tc>
        <w:tc>
          <w:tcPr>
            <w:tcW w:w="900" w:type="dxa"/>
            <w:vAlign w:val="bottom"/>
            <w:tcBorders>
              <w:bottom w:val="single" w:sz="8" w:color="EC252A"/>
            </w:tcBorders>
            <w:shd w:val="clear" w:color="auto" w:fill="FCD3C3"/>
          </w:tcPr>
          <w:p>
            <w:pPr>
              <w:jc w:val="center"/>
              <w:spacing w:after="0"/>
              <w:rPr>
                <w:sz w:val="20"/>
                <w:szCs w:val="20"/>
                <w:color w:val="auto"/>
              </w:rPr>
            </w:pPr>
            <w:r>
              <w:rPr>
                <w:rFonts w:ascii="Arial" w:cs="Arial" w:eastAsia="Arial" w:hAnsi="Arial"/>
                <w:sz w:val="15"/>
                <w:szCs w:val="15"/>
                <w:color w:val="auto"/>
              </w:rPr>
              <w:t>Personal</w:t>
            </w:r>
          </w:p>
        </w:tc>
        <w:tc>
          <w:tcPr>
            <w:tcW w:w="1100" w:type="dxa"/>
            <w:vAlign w:val="bottom"/>
            <w:tcBorders>
              <w:bottom w:val="single" w:sz="8" w:color="EC252A"/>
            </w:tcBorders>
            <w:shd w:val="clear" w:color="auto" w:fill="FCD3C3"/>
          </w:tcPr>
          <w:p>
            <w:pPr>
              <w:jc w:val="center"/>
              <w:spacing w:after="0"/>
              <w:rPr>
                <w:sz w:val="20"/>
                <w:szCs w:val="20"/>
                <w:color w:val="auto"/>
              </w:rPr>
            </w:pPr>
            <w:r>
              <w:rPr>
                <w:rFonts w:ascii="Arial" w:cs="Arial" w:eastAsia="Arial" w:hAnsi="Arial"/>
                <w:sz w:val="15"/>
                <w:szCs w:val="15"/>
                <w:color w:val="auto"/>
                <w:w w:val="99"/>
              </w:rPr>
              <w:t>$280 M</w:t>
            </w:r>
          </w:p>
        </w:tc>
        <w:tc>
          <w:tcPr>
            <w:tcW w:w="880" w:type="dxa"/>
            <w:vAlign w:val="bottom"/>
            <w:tcBorders>
              <w:bottom w:val="single" w:sz="8" w:color="EC252A"/>
            </w:tcBorders>
            <w:shd w:val="clear" w:color="auto" w:fill="FCD3C3"/>
          </w:tcPr>
          <w:p>
            <w:pPr>
              <w:jc w:val="center"/>
              <w:ind w:right="3"/>
              <w:spacing w:after="0"/>
              <w:rPr>
                <w:sz w:val="20"/>
                <w:szCs w:val="20"/>
                <w:color w:val="auto"/>
              </w:rPr>
            </w:pPr>
            <w:r>
              <w:rPr>
                <w:rFonts w:ascii="Arial" w:cs="Arial" w:eastAsia="Arial" w:hAnsi="Arial"/>
                <w:sz w:val="15"/>
                <w:szCs w:val="15"/>
                <w:color w:val="auto"/>
              </w:rPr>
              <w:t>$350 M</w:t>
            </w:r>
          </w:p>
        </w:tc>
        <w:tc>
          <w:tcPr>
            <w:tcW w:w="1100" w:type="dxa"/>
            <w:vAlign w:val="bottom"/>
            <w:tcBorders>
              <w:bottom w:val="single" w:sz="8" w:color="EC252A"/>
            </w:tcBorders>
            <w:shd w:val="clear" w:color="auto" w:fill="FCD3C3"/>
          </w:tcPr>
          <w:p>
            <w:pPr>
              <w:jc w:val="center"/>
              <w:spacing w:after="0"/>
              <w:rPr>
                <w:sz w:val="20"/>
                <w:szCs w:val="20"/>
                <w:color w:val="auto"/>
              </w:rPr>
            </w:pPr>
            <w:r>
              <w:rPr>
                <w:rFonts w:ascii="Arial" w:cs="Arial" w:eastAsia="Arial" w:hAnsi="Arial"/>
                <w:sz w:val="15"/>
                <w:szCs w:val="15"/>
                <w:color w:val="auto"/>
              </w:rPr>
              <w:t>$437.5 M</w:t>
            </w:r>
          </w:p>
        </w:tc>
        <w:tc>
          <w:tcPr>
            <w:tcW w:w="1300" w:type="dxa"/>
            <w:vAlign w:val="bottom"/>
            <w:tcBorders>
              <w:bottom w:val="single" w:sz="8" w:color="EC252A"/>
            </w:tcBorders>
            <w:shd w:val="clear" w:color="auto" w:fill="FCD3C3"/>
          </w:tcPr>
          <w:p>
            <w:pPr>
              <w:jc w:val="center"/>
              <w:spacing w:after="0"/>
              <w:rPr>
                <w:sz w:val="20"/>
                <w:szCs w:val="20"/>
                <w:color w:val="auto"/>
              </w:rPr>
            </w:pPr>
            <w:r>
              <w:rPr>
                <w:rFonts w:ascii="Arial" w:cs="Arial" w:eastAsia="Arial" w:hAnsi="Arial"/>
                <w:sz w:val="15"/>
                <w:szCs w:val="15"/>
                <w:color w:val="auto"/>
                <w:w w:val="99"/>
              </w:rPr>
              <w:t>$312.5 M</w:t>
            </w:r>
          </w:p>
        </w:tc>
        <w:tc>
          <w:tcPr>
            <w:tcW w:w="1080" w:type="dxa"/>
            <w:vAlign w:val="bottom"/>
            <w:tcBorders>
              <w:bottom w:val="single" w:sz="8" w:color="EC252A"/>
            </w:tcBorders>
            <w:shd w:val="clear" w:color="auto" w:fill="FCD3C3"/>
          </w:tcPr>
          <w:p>
            <w:pPr>
              <w:jc w:val="center"/>
              <w:spacing w:after="0"/>
              <w:rPr>
                <w:sz w:val="20"/>
                <w:szCs w:val="20"/>
                <w:color w:val="auto"/>
              </w:rPr>
            </w:pPr>
            <w:r>
              <w:rPr>
                <w:rFonts w:ascii="Arial" w:cs="Arial" w:eastAsia="Arial" w:hAnsi="Arial"/>
                <w:sz w:val="15"/>
                <w:szCs w:val="15"/>
                <w:color w:val="auto"/>
              </w:rPr>
              <w:t>10.00%</w:t>
            </w:r>
          </w:p>
        </w:tc>
        <w:tc>
          <w:tcPr>
            <w:tcW w:w="1180" w:type="dxa"/>
            <w:vAlign w:val="bottom"/>
            <w:tcBorders>
              <w:bottom w:val="single" w:sz="8" w:color="EC252A"/>
            </w:tcBorders>
            <w:shd w:val="clear" w:color="auto" w:fill="FCD3C3"/>
          </w:tcPr>
          <w:p>
            <w:pPr>
              <w:jc w:val="center"/>
              <w:ind w:left="42"/>
              <w:spacing w:after="0"/>
              <w:rPr>
                <w:sz w:val="20"/>
                <w:szCs w:val="20"/>
                <w:color w:val="auto"/>
              </w:rPr>
            </w:pPr>
            <w:r>
              <w:rPr>
                <w:rFonts w:ascii="Arial" w:cs="Arial" w:eastAsia="Arial" w:hAnsi="Arial"/>
                <w:sz w:val="15"/>
                <w:szCs w:val="15"/>
                <w:color w:val="auto"/>
                <w:w w:val="98"/>
              </w:rPr>
              <w:t>5.98%</w:t>
            </w:r>
          </w:p>
        </w:tc>
      </w:tr>
      <w:tr>
        <w:trPr>
          <w:trHeight w:val="224"/>
        </w:trPr>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w w:val="95"/>
              </w:rPr>
              <w:t>Total</w:t>
            </w:r>
          </w:p>
        </w:tc>
        <w:tc>
          <w:tcPr>
            <w:tcW w:w="1180" w:type="dxa"/>
            <w:vAlign w:val="bottom"/>
          </w:tcPr>
          <w:p>
            <w:pPr>
              <w:jc w:val="center"/>
              <w:ind w:left="22"/>
              <w:spacing w:after="0"/>
              <w:rPr>
                <w:sz w:val="20"/>
                <w:szCs w:val="20"/>
                <w:color w:val="auto"/>
              </w:rPr>
            </w:pPr>
            <w:r>
              <w:rPr>
                <w:rFonts w:ascii="Arial" w:cs="Arial" w:eastAsia="Arial" w:hAnsi="Arial"/>
                <w:sz w:val="15"/>
                <w:szCs w:val="15"/>
                <w:color w:val="auto"/>
              </w:rPr>
              <w:t>144.81%</w:t>
            </w:r>
          </w:p>
        </w:tc>
      </w:tr>
      <w:tr>
        <w:trPr>
          <w:trHeight w:val="33"/>
        </w:trPr>
        <w:tc>
          <w:tcPr>
            <w:tcW w:w="1740" w:type="dxa"/>
            <w:vAlign w:val="bottom"/>
            <w:tcBorders>
              <w:bottom w:val="single" w:sz="8" w:color="EC252A"/>
            </w:tcBorders>
          </w:tcPr>
          <w:p>
            <w:pPr>
              <w:spacing w:after="0"/>
              <w:rPr>
                <w:sz w:val="2"/>
                <w:szCs w:val="2"/>
                <w:color w:val="auto"/>
              </w:rPr>
            </w:pPr>
          </w:p>
        </w:tc>
        <w:tc>
          <w:tcPr>
            <w:tcW w:w="900" w:type="dxa"/>
            <w:vAlign w:val="bottom"/>
            <w:tcBorders>
              <w:bottom w:val="single" w:sz="8" w:color="EC252A"/>
            </w:tcBorders>
          </w:tcPr>
          <w:p>
            <w:pPr>
              <w:spacing w:after="0"/>
              <w:rPr>
                <w:sz w:val="2"/>
                <w:szCs w:val="2"/>
                <w:color w:val="auto"/>
              </w:rPr>
            </w:pPr>
          </w:p>
        </w:tc>
        <w:tc>
          <w:tcPr>
            <w:tcW w:w="1100" w:type="dxa"/>
            <w:vAlign w:val="bottom"/>
            <w:tcBorders>
              <w:bottom w:val="single" w:sz="8" w:color="EC252A"/>
            </w:tcBorders>
          </w:tcPr>
          <w:p>
            <w:pPr>
              <w:spacing w:after="0"/>
              <w:rPr>
                <w:sz w:val="2"/>
                <w:szCs w:val="2"/>
                <w:color w:val="auto"/>
              </w:rPr>
            </w:pPr>
          </w:p>
        </w:tc>
        <w:tc>
          <w:tcPr>
            <w:tcW w:w="880" w:type="dxa"/>
            <w:vAlign w:val="bottom"/>
            <w:tcBorders>
              <w:bottom w:val="single" w:sz="8" w:color="EC252A"/>
            </w:tcBorders>
          </w:tcPr>
          <w:p>
            <w:pPr>
              <w:spacing w:after="0"/>
              <w:rPr>
                <w:sz w:val="2"/>
                <w:szCs w:val="2"/>
                <w:color w:val="auto"/>
              </w:rPr>
            </w:pPr>
          </w:p>
        </w:tc>
        <w:tc>
          <w:tcPr>
            <w:tcW w:w="1100" w:type="dxa"/>
            <w:vAlign w:val="bottom"/>
            <w:tcBorders>
              <w:bottom w:val="single" w:sz="8" w:color="EC252A"/>
            </w:tcBorders>
          </w:tcPr>
          <w:p>
            <w:pPr>
              <w:spacing w:after="0"/>
              <w:rPr>
                <w:sz w:val="2"/>
                <w:szCs w:val="2"/>
                <w:color w:val="auto"/>
              </w:rPr>
            </w:pPr>
          </w:p>
        </w:tc>
        <w:tc>
          <w:tcPr>
            <w:tcW w:w="1300" w:type="dxa"/>
            <w:vAlign w:val="bottom"/>
            <w:tcBorders>
              <w:bottom w:val="single" w:sz="8" w:color="EC252A"/>
            </w:tcBorders>
          </w:tcPr>
          <w:p>
            <w:pPr>
              <w:spacing w:after="0"/>
              <w:rPr>
                <w:sz w:val="2"/>
                <w:szCs w:val="2"/>
                <w:color w:val="auto"/>
              </w:rPr>
            </w:pPr>
          </w:p>
        </w:tc>
        <w:tc>
          <w:tcPr>
            <w:tcW w:w="1080" w:type="dxa"/>
            <w:vAlign w:val="bottom"/>
            <w:tcBorders>
              <w:bottom w:val="single" w:sz="8" w:color="EC252A"/>
            </w:tcBorders>
          </w:tcPr>
          <w:p>
            <w:pPr>
              <w:spacing w:after="0"/>
              <w:rPr>
                <w:sz w:val="2"/>
                <w:szCs w:val="2"/>
                <w:color w:val="auto"/>
              </w:rPr>
            </w:pPr>
          </w:p>
        </w:tc>
        <w:tc>
          <w:tcPr>
            <w:tcW w:w="1180" w:type="dxa"/>
            <w:vAlign w:val="bottom"/>
            <w:tcBorders>
              <w:bottom w:val="single" w:sz="8" w:color="EC252A"/>
            </w:tcBorders>
          </w:tcPr>
          <w:p>
            <w:pPr>
              <w:spacing w:after="0"/>
              <w:rPr>
                <w:sz w:val="2"/>
                <w:szCs w:val="2"/>
                <w:color w:val="auto"/>
              </w:rPr>
            </w:pPr>
          </w:p>
        </w:tc>
      </w:tr>
    </w:tbl>
    <w:p>
      <w:pPr>
        <w:spacing w:after="0" w:line="8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Mr. Schweitzer’s compensation included certain performance metrics of the Freight Services Group. The metrics were established by the Compensation Committee. The table below provides the Corporate, Freight Services and individual metrics for Mr. Schweitzer.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EC252A"/>
              </w:rPr>
              <w:t>Goal</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EC252A"/>
              </w:rPr>
              <w:t>2021</w:t>
            </w:r>
          </w:p>
        </w:tc>
        <w:tc>
          <w:tcPr>
            <w:tcW w:w="1080" w:type="dxa"/>
            <w:vAlign w:val="bottom"/>
          </w:tcPr>
          <w:p>
            <w:pPr>
              <w:ind w:left="280"/>
              <w:spacing w:after="0"/>
              <w:rPr>
                <w:sz w:val="20"/>
                <w:szCs w:val="20"/>
                <w:color w:val="auto"/>
              </w:rPr>
            </w:pPr>
            <w:r>
              <w:rPr>
                <w:rFonts w:ascii="Arial" w:cs="Arial" w:eastAsia="Arial" w:hAnsi="Arial"/>
                <w:sz w:val="16"/>
                <w:szCs w:val="16"/>
                <w:b w:val="1"/>
                <w:bCs w:val="1"/>
                <w:color w:val="EC252A"/>
              </w:rPr>
              <w:t>Target</w:t>
            </w:r>
          </w:p>
        </w:tc>
        <w:tc>
          <w:tcPr>
            <w:tcW w:w="1180" w:type="dxa"/>
            <w:vAlign w:val="bottom"/>
          </w:tcPr>
          <w:p>
            <w:pPr>
              <w:jc w:val="center"/>
              <w:ind w:left="43"/>
              <w:spacing w:after="0"/>
              <w:rPr>
                <w:sz w:val="20"/>
                <w:szCs w:val="20"/>
                <w:color w:val="auto"/>
              </w:rPr>
            </w:pPr>
            <w:r>
              <w:rPr>
                <w:rFonts w:ascii="Arial" w:cs="Arial" w:eastAsia="Arial" w:hAnsi="Arial"/>
                <w:sz w:val="16"/>
                <w:szCs w:val="16"/>
                <w:b w:val="1"/>
                <w:bCs w:val="1"/>
                <w:color w:val="EC252A"/>
              </w:rPr>
              <w:t>Performance</w:t>
            </w:r>
          </w:p>
        </w:tc>
      </w:tr>
      <w:tr>
        <w:trPr>
          <w:trHeight w:val="223"/>
        </w:trPr>
        <w:tc>
          <w:tcPr>
            <w:tcW w:w="18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EC252A"/>
                <w:w w:val="96"/>
              </w:rPr>
              <w:t>Type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EC252A"/>
              </w:rPr>
              <w:t>Threshold</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EC252A"/>
                <w:w w:val="98"/>
              </w:rPr>
              <w:t>Target</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EC252A"/>
              </w:rPr>
              <w:t>Maximum</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EC252A"/>
              </w:rPr>
              <w:t>Performance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EC252A"/>
              </w:rPr>
              <w:t>Weighting</w:t>
            </w:r>
          </w:p>
        </w:tc>
        <w:tc>
          <w:tcPr>
            <w:tcW w:w="1180" w:type="dxa"/>
            <w:vAlign w:val="bottom"/>
          </w:tcPr>
          <w:p>
            <w:pPr>
              <w:jc w:val="center"/>
              <w:ind w:left="23"/>
              <w:spacing w:after="0"/>
              <w:rPr>
                <w:sz w:val="20"/>
                <w:szCs w:val="20"/>
                <w:color w:val="auto"/>
              </w:rPr>
            </w:pPr>
            <w:r>
              <w:rPr>
                <w:rFonts w:ascii="Arial" w:cs="Arial" w:eastAsia="Arial" w:hAnsi="Arial"/>
                <w:sz w:val="16"/>
                <w:szCs w:val="16"/>
                <w:b w:val="1"/>
                <w:bCs w:val="1"/>
                <w:color w:val="EC252A"/>
              </w:rPr>
              <w:t>Achieved</w:t>
            </w:r>
          </w:p>
        </w:tc>
      </w:tr>
      <w:tr>
        <w:trPr>
          <w:trHeight w:val="21"/>
        </w:trPr>
        <w:tc>
          <w:tcPr>
            <w:tcW w:w="1860" w:type="dxa"/>
            <w:vAlign w:val="bottom"/>
            <w:tcBorders>
              <w:bottom w:val="single" w:sz="8" w:color="EC252A"/>
            </w:tcBorders>
          </w:tcPr>
          <w:p>
            <w:pPr>
              <w:spacing w:after="0" w:line="20" w:lineRule="exact"/>
              <w:rPr>
                <w:sz w:val="1"/>
                <w:szCs w:val="1"/>
                <w:color w:val="auto"/>
              </w:rPr>
            </w:pPr>
          </w:p>
        </w:tc>
        <w:tc>
          <w:tcPr>
            <w:tcW w:w="900" w:type="dxa"/>
            <w:vAlign w:val="bottom"/>
            <w:tcBorders>
              <w:bottom w:val="single" w:sz="8" w:color="EC252A"/>
            </w:tcBorders>
          </w:tcPr>
          <w:p>
            <w:pPr>
              <w:spacing w:after="0" w:line="20" w:lineRule="exact"/>
              <w:rPr>
                <w:sz w:val="1"/>
                <w:szCs w:val="1"/>
                <w:color w:val="auto"/>
              </w:rPr>
            </w:pPr>
          </w:p>
        </w:tc>
        <w:tc>
          <w:tcPr>
            <w:tcW w:w="1080" w:type="dxa"/>
            <w:vAlign w:val="bottom"/>
            <w:tcBorders>
              <w:bottom w:val="single" w:sz="8" w:color="EC252A"/>
            </w:tcBorders>
          </w:tcPr>
          <w:p>
            <w:pPr>
              <w:spacing w:after="0" w:line="20" w:lineRule="exact"/>
              <w:rPr>
                <w:sz w:val="1"/>
                <w:szCs w:val="1"/>
                <w:color w:val="auto"/>
              </w:rPr>
            </w:pPr>
          </w:p>
        </w:tc>
        <w:tc>
          <w:tcPr>
            <w:tcW w:w="800" w:type="dxa"/>
            <w:vAlign w:val="bottom"/>
            <w:tcBorders>
              <w:bottom w:val="single" w:sz="8" w:color="EC252A"/>
            </w:tcBorders>
          </w:tcPr>
          <w:p>
            <w:pPr>
              <w:spacing w:after="0" w:line="20" w:lineRule="exact"/>
              <w:rPr>
                <w:sz w:val="1"/>
                <w:szCs w:val="1"/>
                <w:color w:val="auto"/>
              </w:rPr>
            </w:pPr>
          </w:p>
        </w:tc>
        <w:tc>
          <w:tcPr>
            <w:tcW w:w="1080" w:type="dxa"/>
            <w:vAlign w:val="bottom"/>
            <w:tcBorders>
              <w:bottom w:val="single" w:sz="8" w:color="EC252A"/>
            </w:tcBorders>
          </w:tcPr>
          <w:p>
            <w:pPr>
              <w:spacing w:after="0" w:line="20" w:lineRule="exact"/>
              <w:rPr>
                <w:sz w:val="1"/>
                <w:szCs w:val="1"/>
                <w:color w:val="auto"/>
              </w:rPr>
            </w:pPr>
          </w:p>
        </w:tc>
        <w:tc>
          <w:tcPr>
            <w:tcW w:w="1300" w:type="dxa"/>
            <w:vAlign w:val="bottom"/>
            <w:tcBorders>
              <w:bottom w:val="single" w:sz="8" w:color="EC252A"/>
            </w:tcBorders>
          </w:tcPr>
          <w:p>
            <w:pPr>
              <w:spacing w:after="0" w:line="20" w:lineRule="exact"/>
              <w:rPr>
                <w:sz w:val="1"/>
                <w:szCs w:val="1"/>
                <w:color w:val="auto"/>
              </w:rPr>
            </w:pPr>
          </w:p>
        </w:tc>
        <w:tc>
          <w:tcPr>
            <w:tcW w:w="1080" w:type="dxa"/>
            <w:vAlign w:val="bottom"/>
            <w:tcBorders>
              <w:bottom w:val="single" w:sz="8" w:color="EC252A"/>
            </w:tcBorders>
          </w:tcPr>
          <w:p>
            <w:pPr>
              <w:spacing w:after="0" w:line="20" w:lineRule="exact"/>
              <w:rPr>
                <w:sz w:val="1"/>
                <w:szCs w:val="1"/>
                <w:color w:val="auto"/>
              </w:rPr>
            </w:pPr>
          </w:p>
        </w:tc>
        <w:tc>
          <w:tcPr>
            <w:tcW w:w="1180" w:type="dxa"/>
            <w:vAlign w:val="bottom"/>
            <w:tcBorders>
              <w:bottom w:val="single" w:sz="8" w:color="EC252A"/>
            </w:tcBorders>
          </w:tcPr>
          <w:p>
            <w:pPr>
              <w:spacing w:after="0" w:line="20" w:lineRule="exact"/>
              <w:rPr>
                <w:sz w:val="1"/>
                <w:szCs w:val="1"/>
                <w:color w:val="auto"/>
              </w:rPr>
            </w:pPr>
          </w:p>
        </w:tc>
      </w:tr>
      <w:tr>
        <w:trPr>
          <w:trHeight w:val="220"/>
        </w:trPr>
        <w:tc>
          <w:tcPr>
            <w:tcW w:w="1860" w:type="dxa"/>
            <w:vAlign w:val="bottom"/>
          </w:tcPr>
          <w:p>
            <w:pPr>
              <w:ind w:left="60"/>
              <w:spacing w:after="0"/>
              <w:rPr>
                <w:sz w:val="20"/>
                <w:szCs w:val="20"/>
                <w:color w:val="auto"/>
              </w:rPr>
            </w:pPr>
            <w:r>
              <w:rPr>
                <w:rFonts w:ascii="Arial" w:cs="Arial" w:eastAsia="Arial" w:hAnsi="Arial"/>
                <w:sz w:val="15"/>
                <w:szCs w:val="15"/>
                <w:color w:val="auto"/>
              </w:rPr>
              <w:t>Earnings Per Share</w:t>
            </w:r>
          </w:p>
        </w:tc>
        <w:tc>
          <w:tcPr>
            <w:tcW w:w="900" w:type="dxa"/>
            <w:vAlign w:val="bottom"/>
          </w:tcPr>
          <w:p>
            <w:pPr>
              <w:jc w:val="center"/>
              <w:spacing w:after="0"/>
              <w:rPr>
                <w:sz w:val="20"/>
                <w:szCs w:val="20"/>
                <w:color w:val="auto"/>
              </w:rPr>
            </w:pPr>
            <w:r>
              <w:rPr>
                <w:rFonts w:ascii="Arial" w:cs="Arial" w:eastAsia="Arial" w:hAnsi="Arial"/>
                <w:sz w:val="15"/>
                <w:szCs w:val="15"/>
                <w:color w:val="auto"/>
                <w:w w:val="99"/>
              </w:rPr>
              <w:t>Financial</w:t>
            </w:r>
          </w:p>
        </w:tc>
        <w:tc>
          <w:tcPr>
            <w:tcW w:w="1080" w:type="dxa"/>
            <w:vAlign w:val="bottom"/>
          </w:tcPr>
          <w:p>
            <w:pPr>
              <w:jc w:val="center"/>
              <w:spacing w:after="0"/>
              <w:rPr>
                <w:sz w:val="20"/>
                <w:szCs w:val="20"/>
                <w:color w:val="auto"/>
              </w:rPr>
            </w:pPr>
            <w:r>
              <w:rPr>
                <w:rFonts w:ascii="Arial" w:cs="Arial" w:eastAsia="Arial" w:hAnsi="Arial"/>
                <w:sz w:val="15"/>
                <w:szCs w:val="15"/>
                <w:color w:val="auto"/>
              </w:rPr>
              <w:t>$3.28</w:t>
            </w:r>
          </w:p>
        </w:tc>
        <w:tc>
          <w:tcPr>
            <w:tcW w:w="800" w:type="dxa"/>
            <w:vAlign w:val="bottom"/>
          </w:tcPr>
          <w:p>
            <w:pPr>
              <w:jc w:val="center"/>
              <w:spacing w:after="0"/>
              <w:rPr>
                <w:sz w:val="20"/>
                <w:szCs w:val="20"/>
                <w:color w:val="auto"/>
              </w:rPr>
            </w:pPr>
            <w:r>
              <w:rPr>
                <w:rFonts w:ascii="Arial" w:cs="Arial" w:eastAsia="Arial" w:hAnsi="Arial"/>
                <w:sz w:val="15"/>
                <w:szCs w:val="15"/>
                <w:color w:val="auto"/>
              </w:rPr>
              <w:t>$4.10</w:t>
            </w:r>
          </w:p>
        </w:tc>
        <w:tc>
          <w:tcPr>
            <w:tcW w:w="1080" w:type="dxa"/>
            <w:vAlign w:val="bottom"/>
          </w:tcPr>
          <w:p>
            <w:pPr>
              <w:jc w:val="center"/>
              <w:spacing w:after="0"/>
              <w:rPr>
                <w:sz w:val="20"/>
                <w:szCs w:val="20"/>
                <w:color w:val="auto"/>
              </w:rPr>
            </w:pPr>
            <w:r>
              <w:rPr>
                <w:rFonts w:ascii="Arial" w:cs="Arial" w:eastAsia="Arial" w:hAnsi="Arial"/>
                <w:sz w:val="15"/>
                <w:szCs w:val="15"/>
                <w:color w:val="auto"/>
              </w:rPr>
              <w:t>$5.13</w:t>
            </w:r>
          </w:p>
        </w:tc>
        <w:tc>
          <w:tcPr>
            <w:tcW w:w="1300" w:type="dxa"/>
            <w:vAlign w:val="bottom"/>
          </w:tcPr>
          <w:p>
            <w:pPr>
              <w:jc w:val="center"/>
              <w:spacing w:after="0"/>
              <w:rPr>
                <w:sz w:val="20"/>
                <w:szCs w:val="20"/>
                <w:color w:val="auto"/>
              </w:rPr>
            </w:pPr>
            <w:r>
              <w:rPr>
                <w:rFonts w:ascii="Arial" w:cs="Arial" w:eastAsia="Arial" w:hAnsi="Arial"/>
                <w:sz w:val="15"/>
                <w:szCs w:val="15"/>
                <w:color w:val="auto"/>
              </w:rPr>
              <w:t>$4.26</w:t>
            </w:r>
          </w:p>
        </w:tc>
        <w:tc>
          <w:tcPr>
            <w:tcW w:w="1080" w:type="dxa"/>
            <w:vAlign w:val="bottom"/>
          </w:tcPr>
          <w:p>
            <w:pPr>
              <w:jc w:val="center"/>
              <w:spacing w:after="0"/>
              <w:rPr>
                <w:sz w:val="20"/>
                <w:szCs w:val="20"/>
                <w:color w:val="auto"/>
              </w:rPr>
            </w:pPr>
            <w:r>
              <w:rPr>
                <w:rFonts w:ascii="Arial" w:cs="Arial" w:eastAsia="Arial" w:hAnsi="Arial"/>
                <w:sz w:val="15"/>
                <w:szCs w:val="15"/>
                <w:color w:val="auto"/>
              </w:rPr>
              <w:t>19.50%</w:t>
            </w:r>
          </w:p>
        </w:tc>
        <w:tc>
          <w:tcPr>
            <w:tcW w:w="1180" w:type="dxa"/>
            <w:vAlign w:val="bottom"/>
          </w:tcPr>
          <w:p>
            <w:pPr>
              <w:jc w:val="center"/>
              <w:ind w:left="23"/>
              <w:spacing w:after="0"/>
              <w:rPr>
                <w:sz w:val="20"/>
                <w:szCs w:val="20"/>
                <w:color w:val="auto"/>
              </w:rPr>
            </w:pPr>
            <w:r>
              <w:rPr>
                <w:rFonts w:ascii="Arial" w:cs="Arial" w:eastAsia="Arial" w:hAnsi="Arial"/>
                <w:sz w:val="15"/>
                <w:szCs w:val="15"/>
                <w:color w:val="auto"/>
              </w:rPr>
              <w:t>23.06%</w:t>
            </w:r>
          </w:p>
        </w:tc>
      </w:tr>
      <w:tr>
        <w:trPr>
          <w:trHeight w:val="175"/>
        </w:trPr>
        <w:tc>
          <w:tcPr>
            <w:tcW w:w="1860" w:type="dxa"/>
            <w:vAlign w:val="bottom"/>
            <w:shd w:val="clear" w:color="auto" w:fill="FCD3C3"/>
          </w:tcPr>
          <w:p>
            <w:pPr>
              <w:ind w:left="60"/>
              <w:spacing w:after="0"/>
              <w:rPr>
                <w:sz w:val="20"/>
                <w:szCs w:val="20"/>
                <w:color w:val="auto"/>
              </w:rPr>
            </w:pPr>
            <w:r>
              <w:rPr>
                <w:rFonts w:ascii="Arial" w:cs="Arial" w:eastAsia="Arial" w:hAnsi="Arial"/>
                <w:sz w:val="15"/>
                <w:szCs w:val="15"/>
                <w:color w:val="auto"/>
              </w:rPr>
              <w:t>Cash From Operations -</w:t>
            </w:r>
          </w:p>
        </w:tc>
        <w:tc>
          <w:tcPr>
            <w:tcW w:w="900" w:type="dxa"/>
            <w:vAlign w:val="bottom"/>
            <w:shd w:val="clear" w:color="auto" w:fill="FCD3C3"/>
          </w:tcPr>
          <w:p>
            <w:pPr>
              <w:jc w:val="center"/>
              <w:spacing w:after="0"/>
              <w:rPr>
                <w:sz w:val="20"/>
                <w:szCs w:val="20"/>
                <w:color w:val="auto"/>
              </w:rPr>
            </w:pPr>
            <w:r>
              <w:rPr>
                <w:rFonts w:ascii="Arial" w:cs="Arial" w:eastAsia="Arial" w:hAnsi="Arial"/>
                <w:sz w:val="15"/>
                <w:szCs w:val="15"/>
                <w:color w:val="auto"/>
                <w:w w:val="99"/>
              </w:rPr>
              <w:t>Financial</w:t>
            </w:r>
          </w:p>
        </w:tc>
        <w:tc>
          <w:tcPr>
            <w:tcW w:w="108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$726</w:t>
            </w:r>
          </w:p>
        </w:tc>
        <w:tc>
          <w:tcPr>
            <w:tcW w:w="80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$907</w:t>
            </w:r>
          </w:p>
        </w:tc>
        <w:tc>
          <w:tcPr>
            <w:tcW w:w="108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$1.13</w:t>
            </w:r>
          </w:p>
        </w:tc>
        <w:tc>
          <w:tcPr>
            <w:tcW w:w="130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$1.119</w:t>
            </w:r>
          </w:p>
        </w:tc>
        <w:tc>
          <w:tcPr>
            <w:tcW w:w="108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12.50%</w:t>
            </w:r>
          </w:p>
        </w:tc>
        <w:tc>
          <w:tcPr>
            <w:tcW w:w="1180" w:type="dxa"/>
            <w:vAlign w:val="bottom"/>
            <w:shd w:val="clear" w:color="auto" w:fill="FCD3C3"/>
          </w:tcPr>
          <w:p>
            <w:pPr>
              <w:jc w:val="center"/>
              <w:ind w:left="43"/>
              <w:spacing w:after="0"/>
              <w:rPr>
                <w:sz w:val="20"/>
                <w:szCs w:val="20"/>
                <w:color w:val="auto"/>
              </w:rPr>
            </w:pPr>
            <w:r>
              <w:rPr>
                <w:rFonts w:ascii="Arial" w:cs="Arial" w:eastAsia="Arial" w:hAnsi="Arial"/>
                <w:sz w:val="15"/>
                <w:szCs w:val="15"/>
                <w:color w:val="auto"/>
                <w:w w:val="98"/>
              </w:rPr>
              <w:t>27.11%</w:t>
            </w:r>
          </w:p>
        </w:tc>
      </w:tr>
      <w:tr>
        <w:trPr>
          <w:trHeight w:val="206"/>
        </w:trPr>
        <w:tc>
          <w:tcPr>
            <w:tcW w:w="1860" w:type="dxa"/>
            <w:vAlign w:val="bottom"/>
            <w:shd w:val="clear" w:color="auto" w:fill="FCD3C3"/>
          </w:tcPr>
          <w:p>
            <w:pPr>
              <w:ind w:left="240"/>
              <w:spacing w:after="0"/>
              <w:rPr>
                <w:sz w:val="20"/>
                <w:szCs w:val="20"/>
                <w:color w:val="auto"/>
              </w:rPr>
            </w:pPr>
            <w:r>
              <w:rPr>
                <w:rFonts w:ascii="Arial" w:cs="Arial" w:eastAsia="Arial" w:hAnsi="Arial"/>
                <w:sz w:val="15"/>
                <w:szCs w:val="15"/>
                <w:color w:val="auto"/>
              </w:rPr>
              <w:t>Corporate</w:t>
            </w:r>
          </w:p>
        </w:tc>
        <w:tc>
          <w:tcPr>
            <w:tcW w:w="900" w:type="dxa"/>
            <w:vAlign w:val="bottom"/>
            <w:shd w:val="clear" w:color="auto" w:fill="FCD3C3"/>
          </w:tcPr>
          <w:p>
            <w:pPr>
              <w:spacing w:after="0"/>
              <w:rPr>
                <w:sz w:val="17"/>
                <w:szCs w:val="17"/>
                <w:color w:val="auto"/>
              </w:rPr>
            </w:pPr>
          </w:p>
        </w:tc>
        <w:tc>
          <w:tcPr>
            <w:tcW w:w="108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Million</w:t>
            </w:r>
          </w:p>
        </w:tc>
        <w:tc>
          <w:tcPr>
            <w:tcW w:w="80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Million</w:t>
            </w:r>
          </w:p>
        </w:tc>
        <w:tc>
          <w:tcPr>
            <w:tcW w:w="1080" w:type="dxa"/>
            <w:vAlign w:val="bottom"/>
            <w:shd w:val="clear" w:color="auto" w:fill="FCD3C3"/>
          </w:tcPr>
          <w:p>
            <w:pPr>
              <w:jc w:val="center"/>
              <w:spacing w:after="0"/>
              <w:rPr>
                <w:sz w:val="20"/>
                <w:szCs w:val="20"/>
                <w:color w:val="auto"/>
              </w:rPr>
            </w:pPr>
            <w:r>
              <w:rPr>
                <w:rFonts w:ascii="Arial" w:cs="Arial" w:eastAsia="Arial" w:hAnsi="Arial"/>
                <w:sz w:val="15"/>
                <w:szCs w:val="15"/>
                <w:color w:val="auto"/>
                <w:w w:val="99"/>
              </w:rPr>
              <w:t>Billion</w:t>
            </w:r>
          </w:p>
        </w:tc>
        <w:tc>
          <w:tcPr>
            <w:tcW w:w="130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Billion</w:t>
            </w:r>
          </w:p>
        </w:tc>
        <w:tc>
          <w:tcPr>
            <w:tcW w:w="1080" w:type="dxa"/>
            <w:vAlign w:val="bottom"/>
            <w:shd w:val="clear" w:color="auto" w:fill="FCD3C3"/>
          </w:tcPr>
          <w:p>
            <w:pPr>
              <w:spacing w:after="0"/>
              <w:rPr>
                <w:sz w:val="17"/>
                <w:szCs w:val="17"/>
                <w:color w:val="auto"/>
              </w:rPr>
            </w:pPr>
          </w:p>
        </w:tc>
        <w:tc>
          <w:tcPr>
            <w:tcW w:w="1180" w:type="dxa"/>
            <w:vAlign w:val="bottom"/>
            <w:shd w:val="clear" w:color="auto" w:fill="FCD3C3"/>
          </w:tcPr>
          <w:p>
            <w:pPr>
              <w:spacing w:after="0"/>
              <w:rPr>
                <w:sz w:val="17"/>
                <w:szCs w:val="17"/>
                <w:color w:val="auto"/>
              </w:rPr>
            </w:pPr>
          </w:p>
        </w:tc>
      </w:tr>
      <w:tr>
        <w:trPr>
          <w:trHeight w:val="172"/>
        </w:trPr>
        <w:tc>
          <w:tcPr>
            <w:tcW w:w="1860" w:type="dxa"/>
            <w:vAlign w:val="bottom"/>
          </w:tcPr>
          <w:p>
            <w:pPr>
              <w:ind w:left="60"/>
              <w:spacing w:after="0"/>
              <w:rPr>
                <w:sz w:val="20"/>
                <w:szCs w:val="20"/>
                <w:color w:val="auto"/>
              </w:rPr>
            </w:pPr>
            <w:r>
              <w:rPr>
                <w:rFonts w:ascii="Arial" w:cs="Arial" w:eastAsia="Arial" w:hAnsi="Arial"/>
                <w:sz w:val="15"/>
                <w:szCs w:val="15"/>
                <w:color w:val="auto"/>
              </w:rPr>
              <w:t>EBIT - Services</w:t>
            </w:r>
          </w:p>
        </w:tc>
        <w:tc>
          <w:tcPr>
            <w:tcW w:w="900" w:type="dxa"/>
            <w:vAlign w:val="bottom"/>
          </w:tcPr>
          <w:p>
            <w:pPr>
              <w:jc w:val="center"/>
              <w:spacing w:after="0"/>
              <w:rPr>
                <w:sz w:val="20"/>
                <w:szCs w:val="20"/>
                <w:color w:val="auto"/>
              </w:rPr>
            </w:pPr>
            <w:r>
              <w:rPr>
                <w:rFonts w:ascii="Arial" w:cs="Arial" w:eastAsia="Arial" w:hAnsi="Arial"/>
                <w:sz w:val="15"/>
                <w:szCs w:val="15"/>
                <w:color w:val="auto"/>
                <w:w w:val="99"/>
              </w:rPr>
              <w:t>Financial</w:t>
            </w:r>
          </w:p>
        </w:tc>
        <w:tc>
          <w:tcPr>
            <w:tcW w:w="1080" w:type="dxa"/>
            <w:vAlign w:val="bottom"/>
          </w:tcPr>
          <w:p>
            <w:pPr>
              <w:jc w:val="center"/>
              <w:spacing w:after="0"/>
              <w:rPr>
                <w:sz w:val="20"/>
                <w:szCs w:val="20"/>
                <w:color w:val="auto"/>
              </w:rPr>
            </w:pPr>
            <w:r>
              <w:rPr>
                <w:rFonts w:ascii="Arial" w:cs="Arial" w:eastAsia="Arial" w:hAnsi="Arial"/>
                <w:sz w:val="15"/>
                <w:szCs w:val="15"/>
                <w:color w:val="auto"/>
              </w:rPr>
              <w:t>$719</w:t>
            </w:r>
          </w:p>
        </w:tc>
        <w:tc>
          <w:tcPr>
            <w:tcW w:w="800" w:type="dxa"/>
            <w:vAlign w:val="bottom"/>
          </w:tcPr>
          <w:p>
            <w:pPr>
              <w:jc w:val="center"/>
              <w:spacing w:after="0"/>
              <w:rPr>
                <w:sz w:val="20"/>
                <w:szCs w:val="20"/>
                <w:color w:val="auto"/>
              </w:rPr>
            </w:pPr>
            <w:r>
              <w:rPr>
                <w:rFonts w:ascii="Arial" w:cs="Arial" w:eastAsia="Arial" w:hAnsi="Arial"/>
                <w:sz w:val="15"/>
                <w:szCs w:val="15"/>
                <w:color w:val="auto"/>
              </w:rPr>
              <w:t>$899</w:t>
            </w:r>
          </w:p>
        </w:tc>
        <w:tc>
          <w:tcPr>
            <w:tcW w:w="1080" w:type="dxa"/>
            <w:vAlign w:val="bottom"/>
          </w:tcPr>
          <w:p>
            <w:pPr>
              <w:jc w:val="center"/>
              <w:spacing w:after="0"/>
              <w:rPr>
                <w:sz w:val="20"/>
                <w:szCs w:val="20"/>
                <w:color w:val="auto"/>
              </w:rPr>
            </w:pPr>
            <w:r>
              <w:rPr>
                <w:rFonts w:ascii="Arial" w:cs="Arial" w:eastAsia="Arial" w:hAnsi="Arial"/>
                <w:sz w:val="15"/>
                <w:szCs w:val="15"/>
                <w:color w:val="auto"/>
              </w:rPr>
              <w:t>$1.124</w:t>
            </w:r>
          </w:p>
        </w:tc>
        <w:tc>
          <w:tcPr>
            <w:tcW w:w="1300" w:type="dxa"/>
            <w:vAlign w:val="bottom"/>
          </w:tcPr>
          <w:p>
            <w:pPr>
              <w:jc w:val="center"/>
              <w:spacing w:after="0"/>
              <w:rPr>
                <w:sz w:val="20"/>
                <w:szCs w:val="20"/>
                <w:color w:val="auto"/>
              </w:rPr>
            </w:pPr>
            <w:r>
              <w:rPr>
                <w:rFonts w:ascii="Arial" w:cs="Arial" w:eastAsia="Arial" w:hAnsi="Arial"/>
                <w:sz w:val="15"/>
                <w:szCs w:val="15"/>
                <w:color w:val="auto"/>
              </w:rPr>
              <w:t>$979</w:t>
            </w:r>
          </w:p>
        </w:tc>
        <w:tc>
          <w:tcPr>
            <w:tcW w:w="1080" w:type="dxa"/>
            <w:vAlign w:val="bottom"/>
          </w:tcPr>
          <w:p>
            <w:pPr>
              <w:jc w:val="center"/>
              <w:spacing w:after="0"/>
              <w:rPr>
                <w:sz w:val="20"/>
                <w:szCs w:val="20"/>
                <w:color w:val="auto"/>
              </w:rPr>
            </w:pPr>
            <w:r>
              <w:rPr>
                <w:rFonts w:ascii="Arial" w:cs="Arial" w:eastAsia="Arial" w:hAnsi="Arial"/>
                <w:sz w:val="15"/>
                <w:szCs w:val="15"/>
                <w:color w:val="auto"/>
              </w:rPr>
              <w:t>28.50%</w:t>
            </w:r>
          </w:p>
        </w:tc>
        <w:tc>
          <w:tcPr>
            <w:tcW w:w="1180" w:type="dxa"/>
            <w:vAlign w:val="bottom"/>
          </w:tcPr>
          <w:p>
            <w:pPr>
              <w:jc w:val="center"/>
              <w:ind w:left="23"/>
              <w:spacing w:after="0"/>
              <w:rPr>
                <w:sz w:val="20"/>
                <w:szCs w:val="20"/>
                <w:color w:val="auto"/>
              </w:rPr>
            </w:pPr>
            <w:r>
              <w:rPr>
                <w:rFonts w:ascii="Arial" w:cs="Arial" w:eastAsia="Arial" w:hAnsi="Arial"/>
                <w:sz w:val="15"/>
                <w:szCs w:val="15"/>
                <w:color w:val="auto"/>
              </w:rPr>
              <w:t>41.17%</w:t>
            </w:r>
          </w:p>
        </w:tc>
      </w:tr>
      <w:tr>
        <w:trPr>
          <w:trHeight w:val="203"/>
        </w:trPr>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rPr>
              <w:t>Million</w:t>
            </w:r>
          </w:p>
        </w:tc>
        <w:tc>
          <w:tcPr>
            <w:tcW w:w="800" w:type="dxa"/>
            <w:vAlign w:val="bottom"/>
          </w:tcPr>
          <w:p>
            <w:pPr>
              <w:jc w:val="center"/>
              <w:spacing w:after="0"/>
              <w:rPr>
                <w:sz w:val="20"/>
                <w:szCs w:val="20"/>
                <w:color w:val="auto"/>
              </w:rPr>
            </w:pPr>
            <w:r>
              <w:rPr>
                <w:rFonts w:ascii="Arial" w:cs="Arial" w:eastAsia="Arial" w:hAnsi="Arial"/>
                <w:sz w:val="15"/>
                <w:szCs w:val="15"/>
                <w:color w:val="auto"/>
              </w:rPr>
              <w:t>Million</w:t>
            </w:r>
          </w:p>
        </w:tc>
        <w:tc>
          <w:tcPr>
            <w:tcW w:w="1080" w:type="dxa"/>
            <w:vAlign w:val="bottom"/>
          </w:tcPr>
          <w:p>
            <w:pPr>
              <w:jc w:val="center"/>
              <w:spacing w:after="0"/>
              <w:rPr>
                <w:sz w:val="20"/>
                <w:szCs w:val="20"/>
                <w:color w:val="auto"/>
              </w:rPr>
            </w:pPr>
            <w:r>
              <w:rPr>
                <w:rFonts w:ascii="Arial" w:cs="Arial" w:eastAsia="Arial" w:hAnsi="Arial"/>
                <w:sz w:val="15"/>
                <w:szCs w:val="15"/>
                <w:color w:val="auto"/>
                <w:w w:val="99"/>
              </w:rPr>
              <w:t>Billion</w:t>
            </w:r>
          </w:p>
        </w:tc>
        <w:tc>
          <w:tcPr>
            <w:tcW w:w="1300" w:type="dxa"/>
            <w:vAlign w:val="bottom"/>
          </w:tcPr>
          <w:p>
            <w:pPr>
              <w:jc w:val="center"/>
              <w:spacing w:after="0"/>
              <w:rPr>
                <w:sz w:val="20"/>
                <w:szCs w:val="20"/>
                <w:color w:val="auto"/>
              </w:rPr>
            </w:pPr>
            <w:r>
              <w:rPr>
                <w:rFonts w:ascii="Arial" w:cs="Arial" w:eastAsia="Arial" w:hAnsi="Arial"/>
                <w:sz w:val="15"/>
                <w:szCs w:val="15"/>
                <w:color w:val="auto"/>
                <w:w w:val="98"/>
              </w:rPr>
              <w:t>Million</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75"/>
        </w:trPr>
        <w:tc>
          <w:tcPr>
            <w:tcW w:w="1860" w:type="dxa"/>
            <w:vAlign w:val="bottom"/>
            <w:shd w:val="clear" w:color="auto" w:fill="FCD3C3"/>
          </w:tcPr>
          <w:p>
            <w:pPr>
              <w:ind w:left="60"/>
              <w:spacing w:after="0"/>
              <w:rPr>
                <w:sz w:val="20"/>
                <w:szCs w:val="20"/>
                <w:color w:val="auto"/>
              </w:rPr>
            </w:pPr>
            <w:r>
              <w:rPr>
                <w:rFonts w:ascii="Arial" w:cs="Arial" w:eastAsia="Arial" w:hAnsi="Arial"/>
                <w:sz w:val="15"/>
                <w:szCs w:val="15"/>
                <w:color w:val="auto"/>
              </w:rPr>
              <w:t>Cash from Operations -</w:t>
            </w:r>
          </w:p>
        </w:tc>
        <w:tc>
          <w:tcPr>
            <w:tcW w:w="900" w:type="dxa"/>
            <w:vAlign w:val="bottom"/>
            <w:shd w:val="clear" w:color="auto" w:fill="FCD3C3"/>
          </w:tcPr>
          <w:p>
            <w:pPr>
              <w:jc w:val="center"/>
              <w:spacing w:after="0"/>
              <w:rPr>
                <w:sz w:val="20"/>
                <w:szCs w:val="20"/>
                <w:color w:val="auto"/>
              </w:rPr>
            </w:pPr>
            <w:r>
              <w:rPr>
                <w:rFonts w:ascii="Arial" w:cs="Arial" w:eastAsia="Arial" w:hAnsi="Arial"/>
                <w:sz w:val="15"/>
                <w:szCs w:val="15"/>
                <w:color w:val="auto"/>
                <w:w w:val="99"/>
              </w:rPr>
              <w:t>Financial</w:t>
            </w:r>
          </w:p>
        </w:tc>
        <w:tc>
          <w:tcPr>
            <w:tcW w:w="108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$653</w:t>
            </w:r>
          </w:p>
        </w:tc>
        <w:tc>
          <w:tcPr>
            <w:tcW w:w="80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$816</w:t>
            </w:r>
          </w:p>
        </w:tc>
        <w:tc>
          <w:tcPr>
            <w:tcW w:w="108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$1.020</w:t>
            </w:r>
          </w:p>
        </w:tc>
        <w:tc>
          <w:tcPr>
            <w:tcW w:w="130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$850</w:t>
            </w:r>
          </w:p>
        </w:tc>
        <w:tc>
          <w:tcPr>
            <w:tcW w:w="108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19.50%</w:t>
            </w:r>
          </w:p>
        </w:tc>
        <w:tc>
          <w:tcPr>
            <w:tcW w:w="1180" w:type="dxa"/>
            <w:vAlign w:val="bottom"/>
            <w:shd w:val="clear" w:color="auto" w:fill="FCD3C3"/>
          </w:tcPr>
          <w:p>
            <w:pPr>
              <w:jc w:val="center"/>
              <w:ind w:left="23"/>
              <w:spacing w:after="0"/>
              <w:rPr>
                <w:sz w:val="20"/>
                <w:szCs w:val="20"/>
                <w:color w:val="auto"/>
              </w:rPr>
            </w:pPr>
            <w:r>
              <w:rPr>
                <w:rFonts w:ascii="Arial" w:cs="Arial" w:eastAsia="Arial" w:hAnsi="Arial"/>
                <w:sz w:val="15"/>
                <w:szCs w:val="15"/>
                <w:color w:val="auto"/>
              </w:rPr>
              <w:t>23.47%</w:t>
            </w:r>
          </w:p>
        </w:tc>
      </w:tr>
      <w:tr>
        <w:trPr>
          <w:trHeight w:val="206"/>
        </w:trPr>
        <w:tc>
          <w:tcPr>
            <w:tcW w:w="1860" w:type="dxa"/>
            <w:vAlign w:val="bottom"/>
            <w:shd w:val="clear" w:color="auto" w:fill="FCD3C3"/>
          </w:tcPr>
          <w:p>
            <w:pPr>
              <w:ind w:left="240"/>
              <w:spacing w:after="0"/>
              <w:rPr>
                <w:sz w:val="20"/>
                <w:szCs w:val="20"/>
                <w:color w:val="auto"/>
              </w:rPr>
            </w:pPr>
            <w:r>
              <w:rPr>
                <w:rFonts w:ascii="Arial" w:cs="Arial" w:eastAsia="Arial" w:hAnsi="Arial"/>
                <w:sz w:val="15"/>
                <w:szCs w:val="15"/>
                <w:color w:val="auto"/>
              </w:rPr>
              <w:t>Services</w:t>
            </w:r>
          </w:p>
        </w:tc>
        <w:tc>
          <w:tcPr>
            <w:tcW w:w="900" w:type="dxa"/>
            <w:vAlign w:val="bottom"/>
            <w:shd w:val="clear" w:color="auto" w:fill="FCD3C3"/>
          </w:tcPr>
          <w:p>
            <w:pPr>
              <w:spacing w:after="0"/>
              <w:rPr>
                <w:sz w:val="17"/>
                <w:szCs w:val="17"/>
                <w:color w:val="auto"/>
              </w:rPr>
            </w:pPr>
          </w:p>
        </w:tc>
        <w:tc>
          <w:tcPr>
            <w:tcW w:w="108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Million</w:t>
            </w:r>
          </w:p>
        </w:tc>
        <w:tc>
          <w:tcPr>
            <w:tcW w:w="800" w:type="dxa"/>
            <w:vAlign w:val="bottom"/>
            <w:shd w:val="clear" w:color="auto" w:fill="FCD3C3"/>
          </w:tcPr>
          <w:p>
            <w:pPr>
              <w:jc w:val="center"/>
              <w:spacing w:after="0"/>
              <w:rPr>
                <w:sz w:val="20"/>
                <w:szCs w:val="20"/>
                <w:color w:val="auto"/>
              </w:rPr>
            </w:pPr>
            <w:r>
              <w:rPr>
                <w:rFonts w:ascii="Arial" w:cs="Arial" w:eastAsia="Arial" w:hAnsi="Arial"/>
                <w:sz w:val="15"/>
                <w:szCs w:val="15"/>
                <w:color w:val="auto"/>
              </w:rPr>
              <w:t>Million</w:t>
            </w:r>
          </w:p>
        </w:tc>
        <w:tc>
          <w:tcPr>
            <w:tcW w:w="1080" w:type="dxa"/>
            <w:vAlign w:val="bottom"/>
            <w:shd w:val="clear" w:color="auto" w:fill="FCD3C3"/>
          </w:tcPr>
          <w:p>
            <w:pPr>
              <w:jc w:val="center"/>
              <w:spacing w:after="0"/>
              <w:rPr>
                <w:sz w:val="20"/>
                <w:szCs w:val="20"/>
                <w:color w:val="auto"/>
              </w:rPr>
            </w:pPr>
            <w:r>
              <w:rPr>
                <w:rFonts w:ascii="Arial" w:cs="Arial" w:eastAsia="Arial" w:hAnsi="Arial"/>
                <w:sz w:val="15"/>
                <w:szCs w:val="15"/>
                <w:color w:val="auto"/>
                <w:w w:val="99"/>
              </w:rPr>
              <w:t>Billion</w:t>
            </w:r>
          </w:p>
        </w:tc>
        <w:tc>
          <w:tcPr>
            <w:tcW w:w="1300" w:type="dxa"/>
            <w:vAlign w:val="bottom"/>
            <w:shd w:val="clear" w:color="auto" w:fill="FCD3C3"/>
          </w:tcPr>
          <w:p>
            <w:pPr>
              <w:jc w:val="center"/>
              <w:spacing w:after="0"/>
              <w:rPr>
                <w:sz w:val="20"/>
                <w:szCs w:val="20"/>
                <w:color w:val="auto"/>
              </w:rPr>
            </w:pPr>
            <w:r>
              <w:rPr>
                <w:rFonts w:ascii="Arial" w:cs="Arial" w:eastAsia="Arial" w:hAnsi="Arial"/>
                <w:sz w:val="15"/>
                <w:szCs w:val="15"/>
                <w:color w:val="auto"/>
                <w:w w:val="98"/>
              </w:rPr>
              <w:t>Million</w:t>
            </w:r>
          </w:p>
        </w:tc>
        <w:tc>
          <w:tcPr>
            <w:tcW w:w="1080" w:type="dxa"/>
            <w:vAlign w:val="bottom"/>
            <w:shd w:val="clear" w:color="auto" w:fill="FCD3C3"/>
          </w:tcPr>
          <w:p>
            <w:pPr>
              <w:spacing w:after="0"/>
              <w:rPr>
                <w:sz w:val="17"/>
                <w:szCs w:val="17"/>
                <w:color w:val="auto"/>
              </w:rPr>
            </w:pPr>
          </w:p>
        </w:tc>
        <w:tc>
          <w:tcPr>
            <w:tcW w:w="1180" w:type="dxa"/>
            <w:vAlign w:val="bottom"/>
            <w:shd w:val="clear" w:color="auto" w:fill="FCD3C3"/>
          </w:tcPr>
          <w:p>
            <w:pPr>
              <w:spacing w:after="0"/>
              <w:rPr>
                <w:sz w:val="17"/>
                <w:szCs w:val="17"/>
                <w:color w:val="auto"/>
              </w:rPr>
            </w:pPr>
          </w:p>
        </w:tc>
      </w:tr>
      <w:tr>
        <w:trPr>
          <w:trHeight w:val="172"/>
        </w:trPr>
        <w:tc>
          <w:tcPr>
            <w:tcW w:w="1860" w:type="dxa"/>
            <w:vAlign w:val="bottom"/>
          </w:tcPr>
          <w:p>
            <w:pPr>
              <w:ind w:left="60"/>
              <w:spacing w:after="0"/>
              <w:rPr>
                <w:sz w:val="20"/>
                <w:szCs w:val="20"/>
                <w:color w:val="auto"/>
              </w:rPr>
            </w:pPr>
            <w:r>
              <w:rPr>
                <w:rFonts w:ascii="Arial" w:cs="Arial" w:eastAsia="Arial" w:hAnsi="Arial"/>
                <w:sz w:val="15"/>
                <w:szCs w:val="15"/>
                <w:color w:val="auto"/>
              </w:rPr>
              <w:t>EBIT Margin % -</w:t>
            </w:r>
          </w:p>
        </w:tc>
        <w:tc>
          <w:tcPr>
            <w:tcW w:w="900" w:type="dxa"/>
            <w:vAlign w:val="bottom"/>
          </w:tcPr>
          <w:p>
            <w:pPr>
              <w:jc w:val="center"/>
              <w:spacing w:after="0"/>
              <w:rPr>
                <w:sz w:val="20"/>
                <w:szCs w:val="20"/>
                <w:color w:val="auto"/>
              </w:rPr>
            </w:pPr>
            <w:r>
              <w:rPr>
                <w:rFonts w:ascii="Arial" w:cs="Arial" w:eastAsia="Arial" w:hAnsi="Arial"/>
                <w:sz w:val="15"/>
                <w:szCs w:val="15"/>
                <w:color w:val="auto"/>
              </w:rPr>
              <w:t>Personal</w:t>
            </w:r>
          </w:p>
        </w:tc>
        <w:tc>
          <w:tcPr>
            <w:tcW w:w="1080" w:type="dxa"/>
            <w:vAlign w:val="bottom"/>
          </w:tcPr>
          <w:p>
            <w:pPr>
              <w:jc w:val="center"/>
              <w:spacing w:after="0"/>
              <w:rPr>
                <w:sz w:val="20"/>
                <w:szCs w:val="20"/>
                <w:color w:val="auto"/>
              </w:rPr>
            </w:pPr>
            <w:r>
              <w:rPr>
                <w:rFonts w:ascii="Arial" w:cs="Arial" w:eastAsia="Arial" w:hAnsi="Arial"/>
                <w:sz w:val="15"/>
                <w:szCs w:val="15"/>
                <w:color w:val="auto"/>
              </w:rPr>
              <w:t>30.7%</w:t>
            </w:r>
          </w:p>
        </w:tc>
        <w:tc>
          <w:tcPr>
            <w:tcW w:w="800" w:type="dxa"/>
            <w:vAlign w:val="bottom"/>
          </w:tcPr>
          <w:p>
            <w:pPr>
              <w:jc w:val="center"/>
              <w:spacing w:after="0"/>
              <w:rPr>
                <w:sz w:val="20"/>
                <w:szCs w:val="20"/>
                <w:color w:val="auto"/>
              </w:rPr>
            </w:pPr>
            <w:r>
              <w:rPr>
                <w:rFonts w:ascii="Arial" w:cs="Arial" w:eastAsia="Arial" w:hAnsi="Arial"/>
                <w:sz w:val="15"/>
                <w:szCs w:val="15"/>
                <w:color w:val="auto"/>
              </w:rPr>
              <w:t>38.4%</w:t>
            </w:r>
          </w:p>
        </w:tc>
        <w:tc>
          <w:tcPr>
            <w:tcW w:w="1080" w:type="dxa"/>
            <w:vAlign w:val="bottom"/>
          </w:tcPr>
          <w:p>
            <w:pPr>
              <w:jc w:val="center"/>
              <w:spacing w:after="0"/>
              <w:rPr>
                <w:sz w:val="20"/>
                <w:szCs w:val="20"/>
                <w:color w:val="auto"/>
              </w:rPr>
            </w:pPr>
            <w:r>
              <w:rPr>
                <w:rFonts w:ascii="Arial" w:cs="Arial" w:eastAsia="Arial" w:hAnsi="Arial"/>
                <w:sz w:val="15"/>
                <w:szCs w:val="15"/>
                <w:color w:val="auto"/>
              </w:rPr>
              <w:t>48.0%</w:t>
            </w:r>
          </w:p>
        </w:tc>
        <w:tc>
          <w:tcPr>
            <w:tcW w:w="1300" w:type="dxa"/>
            <w:vAlign w:val="bottom"/>
          </w:tcPr>
          <w:p>
            <w:pPr>
              <w:jc w:val="center"/>
              <w:spacing w:after="0"/>
              <w:rPr>
                <w:sz w:val="20"/>
                <w:szCs w:val="20"/>
                <w:color w:val="auto"/>
              </w:rPr>
            </w:pPr>
            <w:r>
              <w:rPr>
                <w:rFonts w:ascii="Arial" w:cs="Arial" w:eastAsia="Arial" w:hAnsi="Arial"/>
                <w:sz w:val="15"/>
                <w:szCs w:val="15"/>
                <w:color w:val="auto"/>
                <w:w w:val="98"/>
              </w:rPr>
              <w:t>39.2%</w:t>
            </w:r>
          </w:p>
        </w:tc>
        <w:tc>
          <w:tcPr>
            <w:tcW w:w="1080" w:type="dxa"/>
            <w:vAlign w:val="bottom"/>
          </w:tcPr>
          <w:p>
            <w:pPr>
              <w:jc w:val="center"/>
              <w:spacing w:after="0"/>
              <w:rPr>
                <w:sz w:val="20"/>
                <w:szCs w:val="20"/>
                <w:color w:val="auto"/>
              </w:rPr>
            </w:pPr>
            <w:r>
              <w:rPr>
                <w:rFonts w:ascii="Arial" w:cs="Arial" w:eastAsia="Arial" w:hAnsi="Arial"/>
                <w:sz w:val="15"/>
                <w:szCs w:val="15"/>
                <w:color w:val="auto"/>
              </w:rPr>
              <w:t>10.00%</w:t>
            </w:r>
          </w:p>
        </w:tc>
        <w:tc>
          <w:tcPr>
            <w:tcW w:w="1180" w:type="dxa"/>
            <w:vAlign w:val="bottom"/>
          </w:tcPr>
          <w:p>
            <w:pPr>
              <w:jc w:val="center"/>
              <w:ind w:left="23"/>
              <w:spacing w:after="0"/>
              <w:rPr>
                <w:sz w:val="20"/>
                <w:szCs w:val="20"/>
                <w:color w:val="auto"/>
              </w:rPr>
            </w:pPr>
            <w:r>
              <w:rPr>
                <w:rFonts w:ascii="Arial" w:cs="Arial" w:eastAsia="Arial" w:hAnsi="Arial"/>
                <w:sz w:val="15"/>
                <w:szCs w:val="15"/>
                <w:color w:val="auto"/>
              </w:rPr>
              <w:t>10.21%</w:t>
            </w:r>
          </w:p>
        </w:tc>
      </w:tr>
      <w:tr>
        <w:trPr>
          <w:trHeight w:val="203"/>
        </w:trPr>
        <w:tc>
          <w:tcPr>
            <w:tcW w:w="1860" w:type="dxa"/>
            <w:vAlign w:val="bottom"/>
          </w:tcPr>
          <w:p>
            <w:pPr>
              <w:ind w:left="240"/>
              <w:spacing w:after="0"/>
              <w:rPr>
                <w:sz w:val="20"/>
                <w:szCs w:val="20"/>
                <w:color w:val="auto"/>
              </w:rPr>
            </w:pPr>
            <w:r>
              <w:rPr>
                <w:rFonts w:ascii="Arial" w:cs="Arial" w:eastAsia="Arial" w:hAnsi="Arial"/>
                <w:sz w:val="15"/>
                <w:szCs w:val="15"/>
                <w:color w:val="auto"/>
              </w:rPr>
              <w:t>Services</w:t>
            </w: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6"/>
        </w:trPr>
        <w:tc>
          <w:tcPr>
            <w:tcW w:w="1860" w:type="dxa"/>
            <w:vAlign w:val="bottom"/>
            <w:tcBorders>
              <w:bottom w:val="single" w:sz="8" w:color="EC252A"/>
            </w:tcBorders>
            <w:shd w:val="clear" w:color="auto" w:fill="FCD3C3"/>
          </w:tcPr>
          <w:p>
            <w:pPr>
              <w:ind w:left="60"/>
              <w:spacing w:after="0"/>
              <w:rPr>
                <w:sz w:val="20"/>
                <w:szCs w:val="20"/>
                <w:color w:val="auto"/>
              </w:rPr>
            </w:pPr>
            <w:r>
              <w:rPr>
                <w:rFonts w:ascii="Arial" w:cs="Arial" w:eastAsia="Arial" w:hAnsi="Arial"/>
                <w:sz w:val="15"/>
                <w:szCs w:val="15"/>
                <w:color w:val="auto"/>
              </w:rPr>
              <w:t>Tier 4 FL/Y &lt;2.5</w:t>
            </w:r>
          </w:p>
        </w:tc>
        <w:tc>
          <w:tcPr>
            <w:tcW w:w="900" w:type="dxa"/>
            <w:vAlign w:val="bottom"/>
            <w:tcBorders>
              <w:bottom w:val="single" w:sz="8" w:color="EC252A"/>
            </w:tcBorders>
            <w:shd w:val="clear" w:color="auto" w:fill="FCD3C3"/>
          </w:tcPr>
          <w:p>
            <w:pPr>
              <w:jc w:val="center"/>
              <w:spacing w:after="0"/>
              <w:rPr>
                <w:sz w:val="20"/>
                <w:szCs w:val="20"/>
                <w:color w:val="auto"/>
              </w:rPr>
            </w:pPr>
            <w:r>
              <w:rPr>
                <w:rFonts w:ascii="Arial" w:cs="Arial" w:eastAsia="Arial" w:hAnsi="Arial"/>
                <w:sz w:val="15"/>
                <w:szCs w:val="15"/>
                <w:color w:val="auto"/>
              </w:rPr>
              <w:t>Personal</w:t>
            </w:r>
          </w:p>
        </w:tc>
        <w:tc>
          <w:tcPr>
            <w:tcW w:w="1080" w:type="dxa"/>
            <w:vAlign w:val="bottom"/>
            <w:tcBorders>
              <w:bottom w:val="single" w:sz="8" w:color="EC252A"/>
            </w:tcBorders>
            <w:shd w:val="clear" w:color="auto" w:fill="FCD3C3"/>
          </w:tcPr>
          <w:p>
            <w:pPr>
              <w:jc w:val="center"/>
              <w:spacing w:after="0"/>
              <w:rPr>
                <w:sz w:val="20"/>
                <w:szCs w:val="20"/>
                <w:color w:val="auto"/>
              </w:rPr>
            </w:pPr>
            <w:r>
              <w:rPr>
                <w:rFonts w:ascii="Arial" w:cs="Arial" w:eastAsia="Arial" w:hAnsi="Arial"/>
                <w:sz w:val="15"/>
                <w:szCs w:val="15"/>
                <w:color w:val="auto"/>
              </w:rPr>
              <w:t>&lt;2.7</w:t>
            </w:r>
          </w:p>
        </w:tc>
        <w:tc>
          <w:tcPr>
            <w:tcW w:w="800" w:type="dxa"/>
            <w:vAlign w:val="bottom"/>
            <w:tcBorders>
              <w:bottom w:val="single" w:sz="8" w:color="EC252A"/>
            </w:tcBorders>
            <w:shd w:val="clear" w:color="auto" w:fill="FCD3C3"/>
          </w:tcPr>
          <w:p>
            <w:pPr>
              <w:jc w:val="center"/>
              <w:spacing w:after="0"/>
              <w:rPr>
                <w:sz w:val="20"/>
                <w:szCs w:val="20"/>
                <w:color w:val="auto"/>
              </w:rPr>
            </w:pPr>
            <w:r>
              <w:rPr>
                <w:rFonts w:ascii="Arial" w:cs="Arial" w:eastAsia="Arial" w:hAnsi="Arial"/>
                <w:sz w:val="15"/>
                <w:szCs w:val="15"/>
                <w:color w:val="auto"/>
              </w:rPr>
              <w:t>2.5</w:t>
            </w:r>
          </w:p>
        </w:tc>
        <w:tc>
          <w:tcPr>
            <w:tcW w:w="1080" w:type="dxa"/>
            <w:vAlign w:val="bottom"/>
            <w:tcBorders>
              <w:bottom w:val="single" w:sz="8" w:color="EC252A"/>
            </w:tcBorders>
            <w:shd w:val="clear" w:color="auto" w:fill="FCD3C3"/>
          </w:tcPr>
          <w:p>
            <w:pPr>
              <w:jc w:val="center"/>
              <w:spacing w:after="0"/>
              <w:rPr>
                <w:sz w:val="20"/>
                <w:szCs w:val="20"/>
                <w:color w:val="auto"/>
              </w:rPr>
            </w:pPr>
            <w:r>
              <w:rPr>
                <w:rFonts w:ascii="Arial" w:cs="Arial" w:eastAsia="Arial" w:hAnsi="Arial"/>
                <w:sz w:val="15"/>
                <w:szCs w:val="15"/>
                <w:color w:val="auto"/>
              </w:rPr>
              <w:t>&lt;2.0</w:t>
            </w:r>
          </w:p>
        </w:tc>
        <w:tc>
          <w:tcPr>
            <w:tcW w:w="1300" w:type="dxa"/>
            <w:vAlign w:val="bottom"/>
            <w:tcBorders>
              <w:bottom w:val="single" w:sz="8" w:color="EC252A"/>
            </w:tcBorders>
            <w:shd w:val="clear" w:color="auto" w:fill="FCD3C3"/>
          </w:tcPr>
          <w:p>
            <w:pPr>
              <w:jc w:val="center"/>
              <w:spacing w:after="0"/>
              <w:rPr>
                <w:sz w:val="20"/>
                <w:szCs w:val="20"/>
                <w:color w:val="auto"/>
              </w:rPr>
            </w:pPr>
            <w:r>
              <w:rPr>
                <w:rFonts w:ascii="Arial" w:cs="Arial" w:eastAsia="Arial" w:hAnsi="Arial"/>
                <w:sz w:val="15"/>
                <w:szCs w:val="15"/>
                <w:color w:val="auto"/>
              </w:rPr>
              <w:t>&lt;2.1</w:t>
            </w:r>
          </w:p>
        </w:tc>
        <w:tc>
          <w:tcPr>
            <w:tcW w:w="1080" w:type="dxa"/>
            <w:vAlign w:val="bottom"/>
            <w:tcBorders>
              <w:bottom w:val="single" w:sz="8" w:color="EC252A"/>
            </w:tcBorders>
            <w:shd w:val="clear" w:color="auto" w:fill="FCD3C3"/>
          </w:tcPr>
          <w:p>
            <w:pPr>
              <w:jc w:val="center"/>
              <w:spacing w:after="0"/>
              <w:rPr>
                <w:sz w:val="20"/>
                <w:szCs w:val="20"/>
                <w:color w:val="auto"/>
              </w:rPr>
            </w:pPr>
            <w:r>
              <w:rPr>
                <w:rFonts w:ascii="Arial" w:cs="Arial" w:eastAsia="Arial" w:hAnsi="Arial"/>
                <w:sz w:val="15"/>
                <w:szCs w:val="15"/>
                <w:color w:val="auto"/>
              </w:rPr>
              <w:t>10.00%</w:t>
            </w:r>
          </w:p>
        </w:tc>
        <w:tc>
          <w:tcPr>
            <w:tcW w:w="1180" w:type="dxa"/>
            <w:vAlign w:val="bottom"/>
            <w:tcBorders>
              <w:bottom w:val="single" w:sz="8" w:color="EC252A"/>
            </w:tcBorders>
            <w:shd w:val="clear" w:color="auto" w:fill="FCD3C3"/>
          </w:tcPr>
          <w:p>
            <w:pPr>
              <w:jc w:val="center"/>
              <w:ind w:left="23"/>
              <w:spacing w:after="0"/>
              <w:rPr>
                <w:sz w:val="20"/>
                <w:szCs w:val="20"/>
                <w:color w:val="auto"/>
              </w:rPr>
            </w:pPr>
            <w:r>
              <w:rPr>
                <w:rFonts w:ascii="Arial" w:cs="Arial" w:eastAsia="Arial" w:hAnsi="Arial"/>
                <w:sz w:val="15"/>
                <w:szCs w:val="15"/>
                <w:color w:val="auto"/>
              </w:rPr>
              <w:t>12.50%</w:t>
            </w:r>
          </w:p>
        </w:tc>
      </w:tr>
      <w:tr>
        <w:trPr>
          <w:trHeight w:val="223"/>
        </w:trPr>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w w:val="95"/>
              </w:rPr>
              <w:t>Total</w:t>
            </w:r>
          </w:p>
        </w:tc>
        <w:tc>
          <w:tcPr>
            <w:tcW w:w="1180" w:type="dxa"/>
            <w:vAlign w:val="bottom"/>
          </w:tcPr>
          <w:p>
            <w:pPr>
              <w:jc w:val="center"/>
              <w:ind w:left="23"/>
              <w:spacing w:after="0"/>
              <w:rPr>
                <w:sz w:val="20"/>
                <w:szCs w:val="20"/>
                <w:color w:val="auto"/>
              </w:rPr>
            </w:pPr>
            <w:r>
              <w:rPr>
                <w:rFonts w:ascii="Arial" w:cs="Arial" w:eastAsia="Arial" w:hAnsi="Arial"/>
                <w:sz w:val="15"/>
                <w:szCs w:val="15"/>
                <w:color w:val="auto"/>
              </w:rPr>
              <w:t>137.52%</w:t>
            </w:r>
          </w:p>
        </w:tc>
      </w:tr>
      <w:tr>
        <w:trPr>
          <w:trHeight w:val="33"/>
        </w:trPr>
        <w:tc>
          <w:tcPr>
            <w:tcW w:w="1860" w:type="dxa"/>
            <w:vAlign w:val="bottom"/>
            <w:tcBorders>
              <w:bottom w:val="single" w:sz="8" w:color="EC252A"/>
            </w:tcBorders>
          </w:tcPr>
          <w:p>
            <w:pPr>
              <w:spacing w:after="0"/>
              <w:rPr>
                <w:sz w:val="2"/>
                <w:szCs w:val="2"/>
                <w:color w:val="auto"/>
              </w:rPr>
            </w:pPr>
          </w:p>
        </w:tc>
        <w:tc>
          <w:tcPr>
            <w:tcW w:w="900" w:type="dxa"/>
            <w:vAlign w:val="bottom"/>
            <w:tcBorders>
              <w:bottom w:val="single" w:sz="8" w:color="EC252A"/>
            </w:tcBorders>
          </w:tcPr>
          <w:p>
            <w:pPr>
              <w:spacing w:after="0"/>
              <w:rPr>
                <w:sz w:val="2"/>
                <w:szCs w:val="2"/>
                <w:color w:val="auto"/>
              </w:rPr>
            </w:pPr>
          </w:p>
        </w:tc>
        <w:tc>
          <w:tcPr>
            <w:tcW w:w="1080" w:type="dxa"/>
            <w:vAlign w:val="bottom"/>
            <w:tcBorders>
              <w:bottom w:val="single" w:sz="8" w:color="EC252A"/>
            </w:tcBorders>
          </w:tcPr>
          <w:p>
            <w:pPr>
              <w:spacing w:after="0"/>
              <w:rPr>
                <w:sz w:val="2"/>
                <w:szCs w:val="2"/>
                <w:color w:val="auto"/>
              </w:rPr>
            </w:pPr>
          </w:p>
        </w:tc>
        <w:tc>
          <w:tcPr>
            <w:tcW w:w="800" w:type="dxa"/>
            <w:vAlign w:val="bottom"/>
            <w:tcBorders>
              <w:bottom w:val="single" w:sz="8" w:color="EC252A"/>
            </w:tcBorders>
          </w:tcPr>
          <w:p>
            <w:pPr>
              <w:spacing w:after="0"/>
              <w:rPr>
                <w:sz w:val="2"/>
                <w:szCs w:val="2"/>
                <w:color w:val="auto"/>
              </w:rPr>
            </w:pPr>
          </w:p>
        </w:tc>
        <w:tc>
          <w:tcPr>
            <w:tcW w:w="1080" w:type="dxa"/>
            <w:vAlign w:val="bottom"/>
            <w:tcBorders>
              <w:bottom w:val="single" w:sz="8" w:color="EC252A"/>
            </w:tcBorders>
          </w:tcPr>
          <w:p>
            <w:pPr>
              <w:spacing w:after="0"/>
              <w:rPr>
                <w:sz w:val="2"/>
                <w:szCs w:val="2"/>
                <w:color w:val="auto"/>
              </w:rPr>
            </w:pPr>
          </w:p>
        </w:tc>
        <w:tc>
          <w:tcPr>
            <w:tcW w:w="1300" w:type="dxa"/>
            <w:vAlign w:val="bottom"/>
            <w:tcBorders>
              <w:bottom w:val="single" w:sz="8" w:color="EC252A"/>
            </w:tcBorders>
          </w:tcPr>
          <w:p>
            <w:pPr>
              <w:spacing w:after="0"/>
              <w:rPr>
                <w:sz w:val="2"/>
                <w:szCs w:val="2"/>
                <w:color w:val="auto"/>
              </w:rPr>
            </w:pPr>
          </w:p>
        </w:tc>
        <w:tc>
          <w:tcPr>
            <w:tcW w:w="1080" w:type="dxa"/>
            <w:vAlign w:val="bottom"/>
            <w:tcBorders>
              <w:bottom w:val="single" w:sz="8" w:color="EC252A"/>
            </w:tcBorders>
          </w:tcPr>
          <w:p>
            <w:pPr>
              <w:spacing w:after="0"/>
              <w:rPr>
                <w:sz w:val="2"/>
                <w:szCs w:val="2"/>
                <w:color w:val="auto"/>
              </w:rPr>
            </w:pPr>
          </w:p>
        </w:tc>
        <w:tc>
          <w:tcPr>
            <w:tcW w:w="1180" w:type="dxa"/>
            <w:vAlign w:val="bottom"/>
            <w:tcBorders>
              <w:bottom w:val="single" w:sz="8" w:color="EC252A"/>
            </w:tcBorders>
          </w:tcPr>
          <w:p>
            <w:pPr>
              <w:spacing w:after="0"/>
              <w:rPr>
                <w:sz w:val="2"/>
                <w:szCs w:val="2"/>
                <w:color w:val="auto"/>
              </w:rPr>
            </w:pPr>
          </w:p>
        </w:tc>
      </w:tr>
    </w:tbl>
    <w:p>
      <w:pPr>
        <w:spacing w:after="0" w:line="8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EPS means our “adjusted earnings per diluted share” as described in our 2021 year-end earnings release included with our Form 8-K filed on February 16, 2021. The amount is based on our GAAP earnings per diluted share, adjusted for amortization expense, certain restructuring costs and other non-recurring items detailed in the earnings release.</w:t>
      </w:r>
    </w:p>
    <w:p>
      <w:pPr>
        <w:spacing w:after="0" w:line="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Cash from operations means our “adjusted cash flow” based on our GAAP cash flow from operations, adjusted for certain restructuring costs and other non-recurring items detailed in our earnings release included with our Form 8-K filed on February 16, 2022.</w:t>
      </w:r>
    </w:p>
    <w:p>
      <w:pPr>
        <w:spacing w:after="0" w:line="61"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EBIT means our “adjusted earnings before interest and taxes” (as described in our 2021 year-end earnings release included with our Form 8-K filed on February 16, 2022. The amount is based on our GAAP income from operations, adjusted for amortization expense, certain restructuring costs and other non-recurring items detailed in the earnings release).</w:t>
      </w:r>
    </w:p>
    <w:p>
      <w:pPr>
        <w:spacing w:after="0" w:line="6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EBIT Margin means our “adjusted earnings before interest and taxes” (as described in our 2021 year-end earnings release included with our Form 8-K filed on February 16, 2022, with the amount being based on our GAAP income from operations, adjusted for amortization expense, certain restructuring costs and other non-recurring items detailed in the earnings release) divided by consolidated revenue.</w:t>
      </w:r>
    </w:p>
    <w:p>
      <w:pPr>
        <w:spacing w:after="0" w:line="6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Acquisition Goal represents the summation of the average of the purchase price and annualized revenue for each acquisition completed in 2021.</w:t>
      </w:r>
    </w:p>
    <w:p>
      <w:pPr>
        <w:spacing w:after="0" w:line="4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Tier 4 FL/Y &lt;2.5 is the weighted average calculating the number of times a Tier 4 locomotive is out of service or encounters an unscheduled maintenance service in a calendar year. &lt;2.5 calculates to a locomotive failing less than 2.5 times a year. For this purpose, a Tier 4 locomotive is a locomotive that meets the Environmental Protection Agency (EPA) emission level standard.</w:t>
      </w:r>
    </w:p>
    <w:p>
      <w:pPr>
        <w:spacing w:after="0" w:line="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Long-Term Incentive Compensation. </w:t>
      </w:r>
      <w:r>
        <w:rPr>
          <w:rFonts w:ascii="Arial" w:cs="Arial" w:eastAsia="Arial" w:hAnsi="Arial"/>
          <w:sz w:val="18"/>
          <w:szCs w:val="18"/>
          <w:color w:val="auto"/>
        </w:rPr>
        <w:t>Our Compensation Committee administers our long-term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through our 2011 Stock Incentive Plan, under which we grant stock options, restricted stock, restricted stock units and performance units.</w:t>
      </w:r>
    </w:p>
    <w:p>
      <w:pPr>
        <w:spacing w:after="0" w:line="61"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color w:val="auto"/>
        </w:rPr>
        <w:t>Our long-term incentive compensation program seeks to align the interests of our executives with our stockholders. We have typically granted stock options and restricted stock in February or March of the applicable year. We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58978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362" w:lineRule="exact"/>
        <w:rPr>
          <w:sz w:val="20"/>
          <w:szCs w:val="20"/>
          <w:color w:val="auto"/>
        </w:rPr>
      </w:pPr>
    </w:p>
    <w:p>
      <w:pPr>
        <w:spacing w:after="0"/>
        <w:tabs>
          <w:tab w:leader="none" w:pos="8980" w:val="left"/>
        </w:tabs>
        <w:rPr>
          <w:sz w:val="20"/>
          <w:szCs w:val="20"/>
          <w:color w:val="auto"/>
        </w:rPr>
      </w:pPr>
      <w:r>
        <w:rPr>
          <w:sz w:val="1"/>
          <w:szCs w:val="1"/>
          <w:color w:val="auto"/>
        </w:rPr>
        <w:drawing>
          <wp:inline distT="0" distB="0" distL="0" distR="0">
            <wp:extent cx="471170" cy="18034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1170" cy="180340"/>
                    </a:xfrm>
                    <a:prstGeom prst="rect">
                      <a:avLst/>
                    </a:prstGeom>
                    <a:noFill/>
                    <a:ln>
                      <a:noFill/>
                    </a:ln>
                  </pic:spPr>
                </pic:pic>
              </a:graphicData>
            </a:graphic>
          </wp:inline>
        </w:drawing>
      </w:r>
      <w:r>
        <w:rPr>
          <w:rFonts w:ascii="Arial" w:cs="Arial" w:eastAsia="Arial" w:hAnsi="Arial"/>
          <w:sz w:val="12"/>
          <w:szCs w:val="12"/>
          <w:color w:val="EC252A"/>
        </w:rPr>
        <w:t xml:space="preserve"> 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r>
        <w:rPr>
          <w:sz w:val="20"/>
          <w:szCs w:val="20"/>
          <w:color w:val="auto"/>
        </w:rPr>
        <w:tab/>
      </w:r>
      <w:r>
        <w:rPr>
          <w:rFonts w:ascii="Arial" w:cs="Arial" w:eastAsia="Arial" w:hAnsi="Arial"/>
          <w:sz w:val="24"/>
          <w:szCs w:val="24"/>
          <w:b w:val="1"/>
          <w:bCs w:val="1"/>
          <w:color w:val="auto"/>
          <w:vertAlign w:val="superscript"/>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111760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42" w:name="page43"/>
    <w:bookmarkEnd w:id="4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140"/>
        <w:spacing w:after="0"/>
        <w:rPr>
          <w:rFonts w:ascii="Arial" w:cs="Arial" w:eastAsia="Arial" w:hAnsi="Arial"/>
          <w:sz w:val="18"/>
          <w:szCs w:val="18"/>
          <w:color w:val="auto"/>
        </w:rPr>
      </w:pPr>
      <w:r>
        <w:rPr>
          <w:rFonts w:ascii="Arial" w:cs="Arial" w:eastAsia="Arial" w:hAnsi="Arial"/>
          <w:sz w:val="18"/>
          <w:szCs w:val="18"/>
          <w:color w:val="auto"/>
        </w:rPr>
        <w:t xml:space="preserve">awarded options to purchase our common stock to executive officers at the fair market value (average of the high and low price) of our common stock at the grant date. We have not re-priced or back-dated any option awards. The vesting schedule for each grant of options and restricted stock is determined by the Compensation Committee. In recent years, the Compensation Committee has provided that the awards generally will vest in annual equal installments over three years. In March 2021, we granted both restricted stock and stock options to all named executive officers as part of their long-term compensation with the Company (except for Mr. Olin who joined the Company in October 2021). The grant date fair value of those awards is reflected in the Summary Compensation Table on page </w:t>
      </w:r>
      <w:hyperlink w:anchor="page47">
        <w:r>
          <w:rPr>
            <w:rFonts w:ascii="Arial" w:cs="Arial" w:eastAsia="Arial" w:hAnsi="Arial"/>
            <w:sz w:val="18"/>
            <w:szCs w:val="18"/>
            <w:u w:val="single" w:color="auto"/>
            <w:color w:val="0000EE"/>
          </w:rPr>
          <w:t>42</w:t>
        </w:r>
      </w:hyperlink>
      <w:r>
        <w:rPr>
          <w:rFonts w:ascii="Arial" w:cs="Arial" w:eastAsia="Arial" w:hAnsi="Arial"/>
          <w:sz w:val="18"/>
          <w:szCs w:val="18"/>
          <w:color w:val="auto"/>
        </w:rPr>
        <w:t>.</w:t>
      </w:r>
    </w:p>
    <w:p>
      <w:pPr>
        <w:spacing w:after="0" w:line="7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Company also administers a rolling three-year long-term incentive program using performance units. A performance unit is equal to a share of Wabtec common stock. This program is designed to reward executives for meeting or exceeding pre-established, objective financial performance goals over a three-year performance period. The program is structured as a rolling three-year plan; each year starts a new three-year performance cycle with the most recently commenced cycle being 2022-2024.</w:t>
      </w:r>
    </w:p>
    <w:p>
      <w:pPr>
        <w:spacing w:after="0" w:line="6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For awards made for the 2019-2021 performance period, the awards are earned based on economic profit growth goals. Economic profit is a measure of the extent to which the Company produces financial results in excess of its cost of capital. Payouts range from 25% of target (for performance at 50% of target) to 200% of target (for performance at or above 150% of target). Specific Economic Profit Goals for the 2019 to 2021 plan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40" w:type="dxa"/>
            <w:vAlign w:val="bottom"/>
          </w:tcPr>
          <w:p>
            <w:pPr>
              <w:spacing w:after="0"/>
              <w:rPr>
                <w:sz w:val="19"/>
                <w:szCs w:val="19"/>
                <w:color w:val="auto"/>
              </w:rPr>
            </w:pPr>
          </w:p>
        </w:tc>
        <w:tc>
          <w:tcPr>
            <w:tcW w:w="3700" w:type="dxa"/>
            <w:vAlign w:val="bottom"/>
          </w:tcPr>
          <w:p>
            <w:pPr>
              <w:ind w:left="2680"/>
              <w:spacing w:after="0"/>
              <w:rPr>
                <w:sz w:val="20"/>
                <w:szCs w:val="20"/>
                <w:color w:val="auto"/>
              </w:rPr>
            </w:pPr>
            <w:r>
              <w:rPr>
                <w:rFonts w:ascii="Arial" w:cs="Arial" w:eastAsia="Arial" w:hAnsi="Arial"/>
                <w:sz w:val="16"/>
                <w:szCs w:val="16"/>
                <w:b w:val="1"/>
                <w:bCs w:val="1"/>
                <w:color w:val="EC252A"/>
              </w:rPr>
              <w:t>Minimum</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EC252A"/>
                <w:w w:val="98"/>
              </w:rPr>
              <w:t>Target</w:t>
            </w:r>
          </w:p>
        </w:tc>
        <w:tc>
          <w:tcPr>
            <w:tcW w:w="1100" w:type="dxa"/>
            <w:vAlign w:val="bottom"/>
          </w:tcPr>
          <w:p>
            <w:pPr>
              <w:ind w:left="300"/>
              <w:spacing w:after="0"/>
              <w:rPr>
                <w:sz w:val="20"/>
                <w:szCs w:val="20"/>
                <w:color w:val="auto"/>
              </w:rPr>
            </w:pPr>
            <w:r>
              <w:rPr>
                <w:rFonts w:ascii="Arial" w:cs="Arial" w:eastAsia="Arial" w:hAnsi="Arial"/>
                <w:sz w:val="16"/>
                <w:szCs w:val="16"/>
                <w:b w:val="1"/>
                <w:bCs w:val="1"/>
                <w:color w:val="EC252A"/>
              </w:rPr>
              <w:t>Maximum</w:t>
            </w:r>
          </w:p>
        </w:tc>
      </w:tr>
      <w:tr>
        <w:trPr>
          <w:trHeight w:val="62"/>
        </w:trPr>
        <w:tc>
          <w:tcPr>
            <w:tcW w:w="3140" w:type="dxa"/>
            <w:vAlign w:val="bottom"/>
            <w:tcBorders>
              <w:bottom w:val="single" w:sz="8" w:color="EC252A"/>
            </w:tcBorders>
          </w:tcPr>
          <w:p>
            <w:pPr>
              <w:spacing w:after="0"/>
              <w:rPr>
                <w:sz w:val="5"/>
                <w:szCs w:val="5"/>
                <w:color w:val="auto"/>
              </w:rPr>
            </w:pPr>
          </w:p>
        </w:tc>
        <w:tc>
          <w:tcPr>
            <w:tcW w:w="3700" w:type="dxa"/>
            <w:vAlign w:val="bottom"/>
            <w:tcBorders>
              <w:bottom w:val="single" w:sz="8" w:color="EC252A"/>
            </w:tcBorders>
          </w:tcPr>
          <w:p>
            <w:pPr>
              <w:spacing w:after="0"/>
              <w:rPr>
                <w:sz w:val="5"/>
                <w:szCs w:val="5"/>
                <w:color w:val="auto"/>
              </w:rPr>
            </w:pPr>
          </w:p>
        </w:tc>
        <w:tc>
          <w:tcPr>
            <w:tcW w:w="1340" w:type="dxa"/>
            <w:vAlign w:val="bottom"/>
            <w:tcBorders>
              <w:bottom w:val="single" w:sz="8" w:color="EC252A"/>
            </w:tcBorders>
          </w:tcPr>
          <w:p>
            <w:pPr>
              <w:spacing w:after="0"/>
              <w:rPr>
                <w:sz w:val="5"/>
                <w:szCs w:val="5"/>
                <w:color w:val="auto"/>
              </w:rPr>
            </w:pPr>
          </w:p>
        </w:tc>
        <w:tc>
          <w:tcPr>
            <w:tcW w:w="1100" w:type="dxa"/>
            <w:vAlign w:val="bottom"/>
            <w:tcBorders>
              <w:bottom w:val="single" w:sz="8" w:color="EC252A"/>
            </w:tcBorders>
          </w:tcPr>
          <w:p>
            <w:pPr>
              <w:spacing w:after="0"/>
              <w:rPr>
                <w:sz w:val="5"/>
                <w:szCs w:val="5"/>
                <w:color w:val="auto"/>
              </w:rPr>
            </w:pPr>
          </w:p>
        </w:tc>
      </w:tr>
      <w:tr>
        <w:trPr>
          <w:trHeight w:val="295"/>
        </w:trPr>
        <w:tc>
          <w:tcPr>
            <w:tcW w:w="3140" w:type="dxa"/>
            <w:vAlign w:val="bottom"/>
          </w:tcPr>
          <w:p>
            <w:pPr>
              <w:ind w:left="60"/>
              <w:spacing w:after="0"/>
              <w:rPr>
                <w:sz w:val="20"/>
                <w:szCs w:val="20"/>
                <w:color w:val="auto"/>
              </w:rPr>
            </w:pPr>
            <w:r>
              <w:rPr>
                <w:rFonts w:ascii="Arial" w:cs="Arial" w:eastAsia="Arial" w:hAnsi="Arial"/>
                <w:sz w:val="18"/>
                <w:szCs w:val="18"/>
                <w:color w:val="auto"/>
              </w:rPr>
              <w:t>2019</w:t>
            </w:r>
          </w:p>
        </w:tc>
        <w:tc>
          <w:tcPr>
            <w:tcW w:w="3700" w:type="dxa"/>
            <w:vAlign w:val="bottom"/>
          </w:tcPr>
          <w:p>
            <w:pPr>
              <w:ind w:left="2660"/>
              <w:spacing w:after="0"/>
              <w:rPr>
                <w:sz w:val="20"/>
                <w:szCs w:val="20"/>
                <w:color w:val="auto"/>
              </w:rPr>
            </w:pPr>
            <w:r>
              <w:rPr>
                <w:rFonts w:ascii="Arial" w:cs="Arial" w:eastAsia="Arial" w:hAnsi="Arial"/>
                <w:sz w:val="18"/>
                <w:szCs w:val="18"/>
                <w:color w:val="auto"/>
              </w:rPr>
              <w:t>$121,698</w:t>
            </w:r>
          </w:p>
        </w:tc>
        <w:tc>
          <w:tcPr>
            <w:tcW w:w="1340" w:type="dxa"/>
            <w:vAlign w:val="bottom"/>
          </w:tcPr>
          <w:p>
            <w:pPr>
              <w:jc w:val="center"/>
              <w:spacing w:after="0"/>
              <w:rPr>
                <w:sz w:val="20"/>
                <w:szCs w:val="20"/>
                <w:color w:val="auto"/>
              </w:rPr>
            </w:pPr>
            <w:r>
              <w:rPr>
                <w:rFonts w:ascii="Arial" w:cs="Arial" w:eastAsia="Arial" w:hAnsi="Arial"/>
                <w:sz w:val="18"/>
                <w:szCs w:val="18"/>
                <w:color w:val="auto"/>
              </w:rPr>
              <w:t>$243,397</w:t>
            </w:r>
          </w:p>
        </w:tc>
        <w:tc>
          <w:tcPr>
            <w:tcW w:w="1100" w:type="dxa"/>
            <w:vAlign w:val="bottom"/>
          </w:tcPr>
          <w:p>
            <w:pPr>
              <w:ind w:left="280"/>
              <w:spacing w:after="0"/>
              <w:rPr>
                <w:sz w:val="20"/>
                <w:szCs w:val="20"/>
                <w:color w:val="auto"/>
              </w:rPr>
            </w:pPr>
            <w:r>
              <w:rPr>
                <w:rFonts w:ascii="Arial" w:cs="Arial" w:eastAsia="Arial" w:hAnsi="Arial"/>
                <w:sz w:val="18"/>
                <w:szCs w:val="18"/>
                <w:color w:val="auto"/>
              </w:rPr>
              <w:t>$365,095</w:t>
            </w:r>
          </w:p>
        </w:tc>
      </w:tr>
      <w:tr>
        <w:trPr>
          <w:trHeight w:val="50"/>
        </w:trPr>
        <w:tc>
          <w:tcPr>
            <w:tcW w:w="31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318"/>
        </w:trPr>
        <w:tc>
          <w:tcPr>
            <w:tcW w:w="3140" w:type="dxa"/>
            <w:vAlign w:val="bottom"/>
            <w:tcBorders>
              <w:bottom w:val="single" w:sz="8" w:color="FCD3C3"/>
            </w:tcBorders>
            <w:shd w:val="clear" w:color="auto" w:fill="FCD3C3"/>
          </w:tcPr>
          <w:p>
            <w:pPr>
              <w:ind w:left="60"/>
              <w:spacing w:after="0"/>
              <w:rPr>
                <w:sz w:val="20"/>
                <w:szCs w:val="20"/>
                <w:color w:val="auto"/>
              </w:rPr>
            </w:pPr>
            <w:r>
              <w:rPr>
                <w:rFonts w:ascii="Arial" w:cs="Arial" w:eastAsia="Arial" w:hAnsi="Arial"/>
                <w:sz w:val="18"/>
                <w:szCs w:val="18"/>
                <w:color w:val="auto"/>
              </w:rPr>
              <w:t>2020</w:t>
            </w:r>
          </w:p>
        </w:tc>
        <w:tc>
          <w:tcPr>
            <w:tcW w:w="3700" w:type="dxa"/>
            <w:vAlign w:val="bottom"/>
            <w:tcBorders>
              <w:bottom w:val="single" w:sz="8" w:color="FCD3C3"/>
            </w:tcBorders>
            <w:shd w:val="clear" w:color="auto" w:fill="FCD3C3"/>
          </w:tcPr>
          <w:p>
            <w:pPr>
              <w:ind w:left="2660"/>
              <w:spacing w:after="0"/>
              <w:rPr>
                <w:sz w:val="20"/>
                <w:szCs w:val="20"/>
                <w:color w:val="auto"/>
              </w:rPr>
            </w:pPr>
            <w:r>
              <w:rPr>
                <w:rFonts w:ascii="Arial" w:cs="Arial" w:eastAsia="Arial" w:hAnsi="Arial"/>
                <w:sz w:val="18"/>
                <w:szCs w:val="18"/>
                <w:color w:val="auto"/>
              </w:rPr>
              <w:t>$ 50,128</w:t>
            </w:r>
          </w:p>
        </w:tc>
        <w:tc>
          <w:tcPr>
            <w:tcW w:w="1340" w:type="dxa"/>
            <w:vAlign w:val="bottom"/>
            <w:tcBorders>
              <w:bottom w:val="single" w:sz="8" w:color="FCD3C3"/>
            </w:tcBorders>
            <w:shd w:val="clear" w:color="auto" w:fill="FCD3C3"/>
          </w:tcPr>
          <w:p>
            <w:pPr>
              <w:jc w:val="center"/>
              <w:spacing w:after="0"/>
              <w:rPr>
                <w:sz w:val="20"/>
                <w:szCs w:val="20"/>
                <w:color w:val="auto"/>
              </w:rPr>
            </w:pPr>
            <w:r>
              <w:rPr>
                <w:rFonts w:ascii="Arial" w:cs="Arial" w:eastAsia="Arial" w:hAnsi="Arial"/>
                <w:sz w:val="18"/>
                <w:szCs w:val="18"/>
                <w:color w:val="auto"/>
              </w:rPr>
              <w:t>$100,257</w:t>
            </w:r>
          </w:p>
        </w:tc>
        <w:tc>
          <w:tcPr>
            <w:tcW w:w="1100" w:type="dxa"/>
            <w:vAlign w:val="bottom"/>
            <w:tcBorders>
              <w:bottom w:val="single" w:sz="8" w:color="FCD3C3"/>
            </w:tcBorders>
            <w:shd w:val="clear" w:color="auto" w:fill="FCD3C3"/>
          </w:tcPr>
          <w:p>
            <w:pPr>
              <w:ind w:left="280"/>
              <w:spacing w:after="0"/>
              <w:rPr>
                <w:sz w:val="20"/>
                <w:szCs w:val="20"/>
                <w:color w:val="auto"/>
              </w:rPr>
            </w:pPr>
            <w:r>
              <w:rPr>
                <w:rFonts w:ascii="Arial" w:cs="Arial" w:eastAsia="Arial" w:hAnsi="Arial"/>
                <w:sz w:val="18"/>
                <w:szCs w:val="18"/>
                <w:color w:val="auto"/>
              </w:rPr>
              <w:t>$150,385</w:t>
            </w:r>
          </w:p>
        </w:tc>
      </w:tr>
      <w:tr>
        <w:trPr>
          <w:trHeight w:val="288"/>
        </w:trPr>
        <w:tc>
          <w:tcPr>
            <w:tcW w:w="3140" w:type="dxa"/>
            <w:vAlign w:val="bottom"/>
          </w:tcPr>
          <w:p>
            <w:pPr>
              <w:ind w:left="60"/>
              <w:spacing w:after="0"/>
              <w:rPr>
                <w:sz w:val="20"/>
                <w:szCs w:val="20"/>
                <w:color w:val="auto"/>
              </w:rPr>
            </w:pPr>
            <w:r>
              <w:rPr>
                <w:rFonts w:ascii="Arial" w:cs="Arial" w:eastAsia="Arial" w:hAnsi="Arial"/>
                <w:sz w:val="18"/>
                <w:szCs w:val="18"/>
                <w:color w:val="auto"/>
              </w:rPr>
              <w:t>2021</w:t>
            </w:r>
          </w:p>
        </w:tc>
        <w:tc>
          <w:tcPr>
            <w:tcW w:w="3700" w:type="dxa"/>
            <w:vAlign w:val="bottom"/>
          </w:tcPr>
          <w:p>
            <w:pPr>
              <w:ind w:left="2660"/>
              <w:spacing w:after="0"/>
              <w:rPr>
                <w:sz w:val="20"/>
                <w:szCs w:val="20"/>
                <w:color w:val="auto"/>
              </w:rPr>
            </w:pPr>
            <w:r>
              <w:rPr>
                <w:rFonts w:ascii="Arial" w:cs="Arial" w:eastAsia="Arial" w:hAnsi="Arial"/>
                <w:sz w:val="18"/>
                <w:szCs w:val="18"/>
                <w:color w:val="auto"/>
              </w:rPr>
              <w:t>$ 76,701</w:t>
            </w:r>
          </w:p>
        </w:tc>
        <w:tc>
          <w:tcPr>
            <w:tcW w:w="1340" w:type="dxa"/>
            <w:vAlign w:val="bottom"/>
          </w:tcPr>
          <w:p>
            <w:pPr>
              <w:jc w:val="center"/>
              <w:spacing w:after="0"/>
              <w:rPr>
                <w:sz w:val="20"/>
                <w:szCs w:val="20"/>
                <w:color w:val="auto"/>
              </w:rPr>
            </w:pPr>
            <w:r>
              <w:rPr>
                <w:rFonts w:ascii="Arial" w:cs="Arial" w:eastAsia="Arial" w:hAnsi="Arial"/>
                <w:sz w:val="18"/>
                <w:szCs w:val="18"/>
                <w:color w:val="auto"/>
              </w:rPr>
              <w:t>$153,402</w:t>
            </w:r>
          </w:p>
        </w:tc>
        <w:tc>
          <w:tcPr>
            <w:tcW w:w="1100" w:type="dxa"/>
            <w:vAlign w:val="bottom"/>
          </w:tcPr>
          <w:p>
            <w:pPr>
              <w:ind w:left="280"/>
              <w:spacing w:after="0"/>
              <w:rPr>
                <w:sz w:val="20"/>
                <w:szCs w:val="20"/>
                <w:color w:val="auto"/>
              </w:rPr>
            </w:pPr>
            <w:r>
              <w:rPr>
                <w:rFonts w:ascii="Arial" w:cs="Arial" w:eastAsia="Arial" w:hAnsi="Arial"/>
                <w:sz w:val="18"/>
                <w:szCs w:val="18"/>
                <w:color w:val="auto"/>
              </w:rPr>
              <w:t>$230,103</w:t>
            </w:r>
          </w:p>
        </w:tc>
      </w:tr>
      <w:tr>
        <w:trPr>
          <w:trHeight w:val="50"/>
        </w:trPr>
        <w:tc>
          <w:tcPr>
            <w:tcW w:w="31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304"/>
        </w:trPr>
        <w:tc>
          <w:tcPr>
            <w:tcW w:w="3140" w:type="dxa"/>
            <w:vAlign w:val="bottom"/>
            <w:tcBorders>
              <w:bottom w:val="single" w:sz="8" w:color="FCD3C3"/>
            </w:tcBorders>
            <w:shd w:val="clear" w:color="auto" w:fill="FCD3C3"/>
          </w:tcPr>
          <w:p>
            <w:pPr>
              <w:ind w:left="60"/>
              <w:spacing w:after="0"/>
              <w:rPr>
                <w:sz w:val="20"/>
                <w:szCs w:val="20"/>
                <w:color w:val="auto"/>
              </w:rPr>
            </w:pPr>
            <w:r>
              <w:rPr>
                <w:rFonts w:ascii="Arial" w:cs="Arial" w:eastAsia="Arial" w:hAnsi="Arial"/>
                <w:sz w:val="18"/>
                <w:szCs w:val="18"/>
                <w:color w:val="auto"/>
              </w:rPr>
              <w:t>Total</w:t>
            </w:r>
          </w:p>
        </w:tc>
        <w:tc>
          <w:tcPr>
            <w:tcW w:w="3700" w:type="dxa"/>
            <w:vAlign w:val="bottom"/>
            <w:tcBorders>
              <w:bottom w:val="single" w:sz="8" w:color="FCD3C3"/>
            </w:tcBorders>
            <w:shd w:val="clear" w:color="auto" w:fill="FCD3C3"/>
          </w:tcPr>
          <w:p>
            <w:pPr>
              <w:ind w:left="2660"/>
              <w:spacing w:after="0"/>
              <w:rPr>
                <w:sz w:val="20"/>
                <w:szCs w:val="20"/>
                <w:color w:val="auto"/>
              </w:rPr>
            </w:pPr>
            <w:r>
              <w:rPr>
                <w:rFonts w:ascii="Arial" w:cs="Arial" w:eastAsia="Arial" w:hAnsi="Arial"/>
                <w:sz w:val="18"/>
                <w:szCs w:val="18"/>
                <w:color w:val="auto"/>
              </w:rPr>
              <w:t>$248,527</w:t>
            </w:r>
          </w:p>
        </w:tc>
        <w:tc>
          <w:tcPr>
            <w:tcW w:w="1340" w:type="dxa"/>
            <w:vAlign w:val="bottom"/>
            <w:tcBorders>
              <w:bottom w:val="single" w:sz="8" w:color="FCD3C3"/>
            </w:tcBorders>
            <w:shd w:val="clear" w:color="auto" w:fill="FCD3C3"/>
          </w:tcPr>
          <w:p>
            <w:pPr>
              <w:jc w:val="center"/>
              <w:spacing w:after="0"/>
              <w:rPr>
                <w:sz w:val="20"/>
                <w:szCs w:val="20"/>
                <w:color w:val="auto"/>
              </w:rPr>
            </w:pPr>
            <w:r>
              <w:rPr>
                <w:rFonts w:ascii="Arial" w:cs="Arial" w:eastAsia="Arial" w:hAnsi="Arial"/>
                <w:sz w:val="18"/>
                <w:szCs w:val="18"/>
                <w:color w:val="auto"/>
              </w:rPr>
              <w:t>$497,056</w:t>
            </w:r>
          </w:p>
        </w:tc>
        <w:tc>
          <w:tcPr>
            <w:tcW w:w="1100" w:type="dxa"/>
            <w:vAlign w:val="bottom"/>
            <w:tcBorders>
              <w:bottom w:val="single" w:sz="8" w:color="FCD3C3"/>
            </w:tcBorders>
            <w:shd w:val="clear" w:color="auto" w:fill="FCD3C3"/>
          </w:tcPr>
          <w:p>
            <w:pPr>
              <w:ind w:left="280"/>
              <w:spacing w:after="0"/>
              <w:rPr>
                <w:sz w:val="20"/>
                <w:szCs w:val="20"/>
                <w:color w:val="auto"/>
              </w:rPr>
            </w:pPr>
            <w:r>
              <w:rPr>
                <w:rFonts w:ascii="Arial" w:cs="Arial" w:eastAsia="Arial" w:hAnsi="Arial"/>
                <w:sz w:val="18"/>
                <w:szCs w:val="18"/>
                <w:color w:val="auto"/>
              </w:rPr>
              <w:t>$745,583</w:t>
            </w:r>
          </w:p>
        </w:tc>
      </w:tr>
      <w:tr>
        <w:trPr>
          <w:trHeight w:val="20"/>
        </w:trPr>
        <w:tc>
          <w:tcPr>
            <w:tcW w:w="3140" w:type="dxa"/>
            <w:vAlign w:val="bottom"/>
            <w:shd w:val="clear" w:color="auto" w:fill="EC252A"/>
          </w:tcPr>
          <w:p>
            <w:pPr>
              <w:spacing w:after="0" w:line="20" w:lineRule="exact"/>
              <w:rPr>
                <w:sz w:val="1"/>
                <w:szCs w:val="1"/>
                <w:color w:val="auto"/>
              </w:rPr>
            </w:pPr>
          </w:p>
        </w:tc>
        <w:tc>
          <w:tcPr>
            <w:tcW w:w="3700" w:type="dxa"/>
            <w:vAlign w:val="bottom"/>
            <w:shd w:val="clear" w:color="auto" w:fill="EC252A"/>
          </w:tcPr>
          <w:p>
            <w:pPr>
              <w:spacing w:after="0" w:line="20" w:lineRule="exact"/>
              <w:rPr>
                <w:sz w:val="1"/>
                <w:szCs w:val="1"/>
                <w:color w:val="auto"/>
              </w:rPr>
            </w:pPr>
          </w:p>
        </w:tc>
        <w:tc>
          <w:tcPr>
            <w:tcW w:w="1340" w:type="dxa"/>
            <w:vAlign w:val="bottom"/>
            <w:shd w:val="clear" w:color="auto" w:fill="EC252A"/>
          </w:tcPr>
          <w:p>
            <w:pPr>
              <w:spacing w:after="0" w:line="20" w:lineRule="exact"/>
              <w:rPr>
                <w:sz w:val="1"/>
                <w:szCs w:val="1"/>
                <w:color w:val="auto"/>
              </w:rPr>
            </w:pPr>
          </w:p>
        </w:tc>
        <w:tc>
          <w:tcPr>
            <w:tcW w:w="1100" w:type="dxa"/>
            <w:vAlign w:val="bottom"/>
            <w:shd w:val="clear" w:color="auto" w:fill="EC252A"/>
          </w:tcPr>
          <w:p>
            <w:pPr>
              <w:spacing w:after="0" w:line="20" w:lineRule="exact"/>
              <w:rPr>
                <w:sz w:val="1"/>
                <w:szCs w:val="1"/>
                <w:color w:val="auto"/>
              </w:rPr>
            </w:pPr>
          </w:p>
        </w:tc>
      </w:tr>
    </w:tbl>
    <w:p>
      <w:pPr>
        <w:spacing w:after="0" w:line="8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While the award was originally intended to measure Economic Profit over a cumulative three-year period, the Compensation Committee decided in 2021 to split the performance periods into three one-year periods (2019, 2020 and 2021) and then take the average payout percentage of the three single periods. This approach allowed the Compensation Committee to recognize strong performance in 2019 prior to COVID, which included the efforts of new participants in the plan who formerly worked for GE Transportation, without having to adjust the target performance goals. Based on this approach the actual payout was 33.0%.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60" w:type="dxa"/>
            <w:vAlign w:val="bottom"/>
          </w:tcPr>
          <w:p>
            <w:pPr>
              <w:spacing w:after="0"/>
              <w:rPr>
                <w:sz w:val="19"/>
                <w:szCs w:val="19"/>
                <w:color w:val="auto"/>
              </w:rPr>
            </w:pPr>
          </w:p>
        </w:tc>
        <w:tc>
          <w:tcPr>
            <w:tcW w:w="2400" w:type="dxa"/>
            <w:vAlign w:val="bottom"/>
            <w:gridSpan w:val="2"/>
          </w:tcPr>
          <w:p>
            <w:pPr>
              <w:ind w:left="1520"/>
              <w:spacing w:after="0"/>
              <w:rPr>
                <w:sz w:val="20"/>
                <w:szCs w:val="20"/>
                <w:color w:val="auto"/>
              </w:rPr>
            </w:pPr>
            <w:r>
              <w:rPr>
                <w:rFonts w:ascii="Arial" w:cs="Arial" w:eastAsia="Arial" w:hAnsi="Arial"/>
                <w:sz w:val="16"/>
                <w:szCs w:val="16"/>
                <w:b w:val="1"/>
                <w:bCs w:val="1"/>
                <w:color w:val="EC252A"/>
              </w:rPr>
              <w:t>Minimum</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EC252A"/>
              </w:rPr>
              <w:t>Target</w:t>
            </w:r>
          </w:p>
        </w:tc>
        <w:tc>
          <w:tcPr>
            <w:tcW w:w="1040" w:type="dxa"/>
            <w:vAlign w:val="bottom"/>
          </w:tcPr>
          <w:p>
            <w:pPr>
              <w:ind w:left="140"/>
              <w:spacing w:after="0"/>
              <w:rPr>
                <w:sz w:val="20"/>
                <w:szCs w:val="20"/>
                <w:color w:val="auto"/>
              </w:rPr>
            </w:pPr>
            <w:r>
              <w:rPr>
                <w:rFonts w:ascii="Arial" w:cs="Arial" w:eastAsia="Arial" w:hAnsi="Arial"/>
                <w:sz w:val="16"/>
                <w:szCs w:val="16"/>
                <w:b w:val="1"/>
                <w:bCs w:val="1"/>
                <w:color w:val="EC252A"/>
              </w:rPr>
              <w:t>Maximum</w:t>
            </w:r>
          </w:p>
        </w:tc>
        <w:tc>
          <w:tcPr>
            <w:tcW w:w="1180" w:type="dxa"/>
            <w:vAlign w:val="bottom"/>
          </w:tcPr>
          <w:p>
            <w:pPr>
              <w:ind w:left="340"/>
              <w:spacing w:after="0"/>
              <w:rPr>
                <w:sz w:val="20"/>
                <w:szCs w:val="20"/>
                <w:color w:val="auto"/>
              </w:rPr>
            </w:pPr>
            <w:r>
              <w:rPr>
                <w:rFonts w:ascii="Arial" w:cs="Arial" w:eastAsia="Arial" w:hAnsi="Arial"/>
                <w:sz w:val="16"/>
                <w:szCs w:val="16"/>
                <w:b w:val="1"/>
                <w:bCs w:val="1"/>
                <w:color w:val="EC252A"/>
              </w:rPr>
              <w:t>Actual</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EC252A"/>
              </w:rPr>
              <w:t>Payout %</w:t>
            </w:r>
          </w:p>
        </w:tc>
      </w:tr>
      <w:tr>
        <w:trPr>
          <w:trHeight w:val="61"/>
        </w:trPr>
        <w:tc>
          <w:tcPr>
            <w:tcW w:w="2660" w:type="dxa"/>
            <w:vAlign w:val="bottom"/>
            <w:tcBorders>
              <w:bottom w:val="single" w:sz="8" w:color="EC252A"/>
            </w:tcBorders>
          </w:tcPr>
          <w:p>
            <w:pPr>
              <w:spacing w:after="0"/>
              <w:rPr>
                <w:sz w:val="5"/>
                <w:szCs w:val="5"/>
                <w:color w:val="auto"/>
              </w:rPr>
            </w:pPr>
          </w:p>
        </w:tc>
        <w:tc>
          <w:tcPr>
            <w:tcW w:w="1600" w:type="dxa"/>
            <w:vAlign w:val="bottom"/>
            <w:tcBorders>
              <w:bottom w:val="single" w:sz="8" w:color="EC252A"/>
            </w:tcBorders>
          </w:tcPr>
          <w:p>
            <w:pPr>
              <w:spacing w:after="0"/>
              <w:rPr>
                <w:sz w:val="5"/>
                <w:szCs w:val="5"/>
                <w:color w:val="auto"/>
              </w:rPr>
            </w:pPr>
          </w:p>
        </w:tc>
        <w:tc>
          <w:tcPr>
            <w:tcW w:w="800" w:type="dxa"/>
            <w:vAlign w:val="bottom"/>
            <w:tcBorders>
              <w:bottom w:val="single" w:sz="8" w:color="EC252A"/>
            </w:tcBorders>
          </w:tcPr>
          <w:p>
            <w:pPr>
              <w:spacing w:after="0"/>
              <w:rPr>
                <w:sz w:val="5"/>
                <w:szCs w:val="5"/>
                <w:color w:val="auto"/>
              </w:rPr>
            </w:pPr>
          </w:p>
        </w:tc>
        <w:tc>
          <w:tcPr>
            <w:tcW w:w="1060" w:type="dxa"/>
            <w:vAlign w:val="bottom"/>
            <w:tcBorders>
              <w:bottom w:val="single" w:sz="8" w:color="EC252A"/>
            </w:tcBorders>
          </w:tcPr>
          <w:p>
            <w:pPr>
              <w:spacing w:after="0"/>
              <w:rPr>
                <w:sz w:val="5"/>
                <w:szCs w:val="5"/>
                <w:color w:val="auto"/>
              </w:rPr>
            </w:pPr>
          </w:p>
        </w:tc>
        <w:tc>
          <w:tcPr>
            <w:tcW w:w="1040" w:type="dxa"/>
            <w:vAlign w:val="bottom"/>
            <w:tcBorders>
              <w:bottom w:val="single" w:sz="8" w:color="EC252A"/>
            </w:tcBorders>
          </w:tcPr>
          <w:p>
            <w:pPr>
              <w:spacing w:after="0"/>
              <w:rPr>
                <w:sz w:val="5"/>
                <w:szCs w:val="5"/>
                <w:color w:val="auto"/>
              </w:rPr>
            </w:pPr>
          </w:p>
        </w:tc>
        <w:tc>
          <w:tcPr>
            <w:tcW w:w="1180" w:type="dxa"/>
            <w:vAlign w:val="bottom"/>
            <w:tcBorders>
              <w:bottom w:val="single" w:sz="8" w:color="EC252A"/>
            </w:tcBorders>
          </w:tcPr>
          <w:p>
            <w:pPr>
              <w:spacing w:after="0"/>
              <w:rPr>
                <w:sz w:val="5"/>
                <w:szCs w:val="5"/>
                <w:color w:val="auto"/>
              </w:rPr>
            </w:pPr>
          </w:p>
        </w:tc>
        <w:tc>
          <w:tcPr>
            <w:tcW w:w="660" w:type="dxa"/>
            <w:vAlign w:val="bottom"/>
            <w:tcBorders>
              <w:bottom w:val="single" w:sz="8" w:color="EC252A"/>
            </w:tcBorders>
          </w:tcPr>
          <w:p>
            <w:pPr>
              <w:spacing w:after="0"/>
              <w:rPr>
                <w:sz w:val="5"/>
                <w:szCs w:val="5"/>
                <w:color w:val="auto"/>
              </w:rPr>
            </w:pPr>
          </w:p>
        </w:tc>
        <w:tc>
          <w:tcPr>
            <w:tcW w:w="280" w:type="dxa"/>
            <w:vAlign w:val="bottom"/>
            <w:tcBorders>
              <w:bottom w:val="single" w:sz="8" w:color="EC252A"/>
            </w:tcBorders>
          </w:tcPr>
          <w:p>
            <w:pPr>
              <w:spacing w:after="0"/>
              <w:rPr>
                <w:sz w:val="5"/>
                <w:szCs w:val="5"/>
                <w:color w:val="auto"/>
              </w:rPr>
            </w:pPr>
          </w:p>
        </w:tc>
      </w:tr>
      <w:tr>
        <w:trPr>
          <w:trHeight w:val="295"/>
        </w:trPr>
        <w:tc>
          <w:tcPr>
            <w:tcW w:w="2660" w:type="dxa"/>
            <w:vAlign w:val="bottom"/>
          </w:tcPr>
          <w:p>
            <w:pPr>
              <w:ind w:left="60"/>
              <w:spacing w:after="0"/>
              <w:rPr>
                <w:sz w:val="20"/>
                <w:szCs w:val="20"/>
                <w:color w:val="auto"/>
              </w:rPr>
            </w:pPr>
            <w:r>
              <w:rPr>
                <w:rFonts w:ascii="Arial" w:cs="Arial" w:eastAsia="Arial" w:hAnsi="Arial"/>
                <w:sz w:val="18"/>
                <w:szCs w:val="18"/>
                <w:color w:val="auto"/>
              </w:rPr>
              <w:t>2019</w:t>
            </w:r>
          </w:p>
        </w:tc>
        <w:tc>
          <w:tcPr>
            <w:tcW w:w="1600" w:type="dxa"/>
            <w:vAlign w:val="bottom"/>
          </w:tcPr>
          <w:p>
            <w:pPr>
              <w:ind w:left="15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121,698</w:t>
            </w: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$243,397</w:t>
            </w:r>
          </w:p>
        </w:tc>
        <w:tc>
          <w:tcPr>
            <w:tcW w:w="1040" w:type="dxa"/>
            <w:vAlign w:val="bottom"/>
          </w:tcPr>
          <w:p>
            <w:pPr>
              <w:ind w:left="140"/>
              <w:spacing w:after="0"/>
              <w:rPr>
                <w:sz w:val="20"/>
                <w:szCs w:val="20"/>
                <w:color w:val="auto"/>
              </w:rPr>
            </w:pPr>
            <w:r>
              <w:rPr>
                <w:rFonts w:ascii="Arial" w:cs="Arial" w:eastAsia="Arial" w:hAnsi="Arial"/>
                <w:sz w:val="18"/>
                <w:szCs w:val="18"/>
                <w:color w:val="auto"/>
              </w:rPr>
              <w:t>$365,095</w:t>
            </w:r>
          </w:p>
        </w:tc>
        <w:tc>
          <w:tcPr>
            <w:tcW w:w="1180" w:type="dxa"/>
            <w:vAlign w:val="bottom"/>
          </w:tcPr>
          <w:p>
            <w:pPr>
              <w:ind w:left="160"/>
              <w:spacing w:after="0"/>
              <w:rPr>
                <w:sz w:val="20"/>
                <w:szCs w:val="20"/>
                <w:color w:val="auto"/>
              </w:rPr>
            </w:pPr>
            <w:r>
              <w:rPr>
                <w:rFonts w:ascii="Arial" w:cs="Arial" w:eastAsia="Arial" w:hAnsi="Arial"/>
                <w:sz w:val="18"/>
                <w:szCs w:val="18"/>
                <w:color w:val="auto"/>
              </w:rPr>
              <w:t>$243,497</w:t>
            </w: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
        </w:trPr>
        <w:tc>
          <w:tcPr>
            <w:tcW w:w="26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18"/>
        </w:trPr>
        <w:tc>
          <w:tcPr>
            <w:tcW w:w="2660" w:type="dxa"/>
            <w:vAlign w:val="bottom"/>
            <w:tcBorders>
              <w:bottom w:val="single" w:sz="8" w:color="FCD3C3"/>
            </w:tcBorders>
            <w:shd w:val="clear" w:color="auto" w:fill="FCD3C3"/>
          </w:tcPr>
          <w:p>
            <w:pPr>
              <w:ind w:left="60"/>
              <w:spacing w:after="0"/>
              <w:rPr>
                <w:sz w:val="20"/>
                <w:szCs w:val="20"/>
                <w:color w:val="auto"/>
              </w:rPr>
            </w:pPr>
            <w:r>
              <w:rPr>
                <w:rFonts w:ascii="Arial" w:cs="Arial" w:eastAsia="Arial" w:hAnsi="Arial"/>
                <w:sz w:val="18"/>
                <w:szCs w:val="18"/>
                <w:color w:val="auto"/>
              </w:rPr>
              <w:t>2020</w:t>
            </w:r>
          </w:p>
        </w:tc>
        <w:tc>
          <w:tcPr>
            <w:tcW w:w="1600" w:type="dxa"/>
            <w:vAlign w:val="bottom"/>
            <w:tcBorders>
              <w:bottom w:val="single" w:sz="8" w:color="FCD3C3"/>
            </w:tcBorders>
            <w:shd w:val="clear" w:color="auto" w:fill="FCD3C3"/>
          </w:tcPr>
          <w:p>
            <w:pPr>
              <w:ind w:left="150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FCD3C3"/>
            </w:tcBorders>
            <w:shd w:val="clear" w:color="auto" w:fill="FCD3C3"/>
          </w:tcPr>
          <w:p>
            <w:pPr>
              <w:jc w:val="right"/>
              <w:ind w:right="70"/>
              <w:spacing w:after="0"/>
              <w:rPr>
                <w:sz w:val="20"/>
                <w:szCs w:val="20"/>
                <w:color w:val="auto"/>
              </w:rPr>
            </w:pPr>
            <w:r>
              <w:rPr>
                <w:rFonts w:ascii="Arial" w:cs="Arial" w:eastAsia="Arial" w:hAnsi="Arial"/>
                <w:sz w:val="18"/>
                <w:szCs w:val="18"/>
                <w:color w:val="auto"/>
              </w:rPr>
              <w:t>50,128</w:t>
            </w:r>
          </w:p>
        </w:tc>
        <w:tc>
          <w:tcPr>
            <w:tcW w:w="1060" w:type="dxa"/>
            <w:vAlign w:val="bottom"/>
            <w:tcBorders>
              <w:bottom w:val="single" w:sz="8" w:color="FCD3C3"/>
            </w:tcBorders>
            <w:shd w:val="clear" w:color="auto" w:fill="FCD3C3"/>
          </w:tcPr>
          <w:p>
            <w:pPr>
              <w:jc w:val="center"/>
              <w:spacing w:after="0"/>
              <w:rPr>
                <w:sz w:val="20"/>
                <w:szCs w:val="20"/>
                <w:color w:val="auto"/>
              </w:rPr>
            </w:pPr>
            <w:r>
              <w:rPr>
                <w:rFonts w:ascii="Arial" w:cs="Arial" w:eastAsia="Arial" w:hAnsi="Arial"/>
                <w:sz w:val="18"/>
                <w:szCs w:val="18"/>
                <w:color w:val="auto"/>
                <w:w w:val="98"/>
              </w:rPr>
              <w:t>$100,257</w:t>
            </w:r>
          </w:p>
        </w:tc>
        <w:tc>
          <w:tcPr>
            <w:tcW w:w="1040" w:type="dxa"/>
            <w:vAlign w:val="bottom"/>
            <w:tcBorders>
              <w:bottom w:val="single" w:sz="8" w:color="FCD3C3"/>
            </w:tcBorders>
            <w:shd w:val="clear" w:color="auto" w:fill="FCD3C3"/>
          </w:tcPr>
          <w:p>
            <w:pPr>
              <w:ind w:left="140"/>
              <w:spacing w:after="0"/>
              <w:rPr>
                <w:sz w:val="20"/>
                <w:szCs w:val="20"/>
                <w:color w:val="auto"/>
              </w:rPr>
            </w:pPr>
            <w:r>
              <w:rPr>
                <w:rFonts w:ascii="Arial" w:cs="Arial" w:eastAsia="Arial" w:hAnsi="Arial"/>
                <w:sz w:val="18"/>
                <w:szCs w:val="18"/>
                <w:color w:val="auto"/>
              </w:rPr>
              <w:t>$150,385</w:t>
            </w:r>
          </w:p>
        </w:tc>
        <w:tc>
          <w:tcPr>
            <w:tcW w:w="1180" w:type="dxa"/>
            <w:vAlign w:val="bottom"/>
            <w:tcBorders>
              <w:bottom w:val="single" w:sz="8" w:color="FCD3C3"/>
            </w:tcBorders>
            <w:shd w:val="clear" w:color="auto" w:fill="FCD3C3"/>
          </w:tcPr>
          <w:p>
            <w:pPr>
              <w:ind w:left="160"/>
              <w:spacing w:after="0"/>
              <w:rPr>
                <w:sz w:val="20"/>
                <w:szCs w:val="20"/>
                <w:color w:val="auto"/>
              </w:rPr>
            </w:pPr>
            <w:r>
              <w:rPr>
                <w:rFonts w:ascii="Arial" w:cs="Arial" w:eastAsia="Arial" w:hAnsi="Arial"/>
                <w:sz w:val="18"/>
                <w:szCs w:val="18"/>
                <w:color w:val="auto"/>
              </w:rPr>
              <w:t>($ 72,510)</w:t>
            </w:r>
          </w:p>
        </w:tc>
        <w:tc>
          <w:tcPr>
            <w:tcW w:w="66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w:t>
            </w:r>
          </w:p>
        </w:tc>
      </w:tr>
      <w:tr>
        <w:trPr>
          <w:trHeight w:val="288"/>
        </w:trPr>
        <w:tc>
          <w:tcPr>
            <w:tcW w:w="2660" w:type="dxa"/>
            <w:vAlign w:val="bottom"/>
          </w:tcPr>
          <w:p>
            <w:pPr>
              <w:ind w:left="60"/>
              <w:spacing w:after="0"/>
              <w:rPr>
                <w:sz w:val="20"/>
                <w:szCs w:val="20"/>
                <w:color w:val="auto"/>
              </w:rPr>
            </w:pPr>
            <w:r>
              <w:rPr>
                <w:rFonts w:ascii="Arial" w:cs="Arial" w:eastAsia="Arial" w:hAnsi="Arial"/>
                <w:sz w:val="18"/>
                <w:szCs w:val="18"/>
                <w:color w:val="auto"/>
              </w:rPr>
              <w:t>2021</w:t>
            </w:r>
          </w:p>
        </w:tc>
        <w:tc>
          <w:tcPr>
            <w:tcW w:w="1600" w:type="dxa"/>
            <w:vAlign w:val="bottom"/>
          </w:tcPr>
          <w:p>
            <w:pPr>
              <w:ind w:left="15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76,701</w:t>
            </w: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$153,402</w:t>
            </w:r>
          </w:p>
        </w:tc>
        <w:tc>
          <w:tcPr>
            <w:tcW w:w="1040" w:type="dxa"/>
            <w:vAlign w:val="bottom"/>
          </w:tcPr>
          <w:p>
            <w:pPr>
              <w:ind w:left="140"/>
              <w:spacing w:after="0"/>
              <w:rPr>
                <w:sz w:val="20"/>
                <w:szCs w:val="20"/>
                <w:color w:val="auto"/>
              </w:rPr>
            </w:pPr>
            <w:r>
              <w:rPr>
                <w:rFonts w:ascii="Arial" w:cs="Arial" w:eastAsia="Arial" w:hAnsi="Arial"/>
                <w:sz w:val="18"/>
                <w:szCs w:val="18"/>
                <w:color w:val="auto"/>
              </w:rPr>
              <w:t>$230,103</w:t>
            </w:r>
          </w:p>
        </w:tc>
        <w:tc>
          <w:tcPr>
            <w:tcW w:w="1180" w:type="dxa"/>
            <w:vAlign w:val="bottom"/>
          </w:tcPr>
          <w:p>
            <w:pPr>
              <w:ind w:left="160"/>
              <w:spacing w:after="0"/>
              <w:rPr>
                <w:sz w:val="20"/>
                <w:szCs w:val="20"/>
                <w:color w:val="auto"/>
              </w:rPr>
            </w:pPr>
            <w:r>
              <w:rPr>
                <w:rFonts w:ascii="Arial" w:cs="Arial" w:eastAsia="Arial" w:hAnsi="Arial"/>
                <w:sz w:val="18"/>
                <w:szCs w:val="18"/>
                <w:color w:val="auto"/>
              </w:rPr>
              <w:t>$  2,147</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
        </w:trPr>
        <w:tc>
          <w:tcPr>
            <w:tcW w:w="26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gridSpan w:val="2"/>
          </w:tcPr>
          <w:p>
            <w:pPr>
              <w:spacing w:after="0"/>
              <w:rPr>
                <w:sz w:val="4"/>
                <w:szCs w:val="4"/>
                <w:color w:val="auto"/>
              </w:rPr>
            </w:pPr>
          </w:p>
        </w:tc>
      </w:tr>
      <w:tr>
        <w:trPr>
          <w:trHeight w:val="304"/>
        </w:trPr>
        <w:tc>
          <w:tcPr>
            <w:tcW w:w="2660" w:type="dxa"/>
            <w:vAlign w:val="bottom"/>
            <w:tcBorders>
              <w:bottom w:val="single" w:sz="8" w:color="FCD3C3"/>
            </w:tcBorders>
            <w:shd w:val="clear" w:color="auto" w:fill="FCD3C3"/>
          </w:tcPr>
          <w:p>
            <w:pPr>
              <w:ind w:left="60"/>
              <w:spacing w:after="0"/>
              <w:rPr>
                <w:sz w:val="20"/>
                <w:szCs w:val="20"/>
                <w:color w:val="auto"/>
              </w:rPr>
            </w:pPr>
            <w:r>
              <w:rPr>
                <w:rFonts w:ascii="Arial" w:cs="Arial" w:eastAsia="Arial" w:hAnsi="Arial"/>
                <w:sz w:val="18"/>
                <w:szCs w:val="18"/>
                <w:color w:val="auto"/>
              </w:rPr>
              <w:t>Actual Payout</w:t>
            </w:r>
          </w:p>
        </w:tc>
        <w:tc>
          <w:tcPr>
            <w:tcW w:w="1600" w:type="dxa"/>
            <w:vAlign w:val="bottom"/>
            <w:tcBorders>
              <w:bottom w:val="single" w:sz="8" w:color="FCD3C3"/>
            </w:tcBorders>
            <w:shd w:val="clear" w:color="auto" w:fill="FCD3C3"/>
          </w:tcPr>
          <w:p>
            <w:pPr>
              <w:spacing w:after="0"/>
              <w:rPr>
                <w:sz w:val="24"/>
                <w:szCs w:val="24"/>
                <w:color w:val="auto"/>
              </w:rPr>
            </w:pPr>
          </w:p>
        </w:tc>
        <w:tc>
          <w:tcPr>
            <w:tcW w:w="800" w:type="dxa"/>
            <w:vAlign w:val="bottom"/>
            <w:tcBorders>
              <w:bottom w:val="single" w:sz="8" w:color="FCD3C3"/>
            </w:tcBorders>
            <w:shd w:val="clear" w:color="auto" w:fill="FCD3C3"/>
          </w:tcPr>
          <w:p>
            <w:pPr>
              <w:spacing w:after="0"/>
              <w:rPr>
                <w:sz w:val="24"/>
                <w:szCs w:val="24"/>
                <w:color w:val="auto"/>
              </w:rPr>
            </w:pPr>
          </w:p>
        </w:tc>
        <w:tc>
          <w:tcPr>
            <w:tcW w:w="1060" w:type="dxa"/>
            <w:vAlign w:val="bottom"/>
            <w:tcBorders>
              <w:bottom w:val="single" w:sz="8" w:color="FCD3C3"/>
            </w:tcBorders>
            <w:shd w:val="clear" w:color="auto" w:fill="FCD3C3"/>
          </w:tcPr>
          <w:p>
            <w:pPr>
              <w:spacing w:after="0"/>
              <w:rPr>
                <w:sz w:val="24"/>
                <w:szCs w:val="24"/>
                <w:color w:val="auto"/>
              </w:rPr>
            </w:pPr>
          </w:p>
        </w:tc>
        <w:tc>
          <w:tcPr>
            <w:tcW w:w="1040" w:type="dxa"/>
            <w:vAlign w:val="bottom"/>
            <w:tcBorders>
              <w:bottom w:val="single" w:sz="8" w:color="FCD3C3"/>
            </w:tcBorders>
            <w:shd w:val="clear" w:color="auto" w:fill="FCD3C3"/>
          </w:tcPr>
          <w:p>
            <w:pPr>
              <w:spacing w:after="0"/>
              <w:rPr>
                <w:sz w:val="24"/>
                <w:szCs w:val="24"/>
                <w:color w:val="auto"/>
              </w:rPr>
            </w:pPr>
          </w:p>
        </w:tc>
        <w:tc>
          <w:tcPr>
            <w:tcW w:w="1180" w:type="dxa"/>
            <w:vAlign w:val="bottom"/>
            <w:tcBorders>
              <w:bottom w:val="single" w:sz="8" w:color="FCD3C3"/>
            </w:tcBorders>
            <w:shd w:val="clear" w:color="auto" w:fill="FCD3C3"/>
          </w:tcPr>
          <w:p>
            <w:pPr>
              <w:spacing w:after="0"/>
              <w:rPr>
                <w:sz w:val="24"/>
                <w:szCs w:val="24"/>
                <w:color w:val="auto"/>
              </w:rPr>
            </w:pPr>
          </w:p>
        </w:tc>
        <w:tc>
          <w:tcPr>
            <w:tcW w:w="940" w:type="dxa"/>
            <w:vAlign w:val="bottom"/>
            <w:tcBorders>
              <w:bottom w:val="single" w:sz="8" w:color="FCD3C3"/>
            </w:tcBorders>
            <w:gridSpan w:val="2"/>
            <w:shd w:val="clear" w:color="auto" w:fill="FCD3C3"/>
          </w:tcPr>
          <w:p>
            <w:pPr>
              <w:jc w:val="right"/>
              <w:spacing w:after="0"/>
              <w:rPr>
                <w:sz w:val="20"/>
                <w:szCs w:val="20"/>
                <w:color w:val="auto"/>
              </w:rPr>
            </w:pPr>
            <w:r>
              <w:rPr>
                <w:rFonts w:ascii="Arial" w:cs="Arial" w:eastAsia="Arial" w:hAnsi="Arial"/>
                <w:sz w:val="18"/>
                <w:szCs w:val="18"/>
                <w:color w:val="auto"/>
              </w:rPr>
              <w:t>33.0%</w:t>
            </w:r>
          </w:p>
        </w:tc>
      </w:tr>
      <w:tr>
        <w:trPr>
          <w:trHeight w:val="20"/>
        </w:trPr>
        <w:tc>
          <w:tcPr>
            <w:tcW w:w="2660" w:type="dxa"/>
            <w:vAlign w:val="bottom"/>
            <w:shd w:val="clear" w:color="auto" w:fill="EC252A"/>
          </w:tcPr>
          <w:p>
            <w:pPr>
              <w:spacing w:after="0" w:line="20" w:lineRule="exact"/>
              <w:rPr>
                <w:sz w:val="1"/>
                <w:szCs w:val="1"/>
                <w:color w:val="auto"/>
              </w:rPr>
            </w:pPr>
          </w:p>
        </w:tc>
        <w:tc>
          <w:tcPr>
            <w:tcW w:w="1600" w:type="dxa"/>
            <w:vAlign w:val="bottom"/>
            <w:shd w:val="clear" w:color="auto" w:fill="EC252A"/>
          </w:tcPr>
          <w:p>
            <w:pPr>
              <w:spacing w:after="0" w:line="20" w:lineRule="exact"/>
              <w:rPr>
                <w:sz w:val="1"/>
                <w:szCs w:val="1"/>
                <w:color w:val="auto"/>
              </w:rPr>
            </w:pPr>
          </w:p>
        </w:tc>
        <w:tc>
          <w:tcPr>
            <w:tcW w:w="800" w:type="dxa"/>
            <w:vAlign w:val="bottom"/>
            <w:shd w:val="clear" w:color="auto" w:fill="EC252A"/>
          </w:tcPr>
          <w:p>
            <w:pPr>
              <w:spacing w:after="0" w:line="20" w:lineRule="exact"/>
              <w:rPr>
                <w:sz w:val="1"/>
                <w:szCs w:val="1"/>
                <w:color w:val="auto"/>
              </w:rPr>
            </w:pPr>
          </w:p>
        </w:tc>
        <w:tc>
          <w:tcPr>
            <w:tcW w:w="1060" w:type="dxa"/>
            <w:vAlign w:val="bottom"/>
            <w:shd w:val="clear" w:color="auto" w:fill="EC252A"/>
          </w:tcPr>
          <w:p>
            <w:pPr>
              <w:spacing w:after="0" w:line="20" w:lineRule="exact"/>
              <w:rPr>
                <w:sz w:val="1"/>
                <w:szCs w:val="1"/>
                <w:color w:val="auto"/>
              </w:rPr>
            </w:pPr>
          </w:p>
        </w:tc>
        <w:tc>
          <w:tcPr>
            <w:tcW w:w="1040" w:type="dxa"/>
            <w:vAlign w:val="bottom"/>
            <w:shd w:val="clear" w:color="auto" w:fill="EC252A"/>
          </w:tcPr>
          <w:p>
            <w:pPr>
              <w:spacing w:after="0" w:line="20" w:lineRule="exact"/>
              <w:rPr>
                <w:sz w:val="1"/>
                <w:szCs w:val="1"/>
                <w:color w:val="auto"/>
              </w:rPr>
            </w:pPr>
          </w:p>
        </w:tc>
        <w:tc>
          <w:tcPr>
            <w:tcW w:w="1180" w:type="dxa"/>
            <w:vAlign w:val="bottom"/>
            <w:shd w:val="clear" w:color="auto" w:fill="EC252A"/>
          </w:tcPr>
          <w:p>
            <w:pPr>
              <w:spacing w:after="0" w:line="20" w:lineRule="exact"/>
              <w:rPr>
                <w:sz w:val="1"/>
                <w:szCs w:val="1"/>
                <w:color w:val="auto"/>
              </w:rPr>
            </w:pPr>
          </w:p>
        </w:tc>
        <w:tc>
          <w:tcPr>
            <w:tcW w:w="660" w:type="dxa"/>
            <w:vAlign w:val="bottom"/>
            <w:shd w:val="clear" w:color="auto" w:fill="EC252A"/>
          </w:tcPr>
          <w:p>
            <w:pPr>
              <w:spacing w:after="0" w:line="20" w:lineRule="exact"/>
              <w:rPr>
                <w:sz w:val="1"/>
                <w:szCs w:val="1"/>
                <w:color w:val="auto"/>
              </w:rPr>
            </w:pPr>
          </w:p>
        </w:tc>
        <w:tc>
          <w:tcPr>
            <w:tcW w:w="280" w:type="dxa"/>
            <w:vAlign w:val="bottom"/>
            <w:shd w:val="clear" w:color="auto" w:fill="EC252A"/>
          </w:tcPr>
          <w:p>
            <w:pPr>
              <w:spacing w:after="0" w:line="20" w:lineRule="exact"/>
              <w:rPr>
                <w:sz w:val="1"/>
                <w:szCs w:val="1"/>
                <w:color w:val="auto"/>
              </w:rPr>
            </w:pPr>
          </w:p>
        </w:tc>
      </w:tr>
    </w:tbl>
    <w:p>
      <w:pPr>
        <w:spacing w:after="0" w:line="8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For the 2019-2021 performance period, the below named executive officers received the payouts as set forth below in March of 2022 which represented 33.0% of the target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58978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40" w:type="dxa"/>
            <w:vAlign w:val="bottom"/>
          </w:tcPr>
          <w:p>
            <w:pPr>
              <w:ind w:left="80"/>
              <w:spacing w:after="0"/>
              <w:rPr>
                <w:sz w:val="20"/>
                <w:szCs w:val="20"/>
                <w:color w:val="auto"/>
              </w:rPr>
            </w:pPr>
            <w:r>
              <w:rPr>
                <w:rFonts w:ascii="Arial" w:cs="Arial" w:eastAsia="Arial" w:hAnsi="Arial"/>
                <w:sz w:val="18"/>
                <w:szCs w:val="18"/>
                <w:color w:val="auto"/>
              </w:rPr>
              <w:t>Rafael Santana</w:t>
            </w:r>
          </w:p>
        </w:tc>
        <w:tc>
          <w:tcPr>
            <w:tcW w:w="7040" w:type="dxa"/>
            <w:vAlign w:val="bottom"/>
          </w:tcPr>
          <w:p>
            <w:pPr>
              <w:ind w:left="700"/>
              <w:spacing w:after="0"/>
              <w:rPr>
                <w:sz w:val="20"/>
                <w:szCs w:val="20"/>
                <w:color w:val="auto"/>
              </w:rPr>
            </w:pPr>
            <w:r>
              <w:rPr>
                <w:rFonts w:ascii="Arial" w:cs="Arial" w:eastAsia="Arial" w:hAnsi="Arial"/>
                <w:sz w:val="18"/>
                <w:szCs w:val="18"/>
                <w:color w:val="auto"/>
              </w:rPr>
              <w:t>4,620 shares of Wabtec common stock with a value at payout of $431,531</w:t>
            </w:r>
          </w:p>
        </w:tc>
      </w:tr>
      <w:tr>
        <w:trPr>
          <w:trHeight w:val="50"/>
        </w:trPr>
        <w:tc>
          <w:tcPr>
            <w:tcW w:w="2240" w:type="dxa"/>
            <w:vAlign w:val="bottom"/>
          </w:tcPr>
          <w:p>
            <w:pPr>
              <w:spacing w:after="0"/>
              <w:rPr>
                <w:sz w:val="4"/>
                <w:szCs w:val="4"/>
                <w:color w:val="auto"/>
              </w:rPr>
            </w:pPr>
          </w:p>
        </w:tc>
        <w:tc>
          <w:tcPr>
            <w:tcW w:w="7040" w:type="dxa"/>
            <w:vAlign w:val="bottom"/>
          </w:tcPr>
          <w:p>
            <w:pPr>
              <w:spacing w:after="0"/>
              <w:rPr>
                <w:sz w:val="4"/>
                <w:szCs w:val="4"/>
                <w:color w:val="auto"/>
              </w:rPr>
            </w:pPr>
          </w:p>
        </w:tc>
      </w:tr>
      <w:tr>
        <w:trPr>
          <w:trHeight w:val="318"/>
        </w:trPr>
        <w:tc>
          <w:tcPr>
            <w:tcW w:w="2240" w:type="dxa"/>
            <w:vAlign w:val="bottom"/>
            <w:tcBorders>
              <w:bottom w:val="single" w:sz="8" w:color="FCD3C3"/>
            </w:tcBorders>
            <w:shd w:val="clear" w:color="auto" w:fill="FCD3C3"/>
          </w:tcPr>
          <w:p>
            <w:pPr>
              <w:ind w:left="80"/>
              <w:spacing w:after="0"/>
              <w:rPr>
                <w:sz w:val="20"/>
                <w:szCs w:val="20"/>
                <w:color w:val="auto"/>
              </w:rPr>
            </w:pPr>
            <w:r>
              <w:rPr>
                <w:rFonts w:ascii="Arial" w:cs="Arial" w:eastAsia="Arial" w:hAnsi="Arial"/>
                <w:sz w:val="18"/>
                <w:szCs w:val="18"/>
                <w:color w:val="auto"/>
              </w:rPr>
              <w:t>David DeNinno</w:t>
            </w:r>
          </w:p>
        </w:tc>
        <w:tc>
          <w:tcPr>
            <w:tcW w:w="7040" w:type="dxa"/>
            <w:vAlign w:val="bottom"/>
            <w:tcBorders>
              <w:bottom w:val="single" w:sz="8" w:color="FCD3C3"/>
            </w:tcBorders>
            <w:shd w:val="clear" w:color="auto" w:fill="FCD3C3"/>
          </w:tcPr>
          <w:p>
            <w:pPr>
              <w:ind w:left="700"/>
              <w:spacing w:after="0"/>
              <w:rPr>
                <w:sz w:val="20"/>
                <w:szCs w:val="20"/>
                <w:color w:val="auto"/>
              </w:rPr>
            </w:pPr>
            <w:r>
              <w:rPr>
                <w:rFonts w:ascii="Arial" w:cs="Arial" w:eastAsia="Arial" w:hAnsi="Arial"/>
                <w:sz w:val="18"/>
                <w:szCs w:val="18"/>
                <w:color w:val="auto"/>
              </w:rPr>
              <w:t>2,431 shares of Wabtec common stock with a value at payout of $246,589</w:t>
            </w:r>
          </w:p>
        </w:tc>
      </w:tr>
      <w:tr>
        <w:trPr>
          <w:trHeight w:val="287"/>
        </w:trPr>
        <w:tc>
          <w:tcPr>
            <w:tcW w:w="2240" w:type="dxa"/>
            <w:vAlign w:val="bottom"/>
          </w:tcPr>
          <w:p>
            <w:pPr>
              <w:ind w:left="80"/>
              <w:spacing w:after="0"/>
              <w:rPr>
                <w:sz w:val="20"/>
                <w:szCs w:val="20"/>
                <w:color w:val="auto"/>
              </w:rPr>
            </w:pPr>
            <w:r>
              <w:rPr>
                <w:rFonts w:ascii="Arial" w:cs="Arial" w:eastAsia="Arial" w:hAnsi="Arial"/>
                <w:sz w:val="18"/>
                <w:szCs w:val="18"/>
                <w:color w:val="auto"/>
              </w:rPr>
              <w:t>Pascal Schweitzer</w:t>
            </w:r>
          </w:p>
        </w:tc>
        <w:tc>
          <w:tcPr>
            <w:tcW w:w="7040" w:type="dxa"/>
            <w:vAlign w:val="bottom"/>
          </w:tcPr>
          <w:p>
            <w:pPr>
              <w:ind w:left="700"/>
              <w:spacing w:after="0"/>
              <w:rPr>
                <w:sz w:val="20"/>
                <w:szCs w:val="20"/>
                <w:color w:val="auto"/>
              </w:rPr>
            </w:pPr>
            <w:r>
              <w:rPr>
                <w:rFonts w:ascii="Arial" w:cs="Arial" w:eastAsia="Arial" w:hAnsi="Arial"/>
                <w:sz w:val="18"/>
                <w:szCs w:val="18"/>
                <w:color w:val="auto"/>
              </w:rPr>
              <w:t>990 shares of Wabtec common stock with a value at payout of $92,470</w:t>
            </w:r>
          </w:p>
        </w:tc>
      </w:tr>
      <w:tr>
        <w:trPr>
          <w:trHeight w:val="50"/>
        </w:trPr>
        <w:tc>
          <w:tcPr>
            <w:tcW w:w="2240" w:type="dxa"/>
            <w:vAlign w:val="bottom"/>
          </w:tcPr>
          <w:p>
            <w:pPr>
              <w:spacing w:after="0"/>
              <w:rPr>
                <w:sz w:val="4"/>
                <w:szCs w:val="4"/>
                <w:color w:val="auto"/>
              </w:rPr>
            </w:pPr>
          </w:p>
        </w:tc>
        <w:tc>
          <w:tcPr>
            <w:tcW w:w="7040" w:type="dxa"/>
            <w:vAlign w:val="bottom"/>
          </w:tcPr>
          <w:p>
            <w:pPr>
              <w:spacing w:after="0"/>
              <w:rPr>
                <w:sz w:val="4"/>
                <w:szCs w:val="4"/>
                <w:color w:val="auto"/>
              </w:rPr>
            </w:pPr>
          </w:p>
        </w:tc>
      </w:tr>
      <w:tr>
        <w:trPr>
          <w:trHeight w:val="304"/>
        </w:trPr>
        <w:tc>
          <w:tcPr>
            <w:tcW w:w="2240" w:type="dxa"/>
            <w:vAlign w:val="bottom"/>
            <w:tcBorders>
              <w:bottom w:val="single" w:sz="8" w:color="FCD3C3"/>
            </w:tcBorders>
            <w:shd w:val="clear" w:color="auto" w:fill="FCD3C3"/>
          </w:tcPr>
          <w:p>
            <w:pPr>
              <w:ind w:left="80"/>
              <w:spacing w:after="0"/>
              <w:rPr>
                <w:sz w:val="20"/>
                <w:szCs w:val="20"/>
                <w:color w:val="auto"/>
              </w:rPr>
            </w:pPr>
            <w:r>
              <w:rPr>
                <w:rFonts w:ascii="Arial" w:cs="Arial" w:eastAsia="Arial" w:hAnsi="Arial"/>
                <w:sz w:val="18"/>
                <w:szCs w:val="18"/>
                <w:color w:val="auto"/>
              </w:rPr>
              <w:t>Patrick Dugan</w:t>
            </w:r>
          </w:p>
        </w:tc>
        <w:tc>
          <w:tcPr>
            <w:tcW w:w="7040" w:type="dxa"/>
            <w:vAlign w:val="bottom"/>
            <w:tcBorders>
              <w:bottom w:val="single" w:sz="8" w:color="FCD3C3"/>
            </w:tcBorders>
            <w:shd w:val="clear" w:color="auto" w:fill="FCD3C3"/>
          </w:tcPr>
          <w:p>
            <w:pPr>
              <w:ind w:left="700"/>
              <w:spacing w:after="0"/>
              <w:rPr>
                <w:sz w:val="20"/>
                <w:szCs w:val="20"/>
                <w:color w:val="auto"/>
              </w:rPr>
            </w:pPr>
            <w:r>
              <w:rPr>
                <w:rFonts w:ascii="Arial" w:cs="Arial" w:eastAsia="Arial" w:hAnsi="Arial"/>
                <w:sz w:val="18"/>
                <w:szCs w:val="18"/>
                <w:color w:val="auto"/>
              </w:rPr>
              <w:t>3,241 shares of Wabtec common stock with a value at payout of $339,060</w:t>
            </w:r>
          </w:p>
        </w:tc>
      </w:tr>
      <w:tr>
        <w:trPr>
          <w:trHeight w:val="20"/>
        </w:trPr>
        <w:tc>
          <w:tcPr>
            <w:tcW w:w="2240" w:type="dxa"/>
            <w:vAlign w:val="bottom"/>
            <w:shd w:val="clear" w:color="auto" w:fill="EC252A"/>
          </w:tcPr>
          <w:p>
            <w:pPr>
              <w:spacing w:after="0" w:line="20" w:lineRule="exact"/>
              <w:rPr>
                <w:sz w:val="1"/>
                <w:szCs w:val="1"/>
                <w:color w:val="auto"/>
              </w:rPr>
            </w:pPr>
          </w:p>
        </w:tc>
        <w:tc>
          <w:tcPr>
            <w:tcW w:w="7040" w:type="dxa"/>
            <w:vAlign w:val="bottom"/>
            <w:shd w:val="clear" w:color="auto" w:fill="EC252A"/>
          </w:tcPr>
          <w:p>
            <w:pPr>
              <w:spacing w:after="0" w:line="20" w:lineRule="exact"/>
              <w:rPr>
                <w:sz w:val="1"/>
                <w:szCs w:val="1"/>
                <w:color w:val="auto"/>
              </w:rPr>
            </w:pPr>
          </w:p>
        </w:tc>
      </w:tr>
    </w:tbl>
    <w:p>
      <w:pPr>
        <w:spacing w:after="0" w:line="8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Mr. Olin and Mr. Gebhardt did not participate in the plan as they were not Wabtec employees at the time these awards were granted.</w:t>
      </w:r>
    </w:p>
    <w:p>
      <w:pPr>
        <w:spacing w:after="0" w:line="4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For the 2020-2022 and 2021–2023 awards, the Compensation Committee made adjustments to the long-term incentive plan program performance metrics reflecting the significant changes to the Company with the completion of the GE Transportation transaction. Rather than utilizing the single metric of Economic Profit, the Compensation Committee established the use of three metrics: 1) three-year average annual Return on Invested Capital (“ROIC”);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58978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324" w:lineRule="exact"/>
        <w:rPr>
          <w:sz w:val="20"/>
          <w:szCs w:val="20"/>
          <w:color w:val="auto"/>
        </w:rPr>
      </w:pPr>
    </w:p>
    <w:p>
      <w:pPr>
        <w:ind w:left="140"/>
        <w:spacing w:after="0"/>
        <w:tabs>
          <w:tab w:leader="none" w:pos="5690" w:val="left"/>
        </w:tabs>
        <w:rPr>
          <w:sz w:val="20"/>
          <w:szCs w:val="20"/>
          <w:color w:val="auto"/>
        </w:rPr>
      </w:pPr>
      <w:r>
        <w:rPr>
          <w:rFonts w:ascii="Arial" w:cs="Arial" w:eastAsia="Arial" w:hAnsi="Arial"/>
          <w:sz w:val="32"/>
          <w:szCs w:val="32"/>
          <w:b w:val="1"/>
          <w:bCs w:val="1"/>
          <w:color w:val="auto"/>
          <w:vertAlign w:val="superscript"/>
        </w:rPr>
        <w:t>38</w:t>
      </w:r>
      <w:r>
        <w:rPr>
          <w:sz w:val="20"/>
          <w:szCs w:val="20"/>
          <w:color w:val="auto"/>
        </w:rPr>
        <w:tab/>
      </w:r>
      <w:r>
        <w:rPr>
          <w:sz w:val="1"/>
          <w:szCs w:val="1"/>
          <w:color w:val="auto"/>
        </w:rPr>
        <w:drawing>
          <wp:inline distT="0" distB="0" distL="0" distR="0">
            <wp:extent cx="471805" cy="18034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1805" cy="180340"/>
                    </a:xfrm>
                    <a:prstGeom prst="rect">
                      <a:avLst/>
                    </a:prstGeom>
                    <a:noFill/>
                    <a:ln>
                      <a:noFill/>
                    </a:ln>
                  </pic:spPr>
                </pic:pic>
              </a:graphicData>
            </a:graphic>
          </wp:inline>
        </w:drawing>
      </w:r>
      <w:r>
        <w:rPr>
          <w:rFonts w:ascii="Arial" w:cs="Arial" w:eastAsia="Arial" w:hAnsi="Arial"/>
          <w:sz w:val="12"/>
          <w:szCs w:val="12"/>
          <w:color w:val="EC252A"/>
        </w:rPr>
        <w:t xml:space="preserve"> 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137795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43" w:name="page44"/>
    <w:bookmarkEnd w:id="43"/>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860" w:right="980"/>
        <w:spacing w:after="0" w:line="247" w:lineRule="auto"/>
        <w:tabs>
          <w:tab w:leader="none" w:pos="10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three-year average annual Cumulative Cash Conversion (“CCC”); and 3) Relative Total Stockholder Return (“RTSR”). ROIC and CCC results are weighted at 50% respectively. The combined results from the two goals are then subject to modification upward or downward (+/-10%) based on Wabtec’s RTSR results. For purposes of these awards:</w:t>
      </w:r>
    </w:p>
    <w:p>
      <w:pPr>
        <w:spacing w:after="0" w:line="65" w:lineRule="exact"/>
        <w:rPr>
          <w:rFonts w:ascii="Arial" w:cs="Arial" w:eastAsia="Arial" w:hAnsi="Arial"/>
          <w:sz w:val="18"/>
          <w:szCs w:val="18"/>
          <w:color w:val="auto"/>
        </w:rPr>
      </w:pPr>
    </w:p>
    <w:p>
      <w:pPr>
        <w:ind w:left="1580" w:right="1020" w:hanging="360"/>
        <w:spacing w:after="0" w:line="247" w:lineRule="auto"/>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ROIC means for a year (A) the Company’s Adjusted EBITDA after tax, divided by (B) the sum of the Company’s year-end net debt plus shareholders’ equity. For this purpose, Adjusted EBITDA means the Company’s income from operations plus depreciation and amortization, as adjusted for presentation to the Company’s investors in the Company’s annual earnings release.</w:t>
      </w:r>
    </w:p>
    <w:p>
      <w:pPr>
        <w:spacing w:after="0" w:line="65" w:lineRule="exact"/>
        <w:rPr>
          <w:rFonts w:ascii="Arial" w:cs="Arial" w:eastAsia="Arial" w:hAnsi="Arial"/>
          <w:sz w:val="18"/>
          <w:szCs w:val="18"/>
          <w:color w:val="auto"/>
        </w:rPr>
      </w:pPr>
    </w:p>
    <w:p>
      <w:pPr>
        <w:ind w:left="1580" w:right="1100" w:hanging="360"/>
        <w:spacing w:after="0" w:line="271" w:lineRule="auto"/>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CCC means for a year (A) the Company’s cash from operations divided by (B) the sum of the Company’s net income plus depreciation and amortization.</w:t>
      </w:r>
    </w:p>
    <w:p>
      <w:pPr>
        <w:spacing w:after="0" w:line="45" w:lineRule="exact"/>
        <w:rPr>
          <w:rFonts w:ascii="Arial" w:cs="Arial" w:eastAsia="Arial" w:hAnsi="Arial"/>
          <w:sz w:val="18"/>
          <w:szCs w:val="18"/>
          <w:color w:val="auto"/>
        </w:rPr>
      </w:pPr>
    </w:p>
    <w:p>
      <w:pPr>
        <w:ind w:left="1580" w:right="1140" w:hanging="360"/>
        <w:spacing w:after="0" w:line="253" w:lineRule="auto"/>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RTSR measures the percentile ranking of the Company’s total stockholder return (changes in stock price plus dividends) for the performance period against the total stockholder return of the Company’s compensation peer group described above.</w:t>
      </w:r>
    </w:p>
    <w:p>
      <w:pPr>
        <w:spacing w:after="0" w:line="61" w:lineRule="exact"/>
        <w:rPr>
          <w:sz w:val="20"/>
          <w:szCs w:val="20"/>
          <w:color w:val="auto"/>
        </w:rPr>
      </w:pPr>
    </w:p>
    <w:p>
      <w:pPr>
        <w:ind w:left="860" w:right="1020"/>
        <w:spacing w:after="0"/>
        <w:rPr>
          <w:sz w:val="20"/>
          <w:szCs w:val="20"/>
          <w:color w:val="auto"/>
        </w:rPr>
      </w:pPr>
      <w:r>
        <w:rPr>
          <w:rFonts w:ascii="Arial" w:cs="Arial" w:eastAsia="Arial" w:hAnsi="Arial"/>
          <w:sz w:val="18"/>
          <w:szCs w:val="18"/>
          <w:color w:val="auto"/>
        </w:rPr>
        <w:t>Beginning with the 2022 awards, if Wabtec achieves the maximum three-year cumulative ROIC and CCC results, a participant can earn a maximum number (equal to 200% of the target level) of performance units. The RTSR modifier cannot increase the payout above 200% of the target. If Wabtec achieves the threshold three-year ROIC and CCC cumulative goals, a participant can earn a threshold number (equal to 25% of the target level) of performance units which would be subject to modification up or down based on RTSR. Payouts would range from 25% of target for performance at 75% of target to 200% of target for performance at or above 125% of target. No performance units would be earned for performance below the three-year cumulative ROIC and CCC and thresholds.</w:t>
      </w:r>
    </w:p>
    <w:p>
      <w:pPr>
        <w:spacing w:after="0" w:line="72" w:lineRule="exact"/>
        <w:rPr>
          <w:sz w:val="20"/>
          <w:szCs w:val="20"/>
          <w:color w:val="auto"/>
        </w:rPr>
      </w:pPr>
    </w:p>
    <w:p>
      <w:pPr>
        <w:ind w:left="860" w:right="900"/>
        <w:spacing w:after="0"/>
        <w:rPr>
          <w:sz w:val="20"/>
          <w:szCs w:val="20"/>
          <w:color w:val="auto"/>
        </w:rPr>
      </w:pPr>
      <w:r>
        <w:rPr>
          <w:rFonts w:ascii="Arial" w:cs="Arial" w:eastAsia="Arial" w:hAnsi="Arial"/>
          <w:sz w:val="18"/>
          <w:szCs w:val="18"/>
          <w:color w:val="auto"/>
        </w:rPr>
        <w:t>The long-term incentive program is intended to encourage the long-term stability of Wabtec’s management by establishing ambitious goals designed to promote the long-term productivity and profitability of the Company. If a program participant leaves the Company voluntarily, or is terminated for cause, they are not eligible to receive any performance units he or she may have earned under the program. If a program participant leaves the Company for death, disability, or retirement, their payout may be pro-rated in accordance with the amount of time they participated in the program relative to the performance period. These goals were based on a range of considerations including expected demand in Wabtec’s key end user markets, investor expectations and management’s business plan which includes year over year growth.</w:t>
      </w:r>
    </w:p>
    <w:p>
      <w:pPr>
        <w:spacing w:after="0" w:line="72" w:lineRule="exact"/>
        <w:rPr>
          <w:sz w:val="20"/>
          <w:szCs w:val="20"/>
          <w:color w:val="auto"/>
        </w:rPr>
      </w:pPr>
    </w:p>
    <w:p>
      <w:pPr>
        <w:ind w:left="860" w:right="880"/>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Equity awards made in 2021 to all named executive officers are detailed under the table “2021 Grants of Plan Based Awards” on page </w:t>
      </w:r>
      <w:hyperlink w:anchor="page49">
        <w:r>
          <w:rPr>
            <w:rFonts w:ascii="Arial" w:cs="Arial" w:eastAsia="Arial" w:hAnsi="Arial"/>
            <w:sz w:val="18"/>
            <w:szCs w:val="18"/>
            <w:u w:val="single" w:color="auto"/>
            <w:color w:val="0000EE"/>
          </w:rPr>
          <w:t>44</w:t>
        </w:r>
      </w:hyperlink>
      <w:r>
        <w:rPr>
          <w:rFonts w:ascii="Arial" w:cs="Arial" w:eastAsia="Arial" w:hAnsi="Arial"/>
          <w:sz w:val="18"/>
          <w:szCs w:val="18"/>
          <w:color w:val="auto"/>
        </w:rPr>
        <w:t>. Options and restricted stock are generally granted to employees, including our executive officers, each February as part of their long-term compensation. Additional awards may be made throughout the year to new hires, current employees in connection with promotions, and key management obtained through acquisitions. For 2021, Mr. Olin received a new hire award of restricted shares on his hire date (vesting on the third anniversary of the grant date) and will begin participating in the regular long-term incentive compensation program in 2022. We vary the relative amounts of options and restricted stock granted in a given year based on a number of factors including the overall performance of the Company, the stock price and retention of key management. The primary purposes of the long-term incentive program are to align the interests of executive officers and other key employees with those of our stockholders, to attract and retain key executive talent and to provide an incentive to meet and exceed long-term financial goals. Employees eligible for the long-term incentive program include those who are determined by the Compensation Committee to be in key policy-setting and decision-making roles, and to have responsibilities that contribute significantly to achieving our earnings goals. The size of an individual’s long-term incentive award is based primarily on individual performance, the individual’s responsibilities and position with our Company. Long-term incentive award values generally are competitive with market practice among our Peer Group and other general industries reviewed by the Compensation Committee.</w:t>
      </w:r>
    </w:p>
    <w:p>
      <w:pPr>
        <w:spacing w:after="0" w:line="78" w:lineRule="exact"/>
        <w:rPr>
          <w:sz w:val="20"/>
          <w:szCs w:val="20"/>
          <w:color w:val="auto"/>
        </w:rPr>
      </w:pPr>
    </w:p>
    <w:p>
      <w:pPr>
        <w:ind w:left="860" w:right="940"/>
        <w:spacing w:after="0" w:line="253" w:lineRule="auto"/>
        <w:rPr>
          <w:sz w:val="20"/>
          <w:szCs w:val="20"/>
          <w:color w:val="auto"/>
        </w:rPr>
      </w:pPr>
      <w:r>
        <w:rPr>
          <w:rFonts w:ascii="Arial" w:cs="Arial" w:eastAsia="Arial" w:hAnsi="Arial"/>
          <w:sz w:val="18"/>
          <w:szCs w:val="18"/>
          <w:color w:val="auto"/>
        </w:rPr>
        <w:t>Any awards made under the 2011 Stock Incentive Plan may be subject to forfeiture at the discretion of the Compensation Committee if between the date of grant and the third anniversary of any exercise, payment or vesting of the award, the participant:</w:t>
      </w:r>
    </w:p>
    <w:p>
      <w:pPr>
        <w:spacing w:after="0" w:line="61" w:lineRule="exact"/>
        <w:rPr>
          <w:sz w:val="20"/>
          <w:szCs w:val="20"/>
          <w:color w:val="auto"/>
        </w:rPr>
      </w:pPr>
    </w:p>
    <w:p>
      <w:pPr>
        <w:ind w:left="1580" w:right="1560" w:hanging="360"/>
        <w:spacing w:after="0" w:line="301" w:lineRule="auto"/>
        <w:tabs>
          <w:tab w:leader="none" w:pos="1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engages in the operation or management of a business (whether as owner, partner, officer, director, employee or otherwise) which is in competition with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146685</wp:posOffset>
            </wp:positionV>
            <wp:extent cx="58978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249555</wp:posOffset>
            </wp:positionV>
            <wp:extent cx="471170" cy="1803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39</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sectPr>
      </w:pPr>
    </w:p>
    <w:bookmarkStart w:id="44" w:name="page45"/>
    <w:bookmarkEnd w:id="4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720" w:right="80" w:hanging="360"/>
        <w:spacing w:after="0" w:line="266"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induces or attempts to induce any customer, supplier, licensee or other individual, corporation or other business organization having a business relationship with the Company or any of its subsidiaries to cease doing business with the Company or any of its subsidiaries or in any way interferes with the relationship between any such customer, supplier, licensee or other person and the Company or any of its subsidiaries;</w:t>
      </w:r>
    </w:p>
    <w:p>
      <w:pPr>
        <w:spacing w:after="0" w:line="51" w:lineRule="exact"/>
        <w:rPr>
          <w:rFonts w:ascii="Arial" w:cs="Arial" w:eastAsia="Arial" w:hAnsi="Arial"/>
          <w:sz w:val="17"/>
          <w:szCs w:val="17"/>
          <w:color w:val="auto"/>
        </w:rPr>
      </w:pPr>
    </w:p>
    <w:p>
      <w:pPr>
        <w:ind w:left="720" w:right="200" w:hanging="360"/>
        <w:spacing w:after="0" w:line="271"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solicits any employee of the Company or any of its subsidiaries to leave the employment thereof or in any way interferes with the relationship of such employee with the Company or any of its subsidiaries; or</w:t>
      </w:r>
    </w:p>
    <w:p>
      <w:pPr>
        <w:spacing w:after="0" w:line="45" w:lineRule="exact"/>
        <w:rPr>
          <w:rFonts w:ascii="Arial" w:cs="Arial" w:eastAsia="Arial" w:hAnsi="Arial"/>
          <w:sz w:val="18"/>
          <w:szCs w:val="18"/>
          <w:color w:val="auto"/>
        </w:rPr>
      </w:pPr>
    </w:p>
    <w:p>
      <w:pPr>
        <w:ind w:left="720" w:right="260" w:hanging="360"/>
        <w:spacing w:after="0" w:line="253"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makes any statements or comments, orally or in writing, of a defamatory or disparaging nature regarding the Company or any of its subsidiaries (including but not limited to regarding any of their respective businesses, officers, directors, personnel, products or policies).</w:t>
      </w:r>
    </w:p>
    <w:p>
      <w:pPr>
        <w:spacing w:after="0" w:line="6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Such forfeiture does not apply following the occurrence of a change of control event unless the award agreement specifically so provides or as required by applicable law.</w:t>
      </w:r>
    </w:p>
    <w:p>
      <w:pPr>
        <w:spacing w:after="0" w:line="46"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i w:val="1"/>
          <w:iCs w:val="1"/>
          <w:color w:val="auto"/>
        </w:rPr>
        <w:t>Perquisites and Other Personal Benefits</w:t>
      </w:r>
      <w:r>
        <w:rPr>
          <w:rFonts w:ascii="Arial" w:cs="Arial" w:eastAsia="Arial" w:hAnsi="Arial"/>
          <w:sz w:val="18"/>
          <w:szCs w:val="18"/>
          <w:color w:val="auto"/>
        </w:rPr>
        <w:t>. Supplemental benefits are offered to select executive officers with the goal</w:t>
      </w:r>
      <w:r>
        <w:rPr>
          <w:rFonts w:ascii="Arial" w:cs="Arial" w:eastAsia="Arial" w:hAnsi="Arial"/>
          <w:sz w:val="18"/>
          <w:szCs w:val="18"/>
          <w:i w:val="1"/>
          <w:iCs w:val="1"/>
          <w:color w:val="auto"/>
        </w:rPr>
        <w:t xml:space="preserve"> </w:t>
      </w:r>
      <w:r>
        <w:rPr>
          <w:rFonts w:ascii="Arial" w:cs="Arial" w:eastAsia="Arial" w:hAnsi="Arial"/>
          <w:sz w:val="18"/>
          <w:szCs w:val="18"/>
          <w:color w:val="auto"/>
        </w:rPr>
        <w:t>of attracting and retaining key executive talent. Those perquisites may include life and health insurance benefits, car and housing allowances, and social and health club dues.</w:t>
      </w:r>
    </w:p>
    <w:p>
      <w:pPr>
        <w:spacing w:after="0" w:line="6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The Company maintains a qualified defined contribution program which includes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match on participant contributions which is provided to executives in the United States, on the same basis as is provided to other salaried employees of the Company who reside in the United States. The Company also maintains various defined benefit plans which are provided to executives on the same basis as are provided to other employees of the Company who reside or work outside the United States.</w:t>
      </w:r>
    </w:p>
    <w:p>
      <w:pPr>
        <w:spacing w:after="0" w:line="6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The Company sponsors a deferred compensation plan for executive officers and non-employee directors. Under the terms of the plan, eligible employee executive officers may elect to defer their base salary, cash bonus and/or long-term incentive payout. No NEOs deferred any compensation during 2021 or any prior years.</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Stock Ownership Requirements</w:t>
      </w:r>
    </w:p>
    <w:p>
      <w:pPr>
        <w:spacing w:after="0" w:line="12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Wabtec has established stock ownership guidelines to encourage our key employees and Board members to own and retain shares of stock. The guidelines are as follows:</w:t>
      </w:r>
    </w:p>
    <w:p>
      <w:pPr>
        <w:spacing w:after="0" w:line="46" w:lineRule="exact"/>
        <w:rPr>
          <w:sz w:val="20"/>
          <w:szCs w:val="20"/>
          <w:color w:val="auto"/>
        </w:rPr>
      </w:pPr>
    </w:p>
    <w:p>
      <w:pPr>
        <w:ind w:left="720" w:hanging="360"/>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President and CEO to accumulate shares having a value equal to seven times base salary;</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Executive officers to accumulate shares having a value equal to three times base salary;</w:t>
      </w:r>
    </w:p>
    <w:p>
      <w:pPr>
        <w:spacing w:after="0" w:line="103" w:lineRule="exact"/>
        <w:rPr>
          <w:rFonts w:ascii="Arial" w:cs="Arial" w:eastAsia="Arial" w:hAnsi="Arial"/>
          <w:sz w:val="18"/>
          <w:szCs w:val="18"/>
          <w:color w:val="auto"/>
        </w:rPr>
      </w:pPr>
    </w:p>
    <w:p>
      <w:pPr>
        <w:ind w:left="720" w:right="340" w:hanging="360"/>
        <w:spacing w:after="0" w:line="271"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Senior leaders within the company having to accumulate shares having a value equal to one half to one and a half times base salary depending on their level; and</w:t>
      </w:r>
    </w:p>
    <w:p>
      <w:pPr>
        <w:spacing w:after="0" w:line="45" w:lineRule="exact"/>
        <w:rPr>
          <w:rFonts w:ascii="Arial" w:cs="Arial" w:eastAsia="Arial" w:hAnsi="Arial"/>
          <w:sz w:val="18"/>
          <w:szCs w:val="18"/>
          <w:color w:val="auto"/>
        </w:rPr>
      </w:pPr>
    </w:p>
    <w:p>
      <w:pPr>
        <w:ind w:left="720" w:right="240" w:hanging="360"/>
        <w:spacing w:after="0" w:line="271"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Non-employee Board members are required to accumulate shares having a value equal to six times their cash retainer.</w:t>
      </w:r>
    </w:p>
    <w:p>
      <w:pPr>
        <w:spacing w:after="0" w:line="4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aforementioned employees and directors are given five years to satisfy these guidelines. The Compensation Committee is responsible for administering and monitoring compliance with this guideline, including establishing parameters for determination. As of December 31, 2021, each of the named executive officers and non-employee board members has met their required stock ownership described above (including any shares deferred pursuant to the Deferred Compensation Plan), except for those individuals within their first five years of service with the company, all of whom are on track to meet their ownership guidelines. As of January 31, 2022, our directors and executive officers as a group owned approximately 1%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Recoupment Policy</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the event of a financial restatement or a determination by the Board of Directors that misconduct by a responsible party caused financial or reputational harm to the Company, the Compensation Committee reviews the circumstances and makes recommendations to the Board as to whether recoupment should be pursued. Misconduct shall include any intentional or reckless violation of Wabtec policies or any grossly negligent act or failure to act. The Compensation Committee also reviews all compensation that has been awarded to the responsible party and determines how such compensation may have been affected by the financial restatements or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58978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66"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40</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2"/>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803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45" w:name="page46"/>
    <w:bookmarkEnd w:id="45"/>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860" w:right="960"/>
        <w:spacing w:after="0" w:line="244" w:lineRule="auto"/>
        <w:rPr>
          <w:sz w:val="20"/>
          <w:szCs w:val="20"/>
          <w:color w:val="auto"/>
        </w:rPr>
      </w:pPr>
      <w:r>
        <w:rPr>
          <w:rFonts w:ascii="Arial" w:cs="Arial" w:eastAsia="Arial" w:hAnsi="Arial"/>
          <w:sz w:val="18"/>
          <w:szCs w:val="18"/>
          <w:color w:val="auto"/>
        </w:rPr>
        <w:t>Should the Board determine that recoupment is appropriate, the Company may recoup from the responsible parties any cash bonuses and equity awards in reliance on the financial statements that were restated or for the year in which the financial harm occurred as well as any gains realized from the exercise of options to the extent the Compensation Committee determines that the gains were based on such financial statements or resulted from such misconduct.</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Prohibition on Hedging</w:t>
      </w:r>
    </w:p>
    <w:p>
      <w:pPr>
        <w:spacing w:after="0" w:line="128" w:lineRule="exact"/>
        <w:rPr>
          <w:sz w:val="20"/>
          <w:szCs w:val="20"/>
          <w:color w:val="auto"/>
        </w:rPr>
      </w:pPr>
    </w:p>
    <w:p>
      <w:pPr>
        <w:ind w:left="860" w:right="900"/>
        <w:spacing w:after="0" w:line="256" w:lineRule="auto"/>
        <w:rPr>
          <w:sz w:val="20"/>
          <w:szCs w:val="20"/>
          <w:color w:val="auto"/>
        </w:rPr>
      </w:pPr>
      <w:r>
        <w:rPr>
          <w:rFonts w:ascii="Arial" w:cs="Arial" w:eastAsia="Arial" w:hAnsi="Arial"/>
          <w:sz w:val="17"/>
          <w:szCs w:val="17"/>
          <w:color w:val="auto"/>
        </w:rPr>
        <w:t>The Company considers it improper and inappropriate for any of its directors and officers, including the named executive officers, to engage in short-term or speculative transactions in Wabtec securities or in other transactions that may (i) lead to inadvertent violations of insider trading laws, (ii) reduce an officer’s or director’s incentive to improve Wabtec’s performance, (iii) focus the officer’s or director’s attention on short-term performance at the expense of long-term objectives, or (iv) otherwise engage in transactions to hedge or offset any decrease in the market value of Wabtec’s stock. To that end, the Company has adopted and maintains a policy covering transactions involving all Wabtec stock held by its officers or directors, including but not limited to stock held directly or indirectly by such officer or director and stock or other equity granted to an officer or director as part of their compensation.</w:t>
      </w:r>
    </w:p>
    <w:p>
      <w:pPr>
        <w:spacing w:after="0" w:line="204" w:lineRule="exact"/>
        <w:rPr>
          <w:sz w:val="20"/>
          <w:szCs w:val="20"/>
          <w:color w:val="auto"/>
        </w:rPr>
      </w:pPr>
    </w:p>
    <w:tbl>
      <w:tblPr>
        <w:tblLayout w:type="fixed"/>
        <w:tblInd w:w="860" w:type="dxa"/>
        <w:tblCellMar>
          <w:top w:w="0" w:type="dxa"/>
          <w:left w:w="0" w:type="dxa"/>
          <w:bottom w:w="0" w:type="dxa"/>
          <w:right w:w="0" w:type="dxa"/>
        </w:tblCellMar>
      </w:tblPr>
      <w:tr>
        <w:trPr>
          <w:trHeight w:val="273"/>
        </w:trPr>
        <w:tc>
          <w:tcPr>
            <w:tcW w:w="4700" w:type="dxa"/>
            <w:vAlign w:val="bottom"/>
          </w:tcPr>
          <w:p>
            <w:pPr>
              <w:jc w:val="center"/>
              <w:ind w:right="61"/>
              <w:spacing w:after="0"/>
              <w:rPr>
                <w:sz w:val="20"/>
                <w:szCs w:val="20"/>
                <w:color w:val="auto"/>
              </w:rPr>
            </w:pPr>
            <w:r>
              <w:rPr>
                <w:rFonts w:ascii="Arial" w:cs="Arial" w:eastAsia="Arial" w:hAnsi="Arial"/>
                <w:sz w:val="20"/>
                <w:szCs w:val="20"/>
                <w:b w:val="1"/>
                <w:bCs w:val="1"/>
                <w:color w:val="EC252A"/>
                <w:w w:val="98"/>
              </w:rPr>
              <w:t>Transactions Prohibited</w:t>
            </w:r>
          </w:p>
        </w:tc>
        <w:tc>
          <w:tcPr>
            <w:tcW w:w="4580" w:type="dxa"/>
            <w:vAlign w:val="bottom"/>
          </w:tcPr>
          <w:p>
            <w:pPr>
              <w:jc w:val="center"/>
              <w:spacing w:after="0"/>
              <w:rPr>
                <w:sz w:val="20"/>
                <w:szCs w:val="20"/>
                <w:color w:val="auto"/>
              </w:rPr>
            </w:pPr>
            <w:r>
              <w:rPr>
                <w:rFonts w:ascii="Arial" w:cs="Arial" w:eastAsia="Arial" w:hAnsi="Arial"/>
                <w:sz w:val="20"/>
                <w:szCs w:val="20"/>
                <w:b w:val="1"/>
                <w:bCs w:val="1"/>
                <w:color w:val="EC252A"/>
                <w:w w:val="98"/>
              </w:rPr>
              <w:t>Permitted Transactions</w:t>
            </w:r>
          </w:p>
        </w:tc>
      </w:tr>
      <w:tr>
        <w:trPr>
          <w:trHeight w:val="75"/>
        </w:trPr>
        <w:tc>
          <w:tcPr>
            <w:tcW w:w="4700" w:type="dxa"/>
            <w:vAlign w:val="bottom"/>
            <w:tcBorders>
              <w:bottom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r>
      <w:tr>
        <w:trPr>
          <w:trHeight w:val="296"/>
        </w:trPr>
        <w:tc>
          <w:tcPr>
            <w:tcW w:w="4700" w:type="dxa"/>
            <w:vAlign w:val="bottom"/>
          </w:tcPr>
          <w:p>
            <w:pPr>
              <w:jc w:val="center"/>
              <w:ind w:right="41"/>
              <w:spacing w:after="0"/>
              <w:rPr>
                <w:sz w:val="20"/>
                <w:szCs w:val="20"/>
                <w:color w:val="auto"/>
              </w:rPr>
            </w:pPr>
            <w:r>
              <w:rPr>
                <w:rFonts w:ascii="Arial" w:cs="Arial" w:eastAsia="Arial" w:hAnsi="Arial"/>
                <w:sz w:val="20"/>
                <w:szCs w:val="20"/>
                <w:b w:val="1"/>
                <w:bCs w:val="1"/>
                <w:i w:val="1"/>
                <w:iCs w:val="1"/>
                <w:color w:val="auto"/>
                <w:w w:val="98"/>
              </w:rPr>
              <w:t>The following transactions are prohibited by</w:t>
            </w:r>
          </w:p>
        </w:tc>
        <w:tc>
          <w:tcPr>
            <w:tcW w:w="458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99"/>
              </w:rPr>
              <w:t>During a quiet period and with the prior</w:t>
            </w:r>
          </w:p>
        </w:tc>
      </w:tr>
      <w:tr>
        <w:trPr>
          <w:trHeight w:val="216"/>
        </w:trPr>
        <w:tc>
          <w:tcPr>
            <w:tcW w:w="4700" w:type="dxa"/>
            <w:vAlign w:val="bottom"/>
          </w:tcPr>
          <w:p>
            <w:pPr>
              <w:jc w:val="center"/>
              <w:ind w:right="41"/>
              <w:spacing w:after="0" w:line="216" w:lineRule="exact"/>
              <w:rPr>
                <w:sz w:val="20"/>
                <w:szCs w:val="20"/>
                <w:color w:val="auto"/>
              </w:rPr>
            </w:pPr>
            <w:r>
              <w:rPr>
                <w:rFonts w:ascii="Arial" w:cs="Arial" w:eastAsia="Arial" w:hAnsi="Arial"/>
                <w:sz w:val="20"/>
                <w:szCs w:val="20"/>
                <w:b w:val="1"/>
                <w:bCs w:val="1"/>
                <w:i w:val="1"/>
                <w:iCs w:val="1"/>
                <w:color w:val="auto"/>
                <w:w w:val="98"/>
              </w:rPr>
              <w:t>Wabtec officers and directors:</w:t>
            </w:r>
          </w:p>
        </w:tc>
        <w:tc>
          <w:tcPr>
            <w:tcW w:w="4580" w:type="dxa"/>
            <w:vAlign w:val="bottom"/>
          </w:tcPr>
          <w:p>
            <w:pPr>
              <w:jc w:val="center"/>
              <w:spacing w:after="0" w:line="216" w:lineRule="exact"/>
              <w:rPr>
                <w:sz w:val="20"/>
                <w:szCs w:val="20"/>
                <w:color w:val="auto"/>
              </w:rPr>
            </w:pPr>
            <w:r>
              <w:rPr>
                <w:rFonts w:ascii="Arial" w:cs="Arial" w:eastAsia="Arial" w:hAnsi="Arial"/>
                <w:sz w:val="20"/>
                <w:szCs w:val="20"/>
                <w:b w:val="1"/>
                <w:bCs w:val="1"/>
                <w:i w:val="1"/>
                <w:iCs w:val="1"/>
                <w:color w:val="auto"/>
                <w:w w:val="98"/>
              </w:rPr>
              <w:t>approval of the Wabtec Legal Department,</w:t>
            </w:r>
          </w:p>
        </w:tc>
      </w:tr>
      <w:tr>
        <w:trPr>
          <w:trHeight w:val="271"/>
        </w:trPr>
        <w:tc>
          <w:tcPr>
            <w:tcW w:w="470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98"/>
              </w:rPr>
              <w:t>directors and officers are permitted to:</w:t>
            </w:r>
          </w:p>
        </w:tc>
      </w:tr>
    </w:tbl>
    <w:p>
      <w:pPr>
        <w:spacing w:after="0" w:line="110" w:lineRule="exact"/>
        <w:rPr>
          <w:sz w:val="20"/>
          <w:szCs w:val="20"/>
          <w:color w:val="auto"/>
        </w:rPr>
      </w:pPr>
    </w:p>
    <w:p>
      <w:pPr>
        <w:sectPr>
          <w:pgSz w:w="11900" w:h="16838" w:orient="portrait"/>
          <w:cols w:equalWidth="0" w:num="1">
            <w:col w:w="11020"/>
          </w:cols>
          <w:pgMar w:left="440" w:top="263" w:right="439" w:bottom="1440" w:gutter="0" w:footer="0" w:header="0"/>
        </w:sectPr>
      </w:pPr>
    </w:p>
    <w:p>
      <w:pPr>
        <w:ind w:left="1180" w:hanging="230"/>
        <w:spacing w:after="0"/>
        <w:tabs>
          <w:tab w:leader="none" w:pos="1180" w:val="left"/>
        </w:tabs>
        <w:numPr>
          <w:ilvl w:val="0"/>
          <w:numId w:val="43"/>
        </w:numPr>
        <w:rPr>
          <w:rFonts w:ascii="MS PGothic" w:cs="MS PGothic" w:eastAsia="MS PGothic" w:hAnsi="MS PGothic"/>
          <w:sz w:val="18"/>
          <w:szCs w:val="18"/>
          <w:color w:val="EC252A"/>
        </w:rPr>
      </w:pPr>
      <w:r>
        <w:rPr>
          <w:rFonts w:ascii="Arial" w:cs="Arial" w:eastAsia="Arial" w:hAnsi="Arial"/>
          <w:sz w:val="18"/>
          <w:szCs w:val="18"/>
          <w:color w:val="auto"/>
        </w:rPr>
        <w:t>Short sales of Wabtec stock;</w:t>
      </w:r>
    </w:p>
    <w:p>
      <w:pPr>
        <w:spacing w:after="0" w:line="13" w:lineRule="exact"/>
        <w:rPr>
          <w:rFonts w:ascii="MS PGothic" w:cs="MS PGothic" w:eastAsia="MS PGothic" w:hAnsi="MS PGothic"/>
          <w:sz w:val="18"/>
          <w:szCs w:val="18"/>
          <w:color w:val="EC252A"/>
        </w:rPr>
      </w:pPr>
    </w:p>
    <w:p>
      <w:pPr>
        <w:ind w:left="1180" w:hanging="230"/>
        <w:spacing w:after="0" w:line="234" w:lineRule="auto"/>
        <w:tabs>
          <w:tab w:leader="none" w:pos="1180" w:val="left"/>
        </w:tabs>
        <w:numPr>
          <w:ilvl w:val="0"/>
          <w:numId w:val="43"/>
        </w:numPr>
        <w:rPr>
          <w:rFonts w:ascii="MS PGothic" w:cs="MS PGothic" w:eastAsia="MS PGothic" w:hAnsi="MS PGothic"/>
          <w:sz w:val="18"/>
          <w:szCs w:val="18"/>
          <w:color w:val="EC252A"/>
        </w:rPr>
      </w:pPr>
      <w:r>
        <w:rPr>
          <w:rFonts w:ascii="Arial" w:cs="Arial" w:eastAsia="Arial" w:hAnsi="Arial"/>
          <w:sz w:val="18"/>
          <w:szCs w:val="18"/>
          <w:color w:val="auto"/>
        </w:rPr>
        <w:t>Buying and selling publicly traded Wabtec options;</w:t>
      </w:r>
    </w:p>
    <w:p>
      <w:pPr>
        <w:ind w:left="1180" w:hanging="230"/>
        <w:spacing w:after="0" w:line="234" w:lineRule="auto"/>
        <w:tabs>
          <w:tab w:leader="none" w:pos="1180" w:val="left"/>
        </w:tabs>
        <w:numPr>
          <w:ilvl w:val="0"/>
          <w:numId w:val="43"/>
        </w:numPr>
        <w:rPr>
          <w:rFonts w:ascii="MS PGothic" w:cs="MS PGothic" w:eastAsia="MS PGothic" w:hAnsi="MS PGothic"/>
          <w:sz w:val="18"/>
          <w:szCs w:val="18"/>
          <w:color w:val="EC252A"/>
        </w:rPr>
      </w:pPr>
      <w:r>
        <w:rPr>
          <w:rFonts w:ascii="Arial" w:cs="Arial" w:eastAsia="Arial" w:hAnsi="Arial"/>
          <w:sz w:val="18"/>
          <w:szCs w:val="18"/>
          <w:color w:val="auto"/>
        </w:rPr>
        <w:t>Standing orders to buy or sell Wabtec stock;</w:t>
      </w:r>
    </w:p>
    <w:p>
      <w:pPr>
        <w:ind w:left="1180" w:hanging="230"/>
        <w:spacing w:after="0" w:line="234" w:lineRule="auto"/>
        <w:tabs>
          <w:tab w:leader="none" w:pos="1187" w:val="left"/>
        </w:tabs>
        <w:numPr>
          <w:ilvl w:val="0"/>
          <w:numId w:val="43"/>
        </w:numPr>
        <w:rPr>
          <w:rFonts w:ascii="MS PGothic" w:cs="MS PGothic" w:eastAsia="MS PGothic" w:hAnsi="MS PGothic"/>
          <w:sz w:val="18"/>
          <w:szCs w:val="18"/>
          <w:color w:val="EC252A"/>
        </w:rPr>
      </w:pPr>
      <w:r>
        <w:rPr>
          <w:rFonts w:ascii="Arial" w:cs="Arial" w:eastAsia="Arial" w:hAnsi="Arial"/>
          <w:sz w:val="18"/>
          <w:szCs w:val="18"/>
          <w:color w:val="auto"/>
        </w:rPr>
        <w:t>Hedging or monetization transactions such as zero cost collars, forward sale contracts involving Wabtec stock;</w:t>
      </w:r>
    </w:p>
    <w:p>
      <w:pPr>
        <w:spacing w:after="0" w:line="2" w:lineRule="exact"/>
        <w:rPr>
          <w:rFonts w:ascii="MS PGothic" w:cs="MS PGothic" w:eastAsia="MS PGothic" w:hAnsi="MS PGothic"/>
          <w:sz w:val="18"/>
          <w:szCs w:val="18"/>
          <w:color w:val="EC252A"/>
        </w:rPr>
      </w:pPr>
    </w:p>
    <w:p>
      <w:pPr>
        <w:ind w:left="1180" w:right="220" w:hanging="230"/>
        <w:spacing w:after="0" w:line="234" w:lineRule="auto"/>
        <w:tabs>
          <w:tab w:leader="none" w:pos="1187" w:val="left"/>
        </w:tabs>
        <w:numPr>
          <w:ilvl w:val="0"/>
          <w:numId w:val="43"/>
        </w:numPr>
        <w:rPr>
          <w:rFonts w:ascii="MS PGothic" w:cs="MS PGothic" w:eastAsia="MS PGothic" w:hAnsi="MS PGothic"/>
          <w:sz w:val="18"/>
          <w:szCs w:val="18"/>
          <w:color w:val="EC252A"/>
        </w:rPr>
      </w:pPr>
      <w:r>
        <w:rPr>
          <w:rFonts w:ascii="Arial" w:cs="Arial" w:eastAsia="Arial" w:hAnsi="Arial"/>
          <w:sz w:val="18"/>
          <w:szCs w:val="18"/>
          <w:color w:val="auto"/>
        </w:rPr>
        <w:t>Pledges of Wabtec stock as collateral for loans or margin accounts; or</w:t>
      </w:r>
    </w:p>
    <w:p>
      <w:pPr>
        <w:spacing w:after="0" w:line="1" w:lineRule="exact"/>
        <w:rPr>
          <w:rFonts w:ascii="MS PGothic" w:cs="MS PGothic" w:eastAsia="MS PGothic" w:hAnsi="MS PGothic"/>
          <w:sz w:val="18"/>
          <w:szCs w:val="18"/>
          <w:color w:val="EC252A"/>
        </w:rPr>
      </w:pPr>
    </w:p>
    <w:p>
      <w:pPr>
        <w:ind w:left="1180" w:right="80" w:hanging="230"/>
        <w:spacing w:after="0" w:line="242" w:lineRule="auto"/>
        <w:tabs>
          <w:tab w:leader="none" w:pos="1187" w:val="left"/>
        </w:tabs>
        <w:numPr>
          <w:ilvl w:val="0"/>
          <w:numId w:val="43"/>
        </w:numPr>
        <w:rPr>
          <w:rFonts w:ascii="MS PGothic" w:cs="MS PGothic" w:eastAsia="MS PGothic" w:hAnsi="MS PGothic"/>
          <w:sz w:val="18"/>
          <w:szCs w:val="18"/>
          <w:color w:val="EC252A"/>
        </w:rPr>
      </w:pPr>
      <w:r>
        <w:rPr>
          <w:rFonts w:ascii="Arial" w:cs="Arial" w:eastAsia="Arial" w:hAnsi="Arial"/>
          <w:sz w:val="18"/>
          <w:szCs w:val="18"/>
          <w:color w:val="auto"/>
        </w:rPr>
        <w:t>Enter into Rule 10b5-1 plans to buy or sell Wabtec stock during quiet periods or when in possession of material, non-public information.</w:t>
      </w:r>
    </w:p>
    <w:p>
      <w:pPr>
        <w:spacing w:after="0" w:line="195"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Post-Termination Compensation.</w:t>
      </w:r>
    </w:p>
    <w:p>
      <w:pPr>
        <w:spacing w:after="0" w:line="20" w:lineRule="exact"/>
        <w:rPr>
          <w:sz w:val="20"/>
          <w:szCs w:val="20"/>
          <w:color w:val="auto"/>
        </w:rPr>
      </w:pPr>
      <w:r>
        <w:rPr>
          <w:sz w:val="20"/>
          <w:szCs w:val="20"/>
          <w:color w:val="auto"/>
        </w:rPr>
        <w:br w:type="column"/>
      </w:r>
    </w:p>
    <w:p>
      <w:pPr>
        <w:ind w:left="238" w:right="980" w:hanging="238"/>
        <w:spacing w:after="0" w:line="241" w:lineRule="auto"/>
        <w:tabs>
          <w:tab w:leader="none" w:pos="231" w:val="left"/>
        </w:tabs>
        <w:numPr>
          <w:ilvl w:val="0"/>
          <w:numId w:val="44"/>
        </w:numPr>
        <w:rPr>
          <w:rFonts w:ascii="MS PGothic" w:cs="MS PGothic" w:eastAsia="MS PGothic" w:hAnsi="MS PGothic"/>
          <w:sz w:val="18"/>
          <w:szCs w:val="18"/>
          <w:color w:val="EC252A"/>
        </w:rPr>
      </w:pPr>
      <w:r>
        <w:rPr>
          <w:rFonts w:ascii="Arial" w:cs="Arial" w:eastAsia="Arial" w:hAnsi="Arial"/>
          <w:sz w:val="18"/>
          <w:szCs w:val="18"/>
          <w:color w:val="auto"/>
        </w:rPr>
        <w:t>Conduct cashless exercises of options if no Wabtec securities are sold in the market to fund such exercise;</w:t>
      </w:r>
    </w:p>
    <w:p>
      <w:pPr>
        <w:spacing w:after="0" w:line="1" w:lineRule="exact"/>
        <w:rPr>
          <w:rFonts w:ascii="MS PGothic" w:cs="MS PGothic" w:eastAsia="MS PGothic" w:hAnsi="MS PGothic"/>
          <w:sz w:val="18"/>
          <w:szCs w:val="18"/>
          <w:color w:val="EC252A"/>
        </w:rPr>
      </w:pPr>
    </w:p>
    <w:p>
      <w:pPr>
        <w:ind w:left="238" w:right="1360" w:hanging="238"/>
        <w:spacing w:after="0" w:line="234" w:lineRule="auto"/>
        <w:tabs>
          <w:tab w:leader="none" w:pos="231" w:val="left"/>
        </w:tabs>
        <w:numPr>
          <w:ilvl w:val="0"/>
          <w:numId w:val="44"/>
        </w:numPr>
        <w:rPr>
          <w:rFonts w:ascii="MS PGothic" w:cs="MS PGothic" w:eastAsia="MS PGothic" w:hAnsi="MS PGothic"/>
          <w:sz w:val="18"/>
          <w:szCs w:val="18"/>
          <w:color w:val="EC252A"/>
        </w:rPr>
      </w:pPr>
      <w:r>
        <w:rPr>
          <w:rFonts w:ascii="Arial" w:cs="Arial" w:eastAsia="Arial" w:hAnsi="Arial"/>
          <w:sz w:val="18"/>
          <w:szCs w:val="18"/>
          <w:color w:val="auto"/>
        </w:rPr>
        <w:t>Continue regular and matching contributions in benefit plans;</w:t>
      </w:r>
    </w:p>
    <w:p>
      <w:pPr>
        <w:spacing w:after="0" w:line="1" w:lineRule="exact"/>
        <w:rPr>
          <w:rFonts w:ascii="MS PGothic" w:cs="MS PGothic" w:eastAsia="MS PGothic" w:hAnsi="MS PGothic"/>
          <w:sz w:val="18"/>
          <w:szCs w:val="18"/>
          <w:color w:val="EC252A"/>
        </w:rPr>
      </w:pPr>
    </w:p>
    <w:p>
      <w:pPr>
        <w:jc w:val="both"/>
        <w:ind w:left="238" w:right="1000" w:hanging="238"/>
        <w:spacing w:after="0" w:line="234" w:lineRule="auto"/>
        <w:tabs>
          <w:tab w:leader="none" w:pos="231" w:val="left"/>
        </w:tabs>
        <w:numPr>
          <w:ilvl w:val="0"/>
          <w:numId w:val="44"/>
        </w:numPr>
        <w:rPr>
          <w:rFonts w:ascii="MS PGothic" w:cs="MS PGothic" w:eastAsia="MS PGothic" w:hAnsi="MS PGothic"/>
          <w:sz w:val="18"/>
          <w:szCs w:val="18"/>
          <w:color w:val="EC252A"/>
        </w:rPr>
      </w:pPr>
      <w:r>
        <w:rPr>
          <w:rFonts w:ascii="Arial" w:cs="Arial" w:eastAsia="Arial" w:hAnsi="Arial"/>
          <w:sz w:val="18"/>
          <w:szCs w:val="18"/>
          <w:color w:val="auto"/>
        </w:rPr>
        <w:t>Make gifts of Wabtec securities unless the recipient intends to sell the securities during the quiet period and the donee has knowledge of such intent to sell during the quiet period; and</w:t>
      </w:r>
    </w:p>
    <w:p>
      <w:pPr>
        <w:spacing w:after="0" w:line="2" w:lineRule="exact"/>
        <w:rPr>
          <w:rFonts w:ascii="MS PGothic" w:cs="MS PGothic" w:eastAsia="MS PGothic" w:hAnsi="MS PGothic"/>
          <w:sz w:val="18"/>
          <w:szCs w:val="18"/>
          <w:color w:val="EC252A"/>
        </w:rPr>
      </w:pPr>
    </w:p>
    <w:p>
      <w:pPr>
        <w:ind w:left="238" w:right="1180" w:hanging="238"/>
        <w:spacing w:after="0" w:line="250" w:lineRule="auto"/>
        <w:tabs>
          <w:tab w:leader="none" w:pos="231" w:val="left"/>
        </w:tabs>
        <w:numPr>
          <w:ilvl w:val="0"/>
          <w:numId w:val="44"/>
        </w:numPr>
        <w:rPr>
          <w:rFonts w:ascii="MS PGothic" w:cs="MS PGothic" w:eastAsia="MS PGothic" w:hAnsi="MS PGothic"/>
          <w:sz w:val="18"/>
          <w:szCs w:val="18"/>
          <w:color w:val="EC252A"/>
        </w:rPr>
      </w:pPr>
      <w:r>
        <w:rPr>
          <w:rFonts w:ascii="Arial" w:cs="Arial" w:eastAsia="Arial" w:hAnsi="Arial"/>
          <w:sz w:val="18"/>
          <w:szCs w:val="18"/>
          <w:color w:val="auto"/>
        </w:rPr>
        <w:t>Conduct transactions in previously approved and adopted Rule 10b5-1 plans.</w:t>
      </w:r>
    </w:p>
    <w:p>
      <w:pPr>
        <w:spacing w:after="0" w:line="496" w:lineRule="exact"/>
        <w:rPr>
          <w:sz w:val="20"/>
          <w:szCs w:val="20"/>
          <w:color w:val="auto"/>
        </w:rPr>
      </w:pPr>
    </w:p>
    <w:p>
      <w:pPr>
        <w:sectPr>
          <w:pgSz w:w="11900" w:h="16838" w:orient="portrait"/>
          <w:cols w:equalWidth="0" w:num="2">
            <w:col w:w="5340" w:space="362"/>
            <w:col w:w="5318"/>
          </w:cols>
          <w:pgMar w:left="440" w:top="263" w:right="439" w:bottom="1440" w:gutter="0" w:footer="0" w:header="0"/>
          <w:type w:val="continuous"/>
        </w:sectPr>
      </w:pPr>
    </w:p>
    <w:p>
      <w:pPr>
        <w:ind w:left="860" w:right="980"/>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The Board of Directors has entered into employment continuation agreements with certain senior executive officers, including Messrs. Santana, Olin and DeNinno, as well as a Severance Agreement with Mr. Santana. These agreements are discussed in this Proxy Statement beginning on page </w:t>
      </w:r>
      <w:hyperlink w:anchor="page53">
        <w:r>
          <w:rPr>
            <w:rFonts w:ascii="Arial" w:cs="Arial" w:eastAsia="Arial" w:hAnsi="Arial"/>
            <w:sz w:val="17"/>
            <w:szCs w:val="17"/>
            <w:u w:val="single" w:color="auto"/>
            <w:color w:val="0000EE"/>
          </w:rPr>
          <w:t>48</w:t>
        </w:r>
      </w:hyperlink>
      <w:r>
        <w:rPr>
          <w:rFonts w:ascii="Arial" w:cs="Arial" w:eastAsia="Arial" w:hAnsi="Arial"/>
          <w:sz w:val="17"/>
          <w:szCs w:val="17"/>
          <w:color w:val="auto"/>
        </w:rPr>
        <w:t>. Also discussed below, certain of our benefit plans contain provisions that address termination of an individual or a change in control of the Company.</w:t>
      </w:r>
    </w:p>
    <w:p>
      <w:pPr>
        <w:spacing w:after="0" w:line="51" w:lineRule="exact"/>
        <w:rPr>
          <w:sz w:val="20"/>
          <w:szCs w:val="20"/>
          <w:color w:val="auto"/>
        </w:rPr>
      </w:pPr>
    </w:p>
    <w:p>
      <w:pPr>
        <w:ind w:left="860" w:right="1180"/>
        <w:spacing w:after="0" w:line="242" w:lineRule="auto"/>
        <w:rPr>
          <w:sz w:val="20"/>
          <w:szCs w:val="20"/>
          <w:color w:val="auto"/>
        </w:rPr>
      </w:pPr>
      <w:r>
        <w:rPr>
          <w:rFonts w:ascii="Arial" w:cs="Arial" w:eastAsia="Arial" w:hAnsi="Arial"/>
          <w:sz w:val="18"/>
          <w:szCs w:val="18"/>
          <w:i w:val="1"/>
          <w:iCs w:val="1"/>
          <w:color w:val="auto"/>
        </w:rPr>
        <w:t xml:space="preserve">Tax Implications of Executive Compensation. </w:t>
      </w:r>
      <w:r>
        <w:rPr>
          <w:rFonts w:ascii="Arial" w:cs="Arial" w:eastAsia="Arial" w:hAnsi="Arial"/>
          <w:sz w:val="18"/>
          <w:szCs w:val="18"/>
          <w:color w:val="auto"/>
        </w:rPr>
        <w:t>Section 162(m) of the Internal Revenue Code of 1986, as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(the “Code”), limits the deductibility of compensation in excess of $1 million paid to certain covered employees (generally including the NEOs) in any calendar year. As a result, compensation paid in excess of $1 million to our named executive officers generally will not be deductible. The Compensation Committee designs compensation programs that are intended to be in the best long-term interests of the Company and our stockholders, with deductibility of compensation being one of a variety of considerations taken into account.</w:t>
      </w:r>
    </w:p>
    <w:p>
      <w:pPr>
        <w:spacing w:after="0" w:line="71" w:lineRule="exact"/>
        <w:rPr>
          <w:sz w:val="20"/>
          <w:szCs w:val="20"/>
          <w:color w:val="auto"/>
        </w:rPr>
      </w:pPr>
    </w:p>
    <w:p>
      <w:pPr>
        <w:ind w:left="860" w:right="920"/>
        <w:spacing w:after="0" w:line="247" w:lineRule="auto"/>
        <w:rPr>
          <w:sz w:val="20"/>
          <w:szCs w:val="20"/>
          <w:color w:val="auto"/>
        </w:rPr>
      </w:pPr>
      <w:r>
        <w:rPr>
          <w:rFonts w:ascii="Arial" w:cs="Arial" w:eastAsia="Arial" w:hAnsi="Arial"/>
          <w:sz w:val="18"/>
          <w:szCs w:val="18"/>
          <w:i w:val="1"/>
          <w:iCs w:val="1"/>
          <w:color w:val="auto"/>
        </w:rPr>
        <w:t xml:space="preserve">Accounting Considerations with Regard to Compensation Practices. </w:t>
      </w:r>
      <w:r>
        <w:rPr>
          <w:rFonts w:ascii="Arial" w:cs="Arial" w:eastAsia="Arial" w:hAnsi="Arial"/>
          <w:sz w:val="18"/>
          <w:szCs w:val="18"/>
          <w:color w:val="auto"/>
        </w:rPr>
        <w:t>The Compensation Committee reviews on an</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basis the impact of our compensation programs on Wabtec’s financial statements, including the accounting treatment of equity-based compensation, and the Compensation Committee’s decisions may be influenced by such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173990</wp:posOffset>
            </wp:positionV>
            <wp:extent cx="58978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276860</wp:posOffset>
            </wp:positionV>
            <wp:extent cx="47117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41</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type w:val="continuous"/>
        </w:sectPr>
      </w:pPr>
    </w:p>
    <w:bookmarkStart w:id="46" w:name="page47"/>
    <w:bookmarkEnd w:id="4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Summary Compensation Table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This table shows the compensation for Wabtec’s named executive officers for the year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00" w:type="dxa"/>
            <w:vAlign w:val="bottom"/>
            <w:gridSpan w:val="2"/>
          </w:tcPr>
          <w:p>
            <w:pPr>
              <w:jc w:val="right"/>
              <w:ind w:right="248"/>
              <w:spacing w:after="0"/>
              <w:rPr>
                <w:sz w:val="20"/>
                <w:szCs w:val="20"/>
                <w:color w:val="auto"/>
              </w:rPr>
            </w:pPr>
            <w:r>
              <w:rPr>
                <w:rFonts w:ascii="Arial" w:cs="Arial" w:eastAsia="Arial" w:hAnsi="Arial"/>
                <w:sz w:val="13"/>
                <w:szCs w:val="13"/>
                <w:b w:val="1"/>
                <w:bCs w:val="1"/>
                <w:color w:val="EC252A"/>
              </w:rPr>
              <w:t>Non-Equity</w:t>
            </w:r>
          </w:p>
        </w:tc>
        <w:tc>
          <w:tcPr>
            <w:tcW w:w="420" w:type="dxa"/>
            <w:vAlign w:val="bottom"/>
          </w:tcPr>
          <w:p>
            <w:pPr>
              <w:spacing w:after="0"/>
              <w:rPr>
                <w:sz w:val="13"/>
                <w:szCs w:val="13"/>
                <w:color w:val="auto"/>
              </w:rPr>
            </w:pPr>
          </w:p>
        </w:tc>
        <w:tc>
          <w:tcPr>
            <w:tcW w:w="880" w:type="dxa"/>
            <w:vAlign w:val="bottom"/>
            <w:vMerge w:val="restart"/>
          </w:tcPr>
          <w:p>
            <w:pPr>
              <w:jc w:val="center"/>
              <w:ind w:right="369"/>
              <w:spacing w:after="0"/>
              <w:rPr>
                <w:sz w:val="20"/>
                <w:szCs w:val="20"/>
                <w:color w:val="auto"/>
              </w:rPr>
            </w:pPr>
            <w:r>
              <w:rPr>
                <w:rFonts w:ascii="Arial" w:cs="Arial" w:eastAsia="Arial" w:hAnsi="Arial"/>
                <w:sz w:val="13"/>
                <w:szCs w:val="13"/>
                <w:b w:val="1"/>
                <w:bCs w:val="1"/>
                <w:color w:val="EC252A"/>
                <w:w w:val="96"/>
              </w:rPr>
              <w:t>All</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b w:val="1"/>
                <w:bCs w:val="1"/>
                <w:color w:val="EC252A"/>
              </w:rPr>
              <w:t>Stock</w:t>
            </w: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EC252A"/>
              </w:rPr>
              <w:t>Option</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Incentive</w:t>
            </w:r>
          </w:p>
        </w:tc>
        <w:tc>
          <w:tcPr>
            <w:tcW w:w="4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vMerge w:val="restart"/>
          </w:tcPr>
          <w:p>
            <w:pPr>
              <w:ind w:left="80"/>
              <w:spacing w:after="0"/>
              <w:rPr>
                <w:sz w:val="20"/>
                <w:szCs w:val="20"/>
                <w:color w:val="auto"/>
              </w:rPr>
            </w:pPr>
            <w:r>
              <w:rPr>
                <w:rFonts w:ascii="Arial" w:cs="Arial" w:eastAsia="Arial" w:hAnsi="Arial"/>
                <w:sz w:val="13"/>
                <w:szCs w:val="13"/>
                <w:b w:val="1"/>
                <w:bCs w:val="1"/>
                <w:color w:val="EC252A"/>
              </w:rPr>
              <w:t>Name and Position</w:t>
            </w:r>
          </w:p>
        </w:tc>
        <w:tc>
          <w:tcPr>
            <w:tcW w:w="560" w:type="dxa"/>
            <w:vAlign w:val="bottom"/>
            <w:vMerge w:val="restart"/>
          </w:tcPr>
          <w:p>
            <w:pPr>
              <w:jc w:val="center"/>
              <w:spacing w:after="0"/>
              <w:rPr>
                <w:sz w:val="20"/>
                <w:szCs w:val="20"/>
                <w:color w:val="auto"/>
              </w:rPr>
            </w:pPr>
            <w:r>
              <w:rPr>
                <w:rFonts w:ascii="Arial" w:cs="Arial" w:eastAsia="Arial" w:hAnsi="Arial"/>
                <w:sz w:val="13"/>
                <w:szCs w:val="13"/>
                <w:b w:val="1"/>
                <w:bCs w:val="1"/>
                <w:color w:val="EC252A"/>
              </w:rPr>
              <w:t>Year</w:t>
            </w:r>
          </w:p>
        </w:tc>
        <w:tc>
          <w:tcPr>
            <w:tcW w:w="2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b w:val="1"/>
                <w:bCs w:val="1"/>
                <w:color w:val="EC252A"/>
              </w:rPr>
              <w:t>Salary</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jc w:val="center"/>
              <w:ind w:right="408"/>
              <w:spacing w:after="0"/>
              <w:rPr>
                <w:sz w:val="20"/>
                <w:szCs w:val="20"/>
                <w:color w:val="auto"/>
              </w:rPr>
            </w:pPr>
            <w:r>
              <w:rPr>
                <w:rFonts w:ascii="Arial" w:cs="Arial" w:eastAsia="Arial" w:hAnsi="Arial"/>
                <w:sz w:val="13"/>
                <w:szCs w:val="13"/>
                <w:b w:val="1"/>
                <w:bCs w:val="1"/>
                <w:color w:val="EC252A"/>
              </w:rPr>
              <w:t>Plan</w:t>
            </w:r>
          </w:p>
        </w:tc>
        <w:tc>
          <w:tcPr>
            <w:tcW w:w="420" w:type="dxa"/>
            <w:vAlign w:val="bottom"/>
          </w:tcPr>
          <w:p>
            <w:pPr>
              <w:spacing w:after="0"/>
              <w:rPr>
                <w:sz w:val="12"/>
                <w:szCs w:val="12"/>
                <w:color w:val="auto"/>
              </w:rPr>
            </w:pPr>
          </w:p>
        </w:tc>
        <w:tc>
          <w:tcPr>
            <w:tcW w:w="880" w:type="dxa"/>
            <w:vAlign w:val="bottom"/>
          </w:tcPr>
          <w:p>
            <w:pPr>
              <w:jc w:val="center"/>
              <w:ind w:right="369"/>
              <w:spacing w:after="0"/>
              <w:rPr>
                <w:sz w:val="20"/>
                <w:szCs w:val="20"/>
                <w:color w:val="auto"/>
              </w:rPr>
            </w:pPr>
            <w:r>
              <w:rPr>
                <w:rFonts w:ascii="Arial" w:cs="Arial" w:eastAsia="Arial" w:hAnsi="Arial"/>
                <w:sz w:val="13"/>
                <w:szCs w:val="13"/>
                <w:b w:val="1"/>
                <w:bCs w:val="1"/>
                <w:color w:val="EC252A"/>
              </w:rPr>
              <w:t>Other</w:t>
            </w:r>
          </w:p>
        </w:tc>
        <w:tc>
          <w:tcPr>
            <w:tcW w:w="200" w:type="dxa"/>
            <w:vAlign w:val="bottom"/>
          </w:tcPr>
          <w:p>
            <w:pPr>
              <w:spacing w:after="0"/>
              <w:rPr>
                <w:sz w:val="12"/>
                <w:szCs w:val="12"/>
                <w:color w:val="auto"/>
              </w:rPr>
            </w:pPr>
          </w:p>
        </w:tc>
        <w:tc>
          <w:tcPr>
            <w:tcW w:w="720" w:type="dxa"/>
            <w:vAlign w:val="bottom"/>
            <w:vMerge w:val="restart"/>
          </w:tcPr>
          <w:p>
            <w:pPr>
              <w:ind w:left="140"/>
              <w:spacing w:after="0"/>
              <w:rPr>
                <w:sz w:val="20"/>
                <w:szCs w:val="20"/>
                <w:color w:val="auto"/>
              </w:rPr>
            </w:pPr>
            <w:r>
              <w:rPr>
                <w:rFonts w:ascii="Arial" w:cs="Arial" w:eastAsia="Arial" w:hAnsi="Arial"/>
                <w:sz w:val="13"/>
                <w:szCs w:val="13"/>
                <w:b w:val="1"/>
                <w:bCs w:val="1"/>
                <w:color w:val="EC252A"/>
              </w:rPr>
              <w:t>Total</w:t>
            </w:r>
          </w:p>
        </w:tc>
        <w:tc>
          <w:tcPr>
            <w:tcW w:w="0" w:type="dxa"/>
            <w:vAlign w:val="bottom"/>
          </w:tcPr>
          <w:p>
            <w:pPr>
              <w:spacing w:after="0"/>
              <w:rPr>
                <w:sz w:val="1"/>
                <w:szCs w:val="1"/>
                <w:color w:val="auto"/>
              </w:rPr>
            </w:pPr>
          </w:p>
        </w:tc>
      </w:tr>
      <w:tr>
        <w:trPr>
          <w:trHeight w:val="186"/>
        </w:trPr>
        <w:tc>
          <w:tcPr>
            <w:tcW w:w="24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b w:val="1"/>
                <w:bCs w:val="1"/>
                <w:color w:val="EC252A"/>
              </w:rPr>
              <w:t>Awards (1)</w:t>
            </w: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EC252A"/>
              </w:rPr>
              <w:t>Awards (2)</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Compensation (3)</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Compensation (6)</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480" w:type="dxa"/>
            <w:vAlign w:val="bottom"/>
            <w:tcBorders>
              <w:bottom w:val="single" w:sz="8" w:color="EC252A"/>
            </w:tcBorders>
          </w:tcPr>
          <w:p>
            <w:pPr>
              <w:spacing w:after="0"/>
              <w:rPr>
                <w:sz w:val="6"/>
                <w:szCs w:val="6"/>
                <w:color w:val="auto"/>
              </w:rPr>
            </w:pPr>
          </w:p>
        </w:tc>
        <w:tc>
          <w:tcPr>
            <w:tcW w:w="560" w:type="dxa"/>
            <w:vAlign w:val="bottom"/>
            <w:tcBorders>
              <w:bottom w:val="single" w:sz="8" w:color="EC252A"/>
            </w:tcBorders>
          </w:tcPr>
          <w:p>
            <w:pPr>
              <w:spacing w:after="0"/>
              <w:rPr>
                <w:sz w:val="6"/>
                <w:szCs w:val="6"/>
                <w:color w:val="auto"/>
              </w:rPr>
            </w:pPr>
          </w:p>
        </w:tc>
        <w:tc>
          <w:tcPr>
            <w:tcW w:w="940" w:type="dxa"/>
            <w:vAlign w:val="bottom"/>
            <w:tcBorders>
              <w:bottom w:val="single" w:sz="8" w:color="EC252A"/>
            </w:tcBorders>
            <w:gridSpan w:val="2"/>
          </w:tcPr>
          <w:p>
            <w:pPr>
              <w:spacing w:after="0"/>
              <w:rPr>
                <w:sz w:val="6"/>
                <w:szCs w:val="6"/>
                <w:color w:val="auto"/>
              </w:rPr>
            </w:pPr>
          </w:p>
        </w:tc>
        <w:tc>
          <w:tcPr>
            <w:tcW w:w="900" w:type="dxa"/>
            <w:vAlign w:val="bottom"/>
            <w:tcBorders>
              <w:bottom w:val="single" w:sz="8" w:color="EC252A"/>
            </w:tcBorders>
            <w:gridSpan w:val="2"/>
          </w:tcPr>
          <w:p>
            <w:pPr>
              <w:spacing w:after="0"/>
              <w:rPr>
                <w:sz w:val="6"/>
                <w:szCs w:val="6"/>
                <w:color w:val="auto"/>
              </w:rPr>
            </w:pPr>
          </w:p>
        </w:tc>
        <w:tc>
          <w:tcPr>
            <w:tcW w:w="880" w:type="dxa"/>
            <w:vAlign w:val="bottom"/>
            <w:tcBorders>
              <w:bottom w:val="single" w:sz="8" w:color="EC252A"/>
            </w:tcBorders>
            <w:gridSpan w:val="2"/>
          </w:tcPr>
          <w:p>
            <w:pPr>
              <w:spacing w:after="0"/>
              <w:rPr>
                <w:sz w:val="6"/>
                <w:szCs w:val="6"/>
                <w:color w:val="auto"/>
              </w:rPr>
            </w:pPr>
          </w:p>
        </w:tc>
        <w:tc>
          <w:tcPr>
            <w:tcW w:w="1300" w:type="dxa"/>
            <w:vAlign w:val="bottom"/>
            <w:tcBorders>
              <w:bottom w:val="single" w:sz="8" w:color="EC252A"/>
            </w:tcBorders>
            <w:gridSpan w:val="2"/>
          </w:tcPr>
          <w:p>
            <w:pPr>
              <w:spacing w:after="0"/>
              <w:rPr>
                <w:sz w:val="6"/>
                <w:szCs w:val="6"/>
                <w:color w:val="auto"/>
              </w:rPr>
            </w:pPr>
          </w:p>
        </w:tc>
        <w:tc>
          <w:tcPr>
            <w:tcW w:w="420" w:type="dxa"/>
            <w:vAlign w:val="bottom"/>
            <w:tcBorders>
              <w:bottom w:val="single" w:sz="8" w:color="EC252A"/>
            </w:tcBorders>
          </w:tcPr>
          <w:p>
            <w:pPr>
              <w:spacing w:after="0"/>
              <w:rPr>
                <w:sz w:val="6"/>
                <w:szCs w:val="6"/>
                <w:color w:val="auto"/>
              </w:rPr>
            </w:pPr>
          </w:p>
        </w:tc>
        <w:tc>
          <w:tcPr>
            <w:tcW w:w="880" w:type="dxa"/>
            <w:vAlign w:val="bottom"/>
            <w:tcBorders>
              <w:bottom w:val="single" w:sz="8" w:color="EC252A"/>
            </w:tcBorders>
          </w:tcPr>
          <w:p>
            <w:pPr>
              <w:spacing w:after="0"/>
              <w:rPr>
                <w:sz w:val="6"/>
                <w:szCs w:val="6"/>
                <w:color w:val="auto"/>
              </w:rPr>
            </w:pPr>
          </w:p>
        </w:tc>
        <w:tc>
          <w:tcPr>
            <w:tcW w:w="920" w:type="dxa"/>
            <w:vAlign w:val="bottom"/>
            <w:tcBorders>
              <w:bottom w:val="single" w:sz="8" w:color="EC252A"/>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480" w:type="dxa"/>
            <w:vAlign w:val="bottom"/>
          </w:tcPr>
          <w:p>
            <w:pPr>
              <w:ind w:left="80"/>
              <w:spacing w:after="0"/>
              <w:rPr>
                <w:sz w:val="20"/>
                <w:szCs w:val="20"/>
                <w:color w:val="auto"/>
              </w:rPr>
            </w:pPr>
            <w:r>
              <w:rPr>
                <w:rFonts w:ascii="Arial" w:cs="Arial" w:eastAsia="Arial" w:hAnsi="Arial"/>
                <w:sz w:val="14"/>
                <w:szCs w:val="14"/>
                <w:color w:val="auto"/>
              </w:rPr>
              <w:t>Rafael Santana</w:t>
            </w:r>
          </w:p>
        </w:tc>
        <w:tc>
          <w:tcPr>
            <w:tcW w:w="560" w:type="dxa"/>
            <w:vAlign w:val="bottom"/>
          </w:tcPr>
          <w:p>
            <w:pPr>
              <w:jc w:val="center"/>
              <w:spacing w:after="0"/>
              <w:rPr>
                <w:sz w:val="20"/>
                <w:szCs w:val="20"/>
                <w:color w:val="auto"/>
              </w:rPr>
            </w:pPr>
            <w:r>
              <w:rPr>
                <w:rFonts w:ascii="Arial" w:cs="Arial" w:eastAsia="Arial" w:hAnsi="Arial"/>
                <w:sz w:val="14"/>
                <w:szCs w:val="14"/>
                <w:color w:val="auto"/>
              </w:rPr>
              <w:t>2021</w:t>
            </w: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$1,200,000</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$6,415,184</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$786,364</w:t>
            </w:r>
          </w:p>
        </w:tc>
        <w:tc>
          <w:tcPr>
            <w:tcW w:w="1300" w:type="dxa"/>
            <w:vAlign w:val="bottom"/>
            <w:gridSpan w:val="2"/>
          </w:tcPr>
          <w:p>
            <w:pPr>
              <w:ind w:left="280"/>
              <w:spacing w:after="0"/>
              <w:rPr>
                <w:sz w:val="20"/>
                <w:szCs w:val="20"/>
                <w:color w:val="auto"/>
              </w:rPr>
            </w:pPr>
            <w:r>
              <w:rPr>
                <w:rFonts w:ascii="Arial" w:cs="Arial" w:eastAsia="Arial" w:hAnsi="Arial"/>
                <w:sz w:val="14"/>
                <w:szCs w:val="14"/>
                <w:color w:val="auto"/>
              </w:rPr>
              <w:t>$2,606,580</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9"/>
              <w:spacing w:after="0"/>
              <w:rPr>
                <w:sz w:val="20"/>
                <w:szCs w:val="20"/>
                <w:color w:val="auto"/>
              </w:rPr>
            </w:pPr>
            <w:r>
              <w:rPr>
                <w:rFonts w:ascii="Arial" w:cs="Arial" w:eastAsia="Arial" w:hAnsi="Arial"/>
                <w:sz w:val="14"/>
                <w:szCs w:val="14"/>
                <w:color w:val="auto"/>
              </w:rPr>
              <w:t>19,110</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$11,027,238</w:t>
            </w:r>
          </w:p>
        </w:tc>
        <w:tc>
          <w:tcPr>
            <w:tcW w:w="0" w:type="dxa"/>
            <w:vAlign w:val="bottom"/>
          </w:tcPr>
          <w:p>
            <w:pPr>
              <w:spacing w:after="0"/>
              <w:rPr>
                <w:sz w:val="1"/>
                <w:szCs w:val="1"/>
                <w:color w:val="auto"/>
              </w:rPr>
            </w:pPr>
          </w:p>
        </w:tc>
      </w:tr>
      <w:tr>
        <w:trPr>
          <w:trHeight w:val="162"/>
        </w:trPr>
        <w:tc>
          <w:tcPr>
            <w:tcW w:w="2480" w:type="dxa"/>
            <w:vAlign w:val="bottom"/>
          </w:tcPr>
          <w:p>
            <w:pPr>
              <w:ind w:left="80"/>
              <w:spacing w:after="0"/>
              <w:rPr>
                <w:sz w:val="20"/>
                <w:szCs w:val="20"/>
                <w:color w:val="auto"/>
              </w:rPr>
            </w:pPr>
            <w:r>
              <w:rPr>
                <w:rFonts w:ascii="Arial" w:cs="Arial" w:eastAsia="Arial" w:hAnsi="Arial"/>
                <w:sz w:val="14"/>
                <w:szCs w:val="14"/>
                <w:color w:val="auto"/>
              </w:rPr>
              <w:t>President and Chief Executive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480" w:type="dxa"/>
            <w:vAlign w:val="bottom"/>
          </w:tcPr>
          <w:p>
            <w:pPr>
              <w:ind w:left="80"/>
              <w:spacing w:after="0"/>
              <w:rPr>
                <w:sz w:val="20"/>
                <w:szCs w:val="20"/>
                <w:color w:val="auto"/>
              </w:rPr>
            </w:pPr>
            <w:r>
              <w:rPr>
                <w:rFonts w:ascii="Arial" w:cs="Arial" w:eastAsia="Arial" w:hAnsi="Arial"/>
                <w:sz w:val="14"/>
                <w:szCs w:val="14"/>
                <w:color w:val="auto"/>
              </w:rPr>
              <w:t>Officer</w:t>
            </w:r>
          </w:p>
        </w:tc>
        <w:tc>
          <w:tcPr>
            <w:tcW w:w="560" w:type="dxa"/>
            <w:vAlign w:val="bottom"/>
          </w:tcPr>
          <w:p>
            <w:pPr>
              <w:jc w:val="center"/>
              <w:spacing w:after="0"/>
              <w:rPr>
                <w:sz w:val="20"/>
                <w:szCs w:val="20"/>
                <w:color w:val="auto"/>
              </w:rPr>
            </w:pPr>
            <w:r>
              <w:rPr>
                <w:rFonts w:ascii="Arial" w:cs="Arial" w:eastAsia="Arial" w:hAnsi="Arial"/>
                <w:sz w:val="14"/>
                <w:szCs w:val="14"/>
                <w:color w:val="auto"/>
              </w:rPr>
              <w:t>2020</w:t>
            </w: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$1,200,000</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$5,248,659</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$583,826</w:t>
            </w:r>
          </w:p>
        </w:tc>
        <w:tc>
          <w:tcPr>
            <w:tcW w:w="1300" w:type="dxa"/>
            <w:vAlign w:val="bottom"/>
            <w:gridSpan w:val="2"/>
          </w:tcPr>
          <w:p>
            <w:pPr>
              <w:ind w:left="280"/>
              <w:spacing w:after="0"/>
              <w:rPr>
                <w:sz w:val="20"/>
                <w:szCs w:val="20"/>
                <w:color w:val="auto"/>
              </w:rPr>
            </w:pPr>
            <w:r>
              <w:rPr>
                <w:rFonts w:ascii="Arial" w:cs="Arial" w:eastAsia="Arial" w:hAnsi="Arial"/>
                <w:sz w:val="14"/>
                <w:szCs w:val="14"/>
                <w:color w:val="auto"/>
              </w:rPr>
              <w:t>$1,378,440</w:t>
            </w: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$2,633,494</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$11,044,419</w:t>
            </w: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2019</w:t>
            </w: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$1,052,100</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$5,003,742</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$193,648</w:t>
            </w:r>
          </w:p>
        </w:tc>
        <w:tc>
          <w:tcPr>
            <w:tcW w:w="1300" w:type="dxa"/>
            <w:vAlign w:val="bottom"/>
            <w:gridSpan w:val="2"/>
          </w:tcPr>
          <w:p>
            <w:pPr>
              <w:ind w:left="280"/>
              <w:spacing w:after="0"/>
              <w:rPr>
                <w:sz w:val="20"/>
                <w:szCs w:val="20"/>
                <w:color w:val="auto"/>
              </w:rPr>
            </w:pPr>
            <w:r>
              <w:rPr>
                <w:rFonts w:ascii="Arial" w:cs="Arial" w:eastAsia="Arial" w:hAnsi="Arial"/>
                <w:sz w:val="14"/>
                <w:szCs w:val="14"/>
                <w:color w:val="auto"/>
              </w:rPr>
              <w:t>$1,427,880</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9"/>
              <w:spacing w:after="0"/>
              <w:rPr>
                <w:sz w:val="20"/>
                <w:szCs w:val="20"/>
                <w:color w:val="auto"/>
              </w:rPr>
            </w:pPr>
            <w:r>
              <w:rPr>
                <w:rFonts w:ascii="Arial" w:cs="Arial" w:eastAsia="Arial" w:hAnsi="Arial"/>
                <w:sz w:val="14"/>
                <w:szCs w:val="14"/>
                <w:color w:val="auto"/>
              </w:rPr>
              <w:t>9,466</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7,686,836</w:t>
            </w:r>
          </w:p>
        </w:tc>
        <w:tc>
          <w:tcPr>
            <w:tcW w:w="0" w:type="dxa"/>
            <w:vAlign w:val="bottom"/>
          </w:tcPr>
          <w:p>
            <w:pPr>
              <w:spacing w:after="0"/>
              <w:rPr>
                <w:sz w:val="1"/>
                <w:szCs w:val="1"/>
                <w:color w:val="auto"/>
              </w:rPr>
            </w:pPr>
          </w:p>
        </w:tc>
      </w:tr>
      <w:tr>
        <w:trPr>
          <w:trHeight w:val="76"/>
        </w:trPr>
        <w:tc>
          <w:tcPr>
            <w:tcW w:w="2480" w:type="dxa"/>
            <w:vAlign w:val="bottom"/>
            <w:tcBorders>
              <w:bottom w:val="single" w:sz="8" w:color="EC252A"/>
            </w:tcBorders>
          </w:tcPr>
          <w:p>
            <w:pPr>
              <w:spacing w:after="0"/>
              <w:rPr>
                <w:sz w:val="6"/>
                <w:szCs w:val="6"/>
                <w:color w:val="auto"/>
              </w:rPr>
            </w:pPr>
          </w:p>
        </w:tc>
        <w:tc>
          <w:tcPr>
            <w:tcW w:w="560" w:type="dxa"/>
            <w:vAlign w:val="bottom"/>
            <w:tcBorders>
              <w:bottom w:val="single" w:sz="8" w:color="EC252A"/>
            </w:tcBorders>
          </w:tcPr>
          <w:p>
            <w:pPr>
              <w:spacing w:after="0"/>
              <w:rPr>
                <w:sz w:val="6"/>
                <w:szCs w:val="6"/>
                <w:color w:val="auto"/>
              </w:rPr>
            </w:pPr>
          </w:p>
        </w:tc>
        <w:tc>
          <w:tcPr>
            <w:tcW w:w="220" w:type="dxa"/>
            <w:vAlign w:val="bottom"/>
            <w:tcBorders>
              <w:bottom w:val="single" w:sz="8" w:color="EC252A"/>
            </w:tcBorders>
          </w:tcPr>
          <w:p>
            <w:pPr>
              <w:spacing w:after="0"/>
              <w:rPr>
                <w:sz w:val="6"/>
                <w:szCs w:val="6"/>
                <w:color w:val="auto"/>
              </w:rPr>
            </w:pPr>
          </w:p>
        </w:tc>
        <w:tc>
          <w:tcPr>
            <w:tcW w:w="720" w:type="dxa"/>
            <w:vAlign w:val="bottom"/>
            <w:tcBorders>
              <w:bottom w:val="single" w:sz="8" w:color="EC252A"/>
            </w:tcBorders>
          </w:tcPr>
          <w:p>
            <w:pPr>
              <w:spacing w:after="0"/>
              <w:rPr>
                <w:sz w:val="6"/>
                <w:szCs w:val="6"/>
                <w:color w:val="auto"/>
              </w:rPr>
            </w:pPr>
          </w:p>
        </w:tc>
        <w:tc>
          <w:tcPr>
            <w:tcW w:w="900" w:type="dxa"/>
            <w:vAlign w:val="bottom"/>
            <w:tcBorders>
              <w:bottom w:val="single" w:sz="8" w:color="EC252A"/>
            </w:tcBorders>
            <w:gridSpan w:val="2"/>
          </w:tcPr>
          <w:p>
            <w:pPr>
              <w:spacing w:after="0"/>
              <w:rPr>
                <w:sz w:val="6"/>
                <w:szCs w:val="6"/>
                <w:color w:val="auto"/>
              </w:rPr>
            </w:pPr>
          </w:p>
        </w:tc>
        <w:tc>
          <w:tcPr>
            <w:tcW w:w="260" w:type="dxa"/>
            <w:vAlign w:val="bottom"/>
            <w:tcBorders>
              <w:bottom w:val="single" w:sz="8" w:color="EC252A"/>
            </w:tcBorders>
          </w:tcPr>
          <w:p>
            <w:pPr>
              <w:spacing w:after="0"/>
              <w:rPr>
                <w:sz w:val="6"/>
                <w:szCs w:val="6"/>
                <w:color w:val="auto"/>
              </w:rPr>
            </w:pPr>
          </w:p>
        </w:tc>
        <w:tc>
          <w:tcPr>
            <w:tcW w:w="620" w:type="dxa"/>
            <w:vAlign w:val="bottom"/>
            <w:tcBorders>
              <w:bottom w:val="single" w:sz="8" w:color="EC252A"/>
            </w:tcBorders>
          </w:tcPr>
          <w:p>
            <w:pPr>
              <w:spacing w:after="0"/>
              <w:rPr>
                <w:sz w:val="6"/>
                <w:szCs w:val="6"/>
                <w:color w:val="auto"/>
              </w:rPr>
            </w:pPr>
          </w:p>
        </w:tc>
        <w:tc>
          <w:tcPr>
            <w:tcW w:w="420" w:type="dxa"/>
            <w:vAlign w:val="bottom"/>
            <w:tcBorders>
              <w:bottom w:val="single" w:sz="8" w:color="EC252A"/>
            </w:tcBorders>
          </w:tcPr>
          <w:p>
            <w:pPr>
              <w:spacing w:after="0"/>
              <w:rPr>
                <w:sz w:val="6"/>
                <w:szCs w:val="6"/>
                <w:color w:val="auto"/>
              </w:rPr>
            </w:pPr>
          </w:p>
        </w:tc>
        <w:tc>
          <w:tcPr>
            <w:tcW w:w="880" w:type="dxa"/>
            <w:vAlign w:val="bottom"/>
            <w:tcBorders>
              <w:bottom w:val="single" w:sz="8" w:color="EC252A"/>
            </w:tcBorders>
          </w:tcPr>
          <w:p>
            <w:pPr>
              <w:spacing w:after="0"/>
              <w:rPr>
                <w:sz w:val="6"/>
                <w:szCs w:val="6"/>
                <w:color w:val="auto"/>
              </w:rPr>
            </w:pPr>
          </w:p>
        </w:tc>
        <w:tc>
          <w:tcPr>
            <w:tcW w:w="420" w:type="dxa"/>
            <w:vAlign w:val="bottom"/>
            <w:tcBorders>
              <w:bottom w:val="single" w:sz="8" w:color="EC252A"/>
            </w:tcBorders>
          </w:tcPr>
          <w:p>
            <w:pPr>
              <w:spacing w:after="0"/>
              <w:rPr>
                <w:sz w:val="6"/>
                <w:szCs w:val="6"/>
                <w:color w:val="auto"/>
              </w:rPr>
            </w:pPr>
          </w:p>
        </w:tc>
        <w:tc>
          <w:tcPr>
            <w:tcW w:w="880" w:type="dxa"/>
            <w:vAlign w:val="bottom"/>
            <w:tcBorders>
              <w:bottom w:val="single" w:sz="8" w:color="EC252A"/>
            </w:tcBorders>
          </w:tcPr>
          <w:p>
            <w:pPr>
              <w:spacing w:after="0"/>
              <w:rPr>
                <w:sz w:val="6"/>
                <w:szCs w:val="6"/>
                <w:color w:val="auto"/>
              </w:rPr>
            </w:pPr>
          </w:p>
        </w:tc>
        <w:tc>
          <w:tcPr>
            <w:tcW w:w="200" w:type="dxa"/>
            <w:vAlign w:val="bottom"/>
            <w:tcBorders>
              <w:bottom w:val="single" w:sz="8" w:color="EC252A"/>
            </w:tcBorders>
          </w:tcPr>
          <w:p>
            <w:pPr>
              <w:spacing w:after="0"/>
              <w:rPr>
                <w:sz w:val="6"/>
                <w:szCs w:val="6"/>
                <w:color w:val="auto"/>
              </w:rPr>
            </w:pPr>
          </w:p>
        </w:tc>
        <w:tc>
          <w:tcPr>
            <w:tcW w:w="720" w:type="dxa"/>
            <w:vAlign w:val="bottom"/>
            <w:tcBorders>
              <w:bottom w:val="single" w:sz="8" w:color="EC252A"/>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480" w:type="dxa"/>
            <w:vAlign w:val="bottom"/>
          </w:tcPr>
          <w:p>
            <w:pPr>
              <w:ind w:left="80"/>
              <w:spacing w:after="0"/>
              <w:rPr>
                <w:sz w:val="20"/>
                <w:szCs w:val="20"/>
                <w:color w:val="auto"/>
              </w:rPr>
            </w:pPr>
            <w:r>
              <w:rPr>
                <w:rFonts w:ascii="Arial" w:cs="Arial" w:eastAsia="Arial" w:hAnsi="Arial"/>
                <w:sz w:val="14"/>
                <w:szCs w:val="14"/>
                <w:color w:val="auto"/>
              </w:rPr>
              <w:t>John Olin (4)</w:t>
            </w:r>
          </w:p>
        </w:tc>
        <w:tc>
          <w:tcPr>
            <w:tcW w:w="560" w:type="dxa"/>
            <w:vAlign w:val="bottom"/>
          </w:tcPr>
          <w:p>
            <w:pPr>
              <w:jc w:val="center"/>
              <w:spacing w:after="0"/>
              <w:rPr>
                <w:sz w:val="20"/>
                <w:szCs w:val="20"/>
                <w:color w:val="auto"/>
              </w:rPr>
            </w:pPr>
            <w:r>
              <w:rPr>
                <w:rFonts w:ascii="Arial" w:cs="Arial" w:eastAsia="Arial" w:hAnsi="Arial"/>
                <w:sz w:val="14"/>
                <w:szCs w:val="14"/>
                <w:color w:val="auto"/>
              </w:rPr>
              <w:t>2021</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ind w:left="80"/>
              <w:spacing w:after="0"/>
              <w:rPr>
                <w:sz w:val="20"/>
                <w:szCs w:val="20"/>
                <w:color w:val="auto"/>
              </w:rPr>
            </w:pPr>
            <w:r>
              <w:rPr>
                <w:rFonts w:ascii="Arial" w:cs="Arial" w:eastAsia="Arial" w:hAnsi="Arial"/>
                <w:sz w:val="14"/>
                <w:szCs w:val="14"/>
                <w:color w:val="auto"/>
              </w:rPr>
              <w:t>259,615</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$1,000,032</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420" w:type="dxa"/>
            <w:vAlign w:val="bottom"/>
          </w:tcPr>
          <w:p>
            <w:pPr>
              <w:ind w:lef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368,968</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9"/>
              <w:spacing w:after="0"/>
              <w:rPr>
                <w:sz w:val="20"/>
                <w:szCs w:val="20"/>
                <w:color w:val="auto"/>
              </w:rPr>
            </w:pPr>
            <w:r>
              <w:rPr>
                <w:rFonts w:ascii="Arial" w:cs="Arial" w:eastAsia="Arial" w:hAnsi="Arial"/>
                <w:sz w:val="14"/>
                <w:szCs w:val="14"/>
                <w:color w:val="auto"/>
              </w:rPr>
              <w:t>115,957</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1,744,572</w:t>
            </w:r>
          </w:p>
        </w:tc>
        <w:tc>
          <w:tcPr>
            <w:tcW w:w="0" w:type="dxa"/>
            <w:vAlign w:val="bottom"/>
          </w:tcPr>
          <w:p>
            <w:pPr>
              <w:spacing w:after="0"/>
              <w:rPr>
                <w:sz w:val="1"/>
                <w:szCs w:val="1"/>
                <w:color w:val="auto"/>
              </w:rPr>
            </w:pPr>
          </w:p>
        </w:tc>
      </w:tr>
      <w:tr>
        <w:trPr>
          <w:trHeight w:val="162"/>
        </w:trPr>
        <w:tc>
          <w:tcPr>
            <w:tcW w:w="2480" w:type="dxa"/>
            <w:vAlign w:val="bottom"/>
          </w:tcPr>
          <w:p>
            <w:pPr>
              <w:ind w:left="80"/>
              <w:spacing w:after="0"/>
              <w:rPr>
                <w:sz w:val="20"/>
                <w:szCs w:val="20"/>
                <w:color w:val="auto"/>
              </w:rPr>
            </w:pPr>
            <w:r>
              <w:rPr>
                <w:rFonts w:ascii="Arial" w:cs="Arial" w:eastAsia="Arial" w:hAnsi="Arial"/>
                <w:sz w:val="14"/>
                <w:szCs w:val="14"/>
                <w:color w:val="auto"/>
              </w:rPr>
              <w:t>Executive Vice President and Chief</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80"/>
              <w:spacing w:after="0"/>
              <w:rPr>
                <w:sz w:val="20"/>
                <w:szCs w:val="20"/>
                <w:color w:val="auto"/>
              </w:rPr>
            </w:pPr>
            <w:r>
              <w:rPr>
                <w:rFonts w:ascii="Arial" w:cs="Arial" w:eastAsia="Arial" w:hAnsi="Arial"/>
                <w:sz w:val="14"/>
                <w:szCs w:val="14"/>
                <w:color w:val="auto"/>
              </w:rPr>
              <w:t>Financial Officer</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480" w:type="dxa"/>
            <w:vAlign w:val="bottom"/>
            <w:tcBorders>
              <w:bottom w:val="single" w:sz="8" w:color="EC252A"/>
            </w:tcBorders>
          </w:tcPr>
          <w:p>
            <w:pPr>
              <w:spacing w:after="0"/>
              <w:rPr>
                <w:sz w:val="6"/>
                <w:szCs w:val="6"/>
                <w:color w:val="auto"/>
              </w:rPr>
            </w:pPr>
          </w:p>
        </w:tc>
        <w:tc>
          <w:tcPr>
            <w:tcW w:w="560" w:type="dxa"/>
            <w:vAlign w:val="bottom"/>
            <w:tcBorders>
              <w:bottom w:val="single" w:sz="8" w:color="EC252A"/>
            </w:tcBorders>
          </w:tcPr>
          <w:p>
            <w:pPr>
              <w:spacing w:after="0"/>
              <w:rPr>
                <w:sz w:val="6"/>
                <w:szCs w:val="6"/>
                <w:color w:val="auto"/>
              </w:rPr>
            </w:pPr>
          </w:p>
        </w:tc>
        <w:tc>
          <w:tcPr>
            <w:tcW w:w="220" w:type="dxa"/>
            <w:vAlign w:val="bottom"/>
            <w:tcBorders>
              <w:bottom w:val="single" w:sz="8" w:color="EC252A"/>
            </w:tcBorders>
          </w:tcPr>
          <w:p>
            <w:pPr>
              <w:spacing w:after="0"/>
              <w:rPr>
                <w:sz w:val="6"/>
                <w:szCs w:val="6"/>
                <w:color w:val="auto"/>
              </w:rPr>
            </w:pPr>
          </w:p>
        </w:tc>
        <w:tc>
          <w:tcPr>
            <w:tcW w:w="720" w:type="dxa"/>
            <w:vAlign w:val="bottom"/>
            <w:tcBorders>
              <w:bottom w:val="single" w:sz="8" w:color="EC252A"/>
            </w:tcBorders>
          </w:tcPr>
          <w:p>
            <w:pPr>
              <w:spacing w:after="0"/>
              <w:rPr>
                <w:sz w:val="6"/>
                <w:szCs w:val="6"/>
                <w:color w:val="auto"/>
              </w:rPr>
            </w:pPr>
          </w:p>
        </w:tc>
        <w:tc>
          <w:tcPr>
            <w:tcW w:w="900" w:type="dxa"/>
            <w:vAlign w:val="bottom"/>
            <w:tcBorders>
              <w:bottom w:val="single" w:sz="8" w:color="EC252A"/>
            </w:tcBorders>
            <w:gridSpan w:val="2"/>
          </w:tcPr>
          <w:p>
            <w:pPr>
              <w:spacing w:after="0"/>
              <w:rPr>
                <w:sz w:val="6"/>
                <w:szCs w:val="6"/>
                <w:color w:val="auto"/>
              </w:rPr>
            </w:pPr>
          </w:p>
        </w:tc>
        <w:tc>
          <w:tcPr>
            <w:tcW w:w="880" w:type="dxa"/>
            <w:vAlign w:val="bottom"/>
            <w:tcBorders>
              <w:bottom w:val="single" w:sz="8" w:color="EC252A"/>
            </w:tcBorders>
            <w:gridSpan w:val="2"/>
          </w:tcPr>
          <w:p>
            <w:pPr>
              <w:spacing w:after="0"/>
              <w:rPr>
                <w:sz w:val="6"/>
                <w:szCs w:val="6"/>
                <w:color w:val="auto"/>
              </w:rPr>
            </w:pPr>
          </w:p>
        </w:tc>
        <w:tc>
          <w:tcPr>
            <w:tcW w:w="420" w:type="dxa"/>
            <w:vAlign w:val="bottom"/>
            <w:tcBorders>
              <w:bottom w:val="single" w:sz="8" w:color="EC252A"/>
            </w:tcBorders>
          </w:tcPr>
          <w:p>
            <w:pPr>
              <w:spacing w:after="0"/>
              <w:rPr>
                <w:sz w:val="6"/>
                <w:szCs w:val="6"/>
                <w:color w:val="auto"/>
              </w:rPr>
            </w:pPr>
          </w:p>
        </w:tc>
        <w:tc>
          <w:tcPr>
            <w:tcW w:w="880" w:type="dxa"/>
            <w:vAlign w:val="bottom"/>
            <w:tcBorders>
              <w:bottom w:val="single" w:sz="8" w:color="EC252A"/>
            </w:tcBorders>
          </w:tcPr>
          <w:p>
            <w:pPr>
              <w:spacing w:after="0"/>
              <w:rPr>
                <w:sz w:val="6"/>
                <w:szCs w:val="6"/>
                <w:color w:val="auto"/>
              </w:rPr>
            </w:pPr>
          </w:p>
        </w:tc>
        <w:tc>
          <w:tcPr>
            <w:tcW w:w="420" w:type="dxa"/>
            <w:vAlign w:val="bottom"/>
            <w:tcBorders>
              <w:bottom w:val="single" w:sz="8" w:color="EC252A"/>
            </w:tcBorders>
          </w:tcPr>
          <w:p>
            <w:pPr>
              <w:spacing w:after="0"/>
              <w:rPr>
                <w:sz w:val="6"/>
                <w:szCs w:val="6"/>
                <w:color w:val="auto"/>
              </w:rPr>
            </w:pPr>
          </w:p>
        </w:tc>
        <w:tc>
          <w:tcPr>
            <w:tcW w:w="880" w:type="dxa"/>
            <w:vAlign w:val="bottom"/>
            <w:tcBorders>
              <w:bottom w:val="single" w:sz="8" w:color="EC252A"/>
            </w:tcBorders>
          </w:tcPr>
          <w:p>
            <w:pPr>
              <w:spacing w:after="0"/>
              <w:rPr>
                <w:sz w:val="6"/>
                <w:szCs w:val="6"/>
                <w:color w:val="auto"/>
              </w:rPr>
            </w:pPr>
          </w:p>
        </w:tc>
        <w:tc>
          <w:tcPr>
            <w:tcW w:w="200" w:type="dxa"/>
            <w:vAlign w:val="bottom"/>
            <w:tcBorders>
              <w:bottom w:val="single" w:sz="8" w:color="EC252A"/>
            </w:tcBorders>
          </w:tcPr>
          <w:p>
            <w:pPr>
              <w:spacing w:after="0"/>
              <w:rPr>
                <w:sz w:val="6"/>
                <w:szCs w:val="6"/>
                <w:color w:val="auto"/>
              </w:rPr>
            </w:pPr>
          </w:p>
        </w:tc>
        <w:tc>
          <w:tcPr>
            <w:tcW w:w="720" w:type="dxa"/>
            <w:vAlign w:val="bottom"/>
            <w:tcBorders>
              <w:bottom w:val="single" w:sz="8" w:color="EC252A"/>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480" w:type="dxa"/>
            <w:vAlign w:val="bottom"/>
          </w:tcPr>
          <w:p>
            <w:pPr>
              <w:ind w:left="80"/>
              <w:spacing w:after="0"/>
              <w:rPr>
                <w:sz w:val="20"/>
                <w:szCs w:val="20"/>
                <w:color w:val="auto"/>
              </w:rPr>
            </w:pPr>
            <w:r>
              <w:rPr>
                <w:rFonts w:ascii="Arial" w:cs="Arial" w:eastAsia="Arial" w:hAnsi="Arial"/>
                <w:sz w:val="14"/>
                <w:szCs w:val="14"/>
                <w:color w:val="auto"/>
              </w:rPr>
              <w:t>David DeNinno</w:t>
            </w:r>
          </w:p>
        </w:tc>
        <w:tc>
          <w:tcPr>
            <w:tcW w:w="560" w:type="dxa"/>
            <w:vAlign w:val="bottom"/>
          </w:tcPr>
          <w:p>
            <w:pPr>
              <w:jc w:val="center"/>
              <w:spacing w:after="0"/>
              <w:rPr>
                <w:sz w:val="20"/>
                <w:szCs w:val="20"/>
                <w:color w:val="auto"/>
              </w:rPr>
            </w:pPr>
            <w:r>
              <w:rPr>
                <w:rFonts w:ascii="Arial" w:cs="Arial" w:eastAsia="Arial" w:hAnsi="Arial"/>
                <w:sz w:val="14"/>
                <w:szCs w:val="14"/>
                <w:color w:val="auto"/>
              </w:rPr>
              <w:t>2021</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ind w:left="80"/>
              <w:spacing w:after="0"/>
              <w:rPr>
                <w:sz w:val="20"/>
                <w:szCs w:val="20"/>
                <w:color w:val="auto"/>
              </w:rPr>
            </w:pPr>
            <w:r>
              <w:rPr>
                <w:rFonts w:ascii="Arial" w:cs="Arial" w:eastAsia="Arial" w:hAnsi="Arial"/>
                <w:sz w:val="14"/>
                <w:szCs w:val="14"/>
                <w:color w:val="auto"/>
              </w:rPr>
              <w:t>625,000</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$1,091,463</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$133,804</w:t>
            </w:r>
          </w:p>
        </w:tc>
        <w:tc>
          <w:tcPr>
            <w:tcW w:w="420" w:type="dxa"/>
            <w:vAlign w:val="bottom"/>
          </w:tcPr>
          <w:p>
            <w:pPr>
              <w:ind w:lef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724,050</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9"/>
              <w:spacing w:after="0"/>
              <w:rPr>
                <w:sz w:val="20"/>
                <w:szCs w:val="20"/>
                <w:color w:val="auto"/>
              </w:rPr>
            </w:pPr>
            <w:r>
              <w:rPr>
                <w:rFonts w:ascii="Arial" w:cs="Arial" w:eastAsia="Arial" w:hAnsi="Arial"/>
                <w:sz w:val="14"/>
                <w:szCs w:val="14"/>
                <w:color w:val="auto"/>
              </w:rPr>
              <w:t>48,769</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2,623,085</w:t>
            </w:r>
          </w:p>
        </w:tc>
        <w:tc>
          <w:tcPr>
            <w:tcW w:w="0" w:type="dxa"/>
            <w:vAlign w:val="bottom"/>
          </w:tcPr>
          <w:p>
            <w:pPr>
              <w:spacing w:after="0"/>
              <w:rPr>
                <w:sz w:val="1"/>
                <w:szCs w:val="1"/>
                <w:color w:val="auto"/>
              </w:rPr>
            </w:pPr>
          </w:p>
        </w:tc>
      </w:tr>
      <w:tr>
        <w:trPr>
          <w:trHeight w:val="162"/>
        </w:trPr>
        <w:tc>
          <w:tcPr>
            <w:tcW w:w="2480" w:type="dxa"/>
            <w:vAlign w:val="bottom"/>
          </w:tcPr>
          <w:p>
            <w:pPr>
              <w:ind w:left="80"/>
              <w:spacing w:after="0"/>
              <w:rPr>
                <w:sz w:val="20"/>
                <w:szCs w:val="20"/>
                <w:color w:val="auto"/>
              </w:rPr>
            </w:pPr>
            <w:r>
              <w:rPr>
                <w:rFonts w:ascii="Arial" w:cs="Arial" w:eastAsia="Arial" w:hAnsi="Arial"/>
                <w:sz w:val="14"/>
                <w:szCs w:val="14"/>
                <w:color w:val="auto"/>
              </w:rPr>
              <w:t>Executive Vice President, General</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480" w:type="dxa"/>
            <w:vAlign w:val="bottom"/>
          </w:tcPr>
          <w:p>
            <w:pPr>
              <w:ind w:left="80"/>
              <w:spacing w:after="0"/>
              <w:rPr>
                <w:sz w:val="20"/>
                <w:szCs w:val="20"/>
                <w:color w:val="auto"/>
              </w:rPr>
            </w:pPr>
            <w:r>
              <w:rPr>
                <w:rFonts w:ascii="Arial" w:cs="Arial" w:eastAsia="Arial" w:hAnsi="Arial"/>
                <w:sz w:val="14"/>
                <w:szCs w:val="14"/>
                <w:color w:val="auto"/>
              </w:rPr>
              <w:t>Counsel and Secretary</w:t>
            </w:r>
          </w:p>
        </w:tc>
        <w:tc>
          <w:tcPr>
            <w:tcW w:w="560" w:type="dxa"/>
            <w:vAlign w:val="bottom"/>
          </w:tcPr>
          <w:p>
            <w:pPr>
              <w:jc w:val="center"/>
              <w:spacing w:after="0"/>
              <w:rPr>
                <w:sz w:val="20"/>
                <w:szCs w:val="20"/>
                <w:color w:val="auto"/>
              </w:rPr>
            </w:pPr>
            <w:r>
              <w:rPr>
                <w:rFonts w:ascii="Arial" w:cs="Arial" w:eastAsia="Arial" w:hAnsi="Arial"/>
                <w:sz w:val="14"/>
                <w:szCs w:val="14"/>
                <w:color w:val="auto"/>
              </w:rPr>
              <w:t>2020</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ind w:left="80"/>
              <w:spacing w:after="0"/>
              <w:rPr>
                <w:sz w:val="20"/>
                <w:szCs w:val="20"/>
                <w:color w:val="auto"/>
              </w:rPr>
            </w:pPr>
            <w:r>
              <w:rPr>
                <w:rFonts w:ascii="Arial" w:cs="Arial" w:eastAsia="Arial" w:hAnsi="Arial"/>
                <w:sz w:val="14"/>
                <w:szCs w:val="14"/>
                <w:color w:val="auto"/>
              </w:rPr>
              <w:t>625,000</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ind w:left="60"/>
              <w:spacing w:after="0"/>
              <w:rPr>
                <w:sz w:val="20"/>
                <w:szCs w:val="20"/>
                <w:color w:val="auto"/>
              </w:rPr>
            </w:pPr>
            <w:r>
              <w:rPr>
                <w:rFonts w:ascii="Arial" w:cs="Arial" w:eastAsia="Arial" w:hAnsi="Arial"/>
                <w:sz w:val="14"/>
                <w:szCs w:val="14"/>
                <w:color w:val="auto"/>
              </w:rPr>
              <w:t>990,717</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$110,201</w:t>
            </w:r>
          </w:p>
        </w:tc>
        <w:tc>
          <w:tcPr>
            <w:tcW w:w="420" w:type="dxa"/>
            <w:vAlign w:val="bottom"/>
          </w:tcPr>
          <w:p>
            <w:pPr>
              <w:ind w:lef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335,038</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9"/>
              <w:spacing w:after="0"/>
              <w:rPr>
                <w:sz w:val="20"/>
                <w:szCs w:val="20"/>
                <w:color w:val="auto"/>
              </w:rPr>
            </w:pPr>
            <w:r>
              <w:rPr>
                <w:rFonts w:ascii="Arial" w:cs="Arial" w:eastAsia="Arial" w:hAnsi="Arial"/>
                <w:sz w:val="14"/>
                <w:szCs w:val="14"/>
                <w:color w:val="auto"/>
              </w:rPr>
              <w:t>50,604</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2,111,560</w:t>
            </w: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2019</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ind w:left="80"/>
              <w:spacing w:after="0"/>
              <w:rPr>
                <w:sz w:val="20"/>
                <w:szCs w:val="20"/>
                <w:color w:val="auto"/>
              </w:rPr>
            </w:pPr>
            <w:r>
              <w:rPr>
                <w:rFonts w:ascii="Arial" w:cs="Arial" w:eastAsia="Arial" w:hAnsi="Arial"/>
                <w:sz w:val="14"/>
                <w:szCs w:val="14"/>
                <w:color w:val="auto"/>
              </w:rPr>
              <w:t>602,100</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$2,196,749</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$110,656</w:t>
            </w:r>
          </w:p>
        </w:tc>
        <w:tc>
          <w:tcPr>
            <w:tcW w:w="420" w:type="dxa"/>
            <w:vAlign w:val="bottom"/>
          </w:tcPr>
          <w:p>
            <w:pPr>
              <w:ind w:lef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568,155</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9"/>
              <w:spacing w:after="0"/>
              <w:rPr>
                <w:sz w:val="20"/>
                <w:szCs w:val="20"/>
                <w:color w:val="auto"/>
              </w:rPr>
            </w:pPr>
            <w:r>
              <w:rPr>
                <w:rFonts w:ascii="Arial" w:cs="Arial" w:eastAsia="Arial" w:hAnsi="Arial"/>
                <w:sz w:val="14"/>
                <w:szCs w:val="14"/>
                <w:color w:val="auto"/>
              </w:rPr>
              <w:t>39,364</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3,517,024</w:t>
            </w:r>
          </w:p>
        </w:tc>
        <w:tc>
          <w:tcPr>
            <w:tcW w:w="0" w:type="dxa"/>
            <w:vAlign w:val="bottom"/>
          </w:tcPr>
          <w:p>
            <w:pPr>
              <w:spacing w:after="0"/>
              <w:rPr>
                <w:sz w:val="1"/>
                <w:szCs w:val="1"/>
                <w:color w:val="auto"/>
              </w:rPr>
            </w:pPr>
          </w:p>
        </w:tc>
      </w:tr>
      <w:tr>
        <w:trPr>
          <w:trHeight w:val="76"/>
        </w:trPr>
        <w:tc>
          <w:tcPr>
            <w:tcW w:w="2480" w:type="dxa"/>
            <w:vAlign w:val="bottom"/>
            <w:tcBorders>
              <w:bottom w:val="single" w:sz="8" w:color="EC252A"/>
            </w:tcBorders>
          </w:tcPr>
          <w:p>
            <w:pPr>
              <w:spacing w:after="0"/>
              <w:rPr>
                <w:sz w:val="6"/>
                <w:szCs w:val="6"/>
                <w:color w:val="auto"/>
              </w:rPr>
            </w:pPr>
          </w:p>
        </w:tc>
        <w:tc>
          <w:tcPr>
            <w:tcW w:w="560" w:type="dxa"/>
            <w:vAlign w:val="bottom"/>
            <w:tcBorders>
              <w:bottom w:val="single" w:sz="8" w:color="EC252A"/>
            </w:tcBorders>
          </w:tcPr>
          <w:p>
            <w:pPr>
              <w:spacing w:after="0"/>
              <w:rPr>
                <w:sz w:val="6"/>
                <w:szCs w:val="6"/>
                <w:color w:val="auto"/>
              </w:rPr>
            </w:pPr>
          </w:p>
        </w:tc>
        <w:tc>
          <w:tcPr>
            <w:tcW w:w="220" w:type="dxa"/>
            <w:vAlign w:val="bottom"/>
            <w:tcBorders>
              <w:bottom w:val="single" w:sz="8" w:color="EC252A"/>
            </w:tcBorders>
          </w:tcPr>
          <w:p>
            <w:pPr>
              <w:spacing w:after="0"/>
              <w:rPr>
                <w:sz w:val="6"/>
                <w:szCs w:val="6"/>
                <w:color w:val="auto"/>
              </w:rPr>
            </w:pPr>
          </w:p>
        </w:tc>
        <w:tc>
          <w:tcPr>
            <w:tcW w:w="720" w:type="dxa"/>
            <w:vAlign w:val="bottom"/>
            <w:tcBorders>
              <w:bottom w:val="single" w:sz="8" w:color="EC252A"/>
            </w:tcBorders>
          </w:tcPr>
          <w:p>
            <w:pPr>
              <w:spacing w:after="0"/>
              <w:rPr>
                <w:sz w:val="6"/>
                <w:szCs w:val="6"/>
                <w:color w:val="auto"/>
              </w:rPr>
            </w:pPr>
          </w:p>
        </w:tc>
        <w:tc>
          <w:tcPr>
            <w:tcW w:w="220" w:type="dxa"/>
            <w:vAlign w:val="bottom"/>
            <w:tcBorders>
              <w:bottom w:val="single" w:sz="8" w:color="EC252A"/>
            </w:tcBorders>
          </w:tcPr>
          <w:p>
            <w:pPr>
              <w:spacing w:after="0"/>
              <w:rPr>
                <w:sz w:val="6"/>
                <w:szCs w:val="6"/>
                <w:color w:val="auto"/>
              </w:rPr>
            </w:pPr>
          </w:p>
        </w:tc>
        <w:tc>
          <w:tcPr>
            <w:tcW w:w="680" w:type="dxa"/>
            <w:vAlign w:val="bottom"/>
            <w:tcBorders>
              <w:bottom w:val="single" w:sz="8" w:color="EC252A"/>
            </w:tcBorders>
          </w:tcPr>
          <w:p>
            <w:pPr>
              <w:spacing w:after="0"/>
              <w:rPr>
                <w:sz w:val="6"/>
                <w:szCs w:val="6"/>
                <w:color w:val="auto"/>
              </w:rPr>
            </w:pPr>
          </w:p>
        </w:tc>
        <w:tc>
          <w:tcPr>
            <w:tcW w:w="880" w:type="dxa"/>
            <w:vAlign w:val="bottom"/>
            <w:tcBorders>
              <w:bottom w:val="single" w:sz="8" w:color="EC252A"/>
            </w:tcBorders>
            <w:gridSpan w:val="2"/>
          </w:tcPr>
          <w:p>
            <w:pPr>
              <w:spacing w:after="0"/>
              <w:rPr>
                <w:sz w:val="6"/>
                <w:szCs w:val="6"/>
                <w:color w:val="auto"/>
              </w:rPr>
            </w:pPr>
          </w:p>
        </w:tc>
        <w:tc>
          <w:tcPr>
            <w:tcW w:w="420" w:type="dxa"/>
            <w:vAlign w:val="bottom"/>
            <w:tcBorders>
              <w:bottom w:val="single" w:sz="8" w:color="EC252A"/>
            </w:tcBorders>
          </w:tcPr>
          <w:p>
            <w:pPr>
              <w:spacing w:after="0"/>
              <w:rPr>
                <w:sz w:val="6"/>
                <w:szCs w:val="6"/>
                <w:color w:val="auto"/>
              </w:rPr>
            </w:pPr>
          </w:p>
        </w:tc>
        <w:tc>
          <w:tcPr>
            <w:tcW w:w="880" w:type="dxa"/>
            <w:vAlign w:val="bottom"/>
            <w:tcBorders>
              <w:bottom w:val="single" w:sz="8" w:color="EC252A"/>
            </w:tcBorders>
          </w:tcPr>
          <w:p>
            <w:pPr>
              <w:spacing w:after="0"/>
              <w:rPr>
                <w:sz w:val="6"/>
                <w:szCs w:val="6"/>
                <w:color w:val="auto"/>
              </w:rPr>
            </w:pPr>
          </w:p>
        </w:tc>
        <w:tc>
          <w:tcPr>
            <w:tcW w:w="420" w:type="dxa"/>
            <w:vAlign w:val="bottom"/>
            <w:tcBorders>
              <w:bottom w:val="single" w:sz="8" w:color="EC252A"/>
            </w:tcBorders>
          </w:tcPr>
          <w:p>
            <w:pPr>
              <w:spacing w:after="0"/>
              <w:rPr>
                <w:sz w:val="6"/>
                <w:szCs w:val="6"/>
                <w:color w:val="auto"/>
              </w:rPr>
            </w:pPr>
          </w:p>
        </w:tc>
        <w:tc>
          <w:tcPr>
            <w:tcW w:w="880" w:type="dxa"/>
            <w:vAlign w:val="bottom"/>
            <w:tcBorders>
              <w:bottom w:val="single" w:sz="8" w:color="EC252A"/>
            </w:tcBorders>
          </w:tcPr>
          <w:p>
            <w:pPr>
              <w:spacing w:after="0"/>
              <w:rPr>
                <w:sz w:val="6"/>
                <w:szCs w:val="6"/>
                <w:color w:val="auto"/>
              </w:rPr>
            </w:pPr>
          </w:p>
        </w:tc>
        <w:tc>
          <w:tcPr>
            <w:tcW w:w="200" w:type="dxa"/>
            <w:vAlign w:val="bottom"/>
            <w:tcBorders>
              <w:bottom w:val="single" w:sz="8" w:color="EC252A"/>
            </w:tcBorders>
          </w:tcPr>
          <w:p>
            <w:pPr>
              <w:spacing w:after="0"/>
              <w:rPr>
                <w:sz w:val="6"/>
                <w:szCs w:val="6"/>
                <w:color w:val="auto"/>
              </w:rPr>
            </w:pPr>
          </w:p>
        </w:tc>
        <w:tc>
          <w:tcPr>
            <w:tcW w:w="720" w:type="dxa"/>
            <w:vAlign w:val="bottom"/>
            <w:tcBorders>
              <w:bottom w:val="single" w:sz="8" w:color="EC252A"/>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480" w:type="dxa"/>
            <w:vAlign w:val="bottom"/>
          </w:tcPr>
          <w:p>
            <w:pPr>
              <w:ind w:left="80"/>
              <w:spacing w:after="0"/>
              <w:rPr>
                <w:sz w:val="20"/>
                <w:szCs w:val="20"/>
                <w:color w:val="auto"/>
              </w:rPr>
            </w:pPr>
            <w:r>
              <w:rPr>
                <w:rFonts w:ascii="Arial" w:cs="Arial" w:eastAsia="Arial" w:hAnsi="Arial"/>
                <w:sz w:val="14"/>
                <w:szCs w:val="14"/>
                <w:color w:val="auto"/>
              </w:rPr>
              <w:t>Pascal Schweitzer</w:t>
            </w:r>
          </w:p>
        </w:tc>
        <w:tc>
          <w:tcPr>
            <w:tcW w:w="560" w:type="dxa"/>
            <w:vAlign w:val="bottom"/>
          </w:tcPr>
          <w:p>
            <w:pPr>
              <w:jc w:val="center"/>
              <w:spacing w:after="0"/>
              <w:rPr>
                <w:sz w:val="20"/>
                <w:szCs w:val="20"/>
                <w:color w:val="auto"/>
              </w:rPr>
            </w:pPr>
            <w:r>
              <w:rPr>
                <w:rFonts w:ascii="Arial" w:cs="Arial" w:eastAsia="Arial" w:hAnsi="Arial"/>
                <w:sz w:val="14"/>
                <w:szCs w:val="14"/>
                <w:color w:val="auto"/>
              </w:rPr>
              <w:t>2021</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ind w:left="80"/>
              <w:spacing w:after="0"/>
              <w:rPr>
                <w:sz w:val="20"/>
                <w:szCs w:val="20"/>
                <w:color w:val="auto"/>
              </w:rPr>
            </w:pPr>
            <w:r>
              <w:rPr>
                <w:rFonts w:ascii="Arial" w:cs="Arial" w:eastAsia="Arial" w:hAnsi="Arial"/>
                <w:sz w:val="14"/>
                <w:szCs w:val="14"/>
                <w:color w:val="auto"/>
              </w:rPr>
              <w:t>525,000</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ind w:left="60"/>
              <w:spacing w:after="0"/>
              <w:rPr>
                <w:sz w:val="20"/>
                <w:szCs w:val="20"/>
                <w:color w:val="auto"/>
              </w:rPr>
            </w:pPr>
            <w:r>
              <w:rPr>
                <w:rFonts w:ascii="Arial" w:cs="Arial" w:eastAsia="Arial" w:hAnsi="Arial"/>
                <w:sz w:val="14"/>
                <w:szCs w:val="14"/>
                <w:color w:val="auto"/>
              </w:rPr>
              <w:t>846,452</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$103,766</w:t>
            </w:r>
          </w:p>
        </w:tc>
        <w:tc>
          <w:tcPr>
            <w:tcW w:w="420" w:type="dxa"/>
            <w:vAlign w:val="bottom"/>
          </w:tcPr>
          <w:p>
            <w:pPr>
              <w:ind w:lef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721,980</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9"/>
              <w:spacing w:after="0"/>
              <w:rPr>
                <w:sz w:val="20"/>
                <w:szCs w:val="20"/>
                <w:color w:val="auto"/>
              </w:rPr>
            </w:pPr>
            <w:r>
              <w:rPr>
                <w:rFonts w:ascii="Arial" w:cs="Arial" w:eastAsia="Arial" w:hAnsi="Arial"/>
                <w:sz w:val="14"/>
                <w:szCs w:val="14"/>
                <w:color w:val="auto"/>
              </w:rPr>
              <w:t>174,419</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2,371,617</w:t>
            </w:r>
          </w:p>
        </w:tc>
        <w:tc>
          <w:tcPr>
            <w:tcW w:w="0" w:type="dxa"/>
            <w:vAlign w:val="bottom"/>
          </w:tcPr>
          <w:p>
            <w:pPr>
              <w:spacing w:after="0"/>
              <w:rPr>
                <w:sz w:val="1"/>
                <w:szCs w:val="1"/>
                <w:color w:val="auto"/>
              </w:rPr>
            </w:pPr>
          </w:p>
        </w:tc>
      </w:tr>
      <w:tr>
        <w:trPr>
          <w:trHeight w:val="190"/>
        </w:trPr>
        <w:tc>
          <w:tcPr>
            <w:tcW w:w="2480" w:type="dxa"/>
            <w:vAlign w:val="bottom"/>
          </w:tcPr>
          <w:p>
            <w:pPr>
              <w:ind w:left="80"/>
              <w:spacing w:after="0"/>
              <w:rPr>
                <w:sz w:val="20"/>
                <w:szCs w:val="20"/>
                <w:color w:val="auto"/>
              </w:rPr>
            </w:pPr>
            <w:r>
              <w:rPr>
                <w:rFonts w:ascii="Arial" w:cs="Arial" w:eastAsia="Arial" w:hAnsi="Arial"/>
                <w:sz w:val="14"/>
                <w:szCs w:val="14"/>
                <w:color w:val="auto"/>
              </w:rPr>
              <w:t>President, Services Group</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2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ind w:left="80"/>
              <w:spacing w:after="0"/>
              <w:rPr>
                <w:sz w:val="20"/>
                <w:szCs w:val="20"/>
                <w:color w:val="auto"/>
              </w:rPr>
            </w:pPr>
            <w:r>
              <w:rPr>
                <w:rFonts w:ascii="Arial" w:cs="Arial" w:eastAsia="Arial" w:hAnsi="Arial"/>
                <w:sz w:val="14"/>
                <w:szCs w:val="14"/>
                <w:color w:val="auto"/>
              </w:rPr>
              <w:t>525,000</w:t>
            </w:r>
          </w:p>
        </w:tc>
        <w:tc>
          <w:tcPr>
            <w:tcW w:w="2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ind w:left="60"/>
              <w:spacing w:after="0"/>
              <w:rPr>
                <w:sz w:val="20"/>
                <w:szCs w:val="20"/>
                <w:color w:val="auto"/>
              </w:rPr>
            </w:pPr>
            <w:r>
              <w:rPr>
                <w:rFonts w:ascii="Arial" w:cs="Arial" w:eastAsia="Arial" w:hAnsi="Arial"/>
                <w:sz w:val="14"/>
                <w:szCs w:val="14"/>
                <w:color w:val="auto"/>
              </w:rPr>
              <w:t>678,573</w:t>
            </w:r>
          </w:p>
        </w:tc>
        <w:tc>
          <w:tcPr>
            <w:tcW w:w="2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color w:val="auto"/>
              </w:rPr>
              <w:t>71,340</w:t>
            </w:r>
          </w:p>
        </w:tc>
        <w:tc>
          <w:tcPr>
            <w:tcW w:w="42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48"/>
              <w:spacing w:after="0"/>
              <w:rPr>
                <w:sz w:val="20"/>
                <w:szCs w:val="20"/>
                <w:color w:val="auto"/>
              </w:rPr>
            </w:pPr>
            <w:r>
              <w:rPr>
                <w:rFonts w:ascii="Arial" w:cs="Arial" w:eastAsia="Arial" w:hAnsi="Arial"/>
                <w:sz w:val="14"/>
                <w:szCs w:val="14"/>
                <w:color w:val="auto"/>
              </w:rPr>
              <w:t>428,190</w:t>
            </w:r>
          </w:p>
        </w:tc>
        <w:tc>
          <w:tcPr>
            <w:tcW w:w="4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29"/>
              <w:spacing w:after="0"/>
              <w:rPr>
                <w:sz w:val="20"/>
                <w:szCs w:val="20"/>
                <w:color w:val="auto"/>
              </w:rPr>
            </w:pPr>
            <w:r>
              <w:rPr>
                <w:rFonts w:ascii="Arial" w:cs="Arial" w:eastAsia="Arial" w:hAnsi="Arial"/>
                <w:sz w:val="14"/>
                <w:szCs w:val="14"/>
                <w:color w:val="auto"/>
              </w:rPr>
              <w:t>838,907</w:t>
            </w: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2,542,010</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480" w:type="dxa"/>
            <w:vAlign w:val="bottom"/>
            <w:tcBorders>
              <w:bottom w:val="single" w:sz="8" w:color="EC252A"/>
            </w:tcBorders>
          </w:tcPr>
          <w:p>
            <w:pPr>
              <w:spacing w:after="0"/>
              <w:rPr>
                <w:sz w:val="6"/>
                <w:szCs w:val="6"/>
                <w:color w:val="auto"/>
              </w:rPr>
            </w:pPr>
          </w:p>
        </w:tc>
        <w:tc>
          <w:tcPr>
            <w:tcW w:w="560" w:type="dxa"/>
            <w:vAlign w:val="bottom"/>
            <w:tcBorders>
              <w:bottom w:val="single" w:sz="8" w:color="EC252A"/>
            </w:tcBorders>
          </w:tcPr>
          <w:p>
            <w:pPr>
              <w:spacing w:after="0"/>
              <w:rPr>
                <w:sz w:val="6"/>
                <w:szCs w:val="6"/>
                <w:color w:val="auto"/>
              </w:rPr>
            </w:pPr>
          </w:p>
        </w:tc>
        <w:tc>
          <w:tcPr>
            <w:tcW w:w="220" w:type="dxa"/>
            <w:vAlign w:val="bottom"/>
            <w:tcBorders>
              <w:bottom w:val="single" w:sz="8" w:color="EC252A"/>
            </w:tcBorders>
          </w:tcPr>
          <w:p>
            <w:pPr>
              <w:spacing w:after="0"/>
              <w:rPr>
                <w:sz w:val="6"/>
                <w:szCs w:val="6"/>
                <w:color w:val="auto"/>
              </w:rPr>
            </w:pPr>
          </w:p>
        </w:tc>
        <w:tc>
          <w:tcPr>
            <w:tcW w:w="720" w:type="dxa"/>
            <w:vAlign w:val="bottom"/>
            <w:tcBorders>
              <w:bottom w:val="single" w:sz="8" w:color="EC252A"/>
            </w:tcBorders>
          </w:tcPr>
          <w:p>
            <w:pPr>
              <w:spacing w:after="0"/>
              <w:rPr>
                <w:sz w:val="6"/>
                <w:szCs w:val="6"/>
                <w:color w:val="auto"/>
              </w:rPr>
            </w:pPr>
          </w:p>
        </w:tc>
        <w:tc>
          <w:tcPr>
            <w:tcW w:w="220" w:type="dxa"/>
            <w:vAlign w:val="bottom"/>
            <w:tcBorders>
              <w:bottom w:val="single" w:sz="8" w:color="EC252A"/>
            </w:tcBorders>
          </w:tcPr>
          <w:p>
            <w:pPr>
              <w:spacing w:after="0"/>
              <w:rPr>
                <w:sz w:val="6"/>
                <w:szCs w:val="6"/>
                <w:color w:val="auto"/>
              </w:rPr>
            </w:pPr>
          </w:p>
        </w:tc>
        <w:tc>
          <w:tcPr>
            <w:tcW w:w="680" w:type="dxa"/>
            <w:vAlign w:val="bottom"/>
            <w:tcBorders>
              <w:bottom w:val="single" w:sz="8" w:color="EC252A"/>
            </w:tcBorders>
          </w:tcPr>
          <w:p>
            <w:pPr>
              <w:spacing w:after="0"/>
              <w:rPr>
                <w:sz w:val="6"/>
                <w:szCs w:val="6"/>
                <w:color w:val="auto"/>
              </w:rPr>
            </w:pPr>
          </w:p>
        </w:tc>
        <w:tc>
          <w:tcPr>
            <w:tcW w:w="260" w:type="dxa"/>
            <w:vAlign w:val="bottom"/>
            <w:tcBorders>
              <w:bottom w:val="single" w:sz="8" w:color="EC252A"/>
            </w:tcBorders>
          </w:tcPr>
          <w:p>
            <w:pPr>
              <w:spacing w:after="0"/>
              <w:rPr>
                <w:sz w:val="6"/>
                <w:szCs w:val="6"/>
                <w:color w:val="auto"/>
              </w:rPr>
            </w:pPr>
          </w:p>
        </w:tc>
        <w:tc>
          <w:tcPr>
            <w:tcW w:w="620" w:type="dxa"/>
            <w:vAlign w:val="bottom"/>
            <w:tcBorders>
              <w:bottom w:val="single" w:sz="8" w:color="EC252A"/>
            </w:tcBorders>
          </w:tcPr>
          <w:p>
            <w:pPr>
              <w:spacing w:after="0"/>
              <w:rPr>
                <w:sz w:val="6"/>
                <w:szCs w:val="6"/>
                <w:color w:val="auto"/>
              </w:rPr>
            </w:pPr>
          </w:p>
        </w:tc>
        <w:tc>
          <w:tcPr>
            <w:tcW w:w="420" w:type="dxa"/>
            <w:vAlign w:val="bottom"/>
            <w:tcBorders>
              <w:bottom w:val="single" w:sz="8" w:color="EC252A"/>
            </w:tcBorders>
          </w:tcPr>
          <w:p>
            <w:pPr>
              <w:spacing w:after="0"/>
              <w:rPr>
                <w:sz w:val="6"/>
                <w:szCs w:val="6"/>
                <w:color w:val="auto"/>
              </w:rPr>
            </w:pPr>
          </w:p>
        </w:tc>
        <w:tc>
          <w:tcPr>
            <w:tcW w:w="880" w:type="dxa"/>
            <w:vAlign w:val="bottom"/>
            <w:tcBorders>
              <w:bottom w:val="single" w:sz="8" w:color="EC252A"/>
            </w:tcBorders>
          </w:tcPr>
          <w:p>
            <w:pPr>
              <w:spacing w:after="0"/>
              <w:rPr>
                <w:sz w:val="6"/>
                <w:szCs w:val="6"/>
                <w:color w:val="auto"/>
              </w:rPr>
            </w:pPr>
          </w:p>
        </w:tc>
        <w:tc>
          <w:tcPr>
            <w:tcW w:w="420" w:type="dxa"/>
            <w:vAlign w:val="bottom"/>
            <w:tcBorders>
              <w:bottom w:val="single" w:sz="8" w:color="EC252A"/>
            </w:tcBorders>
          </w:tcPr>
          <w:p>
            <w:pPr>
              <w:spacing w:after="0"/>
              <w:rPr>
                <w:sz w:val="6"/>
                <w:szCs w:val="6"/>
                <w:color w:val="auto"/>
              </w:rPr>
            </w:pPr>
          </w:p>
        </w:tc>
        <w:tc>
          <w:tcPr>
            <w:tcW w:w="880" w:type="dxa"/>
            <w:vAlign w:val="bottom"/>
            <w:tcBorders>
              <w:bottom w:val="single" w:sz="8" w:color="EC252A"/>
            </w:tcBorders>
          </w:tcPr>
          <w:p>
            <w:pPr>
              <w:spacing w:after="0"/>
              <w:rPr>
                <w:sz w:val="6"/>
                <w:szCs w:val="6"/>
                <w:color w:val="auto"/>
              </w:rPr>
            </w:pPr>
          </w:p>
        </w:tc>
        <w:tc>
          <w:tcPr>
            <w:tcW w:w="200" w:type="dxa"/>
            <w:vAlign w:val="bottom"/>
            <w:tcBorders>
              <w:bottom w:val="single" w:sz="8" w:color="EC252A"/>
            </w:tcBorders>
          </w:tcPr>
          <w:p>
            <w:pPr>
              <w:spacing w:after="0"/>
              <w:rPr>
                <w:sz w:val="6"/>
                <w:szCs w:val="6"/>
                <w:color w:val="auto"/>
              </w:rPr>
            </w:pPr>
          </w:p>
        </w:tc>
        <w:tc>
          <w:tcPr>
            <w:tcW w:w="720" w:type="dxa"/>
            <w:vAlign w:val="bottom"/>
            <w:tcBorders>
              <w:bottom w:val="single" w:sz="8" w:color="EC252A"/>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480" w:type="dxa"/>
            <w:vAlign w:val="bottom"/>
          </w:tcPr>
          <w:p>
            <w:pPr>
              <w:ind w:left="80"/>
              <w:spacing w:after="0"/>
              <w:rPr>
                <w:sz w:val="20"/>
                <w:szCs w:val="20"/>
                <w:color w:val="auto"/>
              </w:rPr>
            </w:pPr>
            <w:r>
              <w:rPr>
                <w:rFonts w:ascii="Arial" w:cs="Arial" w:eastAsia="Arial" w:hAnsi="Arial"/>
                <w:sz w:val="14"/>
                <w:szCs w:val="14"/>
                <w:color w:val="auto"/>
              </w:rPr>
              <w:t>Eric Gebhardt</w:t>
            </w:r>
          </w:p>
        </w:tc>
        <w:tc>
          <w:tcPr>
            <w:tcW w:w="560" w:type="dxa"/>
            <w:vAlign w:val="bottom"/>
          </w:tcPr>
          <w:p>
            <w:pPr>
              <w:jc w:val="center"/>
              <w:spacing w:after="0"/>
              <w:rPr>
                <w:sz w:val="20"/>
                <w:szCs w:val="20"/>
                <w:color w:val="auto"/>
              </w:rPr>
            </w:pPr>
            <w:r>
              <w:rPr>
                <w:rFonts w:ascii="Arial" w:cs="Arial" w:eastAsia="Arial" w:hAnsi="Arial"/>
                <w:sz w:val="14"/>
                <w:szCs w:val="14"/>
                <w:color w:val="auto"/>
              </w:rPr>
              <w:t>2021</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ind w:left="80"/>
              <w:spacing w:after="0"/>
              <w:rPr>
                <w:sz w:val="20"/>
                <w:szCs w:val="20"/>
                <w:color w:val="auto"/>
              </w:rPr>
            </w:pPr>
            <w:r>
              <w:rPr>
                <w:rFonts w:ascii="Arial" w:cs="Arial" w:eastAsia="Arial" w:hAnsi="Arial"/>
                <w:sz w:val="14"/>
                <w:szCs w:val="14"/>
                <w:color w:val="auto"/>
              </w:rPr>
              <w:t>600,000</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ind w:left="60"/>
              <w:spacing w:after="0"/>
              <w:rPr>
                <w:sz w:val="20"/>
                <w:szCs w:val="20"/>
                <w:color w:val="auto"/>
              </w:rPr>
            </w:pPr>
            <w:r>
              <w:rPr>
                <w:rFonts w:ascii="Arial" w:cs="Arial" w:eastAsia="Arial" w:hAnsi="Arial"/>
                <w:sz w:val="14"/>
                <w:szCs w:val="14"/>
                <w:color w:val="auto"/>
              </w:rPr>
              <w:t>668,277</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81,908</w:t>
            </w:r>
          </w:p>
        </w:tc>
        <w:tc>
          <w:tcPr>
            <w:tcW w:w="420" w:type="dxa"/>
            <w:vAlign w:val="bottom"/>
          </w:tcPr>
          <w:p>
            <w:pPr>
              <w:ind w:lef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868,860</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9"/>
              <w:spacing w:after="0"/>
              <w:rPr>
                <w:sz w:val="20"/>
                <w:szCs w:val="20"/>
                <w:color w:val="auto"/>
              </w:rPr>
            </w:pPr>
            <w:r>
              <w:rPr>
                <w:rFonts w:ascii="Arial" w:cs="Arial" w:eastAsia="Arial" w:hAnsi="Arial"/>
                <w:sz w:val="14"/>
                <w:szCs w:val="14"/>
                <w:color w:val="auto"/>
              </w:rPr>
              <w:t>269,746</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2,488,791</w:t>
            </w:r>
          </w:p>
        </w:tc>
        <w:tc>
          <w:tcPr>
            <w:tcW w:w="0" w:type="dxa"/>
            <w:vAlign w:val="bottom"/>
          </w:tcPr>
          <w:p>
            <w:pPr>
              <w:spacing w:after="0"/>
              <w:rPr>
                <w:sz w:val="1"/>
                <w:szCs w:val="1"/>
                <w:color w:val="auto"/>
              </w:rPr>
            </w:pPr>
          </w:p>
        </w:tc>
      </w:tr>
      <w:tr>
        <w:trPr>
          <w:trHeight w:val="162"/>
        </w:trPr>
        <w:tc>
          <w:tcPr>
            <w:tcW w:w="2480" w:type="dxa"/>
            <w:vAlign w:val="bottom"/>
          </w:tcPr>
          <w:p>
            <w:pPr>
              <w:ind w:left="80"/>
              <w:spacing w:after="0"/>
              <w:rPr>
                <w:sz w:val="20"/>
                <w:szCs w:val="20"/>
                <w:color w:val="auto"/>
              </w:rPr>
            </w:pPr>
            <w:r>
              <w:rPr>
                <w:rFonts w:ascii="Arial" w:cs="Arial" w:eastAsia="Arial" w:hAnsi="Arial"/>
                <w:sz w:val="14"/>
                <w:szCs w:val="14"/>
                <w:color w:val="auto"/>
              </w:rPr>
              <w:t>Executive Vice President and Chief</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80"/>
              <w:spacing w:after="0"/>
              <w:rPr>
                <w:sz w:val="20"/>
                <w:szCs w:val="20"/>
                <w:color w:val="auto"/>
              </w:rPr>
            </w:pPr>
            <w:r>
              <w:rPr>
                <w:rFonts w:ascii="Arial" w:cs="Arial" w:eastAsia="Arial" w:hAnsi="Arial"/>
                <w:sz w:val="14"/>
                <w:szCs w:val="14"/>
                <w:color w:val="auto"/>
              </w:rPr>
              <w:t>Technology Officer</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480" w:type="dxa"/>
            <w:vAlign w:val="bottom"/>
            <w:tcBorders>
              <w:bottom w:val="single" w:sz="8" w:color="EC252A"/>
            </w:tcBorders>
          </w:tcPr>
          <w:p>
            <w:pPr>
              <w:spacing w:after="0"/>
              <w:rPr>
                <w:sz w:val="6"/>
                <w:szCs w:val="6"/>
                <w:color w:val="auto"/>
              </w:rPr>
            </w:pPr>
          </w:p>
        </w:tc>
        <w:tc>
          <w:tcPr>
            <w:tcW w:w="560" w:type="dxa"/>
            <w:vAlign w:val="bottom"/>
            <w:tcBorders>
              <w:bottom w:val="single" w:sz="8" w:color="EC252A"/>
            </w:tcBorders>
          </w:tcPr>
          <w:p>
            <w:pPr>
              <w:spacing w:after="0"/>
              <w:rPr>
                <w:sz w:val="6"/>
                <w:szCs w:val="6"/>
                <w:color w:val="auto"/>
              </w:rPr>
            </w:pPr>
          </w:p>
        </w:tc>
        <w:tc>
          <w:tcPr>
            <w:tcW w:w="220" w:type="dxa"/>
            <w:vAlign w:val="bottom"/>
            <w:tcBorders>
              <w:bottom w:val="single" w:sz="8" w:color="EC252A"/>
            </w:tcBorders>
          </w:tcPr>
          <w:p>
            <w:pPr>
              <w:spacing w:after="0"/>
              <w:rPr>
                <w:sz w:val="6"/>
                <w:szCs w:val="6"/>
                <w:color w:val="auto"/>
              </w:rPr>
            </w:pPr>
          </w:p>
        </w:tc>
        <w:tc>
          <w:tcPr>
            <w:tcW w:w="720" w:type="dxa"/>
            <w:vAlign w:val="bottom"/>
            <w:tcBorders>
              <w:bottom w:val="single" w:sz="8" w:color="EC252A"/>
            </w:tcBorders>
          </w:tcPr>
          <w:p>
            <w:pPr>
              <w:spacing w:after="0"/>
              <w:rPr>
                <w:sz w:val="6"/>
                <w:szCs w:val="6"/>
                <w:color w:val="auto"/>
              </w:rPr>
            </w:pPr>
          </w:p>
        </w:tc>
        <w:tc>
          <w:tcPr>
            <w:tcW w:w="900" w:type="dxa"/>
            <w:vAlign w:val="bottom"/>
            <w:tcBorders>
              <w:bottom w:val="single" w:sz="8" w:color="EC252A"/>
            </w:tcBorders>
            <w:gridSpan w:val="2"/>
          </w:tcPr>
          <w:p>
            <w:pPr>
              <w:spacing w:after="0"/>
              <w:rPr>
                <w:sz w:val="6"/>
                <w:szCs w:val="6"/>
                <w:color w:val="auto"/>
              </w:rPr>
            </w:pPr>
          </w:p>
        </w:tc>
        <w:tc>
          <w:tcPr>
            <w:tcW w:w="880" w:type="dxa"/>
            <w:vAlign w:val="bottom"/>
            <w:tcBorders>
              <w:bottom w:val="single" w:sz="8" w:color="EC252A"/>
            </w:tcBorders>
            <w:gridSpan w:val="2"/>
          </w:tcPr>
          <w:p>
            <w:pPr>
              <w:spacing w:after="0"/>
              <w:rPr>
                <w:sz w:val="6"/>
                <w:szCs w:val="6"/>
                <w:color w:val="auto"/>
              </w:rPr>
            </w:pPr>
          </w:p>
        </w:tc>
        <w:tc>
          <w:tcPr>
            <w:tcW w:w="420" w:type="dxa"/>
            <w:vAlign w:val="bottom"/>
            <w:tcBorders>
              <w:bottom w:val="single" w:sz="8" w:color="EC252A"/>
            </w:tcBorders>
          </w:tcPr>
          <w:p>
            <w:pPr>
              <w:spacing w:after="0"/>
              <w:rPr>
                <w:sz w:val="6"/>
                <w:szCs w:val="6"/>
                <w:color w:val="auto"/>
              </w:rPr>
            </w:pPr>
          </w:p>
        </w:tc>
        <w:tc>
          <w:tcPr>
            <w:tcW w:w="880" w:type="dxa"/>
            <w:vAlign w:val="bottom"/>
            <w:tcBorders>
              <w:bottom w:val="single" w:sz="8" w:color="EC252A"/>
            </w:tcBorders>
          </w:tcPr>
          <w:p>
            <w:pPr>
              <w:spacing w:after="0"/>
              <w:rPr>
                <w:sz w:val="6"/>
                <w:szCs w:val="6"/>
                <w:color w:val="auto"/>
              </w:rPr>
            </w:pPr>
          </w:p>
        </w:tc>
        <w:tc>
          <w:tcPr>
            <w:tcW w:w="1300" w:type="dxa"/>
            <w:vAlign w:val="bottom"/>
            <w:tcBorders>
              <w:bottom w:val="single" w:sz="8" w:color="EC252A"/>
            </w:tcBorders>
            <w:gridSpan w:val="2"/>
          </w:tcPr>
          <w:p>
            <w:pPr>
              <w:spacing w:after="0"/>
              <w:rPr>
                <w:sz w:val="6"/>
                <w:szCs w:val="6"/>
                <w:color w:val="auto"/>
              </w:rPr>
            </w:pPr>
          </w:p>
        </w:tc>
        <w:tc>
          <w:tcPr>
            <w:tcW w:w="200" w:type="dxa"/>
            <w:vAlign w:val="bottom"/>
            <w:tcBorders>
              <w:bottom w:val="single" w:sz="8" w:color="EC252A"/>
            </w:tcBorders>
          </w:tcPr>
          <w:p>
            <w:pPr>
              <w:spacing w:after="0"/>
              <w:rPr>
                <w:sz w:val="6"/>
                <w:szCs w:val="6"/>
                <w:color w:val="auto"/>
              </w:rPr>
            </w:pPr>
          </w:p>
        </w:tc>
        <w:tc>
          <w:tcPr>
            <w:tcW w:w="720" w:type="dxa"/>
            <w:vAlign w:val="bottom"/>
            <w:tcBorders>
              <w:bottom w:val="single" w:sz="8" w:color="EC252A"/>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480" w:type="dxa"/>
            <w:vAlign w:val="bottom"/>
          </w:tcPr>
          <w:p>
            <w:pPr>
              <w:ind w:left="80"/>
              <w:spacing w:after="0"/>
              <w:rPr>
                <w:sz w:val="20"/>
                <w:szCs w:val="20"/>
                <w:color w:val="auto"/>
              </w:rPr>
            </w:pPr>
            <w:r>
              <w:rPr>
                <w:rFonts w:ascii="Arial" w:cs="Arial" w:eastAsia="Arial" w:hAnsi="Arial"/>
                <w:sz w:val="14"/>
                <w:szCs w:val="14"/>
                <w:color w:val="auto"/>
              </w:rPr>
              <w:t>Patrick Dugan (5)</w:t>
            </w:r>
          </w:p>
        </w:tc>
        <w:tc>
          <w:tcPr>
            <w:tcW w:w="560" w:type="dxa"/>
            <w:vAlign w:val="bottom"/>
          </w:tcPr>
          <w:p>
            <w:pPr>
              <w:jc w:val="center"/>
              <w:spacing w:after="0"/>
              <w:rPr>
                <w:sz w:val="20"/>
                <w:szCs w:val="20"/>
                <w:color w:val="auto"/>
              </w:rPr>
            </w:pPr>
            <w:r>
              <w:rPr>
                <w:rFonts w:ascii="Arial" w:cs="Arial" w:eastAsia="Arial" w:hAnsi="Arial"/>
                <w:sz w:val="14"/>
                <w:szCs w:val="14"/>
                <w:color w:val="auto"/>
              </w:rPr>
              <w:t>2021</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ind w:left="80"/>
              <w:spacing w:after="0"/>
              <w:rPr>
                <w:sz w:val="20"/>
                <w:szCs w:val="20"/>
                <w:color w:val="auto"/>
              </w:rPr>
            </w:pPr>
            <w:r>
              <w:rPr>
                <w:rFonts w:ascii="Arial" w:cs="Arial" w:eastAsia="Arial" w:hAnsi="Arial"/>
                <w:sz w:val="14"/>
                <w:szCs w:val="14"/>
                <w:color w:val="auto"/>
              </w:rPr>
              <w:t>700,000</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$5,105,327</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$557,903</w:t>
            </w:r>
          </w:p>
        </w:tc>
        <w:tc>
          <w:tcPr>
            <w:tcW w:w="420" w:type="dxa"/>
            <w:vAlign w:val="bottom"/>
          </w:tcPr>
          <w:p>
            <w:pPr>
              <w:ind w:lef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810,936</w:t>
            </w: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$2,630,039</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9,804,205</w:t>
            </w:r>
          </w:p>
        </w:tc>
        <w:tc>
          <w:tcPr>
            <w:tcW w:w="0" w:type="dxa"/>
            <w:vAlign w:val="bottom"/>
          </w:tcPr>
          <w:p>
            <w:pPr>
              <w:spacing w:after="0"/>
              <w:rPr>
                <w:sz w:val="1"/>
                <w:szCs w:val="1"/>
                <w:color w:val="auto"/>
              </w:rPr>
            </w:pPr>
          </w:p>
        </w:tc>
      </w:tr>
      <w:tr>
        <w:trPr>
          <w:trHeight w:val="162"/>
        </w:trPr>
        <w:tc>
          <w:tcPr>
            <w:tcW w:w="2480" w:type="dxa"/>
            <w:vAlign w:val="bottom"/>
          </w:tcPr>
          <w:p>
            <w:pPr>
              <w:ind w:left="80"/>
              <w:spacing w:after="0"/>
              <w:rPr>
                <w:sz w:val="20"/>
                <w:szCs w:val="20"/>
                <w:color w:val="auto"/>
              </w:rPr>
            </w:pPr>
            <w:r>
              <w:rPr>
                <w:rFonts w:ascii="Arial" w:cs="Arial" w:eastAsia="Arial" w:hAnsi="Arial"/>
                <w:sz w:val="14"/>
                <w:szCs w:val="14"/>
                <w:color w:val="auto"/>
              </w:rPr>
              <w:t>Former Executive Vice President</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80"/>
              <w:spacing w:after="0"/>
              <w:rPr>
                <w:sz w:val="20"/>
                <w:szCs w:val="20"/>
                <w:color w:val="auto"/>
              </w:rPr>
            </w:pPr>
            <w:r>
              <w:rPr>
                <w:rFonts w:ascii="Arial" w:cs="Arial" w:eastAsia="Arial" w:hAnsi="Arial"/>
                <w:sz w:val="14"/>
                <w:szCs w:val="14"/>
                <w:color w:val="auto"/>
              </w:rPr>
              <w:t>and Chief Financial Officer</w:t>
            </w:r>
          </w:p>
        </w:tc>
        <w:tc>
          <w:tcPr>
            <w:tcW w:w="560" w:type="dxa"/>
            <w:vAlign w:val="bottom"/>
          </w:tcPr>
          <w:p>
            <w:pPr>
              <w:jc w:val="center"/>
              <w:spacing w:after="0"/>
              <w:rPr>
                <w:sz w:val="20"/>
                <w:szCs w:val="20"/>
                <w:color w:val="auto"/>
              </w:rPr>
            </w:pPr>
            <w:r>
              <w:rPr>
                <w:rFonts w:ascii="Arial" w:cs="Arial" w:eastAsia="Arial" w:hAnsi="Arial"/>
                <w:sz w:val="14"/>
                <w:szCs w:val="14"/>
                <w:color w:val="auto"/>
              </w:rPr>
              <w:t>2020</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ind w:left="80"/>
              <w:spacing w:after="0"/>
              <w:rPr>
                <w:sz w:val="20"/>
                <w:szCs w:val="20"/>
                <w:color w:val="auto"/>
              </w:rPr>
            </w:pPr>
            <w:r>
              <w:rPr>
                <w:rFonts w:ascii="Arial" w:cs="Arial" w:eastAsia="Arial" w:hAnsi="Arial"/>
                <w:sz w:val="14"/>
                <w:szCs w:val="14"/>
                <w:color w:val="auto"/>
              </w:rPr>
              <w:t>700,000</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$1,446,833</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$160,943</w:t>
            </w:r>
          </w:p>
        </w:tc>
        <w:tc>
          <w:tcPr>
            <w:tcW w:w="420" w:type="dxa"/>
            <w:vAlign w:val="bottom"/>
          </w:tcPr>
          <w:p>
            <w:pPr>
              <w:ind w:lef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428,848</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9"/>
              <w:spacing w:after="0"/>
              <w:rPr>
                <w:sz w:val="20"/>
                <w:szCs w:val="20"/>
                <w:color w:val="auto"/>
              </w:rPr>
            </w:pPr>
            <w:r>
              <w:rPr>
                <w:rFonts w:ascii="Arial" w:cs="Arial" w:eastAsia="Arial" w:hAnsi="Arial"/>
                <w:sz w:val="14"/>
                <w:szCs w:val="14"/>
                <w:color w:val="auto"/>
              </w:rPr>
              <w:t>27,989</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2,764,613</w:t>
            </w: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2019</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ind w:left="80"/>
              <w:spacing w:after="0"/>
              <w:rPr>
                <w:sz w:val="20"/>
                <w:szCs w:val="20"/>
                <w:color w:val="auto"/>
              </w:rPr>
            </w:pPr>
            <w:r>
              <w:rPr>
                <w:rFonts w:ascii="Arial" w:cs="Arial" w:eastAsia="Arial" w:hAnsi="Arial"/>
                <w:sz w:val="14"/>
                <w:szCs w:val="14"/>
                <w:color w:val="auto"/>
              </w:rPr>
              <w:t>677,100</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$2,733,575</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$152,152</w:t>
            </w:r>
          </w:p>
        </w:tc>
        <w:tc>
          <w:tcPr>
            <w:tcW w:w="420" w:type="dxa"/>
            <w:vAlign w:val="bottom"/>
          </w:tcPr>
          <w:p>
            <w:pPr>
              <w:ind w:left="2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668,320</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9"/>
              <w:spacing w:after="0"/>
              <w:rPr>
                <w:sz w:val="20"/>
                <w:szCs w:val="20"/>
                <w:color w:val="auto"/>
              </w:rPr>
            </w:pPr>
            <w:r>
              <w:rPr>
                <w:rFonts w:ascii="Arial" w:cs="Arial" w:eastAsia="Arial" w:hAnsi="Arial"/>
                <w:sz w:val="14"/>
                <w:szCs w:val="14"/>
                <w:color w:val="auto"/>
              </w:rPr>
              <w:t>26,593</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4,257,740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58978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73" w:lineRule="exact"/>
        <w:rPr>
          <w:sz w:val="20"/>
          <w:szCs w:val="20"/>
          <w:color w:val="auto"/>
        </w:rPr>
      </w:pPr>
    </w:p>
    <w:p>
      <w:pPr>
        <w:jc w:val="both"/>
        <w:ind w:left="360" w:hanging="360"/>
        <w:spacing w:after="0" w:line="247"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the aggregate grant date fair value dollar amount computed in accordance with FASB ASC Topic 718, which we refer to as “ASC 718”, which for 2021 related to the awards of a) restricted stock made to the named executive officers in 2021 under the 2011 Stock Incentive Plan; and b) long-term incentive awards granted to the named executive officers in 2021 for the 2021-2023 performance period. For the assumptions used in the calculation of these amounts under ASC 718, see Note 13 of the Notes to the Consolidated Financial Statements in Wabtec’s Annual Report on Form 10-K for the year ended December 31, 2021. The value of the 2021 long term incentive award is based on probable achievement of the applicable target performance goals. The value of that award based on achievement of maximum performance level would be: for Mr. Santana – $7,723,558; for Mr. Dugan – $1,716,455; for Mr. DeNinno – $1,313,978; for Mr. Schweitzer – $1,019,023, and for Mr. Gebhardt – $804,629.</w:t>
      </w:r>
    </w:p>
    <w:p>
      <w:pPr>
        <w:spacing w:after="0" w:line="24" w:lineRule="exact"/>
        <w:rPr>
          <w:rFonts w:ascii="Arial" w:cs="Arial" w:eastAsia="Arial" w:hAnsi="Arial"/>
          <w:sz w:val="14"/>
          <w:szCs w:val="14"/>
          <w:color w:val="auto"/>
        </w:rPr>
      </w:pPr>
    </w:p>
    <w:p>
      <w:pPr>
        <w:jc w:val="both"/>
        <w:ind w:left="360" w:hanging="360"/>
        <w:spacing w:after="0" w:line="263"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the aggregate grant date fair value dollar amount computed in accordance with ASC 718 related to the named executive officers that had stock options granted during the year. For the assumptions used in the calculation of this amount under ASC 718, see Note 13 of the Notes to the Consolidated Financial Statements in Wabtec’s Annual Report on Form 10-K for the year ended December 31, 2021.</w:t>
      </w:r>
    </w:p>
    <w:p>
      <w:pPr>
        <w:spacing w:after="0" w:line="10" w:lineRule="exact"/>
        <w:rPr>
          <w:rFonts w:ascii="Arial" w:cs="Arial" w:eastAsia="Arial" w:hAnsi="Arial"/>
          <w:sz w:val="14"/>
          <w:szCs w:val="14"/>
          <w:color w:val="auto"/>
        </w:rPr>
      </w:pPr>
    </w:p>
    <w:p>
      <w:pPr>
        <w:jc w:val="both"/>
        <w:ind w:left="360" w:hanging="360"/>
        <w:spacing w:after="0" w:line="263"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amounts earned by the named executive officers for fiscal years 2021, 2020, and 2019 under Wabtec’s annual incentive award plan. Payment for 2021 performance was made in March 2022. Mr. Olin’s payment reflects a pro rata payment based on his time with the Company during 2021.</w:t>
      </w:r>
    </w:p>
    <w:p>
      <w:pPr>
        <w:spacing w:after="0" w:line="10" w:lineRule="exact"/>
        <w:rPr>
          <w:rFonts w:ascii="Arial" w:cs="Arial" w:eastAsia="Arial" w:hAnsi="Arial"/>
          <w:sz w:val="14"/>
          <w:szCs w:val="14"/>
          <w:color w:val="auto"/>
        </w:rPr>
      </w:pPr>
    </w:p>
    <w:p>
      <w:pPr>
        <w:ind w:left="360" w:hanging="360"/>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Olin was appointed as Wabtec’s Executive Vice President and Chief Financial Officer effective October 1, 2021.</w:t>
      </w:r>
    </w:p>
    <w:p>
      <w:pPr>
        <w:spacing w:after="0" w:line="55" w:lineRule="exact"/>
        <w:rPr>
          <w:rFonts w:ascii="Arial" w:cs="Arial" w:eastAsia="Arial" w:hAnsi="Arial"/>
          <w:sz w:val="14"/>
          <w:szCs w:val="14"/>
          <w:color w:val="auto"/>
        </w:rPr>
      </w:pPr>
    </w:p>
    <w:p>
      <w:pPr>
        <w:jc w:val="both"/>
        <w:ind w:left="360" w:hanging="360"/>
        <w:spacing w:after="0" w:line="246"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Mr. Dugan ceased serving as Chief Financial Officer effective October 1, 2021 and his employment was terminated by the Company effective as of December 31, 2021 in accordance with a Transition Agreement dated September 9, 2021. See “2021 Severance of Mr. Dugan” on page </w:t>
      </w:r>
      <w:hyperlink w:anchor="page55">
        <w:r>
          <w:rPr>
            <w:rFonts w:ascii="Arial" w:cs="Arial" w:eastAsia="Arial" w:hAnsi="Arial"/>
            <w:sz w:val="14"/>
            <w:szCs w:val="14"/>
            <w:u w:val="single" w:color="auto"/>
            <w:color w:val="0000EE"/>
          </w:rPr>
          <w:t>50</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additional details about that agreement. For purposes of this Summary Compensation Table: (i) “Stock Awards” includes, in addition to the grant date fair value of his regular annual restricted shares and performance units granted in February 2021, the aggregate incremental fair value of certain restricted share and performance unit awards that were modified by the Transition Agreement (including his February 2021 awards) to provide full vesting of the restricted shares and permit continued, prorated vesting of the performance units (subject to actual performance results); (ii) “Option Awards” includes, in addition to the grant date fair value of his regular annual options granted in February 2021, the aggregate incremental fair value of certain option awards that were modified by the Transition Agreement (including his February 2021 award) to provide full vesting; and (iv) “All Other Compensation” includes a cash severance payment and the value of benefits continuation required by the Transition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58978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77"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42</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803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47" w:name="page48"/>
    <w:bookmarkEnd w:id="47"/>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220" w:hanging="360"/>
        <w:spacing w:after="0"/>
        <w:tabs>
          <w:tab w:leader="none" w:pos="1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following table sets forth a detailed breakdown of the items which compose “All Other Compensation”:</w:t>
      </w:r>
    </w:p>
    <w:p>
      <w:pPr>
        <w:spacing w:after="0" w:line="238"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EC252A"/>
              </w:rPr>
              <w:t>Imputed</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EC252A"/>
              </w:rPr>
              <w:t>Housing</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EC252A"/>
              </w:rPr>
              <w:t>Company</w:t>
            </w:r>
          </w:p>
        </w:tc>
        <w:tc>
          <w:tcPr>
            <w:tcW w:w="220" w:type="dxa"/>
            <w:vAlign w:val="bottom"/>
          </w:tcPr>
          <w:p>
            <w:pPr>
              <w:spacing w:after="0"/>
              <w:rPr>
                <w:sz w:val="12"/>
                <w:szCs w:val="12"/>
                <w:color w:val="auto"/>
              </w:rPr>
            </w:pPr>
          </w:p>
        </w:tc>
        <w:tc>
          <w:tcPr>
            <w:tcW w:w="620" w:type="dxa"/>
            <w:vAlign w:val="bottom"/>
          </w:tcPr>
          <w:p>
            <w:pPr>
              <w:jc w:val="right"/>
              <w:ind w:right="145"/>
              <w:spacing w:after="0"/>
              <w:rPr>
                <w:sz w:val="20"/>
                <w:szCs w:val="20"/>
                <w:color w:val="auto"/>
              </w:rPr>
            </w:pPr>
            <w:r>
              <w:rPr>
                <w:rFonts w:ascii="Arial" w:cs="Arial" w:eastAsia="Arial" w:hAnsi="Arial"/>
                <w:sz w:val="13"/>
                <w:szCs w:val="13"/>
                <w:b w:val="1"/>
                <w:bCs w:val="1"/>
                <w:color w:val="EC252A"/>
                <w:w w:val="97"/>
              </w:rPr>
              <w:t>Group</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restart"/>
          </w:tcPr>
          <w:p>
            <w:pPr>
              <w:jc w:val="center"/>
              <w:ind w:right="265"/>
              <w:spacing w:after="0"/>
              <w:rPr>
                <w:sz w:val="20"/>
                <w:szCs w:val="20"/>
                <w:color w:val="auto"/>
              </w:rPr>
            </w:pPr>
            <w:r>
              <w:rPr>
                <w:rFonts w:ascii="Arial" w:cs="Arial" w:eastAsia="Arial" w:hAnsi="Arial"/>
                <w:sz w:val="13"/>
                <w:szCs w:val="13"/>
                <w:b w:val="1"/>
                <w:bCs w:val="1"/>
                <w:color w:val="EC252A"/>
              </w:rPr>
              <w:t>Tax</w:t>
            </w:r>
          </w:p>
        </w:tc>
        <w:tc>
          <w:tcPr>
            <w:tcW w:w="1160" w:type="dxa"/>
            <w:vAlign w:val="bottom"/>
            <w:gridSpan w:val="2"/>
            <w:vMerge w:val="continue"/>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EC252A"/>
              </w:rPr>
              <w:t>Social and</w:t>
            </w:r>
          </w:p>
        </w:tc>
        <w:tc>
          <w:tcPr>
            <w:tcW w:w="1120" w:type="dxa"/>
            <w:vAlign w:val="bottom"/>
            <w:gridSpan w:val="2"/>
            <w:vMerge w:val="continue"/>
          </w:tcPr>
          <w:p>
            <w:pPr>
              <w:spacing w:after="0"/>
              <w:rPr>
                <w:sz w:val="12"/>
                <w:szCs w:val="12"/>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EC252A"/>
              </w:rPr>
              <w:t>Term Life</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Allowances</w:t>
            </w:r>
          </w:p>
        </w:tc>
        <w:tc>
          <w:tcPr>
            <w:tcW w:w="980" w:type="dxa"/>
            <w:vAlign w:val="bottom"/>
            <w:gridSpan w:val="2"/>
            <w:vMerge w:val="continue"/>
          </w:tcPr>
          <w:p>
            <w:pPr>
              <w:spacing w:after="0"/>
              <w:rPr>
                <w:sz w:val="12"/>
                <w:szCs w:val="12"/>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Matching</w:t>
            </w: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EC252A"/>
              </w:rPr>
              <w:t>Insurance</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gridSpan w:val="2"/>
            <w:vMerge w:val="restart"/>
          </w:tcPr>
          <w:p>
            <w:pPr>
              <w:jc w:val="right"/>
              <w:ind w:right="64"/>
              <w:spacing w:after="0"/>
              <w:rPr>
                <w:sz w:val="20"/>
                <w:szCs w:val="20"/>
                <w:color w:val="auto"/>
              </w:rPr>
            </w:pPr>
            <w:r>
              <w:rPr>
                <w:rFonts w:ascii="Arial" w:cs="Arial" w:eastAsia="Arial" w:hAnsi="Arial"/>
                <w:sz w:val="13"/>
                <w:szCs w:val="13"/>
                <w:b w:val="1"/>
                <w:bCs w:val="1"/>
                <w:color w:val="EC252A"/>
              </w:rPr>
              <w:t>Severance</w:t>
            </w:r>
          </w:p>
        </w:tc>
        <w:tc>
          <w:tcPr>
            <w:tcW w:w="180" w:type="dxa"/>
            <w:vAlign w:val="bottom"/>
          </w:tcPr>
          <w:p>
            <w:pPr>
              <w:spacing w:after="0"/>
              <w:rPr>
                <w:sz w:val="12"/>
                <w:szCs w:val="12"/>
                <w:color w:val="auto"/>
              </w:rPr>
            </w:pPr>
          </w:p>
        </w:tc>
        <w:tc>
          <w:tcPr>
            <w:tcW w:w="660" w:type="dxa"/>
            <w:vAlign w:val="bottom"/>
            <w:vMerge w:val="restart"/>
          </w:tcPr>
          <w:p>
            <w:pPr>
              <w:jc w:val="right"/>
              <w:ind w:right="125"/>
              <w:spacing w:after="0"/>
              <w:rPr>
                <w:sz w:val="20"/>
                <w:szCs w:val="20"/>
                <w:color w:val="auto"/>
              </w:rPr>
            </w:pPr>
            <w:r>
              <w:rPr>
                <w:rFonts w:ascii="Arial" w:cs="Arial" w:eastAsia="Arial" w:hAnsi="Arial"/>
                <w:sz w:val="13"/>
                <w:szCs w:val="13"/>
                <w:b w:val="1"/>
                <w:bCs w:val="1"/>
                <w:color w:val="EC252A"/>
              </w:rPr>
              <w:t>Bonus</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Equalization</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and Relocation</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Health Club</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Contribution</w:t>
            </w:r>
          </w:p>
        </w:tc>
        <w:tc>
          <w:tcPr>
            <w:tcW w:w="840" w:type="dxa"/>
            <w:vAlign w:val="bottom"/>
            <w:gridSpan w:val="2"/>
          </w:tcPr>
          <w:p>
            <w:pPr>
              <w:ind w:left="140"/>
              <w:spacing w:after="0"/>
              <w:rPr>
                <w:sz w:val="20"/>
                <w:szCs w:val="20"/>
                <w:color w:val="auto"/>
              </w:rPr>
            </w:pPr>
            <w:r>
              <w:rPr>
                <w:rFonts w:ascii="Arial" w:cs="Arial" w:eastAsia="Arial" w:hAnsi="Arial"/>
                <w:sz w:val="13"/>
                <w:szCs w:val="13"/>
                <w:b w:val="1"/>
                <w:bCs w:val="1"/>
                <w:color w:val="EC252A"/>
              </w:rPr>
              <w:t>Premium</w:t>
            </w: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Payments</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Benefits</w:t>
            </w:r>
          </w:p>
        </w:tc>
        <w:tc>
          <w:tcPr>
            <w:tcW w:w="280" w:type="dxa"/>
            <w:vAlign w:val="bottom"/>
          </w:tcPr>
          <w:p>
            <w:pPr>
              <w:spacing w:after="0"/>
              <w:rPr>
                <w:sz w:val="16"/>
                <w:szCs w:val="16"/>
                <w:color w:val="auto"/>
              </w:rPr>
            </w:pPr>
          </w:p>
        </w:tc>
        <w:tc>
          <w:tcPr>
            <w:tcW w:w="700" w:type="dxa"/>
            <w:vAlign w:val="bottom"/>
          </w:tcPr>
          <w:p>
            <w:pPr>
              <w:jc w:val="center"/>
              <w:ind w:right="185"/>
              <w:spacing w:after="0"/>
              <w:rPr>
                <w:sz w:val="20"/>
                <w:szCs w:val="20"/>
                <w:color w:val="auto"/>
              </w:rPr>
            </w:pPr>
            <w:r>
              <w:rPr>
                <w:rFonts w:ascii="Arial" w:cs="Arial" w:eastAsia="Arial" w:hAnsi="Arial"/>
                <w:sz w:val="13"/>
                <w:szCs w:val="13"/>
                <w:b w:val="1"/>
                <w:bCs w:val="1"/>
                <w:color w:val="EC252A"/>
              </w:rPr>
              <w:t>Dues</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to 401(k) Plan</w:t>
            </w: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EC252A"/>
              </w:rPr>
              <w:t>Payments</w:t>
            </w:r>
          </w:p>
        </w:tc>
        <w:tc>
          <w:tcPr>
            <w:tcW w:w="0" w:type="dxa"/>
            <w:vAlign w:val="bottom"/>
          </w:tcPr>
          <w:p>
            <w:pPr>
              <w:spacing w:after="0"/>
              <w:rPr>
                <w:sz w:val="1"/>
                <w:szCs w:val="1"/>
                <w:color w:val="auto"/>
              </w:rPr>
            </w:pPr>
          </w:p>
        </w:tc>
      </w:tr>
      <w:tr>
        <w:trPr>
          <w:trHeight w:val="58"/>
        </w:trPr>
        <w:tc>
          <w:tcPr>
            <w:tcW w:w="1740" w:type="dxa"/>
            <w:vAlign w:val="bottom"/>
            <w:tcBorders>
              <w:bottom w:val="single" w:sz="8" w:color="EC252A"/>
            </w:tcBorders>
          </w:tcPr>
          <w:p>
            <w:pPr>
              <w:spacing w:after="0"/>
              <w:rPr>
                <w:sz w:val="5"/>
                <w:szCs w:val="5"/>
                <w:color w:val="auto"/>
              </w:rPr>
            </w:pPr>
          </w:p>
        </w:tc>
        <w:tc>
          <w:tcPr>
            <w:tcW w:w="640" w:type="dxa"/>
            <w:vAlign w:val="bottom"/>
            <w:tcBorders>
              <w:bottom w:val="single" w:sz="8" w:color="EC252A"/>
            </w:tcBorders>
          </w:tcPr>
          <w:p>
            <w:pPr>
              <w:spacing w:after="0"/>
              <w:rPr>
                <w:sz w:val="5"/>
                <w:szCs w:val="5"/>
                <w:color w:val="auto"/>
              </w:rPr>
            </w:pPr>
          </w:p>
        </w:tc>
        <w:tc>
          <w:tcPr>
            <w:tcW w:w="180" w:type="dxa"/>
            <w:vAlign w:val="bottom"/>
            <w:tcBorders>
              <w:bottom w:val="single" w:sz="8" w:color="EC252A"/>
            </w:tcBorders>
          </w:tcPr>
          <w:p>
            <w:pPr>
              <w:spacing w:after="0"/>
              <w:rPr>
                <w:sz w:val="5"/>
                <w:szCs w:val="5"/>
                <w:color w:val="auto"/>
              </w:rPr>
            </w:pPr>
          </w:p>
        </w:tc>
        <w:tc>
          <w:tcPr>
            <w:tcW w:w="780" w:type="dxa"/>
            <w:vAlign w:val="bottom"/>
            <w:tcBorders>
              <w:bottom w:val="single" w:sz="8" w:color="EC252A"/>
            </w:tcBorders>
          </w:tcPr>
          <w:p>
            <w:pPr>
              <w:spacing w:after="0"/>
              <w:rPr>
                <w:sz w:val="5"/>
                <w:szCs w:val="5"/>
                <w:color w:val="auto"/>
              </w:rPr>
            </w:pPr>
          </w:p>
        </w:tc>
        <w:tc>
          <w:tcPr>
            <w:tcW w:w="180" w:type="dxa"/>
            <w:vAlign w:val="bottom"/>
            <w:tcBorders>
              <w:bottom w:val="single" w:sz="8" w:color="EC252A"/>
            </w:tcBorders>
          </w:tcPr>
          <w:p>
            <w:pPr>
              <w:spacing w:after="0"/>
              <w:rPr>
                <w:sz w:val="5"/>
                <w:szCs w:val="5"/>
                <w:color w:val="auto"/>
              </w:rPr>
            </w:pPr>
          </w:p>
        </w:tc>
        <w:tc>
          <w:tcPr>
            <w:tcW w:w="660" w:type="dxa"/>
            <w:vAlign w:val="bottom"/>
            <w:tcBorders>
              <w:bottom w:val="single" w:sz="8" w:color="EC252A"/>
            </w:tcBorders>
          </w:tcPr>
          <w:p>
            <w:pPr>
              <w:spacing w:after="0"/>
              <w:rPr>
                <w:sz w:val="5"/>
                <w:szCs w:val="5"/>
                <w:color w:val="auto"/>
              </w:rPr>
            </w:pPr>
          </w:p>
        </w:tc>
        <w:tc>
          <w:tcPr>
            <w:tcW w:w="300" w:type="dxa"/>
            <w:vAlign w:val="bottom"/>
            <w:tcBorders>
              <w:bottom w:val="single" w:sz="8" w:color="EC252A"/>
            </w:tcBorders>
          </w:tcPr>
          <w:p>
            <w:pPr>
              <w:spacing w:after="0"/>
              <w:rPr>
                <w:sz w:val="5"/>
                <w:szCs w:val="5"/>
                <w:color w:val="auto"/>
              </w:rPr>
            </w:pPr>
          </w:p>
        </w:tc>
        <w:tc>
          <w:tcPr>
            <w:tcW w:w="700" w:type="dxa"/>
            <w:vAlign w:val="bottom"/>
            <w:tcBorders>
              <w:bottom w:val="single" w:sz="8" w:color="EC252A"/>
            </w:tcBorders>
          </w:tcPr>
          <w:p>
            <w:pPr>
              <w:spacing w:after="0"/>
              <w:rPr>
                <w:sz w:val="5"/>
                <w:szCs w:val="5"/>
                <w:color w:val="auto"/>
              </w:rPr>
            </w:pPr>
          </w:p>
        </w:tc>
        <w:tc>
          <w:tcPr>
            <w:tcW w:w="380" w:type="dxa"/>
            <w:vAlign w:val="bottom"/>
            <w:tcBorders>
              <w:bottom w:val="single" w:sz="8" w:color="EC252A"/>
            </w:tcBorders>
          </w:tcPr>
          <w:p>
            <w:pPr>
              <w:spacing w:after="0"/>
              <w:rPr>
                <w:sz w:val="5"/>
                <w:szCs w:val="5"/>
                <w:color w:val="auto"/>
              </w:rPr>
            </w:pPr>
          </w:p>
        </w:tc>
        <w:tc>
          <w:tcPr>
            <w:tcW w:w="780" w:type="dxa"/>
            <w:vAlign w:val="bottom"/>
            <w:tcBorders>
              <w:bottom w:val="single" w:sz="8" w:color="EC252A"/>
            </w:tcBorders>
          </w:tcPr>
          <w:p>
            <w:pPr>
              <w:spacing w:after="0"/>
              <w:rPr>
                <w:sz w:val="5"/>
                <w:szCs w:val="5"/>
                <w:color w:val="auto"/>
              </w:rPr>
            </w:pPr>
          </w:p>
        </w:tc>
        <w:tc>
          <w:tcPr>
            <w:tcW w:w="280" w:type="dxa"/>
            <w:vAlign w:val="bottom"/>
            <w:tcBorders>
              <w:bottom w:val="single" w:sz="8" w:color="EC252A"/>
            </w:tcBorders>
          </w:tcPr>
          <w:p>
            <w:pPr>
              <w:spacing w:after="0"/>
              <w:rPr>
                <w:sz w:val="5"/>
                <w:szCs w:val="5"/>
                <w:color w:val="auto"/>
              </w:rPr>
            </w:pPr>
          </w:p>
        </w:tc>
        <w:tc>
          <w:tcPr>
            <w:tcW w:w="700" w:type="dxa"/>
            <w:vAlign w:val="bottom"/>
            <w:tcBorders>
              <w:bottom w:val="single" w:sz="8" w:color="EC252A"/>
            </w:tcBorders>
          </w:tcPr>
          <w:p>
            <w:pPr>
              <w:spacing w:after="0"/>
              <w:rPr>
                <w:sz w:val="5"/>
                <w:szCs w:val="5"/>
                <w:color w:val="auto"/>
              </w:rPr>
            </w:pPr>
          </w:p>
        </w:tc>
        <w:tc>
          <w:tcPr>
            <w:tcW w:w="360" w:type="dxa"/>
            <w:vAlign w:val="bottom"/>
            <w:tcBorders>
              <w:bottom w:val="single" w:sz="8" w:color="EC252A"/>
            </w:tcBorders>
          </w:tcPr>
          <w:p>
            <w:pPr>
              <w:spacing w:after="0"/>
              <w:rPr>
                <w:sz w:val="5"/>
                <w:szCs w:val="5"/>
                <w:color w:val="auto"/>
              </w:rPr>
            </w:pPr>
          </w:p>
        </w:tc>
        <w:tc>
          <w:tcPr>
            <w:tcW w:w="760" w:type="dxa"/>
            <w:vAlign w:val="bottom"/>
            <w:tcBorders>
              <w:bottom w:val="single" w:sz="8" w:color="EC252A"/>
            </w:tcBorders>
          </w:tcPr>
          <w:p>
            <w:pPr>
              <w:spacing w:after="0"/>
              <w:rPr>
                <w:sz w:val="5"/>
                <w:szCs w:val="5"/>
                <w:color w:val="auto"/>
              </w:rPr>
            </w:pPr>
          </w:p>
        </w:tc>
        <w:tc>
          <w:tcPr>
            <w:tcW w:w="220" w:type="dxa"/>
            <w:vAlign w:val="bottom"/>
            <w:tcBorders>
              <w:bottom w:val="single" w:sz="8" w:color="EC252A"/>
            </w:tcBorders>
          </w:tcPr>
          <w:p>
            <w:pPr>
              <w:spacing w:after="0"/>
              <w:rPr>
                <w:sz w:val="5"/>
                <w:szCs w:val="5"/>
                <w:color w:val="auto"/>
              </w:rPr>
            </w:pPr>
          </w:p>
        </w:tc>
        <w:tc>
          <w:tcPr>
            <w:tcW w:w="620" w:type="dxa"/>
            <w:vAlign w:val="bottom"/>
            <w:tcBorders>
              <w:bottom w:val="single" w:sz="8" w:color="EC252A"/>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740" w:type="dxa"/>
            <w:vAlign w:val="bottom"/>
          </w:tcPr>
          <w:p>
            <w:pPr>
              <w:ind w:left="60"/>
              <w:spacing w:after="0"/>
              <w:rPr>
                <w:sz w:val="20"/>
                <w:szCs w:val="20"/>
                <w:color w:val="auto"/>
              </w:rPr>
            </w:pPr>
            <w:r>
              <w:rPr>
                <w:rFonts w:ascii="Arial" w:cs="Arial" w:eastAsia="Arial" w:hAnsi="Arial"/>
                <w:sz w:val="15"/>
                <w:szCs w:val="15"/>
                <w:color w:val="auto"/>
              </w:rPr>
              <w:t>Rafael Santana</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2021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5"/>
              <w:spacing w:after="0"/>
              <w:rPr>
                <w:sz w:val="20"/>
                <w:szCs w:val="20"/>
                <w:color w:val="auto"/>
              </w:rPr>
            </w:pPr>
            <w:r>
              <w:rPr>
                <w:rFonts w:ascii="Arial" w:cs="Arial" w:eastAsia="Arial" w:hAnsi="Arial"/>
                <w:sz w:val="15"/>
                <w:szCs w:val="15"/>
                <w:color w:val="auto"/>
              </w:rPr>
              <w:t>0</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65"/>
              <w:spacing w:after="0"/>
              <w:rPr>
                <w:sz w:val="20"/>
                <w:szCs w:val="20"/>
                <w:color w:val="auto"/>
              </w:rPr>
            </w:pPr>
            <w:r>
              <w:rPr>
                <w:rFonts w:ascii="Arial" w:cs="Arial" w:eastAsia="Arial" w:hAnsi="Arial"/>
                <w:sz w:val="15"/>
                <w:szCs w:val="15"/>
                <w:color w:val="auto"/>
              </w:rPr>
              <w:t>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4"/>
              <w:spacing w:after="0"/>
              <w:rPr>
                <w:sz w:val="20"/>
                <w:szCs w:val="20"/>
                <w:color w:val="auto"/>
              </w:rPr>
            </w:pPr>
            <w:r>
              <w:rPr>
                <w:rFonts w:ascii="Arial" w:cs="Arial" w:eastAsia="Arial" w:hAnsi="Arial"/>
                <w:sz w:val="15"/>
                <w:szCs w:val="15"/>
                <w:color w:val="auto"/>
              </w:rPr>
              <w:t>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65"/>
              <w:spacing w:after="0"/>
              <w:rPr>
                <w:sz w:val="20"/>
                <w:szCs w:val="20"/>
                <w:color w:val="auto"/>
              </w:rPr>
            </w:pPr>
            <w:r>
              <w:rPr>
                <w:rFonts w:ascii="Arial" w:cs="Arial" w:eastAsia="Arial" w:hAnsi="Arial"/>
                <w:sz w:val="15"/>
                <w:szCs w:val="15"/>
                <w:color w:val="auto"/>
              </w:rPr>
              <w:t>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04"/>
              <w:spacing w:after="0"/>
              <w:rPr>
                <w:sz w:val="20"/>
                <w:szCs w:val="20"/>
                <w:color w:val="auto"/>
              </w:rPr>
            </w:pPr>
            <w:r>
              <w:rPr>
                <w:rFonts w:ascii="Arial" w:cs="Arial" w:eastAsia="Arial" w:hAnsi="Arial"/>
                <w:sz w:val="15"/>
                <w:szCs w:val="15"/>
                <w:color w:val="auto"/>
              </w:rPr>
              <w:t>17,400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5"/>
              <w:spacing w:after="0"/>
              <w:rPr>
                <w:sz w:val="20"/>
                <w:szCs w:val="20"/>
                <w:color w:val="auto"/>
              </w:rPr>
            </w:pPr>
            <w:r>
              <w:rPr>
                <w:rFonts w:ascii="Arial" w:cs="Arial" w:eastAsia="Arial" w:hAnsi="Arial"/>
                <w:sz w:val="15"/>
                <w:szCs w:val="15"/>
                <w:color w:val="auto"/>
              </w:rPr>
              <w:t>1,710</w:t>
            </w:r>
          </w:p>
        </w:tc>
        <w:tc>
          <w:tcPr>
            <w:tcW w:w="0" w:type="dxa"/>
            <w:vAlign w:val="bottom"/>
          </w:tcPr>
          <w:p>
            <w:pPr>
              <w:spacing w:after="0"/>
              <w:rPr>
                <w:sz w:val="1"/>
                <w:szCs w:val="1"/>
                <w:color w:val="auto"/>
              </w:rPr>
            </w:pPr>
          </w:p>
        </w:tc>
      </w:tr>
      <w:tr>
        <w:trPr>
          <w:trHeight w:val="46"/>
        </w:trPr>
        <w:tc>
          <w:tcPr>
            <w:tcW w:w="1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740" w:type="dxa"/>
            <w:vAlign w:val="bottom"/>
            <w:shd w:val="clear" w:color="auto" w:fill="FCD3C3"/>
          </w:tcPr>
          <w:p>
            <w:pPr>
              <w:spacing w:after="0"/>
              <w:rPr>
                <w:sz w:val="24"/>
                <w:szCs w:val="24"/>
                <w:color w:val="auto"/>
              </w:rPr>
            </w:pPr>
          </w:p>
        </w:tc>
        <w:tc>
          <w:tcPr>
            <w:tcW w:w="640" w:type="dxa"/>
            <w:vAlign w:val="bottom"/>
            <w:shd w:val="clear" w:color="auto" w:fill="FCD3C3"/>
          </w:tcPr>
          <w:p>
            <w:pPr>
              <w:spacing w:after="0"/>
              <w:rPr>
                <w:sz w:val="24"/>
                <w:szCs w:val="24"/>
                <w:color w:val="auto"/>
              </w:rPr>
            </w:pPr>
          </w:p>
        </w:tc>
        <w:tc>
          <w:tcPr>
            <w:tcW w:w="180" w:type="dxa"/>
            <w:vAlign w:val="bottom"/>
            <w:shd w:val="clear" w:color="auto" w:fill="FCD3C3"/>
          </w:tcPr>
          <w:p>
            <w:pPr>
              <w:spacing w:after="0"/>
              <w:rPr>
                <w:sz w:val="24"/>
                <w:szCs w:val="24"/>
                <w:color w:val="auto"/>
              </w:rPr>
            </w:pPr>
          </w:p>
        </w:tc>
        <w:tc>
          <w:tcPr>
            <w:tcW w:w="780" w:type="dxa"/>
            <w:vAlign w:val="bottom"/>
            <w:shd w:val="clear" w:color="auto" w:fill="FCD3C3"/>
          </w:tcPr>
          <w:p>
            <w:pPr>
              <w:spacing w:after="0"/>
              <w:rPr>
                <w:sz w:val="24"/>
                <w:szCs w:val="24"/>
                <w:color w:val="auto"/>
              </w:rPr>
            </w:pPr>
          </w:p>
        </w:tc>
        <w:tc>
          <w:tcPr>
            <w:tcW w:w="180" w:type="dxa"/>
            <w:vAlign w:val="bottom"/>
            <w:shd w:val="clear" w:color="auto" w:fill="FCD3C3"/>
          </w:tcPr>
          <w:p>
            <w:pPr>
              <w:spacing w:after="0"/>
              <w:rPr>
                <w:sz w:val="24"/>
                <w:szCs w:val="24"/>
                <w:color w:val="auto"/>
              </w:rPr>
            </w:pPr>
          </w:p>
        </w:tc>
        <w:tc>
          <w:tcPr>
            <w:tcW w:w="660" w:type="dxa"/>
            <w:vAlign w:val="bottom"/>
            <w:shd w:val="clear" w:color="auto" w:fill="FCD3C3"/>
          </w:tcPr>
          <w:p>
            <w:pPr>
              <w:spacing w:after="0"/>
              <w:rPr>
                <w:sz w:val="24"/>
                <w:szCs w:val="24"/>
                <w:color w:val="auto"/>
              </w:rPr>
            </w:pPr>
          </w:p>
        </w:tc>
        <w:tc>
          <w:tcPr>
            <w:tcW w:w="300" w:type="dxa"/>
            <w:vAlign w:val="bottom"/>
            <w:shd w:val="clear" w:color="auto" w:fill="FCD3C3"/>
          </w:tcPr>
          <w:p>
            <w:pPr>
              <w:spacing w:after="0"/>
              <w:rPr>
                <w:sz w:val="24"/>
                <w:szCs w:val="24"/>
                <w:color w:val="auto"/>
              </w:rPr>
            </w:pPr>
          </w:p>
        </w:tc>
        <w:tc>
          <w:tcPr>
            <w:tcW w:w="700" w:type="dxa"/>
            <w:vAlign w:val="bottom"/>
            <w:shd w:val="clear" w:color="auto" w:fill="FCD3C3"/>
          </w:tcPr>
          <w:p>
            <w:pPr>
              <w:spacing w:after="0"/>
              <w:rPr>
                <w:sz w:val="24"/>
                <w:szCs w:val="24"/>
                <w:color w:val="auto"/>
              </w:rPr>
            </w:pPr>
          </w:p>
        </w:tc>
        <w:tc>
          <w:tcPr>
            <w:tcW w:w="380" w:type="dxa"/>
            <w:vAlign w:val="bottom"/>
            <w:shd w:val="clear" w:color="auto" w:fill="FCD3C3"/>
          </w:tcPr>
          <w:p>
            <w:pPr>
              <w:spacing w:after="0"/>
              <w:rPr>
                <w:sz w:val="24"/>
                <w:szCs w:val="24"/>
                <w:color w:val="auto"/>
              </w:rPr>
            </w:pPr>
          </w:p>
        </w:tc>
        <w:tc>
          <w:tcPr>
            <w:tcW w:w="780" w:type="dxa"/>
            <w:vAlign w:val="bottom"/>
            <w:shd w:val="clear" w:color="auto" w:fill="FCD3C3"/>
          </w:tcPr>
          <w:p>
            <w:pPr>
              <w:spacing w:after="0"/>
              <w:rPr>
                <w:sz w:val="24"/>
                <w:szCs w:val="24"/>
                <w:color w:val="auto"/>
              </w:rPr>
            </w:pPr>
          </w:p>
        </w:tc>
        <w:tc>
          <w:tcPr>
            <w:tcW w:w="280" w:type="dxa"/>
            <w:vAlign w:val="bottom"/>
            <w:shd w:val="clear" w:color="auto" w:fill="FCD3C3"/>
          </w:tcPr>
          <w:p>
            <w:pPr>
              <w:spacing w:after="0"/>
              <w:rPr>
                <w:sz w:val="24"/>
                <w:szCs w:val="24"/>
                <w:color w:val="auto"/>
              </w:rPr>
            </w:pPr>
          </w:p>
        </w:tc>
        <w:tc>
          <w:tcPr>
            <w:tcW w:w="700" w:type="dxa"/>
            <w:vAlign w:val="bottom"/>
            <w:shd w:val="clear" w:color="auto" w:fill="FCD3C3"/>
          </w:tcPr>
          <w:p>
            <w:pPr>
              <w:spacing w:after="0"/>
              <w:rPr>
                <w:sz w:val="24"/>
                <w:szCs w:val="24"/>
                <w:color w:val="auto"/>
              </w:rPr>
            </w:pPr>
          </w:p>
        </w:tc>
        <w:tc>
          <w:tcPr>
            <w:tcW w:w="360" w:type="dxa"/>
            <w:vAlign w:val="bottom"/>
            <w:shd w:val="clear" w:color="auto" w:fill="FCD3C3"/>
          </w:tcPr>
          <w:p>
            <w:pPr>
              <w:spacing w:after="0"/>
              <w:rPr>
                <w:sz w:val="24"/>
                <w:szCs w:val="24"/>
                <w:color w:val="auto"/>
              </w:rPr>
            </w:pPr>
          </w:p>
        </w:tc>
        <w:tc>
          <w:tcPr>
            <w:tcW w:w="760" w:type="dxa"/>
            <w:vAlign w:val="bottom"/>
            <w:shd w:val="clear" w:color="auto" w:fill="FCD3C3"/>
          </w:tcPr>
          <w:p>
            <w:pPr>
              <w:spacing w:after="0"/>
              <w:rPr>
                <w:sz w:val="24"/>
                <w:szCs w:val="24"/>
                <w:color w:val="auto"/>
              </w:rPr>
            </w:pPr>
          </w:p>
        </w:tc>
        <w:tc>
          <w:tcPr>
            <w:tcW w:w="220" w:type="dxa"/>
            <w:vAlign w:val="bottom"/>
            <w:shd w:val="clear" w:color="auto" w:fill="FCD3C3"/>
          </w:tcPr>
          <w:p>
            <w:pPr>
              <w:spacing w:after="0"/>
              <w:rPr>
                <w:sz w:val="24"/>
                <w:szCs w:val="24"/>
                <w:color w:val="auto"/>
              </w:rPr>
            </w:pPr>
          </w:p>
        </w:tc>
        <w:tc>
          <w:tcPr>
            <w:tcW w:w="620" w:type="dxa"/>
            <w:vAlign w:val="bottom"/>
            <w:shd w:val="clear" w:color="auto" w:fill="FCD3C3"/>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740" w:type="dxa"/>
            <w:vAlign w:val="bottom"/>
          </w:tcPr>
          <w:p>
            <w:pPr>
              <w:ind w:left="60"/>
              <w:spacing w:after="0"/>
              <w:rPr>
                <w:sz w:val="20"/>
                <w:szCs w:val="20"/>
                <w:color w:val="auto"/>
              </w:rPr>
            </w:pPr>
            <w:r>
              <w:rPr>
                <w:rFonts w:ascii="Arial" w:cs="Arial" w:eastAsia="Arial" w:hAnsi="Arial"/>
                <w:sz w:val="15"/>
                <w:szCs w:val="15"/>
                <w:color w:val="auto"/>
              </w:rPr>
              <w:t>John Olin (7)</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2021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5"/>
              <w:spacing w:after="0"/>
              <w:rPr>
                <w:sz w:val="20"/>
                <w:szCs w:val="20"/>
                <w:color w:val="auto"/>
              </w:rPr>
            </w:pPr>
            <w:r>
              <w:rPr>
                <w:rFonts w:ascii="Arial" w:cs="Arial" w:eastAsia="Arial" w:hAnsi="Arial"/>
                <w:sz w:val="15"/>
                <w:szCs w:val="15"/>
                <w:color w:val="auto"/>
              </w:rPr>
              <w:t>0</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65"/>
              <w:spacing w:after="0"/>
              <w:rPr>
                <w:sz w:val="20"/>
                <w:szCs w:val="20"/>
                <w:color w:val="auto"/>
              </w:rPr>
            </w:pPr>
            <w:r>
              <w:rPr>
                <w:rFonts w:ascii="Arial" w:cs="Arial" w:eastAsia="Arial" w:hAnsi="Arial"/>
                <w:sz w:val="15"/>
                <w:szCs w:val="15"/>
                <w:color w:val="auto"/>
              </w:rPr>
              <w:t>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4"/>
              <w:spacing w:after="0"/>
              <w:rPr>
                <w:sz w:val="20"/>
                <w:szCs w:val="20"/>
                <w:color w:val="auto"/>
              </w:rPr>
            </w:pPr>
            <w:r>
              <w:rPr>
                <w:rFonts w:ascii="Arial" w:cs="Arial" w:eastAsia="Arial" w:hAnsi="Arial"/>
                <w:sz w:val="15"/>
                <w:szCs w:val="15"/>
                <w:color w:val="auto"/>
                <w:w w:val="95"/>
              </w:rPr>
              <w:t>98,930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65"/>
              <w:spacing w:after="0"/>
              <w:rPr>
                <w:sz w:val="20"/>
                <w:szCs w:val="20"/>
                <w:color w:val="auto"/>
              </w:rPr>
            </w:pPr>
            <w:r>
              <w:rPr>
                <w:rFonts w:ascii="Arial" w:cs="Arial" w:eastAsia="Arial" w:hAnsi="Arial"/>
                <w:sz w:val="15"/>
                <w:szCs w:val="15"/>
                <w:color w:val="auto"/>
              </w:rPr>
              <w:t>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04"/>
              <w:spacing w:after="0"/>
              <w:rPr>
                <w:sz w:val="20"/>
                <w:szCs w:val="20"/>
                <w:color w:val="auto"/>
              </w:rPr>
            </w:pPr>
            <w:r>
              <w:rPr>
                <w:rFonts w:ascii="Arial" w:cs="Arial" w:eastAsia="Arial" w:hAnsi="Arial"/>
                <w:sz w:val="15"/>
                <w:szCs w:val="15"/>
                <w:color w:val="auto"/>
              </w:rPr>
              <w:t>14,712</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5"/>
              <w:spacing w:after="0"/>
              <w:rPr>
                <w:sz w:val="20"/>
                <w:szCs w:val="20"/>
                <w:color w:val="auto"/>
              </w:rPr>
            </w:pPr>
            <w:r>
              <w:rPr>
                <w:rFonts w:ascii="Arial" w:cs="Arial" w:eastAsia="Arial" w:hAnsi="Arial"/>
                <w:sz w:val="15"/>
                <w:szCs w:val="15"/>
                <w:color w:val="auto"/>
              </w:rPr>
              <w:t>2,315</w:t>
            </w:r>
          </w:p>
        </w:tc>
        <w:tc>
          <w:tcPr>
            <w:tcW w:w="0" w:type="dxa"/>
            <w:vAlign w:val="bottom"/>
          </w:tcPr>
          <w:p>
            <w:pPr>
              <w:spacing w:after="0"/>
              <w:rPr>
                <w:sz w:val="1"/>
                <w:szCs w:val="1"/>
                <w:color w:val="auto"/>
              </w:rPr>
            </w:pPr>
          </w:p>
        </w:tc>
      </w:tr>
      <w:tr>
        <w:trPr>
          <w:trHeight w:val="47"/>
        </w:trPr>
        <w:tc>
          <w:tcPr>
            <w:tcW w:w="1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740" w:type="dxa"/>
            <w:vAlign w:val="bottom"/>
            <w:shd w:val="clear" w:color="auto" w:fill="FCD3C3"/>
          </w:tcPr>
          <w:p>
            <w:pPr>
              <w:spacing w:after="0"/>
              <w:rPr>
                <w:sz w:val="24"/>
                <w:szCs w:val="24"/>
                <w:color w:val="auto"/>
              </w:rPr>
            </w:pPr>
          </w:p>
        </w:tc>
        <w:tc>
          <w:tcPr>
            <w:tcW w:w="640" w:type="dxa"/>
            <w:vAlign w:val="bottom"/>
            <w:shd w:val="clear" w:color="auto" w:fill="FCD3C3"/>
          </w:tcPr>
          <w:p>
            <w:pPr>
              <w:spacing w:after="0"/>
              <w:rPr>
                <w:sz w:val="24"/>
                <w:szCs w:val="24"/>
                <w:color w:val="auto"/>
              </w:rPr>
            </w:pPr>
          </w:p>
        </w:tc>
        <w:tc>
          <w:tcPr>
            <w:tcW w:w="180" w:type="dxa"/>
            <w:vAlign w:val="bottom"/>
            <w:shd w:val="clear" w:color="auto" w:fill="FCD3C3"/>
          </w:tcPr>
          <w:p>
            <w:pPr>
              <w:spacing w:after="0"/>
              <w:rPr>
                <w:sz w:val="24"/>
                <w:szCs w:val="24"/>
                <w:color w:val="auto"/>
              </w:rPr>
            </w:pPr>
          </w:p>
        </w:tc>
        <w:tc>
          <w:tcPr>
            <w:tcW w:w="780" w:type="dxa"/>
            <w:vAlign w:val="bottom"/>
            <w:shd w:val="clear" w:color="auto" w:fill="FCD3C3"/>
          </w:tcPr>
          <w:p>
            <w:pPr>
              <w:spacing w:after="0"/>
              <w:rPr>
                <w:sz w:val="24"/>
                <w:szCs w:val="24"/>
                <w:color w:val="auto"/>
              </w:rPr>
            </w:pPr>
          </w:p>
        </w:tc>
        <w:tc>
          <w:tcPr>
            <w:tcW w:w="180" w:type="dxa"/>
            <w:vAlign w:val="bottom"/>
            <w:shd w:val="clear" w:color="auto" w:fill="FCD3C3"/>
          </w:tcPr>
          <w:p>
            <w:pPr>
              <w:spacing w:after="0"/>
              <w:rPr>
                <w:sz w:val="24"/>
                <w:szCs w:val="24"/>
                <w:color w:val="auto"/>
              </w:rPr>
            </w:pPr>
          </w:p>
        </w:tc>
        <w:tc>
          <w:tcPr>
            <w:tcW w:w="660" w:type="dxa"/>
            <w:vAlign w:val="bottom"/>
            <w:shd w:val="clear" w:color="auto" w:fill="FCD3C3"/>
          </w:tcPr>
          <w:p>
            <w:pPr>
              <w:spacing w:after="0"/>
              <w:rPr>
                <w:sz w:val="24"/>
                <w:szCs w:val="24"/>
                <w:color w:val="auto"/>
              </w:rPr>
            </w:pPr>
          </w:p>
        </w:tc>
        <w:tc>
          <w:tcPr>
            <w:tcW w:w="300" w:type="dxa"/>
            <w:vAlign w:val="bottom"/>
            <w:shd w:val="clear" w:color="auto" w:fill="FCD3C3"/>
          </w:tcPr>
          <w:p>
            <w:pPr>
              <w:spacing w:after="0"/>
              <w:rPr>
                <w:sz w:val="24"/>
                <w:szCs w:val="24"/>
                <w:color w:val="auto"/>
              </w:rPr>
            </w:pPr>
          </w:p>
        </w:tc>
        <w:tc>
          <w:tcPr>
            <w:tcW w:w="700" w:type="dxa"/>
            <w:vAlign w:val="bottom"/>
            <w:shd w:val="clear" w:color="auto" w:fill="FCD3C3"/>
          </w:tcPr>
          <w:p>
            <w:pPr>
              <w:spacing w:after="0"/>
              <w:rPr>
                <w:sz w:val="24"/>
                <w:szCs w:val="24"/>
                <w:color w:val="auto"/>
              </w:rPr>
            </w:pPr>
          </w:p>
        </w:tc>
        <w:tc>
          <w:tcPr>
            <w:tcW w:w="380" w:type="dxa"/>
            <w:vAlign w:val="bottom"/>
            <w:shd w:val="clear" w:color="auto" w:fill="FCD3C3"/>
          </w:tcPr>
          <w:p>
            <w:pPr>
              <w:spacing w:after="0"/>
              <w:rPr>
                <w:sz w:val="24"/>
                <w:szCs w:val="24"/>
                <w:color w:val="auto"/>
              </w:rPr>
            </w:pPr>
          </w:p>
        </w:tc>
        <w:tc>
          <w:tcPr>
            <w:tcW w:w="780" w:type="dxa"/>
            <w:vAlign w:val="bottom"/>
            <w:shd w:val="clear" w:color="auto" w:fill="FCD3C3"/>
          </w:tcPr>
          <w:p>
            <w:pPr>
              <w:spacing w:after="0"/>
              <w:rPr>
                <w:sz w:val="24"/>
                <w:szCs w:val="24"/>
                <w:color w:val="auto"/>
              </w:rPr>
            </w:pPr>
          </w:p>
        </w:tc>
        <w:tc>
          <w:tcPr>
            <w:tcW w:w="280" w:type="dxa"/>
            <w:vAlign w:val="bottom"/>
            <w:shd w:val="clear" w:color="auto" w:fill="FCD3C3"/>
          </w:tcPr>
          <w:p>
            <w:pPr>
              <w:spacing w:after="0"/>
              <w:rPr>
                <w:sz w:val="24"/>
                <w:szCs w:val="24"/>
                <w:color w:val="auto"/>
              </w:rPr>
            </w:pPr>
          </w:p>
        </w:tc>
        <w:tc>
          <w:tcPr>
            <w:tcW w:w="700" w:type="dxa"/>
            <w:vAlign w:val="bottom"/>
            <w:shd w:val="clear" w:color="auto" w:fill="FCD3C3"/>
          </w:tcPr>
          <w:p>
            <w:pPr>
              <w:spacing w:after="0"/>
              <w:rPr>
                <w:sz w:val="24"/>
                <w:szCs w:val="24"/>
                <w:color w:val="auto"/>
              </w:rPr>
            </w:pPr>
          </w:p>
        </w:tc>
        <w:tc>
          <w:tcPr>
            <w:tcW w:w="360" w:type="dxa"/>
            <w:vAlign w:val="bottom"/>
            <w:shd w:val="clear" w:color="auto" w:fill="FCD3C3"/>
          </w:tcPr>
          <w:p>
            <w:pPr>
              <w:spacing w:after="0"/>
              <w:rPr>
                <w:sz w:val="24"/>
                <w:szCs w:val="24"/>
                <w:color w:val="auto"/>
              </w:rPr>
            </w:pPr>
          </w:p>
        </w:tc>
        <w:tc>
          <w:tcPr>
            <w:tcW w:w="760" w:type="dxa"/>
            <w:vAlign w:val="bottom"/>
            <w:shd w:val="clear" w:color="auto" w:fill="FCD3C3"/>
          </w:tcPr>
          <w:p>
            <w:pPr>
              <w:spacing w:after="0"/>
              <w:rPr>
                <w:sz w:val="24"/>
                <w:szCs w:val="24"/>
                <w:color w:val="auto"/>
              </w:rPr>
            </w:pPr>
          </w:p>
        </w:tc>
        <w:tc>
          <w:tcPr>
            <w:tcW w:w="220" w:type="dxa"/>
            <w:vAlign w:val="bottom"/>
            <w:shd w:val="clear" w:color="auto" w:fill="FCD3C3"/>
          </w:tcPr>
          <w:p>
            <w:pPr>
              <w:spacing w:after="0"/>
              <w:rPr>
                <w:sz w:val="24"/>
                <w:szCs w:val="24"/>
                <w:color w:val="auto"/>
              </w:rPr>
            </w:pPr>
          </w:p>
        </w:tc>
        <w:tc>
          <w:tcPr>
            <w:tcW w:w="620" w:type="dxa"/>
            <w:vAlign w:val="bottom"/>
            <w:shd w:val="clear" w:color="auto" w:fill="FCD3C3"/>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740" w:type="dxa"/>
            <w:vAlign w:val="bottom"/>
          </w:tcPr>
          <w:p>
            <w:pPr>
              <w:ind w:left="60"/>
              <w:spacing w:after="0"/>
              <w:rPr>
                <w:sz w:val="20"/>
                <w:szCs w:val="20"/>
                <w:color w:val="auto"/>
              </w:rPr>
            </w:pPr>
            <w:r>
              <w:rPr>
                <w:rFonts w:ascii="Arial" w:cs="Arial" w:eastAsia="Arial" w:hAnsi="Arial"/>
                <w:sz w:val="15"/>
                <w:szCs w:val="15"/>
                <w:color w:val="auto"/>
              </w:rPr>
              <w:t>David DeNinno</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2021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5"/>
              <w:spacing w:after="0"/>
              <w:rPr>
                <w:sz w:val="20"/>
                <w:szCs w:val="20"/>
                <w:color w:val="auto"/>
              </w:rPr>
            </w:pPr>
            <w:r>
              <w:rPr>
                <w:rFonts w:ascii="Arial" w:cs="Arial" w:eastAsia="Arial" w:hAnsi="Arial"/>
                <w:sz w:val="15"/>
                <w:szCs w:val="15"/>
                <w:color w:val="auto"/>
              </w:rPr>
              <w:t>0</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65"/>
              <w:spacing w:after="0"/>
              <w:rPr>
                <w:sz w:val="20"/>
                <w:szCs w:val="20"/>
                <w:color w:val="auto"/>
              </w:rPr>
            </w:pPr>
            <w:r>
              <w:rPr>
                <w:rFonts w:ascii="Arial" w:cs="Arial" w:eastAsia="Arial" w:hAnsi="Arial"/>
                <w:sz w:val="15"/>
                <w:szCs w:val="15"/>
                <w:color w:val="auto"/>
              </w:rPr>
              <w:t>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4"/>
              <w:spacing w:after="0"/>
              <w:rPr>
                <w:sz w:val="20"/>
                <w:szCs w:val="20"/>
                <w:color w:val="auto"/>
              </w:rPr>
            </w:pPr>
            <w:r>
              <w:rPr>
                <w:rFonts w:ascii="Arial" w:cs="Arial" w:eastAsia="Arial" w:hAnsi="Arial"/>
                <w:sz w:val="15"/>
                <w:szCs w:val="15"/>
                <w:color w:val="auto"/>
              </w:rPr>
              <w:t>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45"/>
              <w:spacing w:after="0"/>
              <w:rPr>
                <w:sz w:val="20"/>
                <w:szCs w:val="20"/>
                <w:color w:val="auto"/>
              </w:rPr>
            </w:pPr>
            <w:r>
              <w:rPr>
                <w:rFonts w:ascii="Arial" w:cs="Arial" w:eastAsia="Arial" w:hAnsi="Arial"/>
                <w:sz w:val="15"/>
                <w:szCs w:val="15"/>
                <w:color w:val="auto"/>
              </w:rPr>
              <w:t>17,836</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04"/>
              <w:spacing w:after="0"/>
              <w:rPr>
                <w:sz w:val="20"/>
                <w:szCs w:val="20"/>
                <w:color w:val="auto"/>
              </w:rPr>
            </w:pPr>
            <w:r>
              <w:rPr>
                <w:rFonts w:ascii="Arial" w:cs="Arial" w:eastAsia="Arial" w:hAnsi="Arial"/>
                <w:sz w:val="15"/>
                <w:szCs w:val="15"/>
                <w:color w:val="auto"/>
              </w:rPr>
              <w:t>17,400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5"/>
              <w:spacing w:after="0"/>
              <w:rPr>
                <w:sz w:val="20"/>
                <w:szCs w:val="20"/>
                <w:color w:val="auto"/>
              </w:rPr>
            </w:pPr>
            <w:r>
              <w:rPr>
                <w:rFonts w:ascii="Arial" w:cs="Arial" w:eastAsia="Arial" w:hAnsi="Arial"/>
                <w:sz w:val="15"/>
                <w:szCs w:val="15"/>
                <w:color w:val="auto"/>
                <w:w w:val="95"/>
              </w:rPr>
              <w:t>13,533</w:t>
            </w:r>
          </w:p>
        </w:tc>
        <w:tc>
          <w:tcPr>
            <w:tcW w:w="0" w:type="dxa"/>
            <w:vAlign w:val="bottom"/>
          </w:tcPr>
          <w:p>
            <w:pPr>
              <w:spacing w:after="0"/>
              <w:rPr>
                <w:sz w:val="1"/>
                <w:szCs w:val="1"/>
                <w:color w:val="auto"/>
              </w:rPr>
            </w:pPr>
          </w:p>
        </w:tc>
      </w:tr>
      <w:tr>
        <w:trPr>
          <w:trHeight w:val="46"/>
        </w:trPr>
        <w:tc>
          <w:tcPr>
            <w:tcW w:w="1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740" w:type="dxa"/>
            <w:vAlign w:val="bottom"/>
            <w:shd w:val="clear" w:color="auto" w:fill="FCD3C3"/>
          </w:tcPr>
          <w:p>
            <w:pPr>
              <w:spacing w:after="0"/>
              <w:rPr>
                <w:sz w:val="24"/>
                <w:szCs w:val="24"/>
                <w:color w:val="auto"/>
              </w:rPr>
            </w:pPr>
          </w:p>
        </w:tc>
        <w:tc>
          <w:tcPr>
            <w:tcW w:w="640" w:type="dxa"/>
            <w:vAlign w:val="bottom"/>
            <w:shd w:val="clear" w:color="auto" w:fill="FCD3C3"/>
          </w:tcPr>
          <w:p>
            <w:pPr>
              <w:spacing w:after="0"/>
              <w:rPr>
                <w:sz w:val="24"/>
                <w:szCs w:val="24"/>
                <w:color w:val="auto"/>
              </w:rPr>
            </w:pPr>
          </w:p>
        </w:tc>
        <w:tc>
          <w:tcPr>
            <w:tcW w:w="180" w:type="dxa"/>
            <w:vAlign w:val="bottom"/>
            <w:shd w:val="clear" w:color="auto" w:fill="FCD3C3"/>
          </w:tcPr>
          <w:p>
            <w:pPr>
              <w:spacing w:after="0"/>
              <w:rPr>
                <w:sz w:val="24"/>
                <w:szCs w:val="24"/>
                <w:color w:val="auto"/>
              </w:rPr>
            </w:pPr>
          </w:p>
        </w:tc>
        <w:tc>
          <w:tcPr>
            <w:tcW w:w="780" w:type="dxa"/>
            <w:vAlign w:val="bottom"/>
            <w:shd w:val="clear" w:color="auto" w:fill="FCD3C3"/>
          </w:tcPr>
          <w:p>
            <w:pPr>
              <w:spacing w:after="0"/>
              <w:rPr>
                <w:sz w:val="24"/>
                <w:szCs w:val="24"/>
                <w:color w:val="auto"/>
              </w:rPr>
            </w:pPr>
          </w:p>
        </w:tc>
        <w:tc>
          <w:tcPr>
            <w:tcW w:w="180" w:type="dxa"/>
            <w:vAlign w:val="bottom"/>
            <w:shd w:val="clear" w:color="auto" w:fill="FCD3C3"/>
          </w:tcPr>
          <w:p>
            <w:pPr>
              <w:spacing w:after="0"/>
              <w:rPr>
                <w:sz w:val="24"/>
                <w:szCs w:val="24"/>
                <w:color w:val="auto"/>
              </w:rPr>
            </w:pPr>
          </w:p>
        </w:tc>
        <w:tc>
          <w:tcPr>
            <w:tcW w:w="660" w:type="dxa"/>
            <w:vAlign w:val="bottom"/>
            <w:shd w:val="clear" w:color="auto" w:fill="FCD3C3"/>
          </w:tcPr>
          <w:p>
            <w:pPr>
              <w:spacing w:after="0"/>
              <w:rPr>
                <w:sz w:val="24"/>
                <w:szCs w:val="24"/>
                <w:color w:val="auto"/>
              </w:rPr>
            </w:pPr>
          </w:p>
        </w:tc>
        <w:tc>
          <w:tcPr>
            <w:tcW w:w="300" w:type="dxa"/>
            <w:vAlign w:val="bottom"/>
            <w:shd w:val="clear" w:color="auto" w:fill="FCD3C3"/>
          </w:tcPr>
          <w:p>
            <w:pPr>
              <w:spacing w:after="0"/>
              <w:rPr>
                <w:sz w:val="24"/>
                <w:szCs w:val="24"/>
                <w:color w:val="auto"/>
              </w:rPr>
            </w:pPr>
          </w:p>
        </w:tc>
        <w:tc>
          <w:tcPr>
            <w:tcW w:w="700" w:type="dxa"/>
            <w:vAlign w:val="bottom"/>
            <w:shd w:val="clear" w:color="auto" w:fill="FCD3C3"/>
          </w:tcPr>
          <w:p>
            <w:pPr>
              <w:spacing w:after="0"/>
              <w:rPr>
                <w:sz w:val="24"/>
                <w:szCs w:val="24"/>
                <w:color w:val="auto"/>
              </w:rPr>
            </w:pPr>
          </w:p>
        </w:tc>
        <w:tc>
          <w:tcPr>
            <w:tcW w:w="380" w:type="dxa"/>
            <w:vAlign w:val="bottom"/>
            <w:shd w:val="clear" w:color="auto" w:fill="FCD3C3"/>
          </w:tcPr>
          <w:p>
            <w:pPr>
              <w:spacing w:after="0"/>
              <w:rPr>
                <w:sz w:val="24"/>
                <w:szCs w:val="24"/>
                <w:color w:val="auto"/>
              </w:rPr>
            </w:pPr>
          </w:p>
        </w:tc>
        <w:tc>
          <w:tcPr>
            <w:tcW w:w="780" w:type="dxa"/>
            <w:vAlign w:val="bottom"/>
            <w:shd w:val="clear" w:color="auto" w:fill="FCD3C3"/>
          </w:tcPr>
          <w:p>
            <w:pPr>
              <w:spacing w:after="0"/>
              <w:rPr>
                <w:sz w:val="24"/>
                <w:szCs w:val="24"/>
                <w:color w:val="auto"/>
              </w:rPr>
            </w:pPr>
          </w:p>
        </w:tc>
        <w:tc>
          <w:tcPr>
            <w:tcW w:w="280" w:type="dxa"/>
            <w:vAlign w:val="bottom"/>
            <w:shd w:val="clear" w:color="auto" w:fill="FCD3C3"/>
          </w:tcPr>
          <w:p>
            <w:pPr>
              <w:spacing w:after="0"/>
              <w:rPr>
                <w:sz w:val="24"/>
                <w:szCs w:val="24"/>
                <w:color w:val="auto"/>
              </w:rPr>
            </w:pPr>
          </w:p>
        </w:tc>
        <w:tc>
          <w:tcPr>
            <w:tcW w:w="700" w:type="dxa"/>
            <w:vAlign w:val="bottom"/>
            <w:shd w:val="clear" w:color="auto" w:fill="FCD3C3"/>
          </w:tcPr>
          <w:p>
            <w:pPr>
              <w:spacing w:after="0"/>
              <w:rPr>
                <w:sz w:val="24"/>
                <w:szCs w:val="24"/>
                <w:color w:val="auto"/>
              </w:rPr>
            </w:pPr>
          </w:p>
        </w:tc>
        <w:tc>
          <w:tcPr>
            <w:tcW w:w="360" w:type="dxa"/>
            <w:vAlign w:val="bottom"/>
            <w:shd w:val="clear" w:color="auto" w:fill="FCD3C3"/>
          </w:tcPr>
          <w:p>
            <w:pPr>
              <w:spacing w:after="0"/>
              <w:rPr>
                <w:sz w:val="24"/>
                <w:szCs w:val="24"/>
                <w:color w:val="auto"/>
              </w:rPr>
            </w:pPr>
          </w:p>
        </w:tc>
        <w:tc>
          <w:tcPr>
            <w:tcW w:w="760" w:type="dxa"/>
            <w:vAlign w:val="bottom"/>
            <w:shd w:val="clear" w:color="auto" w:fill="FCD3C3"/>
          </w:tcPr>
          <w:p>
            <w:pPr>
              <w:spacing w:after="0"/>
              <w:rPr>
                <w:sz w:val="24"/>
                <w:szCs w:val="24"/>
                <w:color w:val="auto"/>
              </w:rPr>
            </w:pPr>
          </w:p>
        </w:tc>
        <w:tc>
          <w:tcPr>
            <w:tcW w:w="220" w:type="dxa"/>
            <w:vAlign w:val="bottom"/>
            <w:shd w:val="clear" w:color="auto" w:fill="FCD3C3"/>
          </w:tcPr>
          <w:p>
            <w:pPr>
              <w:spacing w:after="0"/>
              <w:rPr>
                <w:sz w:val="24"/>
                <w:szCs w:val="24"/>
                <w:color w:val="auto"/>
              </w:rPr>
            </w:pPr>
          </w:p>
        </w:tc>
        <w:tc>
          <w:tcPr>
            <w:tcW w:w="620" w:type="dxa"/>
            <w:vAlign w:val="bottom"/>
            <w:shd w:val="clear" w:color="auto" w:fill="FCD3C3"/>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740" w:type="dxa"/>
            <w:vAlign w:val="bottom"/>
          </w:tcPr>
          <w:p>
            <w:pPr>
              <w:ind w:left="60"/>
              <w:spacing w:after="0"/>
              <w:rPr>
                <w:sz w:val="20"/>
                <w:szCs w:val="20"/>
                <w:color w:val="auto"/>
              </w:rPr>
            </w:pPr>
            <w:r>
              <w:rPr>
                <w:rFonts w:ascii="Arial" w:cs="Arial" w:eastAsia="Arial" w:hAnsi="Arial"/>
                <w:sz w:val="15"/>
                <w:szCs w:val="15"/>
                <w:color w:val="auto"/>
              </w:rPr>
              <w:t>Pascal Schweitzer (8)</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2021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5"/>
              <w:spacing w:after="0"/>
              <w:rPr>
                <w:sz w:val="20"/>
                <w:szCs w:val="20"/>
                <w:color w:val="auto"/>
              </w:rPr>
            </w:pPr>
            <w:r>
              <w:rPr>
                <w:rFonts w:ascii="Arial" w:cs="Arial" w:eastAsia="Arial" w:hAnsi="Arial"/>
                <w:sz w:val="15"/>
                <w:szCs w:val="15"/>
                <w:color w:val="auto"/>
              </w:rPr>
              <w:t>0</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45"/>
              <w:spacing w:after="0"/>
              <w:rPr>
                <w:sz w:val="20"/>
                <w:szCs w:val="20"/>
                <w:color w:val="auto"/>
              </w:rPr>
            </w:pPr>
            <w:r>
              <w:rPr>
                <w:rFonts w:ascii="Arial" w:cs="Arial" w:eastAsia="Arial" w:hAnsi="Arial"/>
                <w:sz w:val="15"/>
                <w:szCs w:val="15"/>
                <w:color w:val="auto"/>
              </w:rPr>
              <w:t>66,193</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4"/>
              <w:spacing w:after="0"/>
              <w:rPr>
                <w:sz w:val="20"/>
                <w:szCs w:val="20"/>
                <w:color w:val="auto"/>
              </w:rPr>
            </w:pPr>
            <w:r>
              <w:rPr>
                <w:rFonts w:ascii="Arial" w:cs="Arial" w:eastAsia="Arial" w:hAnsi="Arial"/>
                <w:sz w:val="15"/>
                <w:szCs w:val="15"/>
                <w:color w:val="auto"/>
                <w:w w:val="95"/>
              </w:rPr>
              <w:t>98,198</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65"/>
              <w:spacing w:after="0"/>
              <w:rPr>
                <w:sz w:val="20"/>
                <w:szCs w:val="20"/>
                <w:color w:val="auto"/>
              </w:rPr>
            </w:pPr>
            <w:r>
              <w:rPr>
                <w:rFonts w:ascii="Arial" w:cs="Arial" w:eastAsia="Arial" w:hAnsi="Arial"/>
                <w:sz w:val="15"/>
                <w:szCs w:val="15"/>
                <w:color w:val="auto"/>
              </w:rPr>
              <w:t>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24"/>
              <w:spacing w:after="0"/>
              <w:rPr>
                <w:sz w:val="20"/>
                <w:szCs w:val="20"/>
                <w:color w:val="auto"/>
              </w:rPr>
            </w:pPr>
            <w:r>
              <w:rPr>
                <w:rFonts w:ascii="Arial" w:cs="Arial" w:eastAsia="Arial" w:hAnsi="Arial"/>
                <w:sz w:val="15"/>
                <w:szCs w:val="15"/>
                <w:color w:val="auto"/>
              </w:rPr>
              <w:t>8,700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5"/>
              <w:spacing w:after="0"/>
              <w:rPr>
                <w:sz w:val="20"/>
                <w:szCs w:val="20"/>
                <w:color w:val="auto"/>
              </w:rPr>
            </w:pPr>
            <w:r>
              <w:rPr>
                <w:rFonts w:ascii="Arial" w:cs="Arial" w:eastAsia="Arial" w:hAnsi="Arial"/>
                <w:sz w:val="15"/>
                <w:szCs w:val="15"/>
                <w:color w:val="auto"/>
              </w:rPr>
              <w:t>1,328</w:t>
            </w:r>
          </w:p>
        </w:tc>
        <w:tc>
          <w:tcPr>
            <w:tcW w:w="0" w:type="dxa"/>
            <w:vAlign w:val="bottom"/>
          </w:tcPr>
          <w:p>
            <w:pPr>
              <w:spacing w:after="0"/>
              <w:rPr>
                <w:sz w:val="1"/>
                <w:szCs w:val="1"/>
                <w:color w:val="auto"/>
              </w:rPr>
            </w:pPr>
          </w:p>
        </w:tc>
      </w:tr>
      <w:tr>
        <w:trPr>
          <w:trHeight w:val="46"/>
        </w:trPr>
        <w:tc>
          <w:tcPr>
            <w:tcW w:w="1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740" w:type="dxa"/>
            <w:vAlign w:val="bottom"/>
            <w:shd w:val="clear" w:color="auto" w:fill="FCD3C3"/>
          </w:tcPr>
          <w:p>
            <w:pPr>
              <w:spacing w:after="0"/>
              <w:rPr>
                <w:sz w:val="24"/>
                <w:szCs w:val="24"/>
                <w:color w:val="auto"/>
              </w:rPr>
            </w:pPr>
          </w:p>
        </w:tc>
        <w:tc>
          <w:tcPr>
            <w:tcW w:w="640" w:type="dxa"/>
            <w:vAlign w:val="bottom"/>
            <w:shd w:val="clear" w:color="auto" w:fill="FCD3C3"/>
          </w:tcPr>
          <w:p>
            <w:pPr>
              <w:spacing w:after="0"/>
              <w:rPr>
                <w:sz w:val="24"/>
                <w:szCs w:val="24"/>
                <w:color w:val="auto"/>
              </w:rPr>
            </w:pPr>
          </w:p>
        </w:tc>
        <w:tc>
          <w:tcPr>
            <w:tcW w:w="180" w:type="dxa"/>
            <w:vAlign w:val="bottom"/>
            <w:shd w:val="clear" w:color="auto" w:fill="FCD3C3"/>
          </w:tcPr>
          <w:p>
            <w:pPr>
              <w:spacing w:after="0"/>
              <w:rPr>
                <w:sz w:val="24"/>
                <w:szCs w:val="24"/>
                <w:color w:val="auto"/>
              </w:rPr>
            </w:pPr>
          </w:p>
        </w:tc>
        <w:tc>
          <w:tcPr>
            <w:tcW w:w="780" w:type="dxa"/>
            <w:vAlign w:val="bottom"/>
            <w:shd w:val="clear" w:color="auto" w:fill="FCD3C3"/>
          </w:tcPr>
          <w:p>
            <w:pPr>
              <w:spacing w:after="0"/>
              <w:rPr>
                <w:sz w:val="24"/>
                <w:szCs w:val="24"/>
                <w:color w:val="auto"/>
              </w:rPr>
            </w:pPr>
          </w:p>
        </w:tc>
        <w:tc>
          <w:tcPr>
            <w:tcW w:w="180" w:type="dxa"/>
            <w:vAlign w:val="bottom"/>
            <w:shd w:val="clear" w:color="auto" w:fill="FCD3C3"/>
          </w:tcPr>
          <w:p>
            <w:pPr>
              <w:spacing w:after="0"/>
              <w:rPr>
                <w:sz w:val="24"/>
                <w:szCs w:val="24"/>
                <w:color w:val="auto"/>
              </w:rPr>
            </w:pPr>
          </w:p>
        </w:tc>
        <w:tc>
          <w:tcPr>
            <w:tcW w:w="660" w:type="dxa"/>
            <w:vAlign w:val="bottom"/>
            <w:shd w:val="clear" w:color="auto" w:fill="FCD3C3"/>
          </w:tcPr>
          <w:p>
            <w:pPr>
              <w:spacing w:after="0"/>
              <w:rPr>
                <w:sz w:val="24"/>
                <w:szCs w:val="24"/>
                <w:color w:val="auto"/>
              </w:rPr>
            </w:pPr>
          </w:p>
        </w:tc>
        <w:tc>
          <w:tcPr>
            <w:tcW w:w="300" w:type="dxa"/>
            <w:vAlign w:val="bottom"/>
            <w:shd w:val="clear" w:color="auto" w:fill="FCD3C3"/>
          </w:tcPr>
          <w:p>
            <w:pPr>
              <w:spacing w:after="0"/>
              <w:rPr>
                <w:sz w:val="24"/>
                <w:szCs w:val="24"/>
                <w:color w:val="auto"/>
              </w:rPr>
            </w:pPr>
          </w:p>
        </w:tc>
        <w:tc>
          <w:tcPr>
            <w:tcW w:w="700" w:type="dxa"/>
            <w:vAlign w:val="bottom"/>
            <w:shd w:val="clear" w:color="auto" w:fill="FCD3C3"/>
          </w:tcPr>
          <w:p>
            <w:pPr>
              <w:spacing w:after="0"/>
              <w:rPr>
                <w:sz w:val="24"/>
                <w:szCs w:val="24"/>
                <w:color w:val="auto"/>
              </w:rPr>
            </w:pPr>
          </w:p>
        </w:tc>
        <w:tc>
          <w:tcPr>
            <w:tcW w:w="380" w:type="dxa"/>
            <w:vAlign w:val="bottom"/>
            <w:shd w:val="clear" w:color="auto" w:fill="FCD3C3"/>
          </w:tcPr>
          <w:p>
            <w:pPr>
              <w:spacing w:after="0"/>
              <w:rPr>
                <w:sz w:val="24"/>
                <w:szCs w:val="24"/>
                <w:color w:val="auto"/>
              </w:rPr>
            </w:pPr>
          </w:p>
        </w:tc>
        <w:tc>
          <w:tcPr>
            <w:tcW w:w="780" w:type="dxa"/>
            <w:vAlign w:val="bottom"/>
            <w:shd w:val="clear" w:color="auto" w:fill="FCD3C3"/>
          </w:tcPr>
          <w:p>
            <w:pPr>
              <w:spacing w:after="0"/>
              <w:rPr>
                <w:sz w:val="24"/>
                <w:szCs w:val="24"/>
                <w:color w:val="auto"/>
              </w:rPr>
            </w:pPr>
          </w:p>
        </w:tc>
        <w:tc>
          <w:tcPr>
            <w:tcW w:w="280" w:type="dxa"/>
            <w:vAlign w:val="bottom"/>
            <w:shd w:val="clear" w:color="auto" w:fill="FCD3C3"/>
          </w:tcPr>
          <w:p>
            <w:pPr>
              <w:spacing w:after="0"/>
              <w:rPr>
                <w:sz w:val="24"/>
                <w:szCs w:val="24"/>
                <w:color w:val="auto"/>
              </w:rPr>
            </w:pPr>
          </w:p>
        </w:tc>
        <w:tc>
          <w:tcPr>
            <w:tcW w:w="700" w:type="dxa"/>
            <w:vAlign w:val="bottom"/>
            <w:shd w:val="clear" w:color="auto" w:fill="FCD3C3"/>
          </w:tcPr>
          <w:p>
            <w:pPr>
              <w:spacing w:after="0"/>
              <w:rPr>
                <w:sz w:val="24"/>
                <w:szCs w:val="24"/>
                <w:color w:val="auto"/>
              </w:rPr>
            </w:pPr>
          </w:p>
        </w:tc>
        <w:tc>
          <w:tcPr>
            <w:tcW w:w="360" w:type="dxa"/>
            <w:vAlign w:val="bottom"/>
            <w:shd w:val="clear" w:color="auto" w:fill="FCD3C3"/>
          </w:tcPr>
          <w:p>
            <w:pPr>
              <w:spacing w:after="0"/>
              <w:rPr>
                <w:sz w:val="24"/>
                <w:szCs w:val="24"/>
                <w:color w:val="auto"/>
              </w:rPr>
            </w:pPr>
          </w:p>
        </w:tc>
        <w:tc>
          <w:tcPr>
            <w:tcW w:w="760" w:type="dxa"/>
            <w:vAlign w:val="bottom"/>
            <w:shd w:val="clear" w:color="auto" w:fill="FCD3C3"/>
          </w:tcPr>
          <w:p>
            <w:pPr>
              <w:spacing w:after="0"/>
              <w:rPr>
                <w:sz w:val="24"/>
                <w:szCs w:val="24"/>
                <w:color w:val="auto"/>
              </w:rPr>
            </w:pPr>
          </w:p>
        </w:tc>
        <w:tc>
          <w:tcPr>
            <w:tcW w:w="220" w:type="dxa"/>
            <w:vAlign w:val="bottom"/>
            <w:shd w:val="clear" w:color="auto" w:fill="FCD3C3"/>
          </w:tcPr>
          <w:p>
            <w:pPr>
              <w:spacing w:after="0"/>
              <w:rPr>
                <w:sz w:val="24"/>
                <w:szCs w:val="24"/>
                <w:color w:val="auto"/>
              </w:rPr>
            </w:pPr>
          </w:p>
        </w:tc>
        <w:tc>
          <w:tcPr>
            <w:tcW w:w="620" w:type="dxa"/>
            <w:vAlign w:val="bottom"/>
            <w:shd w:val="clear" w:color="auto" w:fill="FCD3C3"/>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740" w:type="dxa"/>
            <w:vAlign w:val="bottom"/>
          </w:tcPr>
          <w:p>
            <w:pPr>
              <w:ind w:left="60"/>
              <w:spacing w:after="0"/>
              <w:rPr>
                <w:sz w:val="20"/>
                <w:szCs w:val="20"/>
                <w:color w:val="auto"/>
              </w:rPr>
            </w:pPr>
            <w:r>
              <w:rPr>
                <w:rFonts w:ascii="Arial" w:cs="Arial" w:eastAsia="Arial" w:hAnsi="Arial"/>
                <w:sz w:val="15"/>
                <w:szCs w:val="15"/>
                <w:color w:val="auto"/>
              </w:rPr>
              <w:t>Eric Gebhardt (9)</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2021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5"/>
              <w:spacing w:after="0"/>
              <w:rPr>
                <w:sz w:val="20"/>
                <w:szCs w:val="20"/>
                <w:color w:val="auto"/>
              </w:rPr>
            </w:pPr>
            <w:r>
              <w:rPr>
                <w:rFonts w:ascii="Arial" w:cs="Arial" w:eastAsia="Arial" w:hAnsi="Arial"/>
                <w:sz w:val="15"/>
                <w:szCs w:val="15"/>
                <w:color w:val="auto"/>
                <w:w w:val="99"/>
              </w:rPr>
              <w:t>250,000</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65"/>
              <w:spacing w:after="0"/>
              <w:rPr>
                <w:sz w:val="20"/>
                <w:szCs w:val="20"/>
                <w:color w:val="auto"/>
              </w:rPr>
            </w:pPr>
            <w:r>
              <w:rPr>
                <w:rFonts w:ascii="Arial" w:cs="Arial" w:eastAsia="Arial" w:hAnsi="Arial"/>
                <w:sz w:val="15"/>
                <w:szCs w:val="15"/>
                <w:color w:val="auto"/>
              </w:rPr>
              <w:t>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4"/>
              <w:spacing w:after="0"/>
              <w:rPr>
                <w:sz w:val="20"/>
                <w:szCs w:val="20"/>
                <w:color w:val="auto"/>
              </w:rPr>
            </w:pPr>
            <w:r>
              <w:rPr>
                <w:rFonts w:ascii="Arial" w:cs="Arial" w:eastAsia="Arial" w:hAnsi="Arial"/>
                <w:sz w:val="15"/>
                <w:szCs w:val="15"/>
                <w:color w:val="auto"/>
              </w:rPr>
              <w:t>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65"/>
              <w:spacing w:after="0"/>
              <w:rPr>
                <w:sz w:val="20"/>
                <w:szCs w:val="20"/>
                <w:color w:val="auto"/>
              </w:rPr>
            </w:pPr>
            <w:r>
              <w:rPr>
                <w:rFonts w:ascii="Arial" w:cs="Arial" w:eastAsia="Arial" w:hAnsi="Arial"/>
                <w:sz w:val="15"/>
                <w:szCs w:val="15"/>
                <w:color w:val="auto"/>
              </w:rPr>
              <w:t>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04"/>
              <w:spacing w:after="0"/>
              <w:rPr>
                <w:sz w:val="20"/>
                <w:szCs w:val="20"/>
                <w:color w:val="auto"/>
              </w:rPr>
            </w:pPr>
            <w:r>
              <w:rPr>
                <w:rFonts w:ascii="Arial" w:cs="Arial" w:eastAsia="Arial" w:hAnsi="Arial"/>
                <w:sz w:val="15"/>
                <w:szCs w:val="15"/>
                <w:color w:val="auto"/>
              </w:rPr>
              <w:t>17,400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5"/>
              <w:spacing w:after="0"/>
              <w:rPr>
                <w:sz w:val="20"/>
                <w:szCs w:val="20"/>
                <w:color w:val="auto"/>
              </w:rPr>
            </w:pPr>
            <w:r>
              <w:rPr>
                <w:rFonts w:ascii="Arial" w:cs="Arial" w:eastAsia="Arial" w:hAnsi="Arial"/>
                <w:sz w:val="15"/>
                <w:szCs w:val="15"/>
                <w:color w:val="auto"/>
              </w:rPr>
              <w:t>2,346</w:t>
            </w:r>
          </w:p>
        </w:tc>
        <w:tc>
          <w:tcPr>
            <w:tcW w:w="0" w:type="dxa"/>
            <w:vAlign w:val="bottom"/>
          </w:tcPr>
          <w:p>
            <w:pPr>
              <w:spacing w:after="0"/>
              <w:rPr>
                <w:sz w:val="1"/>
                <w:szCs w:val="1"/>
                <w:color w:val="auto"/>
              </w:rPr>
            </w:pPr>
          </w:p>
        </w:tc>
      </w:tr>
      <w:tr>
        <w:trPr>
          <w:trHeight w:val="46"/>
        </w:trPr>
        <w:tc>
          <w:tcPr>
            <w:tcW w:w="1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740" w:type="dxa"/>
            <w:vAlign w:val="bottom"/>
            <w:shd w:val="clear" w:color="auto" w:fill="FCD3C3"/>
          </w:tcPr>
          <w:p>
            <w:pPr>
              <w:spacing w:after="0"/>
              <w:rPr>
                <w:sz w:val="24"/>
                <w:szCs w:val="24"/>
                <w:color w:val="auto"/>
              </w:rPr>
            </w:pPr>
          </w:p>
        </w:tc>
        <w:tc>
          <w:tcPr>
            <w:tcW w:w="640" w:type="dxa"/>
            <w:vAlign w:val="bottom"/>
            <w:shd w:val="clear" w:color="auto" w:fill="FCD3C3"/>
          </w:tcPr>
          <w:p>
            <w:pPr>
              <w:spacing w:after="0"/>
              <w:rPr>
                <w:sz w:val="24"/>
                <w:szCs w:val="24"/>
                <w:color w:val="auto"/>
              </w:rPr>
            </w:pPr>
          </w:p>
        </w:tc>
        <w:tc>
          <w:tcPr>
            <w:tcW w:w="180" w:type="dxa"/>
            <w:vAlign w:val="bottom"/>
            <w:shd w:val="clear" w:color="auto" w:fill="FCD3C3"/>
          </w:tcPr>
          <w:p>
            <w:pPr>
              <w:spacing w:after="0"/>
              <w:rPr>
                <w:sz w:val="24"/>
                <w:szCs w:val="24"/>
                <w:color w:val="auto"/>
              </w:rPr>
            </w:pPr>
          </w:p>
        </w:tc>
        <w:tc>
          <w:tcPr>
            <w:tcW w:w="780" w:type="dxa"/>
            <w:vAlign w:val="bottom"/>
            <w:shd w:val="clear" w:color="auto" w:fill="FCD3C3"/>
          </w:tcPr>
          <w:p>
            <w:pPr>
              <w:spacing w:after="0"/>
              <w:rPr>
                <w:sz w:val="24"/>
                <w:szCs w:val="24"/>
                <w:color w:val="auto"/>
              </w:rPr>
            </w:pPr>
          </w:p>
        </w:tc>
        <w:tc>
          <w:tcPr>
            <w:tcW w:w="180" w:type="dxa"/>
            <w:vAlign w:val="bottom"/>
            <w:shd w:val="clear" w:color="auto" w:fill="FCD3C3"/>
          </w:tcPr>
          <w:p>
            <w:pPr>
              <w:spacing w:after="0"/>
              <w:rPr>
                <w:sz w:val="24"/>
                <w:szCs w:val="24"/>
                <w:color w:val="auto"/>
              </w:rPr>
            </w:pPr>
          </w:p>
        </w:tc>
        <w:tc>
          <w:tcPr>
            <w:tcW w:w="660" w:type="dxa"/>
            <w:vAlign w:val="bottom"/>
            <w:shd w:val="clear" w:color="auto" w:fill="FCD3C3"/>
          </w:tcPr>
          <w:p>
            <w:pPr>
              <w:spacing w:after="0"/>
              <w:rPr>
                <w:sz w:val="24"/>
                <w:szCs w:val="24"/>
                <w:color w:val="auto"/>
              </w:rPr>
            </w:pPr>
          </w:p>
        </w:tc>
        <w:tc>
          <w:tcPr>
            <w:tcW w:w="300" w:type="dxa"/>
            <w:vAlign w:val="bottom"/>
            <w:shd w:val="clear" w:color="auto" w:fill="FCD3C3"/>
          </w:tcPr>
          <w:p>
            <w:pPr>
              <w:spacing w:after="0"/>
              <w:rPr>
                <w:sz w:val="24"/>
                <w:szCs w:val="24"/>
                <w:color w:val="auto"/>
              </w:rPr>
            </w:pPr>
          </w:p>
        </w:tc>
        <w:tc>
          <w:tcPr>
            <w:tcW w:w="700" w:type="dxa"/>
            <w:vAlign w:val="bottom"/>
            <w:shd w:val="clear" w:color="auto" w:fill="FCD3C3"/>
          </w:tcPr>
          <w:p>
            <w:pPr>
              <w:spacing w:after="0"/>
              <w:rPr>
                <w:sz w:val="24"/>
                <w:szCs w:val="24"/>
                <w:color w:val="auto"/>
              </w:rPr>
            </w:pPr>
          </w:p>
        </w:tc>
        <w:tc>
          <w:tcPr>
            <w:tcW w:w="380" w:type="dxa"/>
            <w:vAlign w:val="bottom"/>
            <w:shd w:val="clear" w:color="auto" w:fill="FCD3C3"/>
          </w:tcPr>
          <w:p>
            <w:pPr>
              <w:spacing w:after="0"/>
              <w:rPr>
                <w:sz w:val="24"/>
                <w:szCs w:val="24"/>
                <w:color w:val="auto"/>
              </w:rPr>
            </w:pPr>
          </w:p>
        </w:tc>
        <w:tc>
          <w:tcPr>
            <w:tcW w:w="780" w:type="dxa"/>
            <w:vAlign w:val="bottom"/>
            <w:shd w:val="clear" w:color="auto" w:fill="FCD3C3"/>
          </w:tcPr>
          <w:p>
            <w:pPr>
              <w:spacing w:after="0"/>
              <w:rPr>
                <w:sz w:val="24"/>
                <w:szCs w:val="24"/>
                <w:color w:val="auto"/>
              </w:rPr>
            </w:pPr>
          </w:p>
        </w:tc>
        <w:tc>
          <w:tcPr>
            <w:tcW w:w="280" w:type="dxa"/>
            <w:vAlign w:val="bottom"/>
            <w:shd w:val="clear" w:color="auto" w:fill="FCD3C3"/>
          </w:tcPr>
          <w:p>
            <w:pPr>
              <w:spacing w:after="0"/>
              <w:rPr>
                <w:sz w:val="24"/>
                <w:szCs w:val="24"/>
                <w:color w:val="auto"/>
              </w:rPr>
            </w:pPr>
          </w:p>
        </w:tc>
        <w:tc>
          <w:tcPr>
            <w:tcW w:w="700" w:type="dxa"/>
            <w:vAlign w:val="bottom"/>
            <w:shd w:val="clear" w:color="auto" w:fill="FCD3C3"/>
          </w:tcPr>
          <w:p>
            <w:pPr>
              <w:spacing w:after="0"/>
              <w:rPr>
                <w:sz w:val="24"/>
                <w:szCs w:val="24"/>
                <w:color w:val="auto"/>
              </w:rPr>
            </w:pPr>
          </w:p>
        </w:tc>
        <w:tc>
          <w:tcPr>
            <w:tcW w:w="360" w:type="dxa"/>
            <w:vAlign w:val="bottom"/>
            <w:shd w:val="clear" w:color="auto" w:fill="FCD3C3"/>
          </w:tcPr>
          <w:p>
            <w:pPr>
              <w:spacing w:after="0"/>
              <w:rPr>
                <w:sz w:val="24"/>
                <w:szCs w:val="24"/>
                <w:color w:val="auto"/>
              </w:rPr>
            </w:pPr>
          </w:p>
        </w:tc>
        <w:tc>
          <w:tcPr>
            <w:tcW w:w="760" w:type="dxa"/>
            <w:vAlign w:val="bottom"/>
            <w:shd w:val="clear" w:color="auto" w:fill="FCD3C3"/>
          </w:tcPr>
          <w:p>
            <w:pPr>
              <w:spacing w:after="0"/>
              <w:rPr>
                <w:sz w:val="24"/>
                <w:szCs w:val="24"/>
                <w:color w:val="auto"/>
              </w:rPr>
            </w:pPr>
          </w:p>
        </w:tc>
        <w:tc>
          <w:tcPr>
            <w:tcW w:w="220" w:type="dxa"/>
            <w:vAlign w:val="bottom"/>
            <w:shd w:val="clear" w:color="auto" w:fill="FCD3C3"/>
          </w:tcPr>
          <w:p>
            <w:pPr>
              <w:spacing w:after="0"/>
              <w:rPr>
                <w:sz w:val="24"/>
                <w:szCs w:val="24"/>
                <w:color w:val="auto"/>
              </w:rPr>
            </w:pPr>
          </w:p>
        </w:tc>
        <w:tc>
          <w:tcPr>
            <w:tcW w:w="620" w:type="dxa"/>
            <w:vAlign w:val="bottom"/>
            <w:shd w:val="clear" w:color="auto" w:fill="FCD3C3"/>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740" w:type="dxa"/>
            <w:vAlign w:val="bottom"/>
          </w:tcPr>
          <w:p>
            <w:pPr>
              <w:ind w:left="60"/>
              <w:spacing w:after="0"/>
              <w:rPr>
                <w:sz w:val="20"/>
                <w:szCs w:val="20"/>
                <w:color w:val="auto"/>
              </w:rPr>
            </w:pPr>
            <w:r>
              <w:rPr>
                <w:rFonts w:ascii="Arial" w:cs="Arial" w:eastAsia="Arial" w:hAnsi="Arial"/>
                <w:sz w:val="15"/>
                <w:szCs w:val="15"/>
                <w:color w:val="auto"/>
              </w:rPr>
              <w:t>Patrick Dugan</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2021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w w:val="98"/>
              </w:rPr>
              <w:t>2,599,050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5"/>
              <w:spacing w:after="0"/>
              <w:rPr>
                <w:sz w:val="20"/>
                <w:szCs w:val="20"/>
                <w:color w:val="auto"/>
              </w:rPr>
            </w:pPr>
            <w:r>
              <w:rPr>
                <w:rFonts w:ascii="Arial" w:cs="Arial" w:eastAsia="Arial" w:hAnsi="Arial"/>
                <w:sz w:val="15"/>
                <w:szCs w:val="15"/>
                <w:color w:val="auto"/>
              </w:rPr>
              <w:t>0</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65"/>
              <w:spacing w:after="0"/>
              <w:rPr>
                <w:sz w:val="20"/>
                <w:szCs w:val="20"/>
                <w:color w:val="auto"/>
              </w:rPr>
            </w:pPr>
            <w:r>
              <w:rPr>
                <w:rFonts w:ascii="Arial" w:cs="Arial" w:eastAsia="Arial" w:hAnsi="Arial"/>
                <w:sz w:val="15"/>
                <w:szCs w:val="15"/>
                <w:color w:val="auto"/>
              </w:rPr>
              <w:t>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4"/>
              <w:spacing w:after="0"/>
              <w:rPr>
                <w:sz w:val="20"/>
                <w:szCs w:val="20"/>
                <w:color w:val="auto"/>
              </w:rPr>
            </w:pPr>
            <w:r>
              <w:rPr>
                <w:rFonts w:ascii="Arial" w:cs="Arial" w:eastAsia="Arial" w:hAnsi="Arial"/>
                <w:sz w:val="15"/>
                <w:szCs w:val="15"/>
                <w:color w:val="auto"/>
              </w:rPr>
              <w:t>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65"/>
              <w:spacing w:after="0"/>
              <w:rPr>
                <w:sz w:val="20"/>
                <w:szCs w:val="20"/>
                <w:color w:val="auto"/>
              </w:rPr>
            </w:pPr>
            <w:r>
              <w:rPr>
                <w:rFonts w:ascii="Arial" w:cs="Arial" w:eastAsia="Arial" w:hAnsi="Arial"/>
                <w:sz w:val="15"/>
                <w:szCs w:val="15"/>
                <w:color w:val="auto"/>
              </w:rPr>
              <w:t>8,687</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04"/>
              <w:spacing w:after="0"/>
              <w:rPr>
                <w:sz w:val="20"/>
                <w:szCs w:val="20"/>
                <w:color w:val="auto"/>
              </w:rPr>
            </w:pPr>
            <w:r>
              <w:rPr>
                <w:rFonts w:ascii="Arial" w:cs="Arial" w:eastAsia="Arial" w:hAnsi="Arial"/>
                <w:sz w:val="15"/>
                <w:szCs w:val="15"/>
                <w:color w:val="auto"/>
              </w:rPr>
              <w:t>17,400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85"/>
              <w:spacing w:after="0"/>
              <w:rPr>
                <w:sz w:val="20"/>
                <w:szCs w:val="20"/>
                <w:color w:val="auto"/>
              </w:rPr>
            </w:pPr>
            <w:r>
              <w:rPr>
                <w:rFonts w:ascii="Arial" w:cs="Arial" w:eastAsia="Arial" w:hAnsi="Arial"/>
                <w:sz w:val="15"/>
                <w:szCs w:val="15"/>
                <w:color w:val="auto"/>
              </w:rPr>
              <w:t>4,902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209550</wp:posOffset>
            </wp:positionV>
            <wp:extent cx="58978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368" w:lineRule="exact"/>
        <w:rPr>
          <w:sz w:val="20"/>
          <w:szCs w:val="20"/>
          <w:color w:val="auto"/>
        </w:rPr>
      </w:pPr>
    </w:p>
    <w:p>
      <w:pPr>
        <w:ind w:left="1220" w:hanging="360"/>
        <w:spacing w:after="0"/>
        <w:tabs>
          <w:tab w:leader="none" w:pos="1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amount for Mr. Olin represents the aggregate and incremental cost to the company of providing certain relocation benefits.</w:t>
      </w:r>
    </w:p>
    <w:p>
      <w:pPr>
        <w:spacing w:after="0" w:line="55" w:lineRule="exact"/>
        <w:rPr>
          <w:rFonts w:ascii="Arial" w:cs="Arial" w:eastAsia="Arial" w:hAnsi="Arial"/>
          <w:sz w:val="14"/>
          <w:szCs w:val="14"/>
          <w:color w:val="auto"/>
        </w:rPr>
      </w:pPr>
    </w:p>
    <w:p>
      <w:pPr>
        <w:jc w:val="both"/>
        <w:ind w:left="1220" w:right="880" w:hanging="360"/>
        <w:spacing w:after="0" w:line="263" w:lineRule="auto"/>
        <w:tabs>
          <w:tab w:leader="none" w:pos="1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Schweitzer is an expatriate and is therefore provided additional annual benefits tied to his assignment. Those benefits include housing and utilities in the host country and tax preparation. We also provided Mr. Schweitzer with tax equalization payments to eliminate any adverse tax impact due to his overseas assignment.</w:t>
      </w:r>
    </w:p>
    <w:p>
      <w:pPr>
        <w:spacing w:after="0" w:line="10" w:lineRule="exact"/>
        <w:rPr>
          <w:rFonts w:ascii="Arial" w:cs="Arial" w:eastAsia="Arial" w:hAnsi="Arial"/>
          <w:sz w:val="14"/>
          <w:szCs w:val="14"/>
          <w:color w:val="auto"/>
        </w:rPr>
      </w:pPr>
    </w:p>
    <w:p>
      <w:pPr>
        <w:jc w:val="both"/>
        <w:ind w:left="1220" w:right="880" w:hanging="360"/>
        <w:spacing w:after="0" w:line="263" w:lineRule="auto"/>
        <w:tabs>
          <w:tab w:leader="none" w:pos="1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bonus for Mr. Gebhardt was paid on the basis of Mr. Gebhardt meeting two criteria: (i) assessing and structuring the company’s engineering team (including evaluating and identifying successors) and (ii) progressing green technologies (including the viability of battery electric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158115</wp:posOffset>
            </wp:positionV>
            <wp:extent cx="58978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43</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79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8" w:name="page49"/>
    <w:bookmarkEnd w:id="4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897880" cy="3429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2021 Grants of Plan Based Awards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This table shows the equity based awards granted to the named executive officers in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EC252A"/>
                <w:w w:val="98"/>
              </w:rPr>
              <w:t>All Other</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EC252A"/>
                <w:w w:val="94"/>
              </w:rPr>
              <w:t>All Other</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73"/>
              <w:spacing w:after="0"/>
              <w:rPr>
                <w:sz w:val="20"/>
                <w:szCs w:val="20"/>
                <w:color w:val="auto"/>
              </w:rPr>
            </w:pPr>
            <w:r>
              <w:rPr>
                <w:rFonts w:ascii="Arial" w:cs="Arial" w:eastAsia="Arial" w:hAnsi="Arial"/>
                <w:sz w:val="13"/>
                <w:szCs w:val="13"/>
                <w:b w:val="1"/>
                <w:bCs w:val="1"/>
                <w:color w:val="EC252A"/>
                <w:w w:val="97"/>
              </w:rPr>
              <w:t>Grant</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2980" w:type="dxa"/>
            <w:vAlign w:val="bottom"/>
            <w:gridSpan w:val="5"/>
            <w:vMerge w:val="restart"/>
          </w:tcPr>
          <w:p>
            <w:pPr>
              <w:jc w:val="center"/>
              <w:ind w:left="613"/>
              <w:spacing w:after="0"/>
              <w:rPr>
                <w:sz w:val="20"/>
                <w:szCs w:val="20"/>
                <w:color w:val="auto"/>
              </w:rPr>
            </w:pPr>
            <w:r>
              <w:rPr>
                <w:rFonts w:ascii="Arial" w:cs="Arial" w:eastAsia="Arial" w:hAnsi="Arial"/>
                <w:sz w:val="13"/>
                <w:szCs w:val="13"/>
                <w:b w:val="1"/>
                <w:bCs w:val="1"/>
                <w:color w:val="EC252A"/>
                <w:w w:val="96"/>
              </w:rPr>
              <w:t>Estimated Future</w:t>
            </w:r>
          </w:p>
        </w:tc>
        <w:tc>
          <w:tcPr>
            <w:tcW w:w="19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EC252A"/>
                <w:w w:val="97"/>
              </w:rPr>
              <w:t>Estimate Future</w:t>
            </w:r>
          </w:p>
        </w:tc>
        <w:tc>
          <w:tcPr>
            <w:tcW w:w="7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93"/>
              <w:spacing w:after="0" w:line="135" w:lineRule="exact"/>
              <w:rPr>
                <w:sz w:val="20"/>
                <w:szCs w:val="20"/>
                <w:color w:val="auto"/>
              </w:rPr>
            </w:pPr>
            <w:r>
              <w:rPr>
                <w:rFonts w:ascii="Arial" w:cs="Arial" w:eastAsia="Arial" w:hAnsi="Arial"/>
                <w:sz w:val="13"/>
                <w:szCs w:val="13"/>
                <w:b w:val="1"/>
                <w:bCs w:val="1"/>
                <w:color w:val="EC252A"/>
                <w:w w:val="99"/>
              </w:rPr>
              <w:t>Date</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2980" w:type="dxa"/>
            <w:vAlign w:val="bottom"/>
            <w:gridSpan w:val="5"/>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5"/>
              </w:rPr>
              <w:t>Stock</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5"/>
              </w:rPr>
              <w:t>Option</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EC252A"/>
                <w:w w:val="97"/>
              </w:rPr>
              <w:t>Exercise</w:t>
            </w:r>
          </w:p>
        </w:tc>
        <w:tc>
          <w:tcPr>
            <w:tcW w:w="120" w:type="dxa"/>
            <w:vAlign w:val="bottom"/>
          </w:tcPr>
          <w:p>
            <w:pPr>
              <w:spacing w:after="0"/>
              <w:rPr>
                <w:sz w:val="11"/>
                <w:szCs w:val="11"/>
                <w:color w:val="auto"/>
              </w:rPr>
            </w:pPr>
          </w:p>
        </w:tc>
        <w:tc>
          <w:tcPr>
            <w:tcW w:w="680" w:type="dxa"/>
            <w:vAlign w:val="bottom"/>
          </w:tcPr>
          <w:p>
            <w:pPr>
              <w:jc w:val="center"/>
              <w:ind w:right="73"/>
              <w:spacing w:after="0" w:line="135" w:lineRule="exact"/>
              <w:rPr>
                <w:sz w:val="20"/>
                <w:szCs w:val="20"/>
                <w:color w:val="auto"/>
              </w:rPr>
            </w:pPr>
            <w:r>
              <w:rPr>
                <w:rFonts w:ascii="Arial" w:cs="Arial" w:eastAsia="Arial" w:hAnsi="Arial"/>
                <w:sz w:val="13"/>
                <w:szCs w:val="13"/>
                <w:b w:val="1"/>
                <w:bCs w:val="1"/>
                <w:color w:val="EC252A"/>
                <w:w w:val="92"/>
              </w:rPr>
              <w:t>Fair</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8"/>
              </w:rPr>
              <w:t>Payouts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8"/>
              </w:rPr>
              <w:t>Payouts</w:t>
            </w:r>
          </w:p>
        </w:tc>
        <w:tc>
          <w:tcPr>
            <w:tcW w:w="6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7"/>
              </w:rPr>
              <w:t>Awards:</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7"/>
              </w:rPr>
              <w:t>Awards:</w:t>
            </w: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93"/>
              <w:spacing w:after="0" w:line="135" w:lineRule="exact"/>
              <w:rPr>
                <w:sz w:val="20"/>
                <w:szCs w:val="20"/>
                <w:color w:val="auto"/>
              </w:rPr>
            </w:pPr>
            <w:r>
              <w:rPr>
                <w:rFonts w:ascii="Arial" w:cs="Arial" w:eastAsia="Arial" w:hAnsi="Arial"/>
                <w:sz w:val="13"/>
                <w:szCs w:val="13"/>
                <w:b w:val="1"/>
                <w:bCs w:val="1"/>
                <w:color w:val="EC252A"/>
                <w:w w:val="94"/>
              </w:rPr>
              <w:t>Value of</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2980" w:type="dxa"/>
            <w:vAlign w:val="bottom"/>
            <w:gridSpan w:val="5"/>
          </w:tcPr>
          <w:p>
            <w:pPr>
              <w:jc w:val="center"/>
              <w:ind w:left="613"/>
              <w:spacing w:after="0" w:line="135" w:lineRule="exact"/>
              <w:rPr>
                <w:sz w:val="20"/>
                <w:szCs w:val="20"/>
                <w:color w:val="auto"/>
              </w:rPr>
            </w:pPr>
            <w:r>
              <w:rPr>
                <w:rFonts w:ascii="Arial" w:cs="Arial" w:eastAsia="Arial" w:hAnsi="Arial"/>
                <w:sz w:val="13"/>
                <w:szCs w:val="13"/>
                <w:b w:val="1"/>
                <w:bCs w:val="1"/>
                <w:color w:val="EC252A"/>
                <w:w w:val="95"/>
              </w:rPr>
              <w:t>Under Non-Equity</w:t>
            </w:r>
          </w:p>
        </w:tc>
        <w:tc>
          <w:tcPr>
            <w:tcW w:w="19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EC252A"/>
                <w:w w:val="96"/>
              </w:rPr>
              <w:t>Under Equity</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5"/>
              </w:rPr>
              <w:t>Number of</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5"/>
              </w:rPr>
              <w:t>Number of</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6"/>
              </w:rPr>
              <w:t>Price of</w:t>
            </w:r>
          </w:p>
        </w:tc>
        <w:tc>
          <w:tcPr>
            <w:tcW w:w="120" w:type="dxa"/>
            <w:vAlign w:val="bottom"/>
          </w:tcPr>
          <w:p>
            <w:pPr>
              <w:spacing w:after="0"/>
              <w:rPr>
                <w:sz w:val="11"/>
                <w:szCs w:val="11"/>
                <w:color w:val="auto"/>
              </w:rPr>
            </w:pPr>
          </w:p>
        </w:tc>
        <w:tc>
          <w:tcPr>
            <w:tcW w:w="680" w:type="dxa"/>
            <w:vAlign w:val="bottom"/>
          </w:tcPr>
          <w:p>
            <w:pPr>
              <w:jc w:val="center"/>
              <w:ind w:right="73"/>
              <w:spacing w:after="0" w:line="135" w:lineRule="exact"/>
              <w:rPr>
                <w:sz w:val="20"/>
                <w:szCs w:val="20"/>
                <w:color w:val="auto"/>
              </w:rPr>
            </w:pPr>
            <w:r>
              <w:rPr>
                <w:rFonts w:ascii="Arial" w:cs="Arial" w:eastAsia="Arial" w:hAnsi="Arial"/>
                <w:sz w:val="13"/>
                <w:szCs w:val="13"/>
                <w:b w:val="1"/>
                <w:bCs w:val="1"/>
                <w:color w:val="EC252A"/>
                <w:w w:val="95"/>
              </w:rPr>
              <w:t>Stock</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5"/>
              </w:rPr>
              <w:t>Incentive</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5"/>
              </w:rPr>
              <w:t>Incentive</w:t>
            </w:r>
          </w:p>
        </w:tc>
        <w:tc>
          <w:tcPr>
            <w:tcW w:w="6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2"/>
              </w:rPr>
              <w:t>Units</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7"/>
              </w:rPr>
              <w:t>Options</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EC252A"/>
                <w:w w:val="95"/>
              </w:rPr>
              <w:t>Option Awards</w:t>
            </w:r>
          </w:p>
        </w:tc>
        <w:tc>
          <w:tcPr>
            <w:tcW w:w="120" w:type="dxa"/>
            <w:vAlign w:val="bottom"/>
          </w:tcPr>
          <w:p>
            <w:pPr>
              <w:spacing w:after="0"/>
              <w:rPr>
                <w:sz w:val="11"/>
                <w:szCs w:val="11"/>
                <w:color w:val="auto"/>
              </w:rPr>
            </w:pPr>
          </w:p>
        </w:tc>
        <w:tc>
          <w:tcPr>
            <w:tcW w:w="680" w:type="dxa"/>
            <w:vAlign w:val="bottom"/>
          </w:tcPr>
          <w:p>
            <w:pPr>
              <w:jc w:val="center"/>
              <w:ind w:right="73"/>
              <w:spacing w:after="0" w:line="135" w:lineRule="exact"/>
              <w:rPr>
                <w:sz w:val="20"/>
                <w:szCs w:val="20"/>
                <w:color w:val="auto"/>
              </w:rPr>
            </w:pPr>
            <w:r>
              <w:rPr>
                <w:rFonts w:ascii="Arial" w:cs="Arial" w:eastAsia="Arial" w:hAnsi="Arial"/>
                <w:sz w:val="13"/>
                <w:szCs w:val="13"/>
                <w:b w:val="1"/>
                <w:bCs w:val="1"/>
                <w:color w:val="EC252A"/>
                <w:w w:val="97"/>
              </w:rPr>
              <w:t>Awards</w:t>
            </w: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2980" w:type="dxa"/>
            <w:vAlign w:val="bottom"/>
            <w:gridSpan w:val="5"/>
          </w:tcPr>
          <w:p>
            <w:pPr>
              <w:jc w:val="center"/>
              <w:ind w:left="653"/>
              <w:spacing w:after="0"/>
              <w:rPr>
                <w:sz w:val="20"/>
                <w:szCs w:val="20"/>
                <w:color w:val="auto"/>
              </w:rPr>
            </w:pPr>
            <w:r>
              <w:rPr>
                <w:rFonts w:ascii="Arial" w:cs="Arial" w:eastAsia="Arial" w:hAnsi="Arial"/>
                <w:sz w:val="13"/>
                <w:szCs w:val="13"/>
                <w:b w:val="1"/>
                <w:bCs w:val="1"/>
                <w:color w:val="EC252A"/>
                <w:w w:val="96"/>
              </w:rPr>
              <w:t>Plan Awards ($)(1)</w:t>
            </w:r>
          </w:p>
        </w:tc>
        <w:tc>
          <w:tcPr>
            <w:tcW w:w="1920" w:type="dxa"/>
            <w:vAlign w:val="bottom"/>
            <w:gridSpan w:val="3"/>
          </w:tcPr>
          <w:p>
            <w:pPr>
              <w:jc w:val="center"/>
              <w:spacing w:after="0"/>
              <w:rPr>
                <w:sz w:val="20"/>
                <w:szCs w:val="20"/>
                <w:color w:val="auto"/>
              </w:rPr>
            </w:pPr>
            <w:r>
              <w:rPr>
                <w:rFonts w:ascii="Arial" w:cs="Arial" w:eastAsia="Arial" w:hAnsi="Arial"/>
                <w:sz w:val="13"/>
                <w:szCs w:val="13"/>
                <w:b w:val="1"/>
                <w:bCs w:val="1"/>
                <w:color w:val="EC252A"/>
                <w:w w:val="95"/>
              </w:rPr>
              <w:t>Plan Awards (#) (2)</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EC252A"/>
                <w:w w:val="97"/>
              </w:rPr>
              <w:t>(#) (3)(6)</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EC252A"/>
                <w:w w:val="95"/>
              </w:rPr>
              <w:t>(#) (4)</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EC252A"/>
              </w:rPr>
              <w:t>($)</w:t>
            </w:r>
          </w:p>
        </w:tc>
        <w:tc>
          <w:tcPr>
            <w:tcW w:w="120" w:type="dxa"/>
            <w:vAlign w:val="bottom"/>
          </w:tcPr>
          <w:p>
            <w:pPr>
              <w:spacing w:after="0"/>
              <w:rPr>
                <w:sz w:val="14"/>
                <w:szCs w:val="14"/>
                <w:color w:val="auto"/>
              </w:rPr>
            </w:pPr>
          </w:p>
        </w:tc>
        <w:tc>
          <w:tcPr>
            <w:tcW w:w="680" w:type="dxa"/>
            <w:vAlign w:val="bottom"/>
          </w:tcPr>
          <w:p>
            <w:pPr>
              <w:jc w:val="center"/>
              <w:ind w:right="33"/>
              <w:spacing w:after="0"/>
              <w:rPr>
                <w:sz w:val="20"/>
                <w:szCs w:val="20"/>
                <w:color w:val="auto"/>
              </w:rPr>
            </w:pPr>
            <w:r>
              <w:rPr>
                <w:rFonts w:ascii="Arial" w:cs="Arial" w:eastAsia="Arial" w:hAnsi="Arial"/>
                <w:sz w:val="13"/>
                <w:szCs w:val="13"/>
                <w:b w:val="1"/>
                <w:bCs w:val="1"/>
                <w:color w:val="EC252A"/>
                <w:w w:val="95"/>
              </w:rPr>
              <w:t>($) (5)</w:t>
            </w:r>
          </w:p>
        </w:tc>
        <w:tc>
          <w:tcPr>
            <w:tcW w:w="0" w:type="dxa"/>
            <w:vAlign w:val="bottom"/>
          </w:tcPr>
          <w:p>
            <w:pPr>
              <w:spacing w:after="0"/>
              <w:rPr>
                <w:sz w:val="1"/>
                <w:szCs w:val="1"/>
                <w:color w:val="auto"/>
              </w:rPr>
            </w:pPr>
          </w:p>
        </w:tc>
      </w:tr>
      <w:tr>
        <w:trPr>
          <w:trHeight w:val="35"/>
        </w:trPr>
        <w:tc>
          <w:tcPr>
            <w:tcW w:w="1120" w:type="dxa"/>
            <w:vAlign w:val="bottom"/>
            <w:tcBorders>
              <w:bottom w:val="single" w:sz="8" w:color="EC252A"/>
            </w:tcBorders>
          </w:tcPr>
          <w:p>
            <w:pPr>
              <w:spacing w:after="0"/>
              <w:rPr>
                <w:sz w:val="3"/>
                <w:szCs w:val="3"/>
                <w:color w:val="auto"/>
              </w:rPr>
            </w:pPr>
          </w:p>
        </w:tc>
        <w:tc>
          <w:tcPr>
            <w:tcW w:w="142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40" w:type="dxa"/>
            <w:vAlign w:val="bottom"/>
            <w:tcBorders>
              <w:bottom w:val="single" w:sz="8" w:color="EC252A"/>
            </w:tcBorders>
          </w:tcPr>
          <w:p>
            <w:pPr>
              <w:spacing w:after="0"/>
              <w:rPr>
                <w:sz w:val="3"/>
                <w:szCs w:val="3"/>
                <w:color w:val="auto"/>
              </w:rPr>
            </w:pPr>
          </w:p>
        </w:tc>
        <w:tc>
          <w:tcPr>
            <w:tcW w:w="14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0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720" w:type="dxa"/>
            <w:vAlign w:val="bottom"/>
            <w:tcBorders>
              <w:bottom w:val="single" w:sz="8" w:color="EC252A"/>
            </w:tcBorders>
          </w:tcPr>
          <w:p>
            <w:pPr>
              <w:spacing w:after="0"/>
              <w:rPr>
                <w:sz w:val="3"/>
                <w:szCs w:val="3"/>
                <w:color w:val="auto"/>
              </w:rPr>
            </w:pPr>
          </w:p>
        </w:tc>
        <w:tc>
          <w:tcPr>
            <w:tcW w:w="740" w:type="dxa"/>
            <w:vAlign w:val="bottom"/>
            <w:tcBorders>
              <w:bottom w:val="single" w:sz="8" w:color="EC252A"/>
            </w:tcBorders>
          </w:tcPr>
          <w:p>
            <w:pPr>
              <w:spacing w:after="0"/>
              <w:rPr>
                <w:sz w:val="3"/>
                <w:szCs w:val="3"/>
                <w:color w:val="auto"/>
              </w:rPr>
            </w:pPr>
          </w:p>
        </w:tc>
        <w:tc>
          <w:tcPr>
            <w:tcW w:w="100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80" w:type="dxa"/>
            <w:vAlign w:val="bottom"/>
            <w:tcBorders>
              <w:bottom w:val="single" w:sz="8" w:color="EC252A"/>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120" w:type="dxa"/>
            <w:vAlign w:val="bottom"/>
            <w:vMerge w:val="restart"/>
          </w:tcPr>
          <w:p>
            <w:pPr>
              <w:ind w:left="80"/>
              <w:spacing w:after="0"/>
              <w:rPr>
                <w:sz w:val="20"/>
                <w:szCs w:val="20"/>
                <w:color w:val="auto"/>
              </w:rPr>
            </w:pPr>
            <w:r>
              <w:rPr>
                <w:rFonts w:ascii="Arial" w:cs="Arial" w:eastAsia="Arial" w:hAnsi="Arial"/>
                <w:sz w:val="13"/>
                <w:szCs w:val="13"/>
                <w:b w:val="1"/>
                <w:bCs w:val="1"/>
                <w:color w:val="EC252A"/>
              </w:rPr>
              <w:t>Name</w:t>
            </w:r>
          </w:p>
        </w:tc>
        <w:tc>
          <w:tcPr>
            <w:tcW w:w="1420" w:type="dxa"/>
            <w:vAlign w:val="bottom"/>
          </w:tcPr>
          <w:p>
            <w:pPr>
              <w:jc w:val="right"/>
              <w:ind w:right="853"/>
              <w:spacing w:after="0"/>
              <w:rPr>
                <w:sz w:val="20"/>
                <w:szCs w:val="20"/>
                <w:color w:val="auto"/>
              </w:rPr>
            </w:pPr>
            <w:r>
              <w:rPr>
                <w:rFonts w:ascii="Arial" w:cs="Arial" w:eastAsia="Arial" w:hAnsi="Arial"/>
                <w:sz w:val="13"/>
                <w:szCs w:val="13"/>
                <w:b w:val="1"/>
                <w:bCs w:val="1"/>
                <w:color w:val="EC252A"/>
              </w:rPr>
              <w:t>Grant</w:t>
            </w:r>
          </w:p>
        </w:tc>
        <w:tc>
          <w:tcPr>
            <w:tcW w:w="120" w:type="dxa"/>
            <w:vAlign w:val="bottom"/>
          </w:tcPr>
          <w:p>
            <w:pPr>
              <w:spacing w:after="0"/>
              <w:rPr>
                <w:sz w:val="14"/>
                <w:szCs w:val="14"/>
                <w:color w:val="auto"/>
              </w:rPr>
            </w:pPr>
          </w:p>
        </w:tc>
        <w:tc>
          <w:tcPr>
            <w:tcW w:w="640" w:type="dxa"/>
            <w:vAlign w:val="bottom"/>
            <w:vMerge w:val="restart"/>
          </w:tcPr>
          <w:p>
            <w:pPr>
              <w:jc w:val="center"/>
              <w:ind w:right="34"/>
              <w:spacing w:after="0"/>
              <w:rPr>
                <w:sz w:val="20"/>
                <w:szCs w:val="20"/>
                <w:color w:val="auto"/>
              </w:rPr>
            </w:pPr>
            <w:r>
              <w:rPr>
                <w:rFonts w:ascii="Arial" w:cs="Arial" w:eastAsia="Arial" w:hAnsi="Arial"/>
                <w:sz w:val="13"/>
                <w:szCs w:val="13"/>
                <w:b w:val="1"/>
                <w:bCs w:val="1"/>
                <w:color w:val="EC252A"/>
                <w:w w:val="95"/>
              </w:rPr>
              <w:t>Target</w:t>
            </w:r>
          </w:p>
        </w:tc>
        <w:tc>
          <w:tcPr>
            <w:tcW w:w="800" w:type="dxa"/>
            <w:vAlign w:val="bottom"/>
            <w:gridSpan w:val="2"/>
            <w:vMerge w:val="restart"/>
          </w:tcPr>
          <w:p>
            <w:pPr>
              <w:jc w:val="right"/>
              <w:ind w:right="33"/>
              <w:spacing w:after="0"/>
              <w:rPr>
                <w:sz w:val="20"/>
                <w:szCs w:val="20"/>
                <w:color w:val="auto"/>
              </w:rPr>
            </w:pPr>
            <w:r>
              <w:rPr>
                <w:rFonts w:ascii="Arial" w:cs="Arial" w:eastAsia="Arial" w:hAnsi="Arial"/>
                <w:sz w:val="13"/>
                <w:szCs w:val="13"/>
                <w:b w:val="1"/>
                <w:bCs w:val="1"/>
                <w:color w:val="EC252A"/>
              </w:rPr>
              <w:t>Maximum</w:t>
            </w:r>
          </w:p>
        </w:tc>
        <w:tc>
          <w:tcPr>
            <w:tcW w:w="660" w:type="dxa"/>
            <w:vAlign w:val="bottom"/>
          </w:tcPr>
          <w:p>
            <w:pPr>
              <w:jc w:val="right"/>
              <w:ind w:right="114"/>
              <w:spacing w:after="0"/>
              <w:rPr>
                <w:sz w:val="20"/>
                <w:szCs w:val="20"/>
                <w:color w:val="auto"/>
              </w:rPr>
            </w:pPr>
            <w:r>
              <w:rPr>
                <w:rFonts w:ascii="Arial" w:cs="Arial" w:eastAsia="Arial" w:hAnsi="Arial"/>
                <w:sz w:val="13"/>
                <w:szCs w:val="13"/>
                <w:b w:val="1"/>
                <w:bCs w:val="1"/>
                <w:color w:val="EC252A"/>
              </w:rPr>
              <w:t>25%</w:t>
            </w:r>
          </w:p>
        </w:tc>
        <w:tc>
          <w:tcPr>
            <w:tcW w:w="600" w:type="dxa"/>
            <w:vAlign w:val="bottom"/>
            <w:vMerge w:val="restart"/>
          </w:tcPr>
          <w:p>
            <w:pPr>
              <w:jc w:val="center"/>
              <w:spacing w:after="0"/>
              <w:rPr>
                <w:sz w:val="20"/>
                <w:szCs w:val="20"/>
                <w:color w:val="auto"/>
              </w:rPr>
            </w:pPr>
            <w:r>
              <w:rPr>
                <w:rFonts w:ascii="Arial" w:cs="Arial" w:eastAsia="Arial" w:hAnsi="Arial"/>
                <w:sz w:val="13"/>
                <w:szCs w:val="13"/>
                <w:b w:val="1"/>
                <w:bCs w:val="1"/>
                <w:color w:val="EC252A"/>
                <w:w w:val="95"/>
              </w:rPr>
              <w:t>Target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EC252A"/>
                <w:w w:val="96"/>
              </w:rPr>
              <w:t>200%</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20" w:type="dxa"/>
            <w:vAlign w:val="bottom"/>
            <w:vMerge w:val="continue"/>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EC252A"/>
              </w:rPr>
              <w:t>Date (6)   Threshold</w:t>
            </w: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EC252A"/>
              </w:rPr>
              <w:t>Threshold</w:t>
            </w:r>
          </w:p>
        </w:tc>
        <w:tc>
          <w:tcPr>
            <w:tcW w:w="600" w:type="dxa"/>
            <w:vAlign w:val="bottom"/>
            <w:vMerge w:val="continue"/>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EC252A"/>
                <w:w w:val="96"/>
              </w:rPr>
              <w:t>Maximum</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1120" w:type="dxa"/>
            <w:vAlign w:val="bottom"/>
            <w:tcBorders>
              <w:bottom w:val="single" w:sz="8" w:color="EC252A"/>
            </w:tcBorders>
          </w:tcPr>
          <w:p>
            <w:pPr>
              <w:spacing w:after="0"/>
              <w:rPr>
                <w:sz w:val="3"/>
                <w:szCs w:val="3"/>
                <w:color w:val="auto"/>
              </w:rPr>
            </w:pPr>
          </w:p>
        </w:tc>
        <w:tc>
          <w:tcPr>
            <w:tcW w:w="142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40" w:type="dxa"/>
            <w:vAlign w:val="bottom"/>
            <w:tcBorders>
              <w:bottom w:val="single" w:sz="8" w:color="EC252A"/>
            </w:tcBorders>
          </w:tcPr>
          <w:p>
            <w:pPr>
              <w:spacing w:after="0"/>
              <w:rPr>
                <w:sz w:val="3"/>
                <w:szCs w:val="3"/>
                <w:color w:val="auto"/>
              </w:rPr>
            </w:pPr>
          </w:p>
        </w:tc>
        <w:tc>
          <w:tcPr>
            <w:tcW w:w="14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0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720" w:type="dxa"/>
            <w:vAlign w:val="bottom"/>
            <w:tcBorders>
              <w:bottom w:val="single" w:sz="8" w:color="EC252A"/>
            </w:tcBorders>
          </w:tcPr>
          <w:p>
            <w:pPr>
              <w:spacing w:after="0"/>
              <w:rPr>
                <w:sz w:val="3"/>
                <w:szCs w:val="3"/>
                <w:color w:val="auto"/>
              </w:rPr>
            </w:pPr>
          </w:p>
        </w:tc>
        <w:tc>
          <w:tcPr>
            <w:tcW w:w="740" w:type="dxa"/>
            <w:vAlign w:val="bottom"/>
            <w:tcBorders>
              <w:bottom w:val="single" w:sz="8" w:color="EC252A"/>
            </w:tcBorders>
          </w:tcPr>
          <w:p>
            <w:pPr>
              <w:spacing w:after="0"/>
              <w:rPr>
                <w:sz w:val="3"/>
                <w:szCs w:val="3"/>
                <w:color w:val="auto"/>
              </w:rPr>
            </w:pPr>
          </w:p>
        </w:tc>
        <w:tc>
          <w:tcPr>
            <w:tcW w:w="100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80" w:type="dxa"/>
            <w:vAlign w:val="bottom"/>
            <w:tcBorders>
              <w:bottom w:val="single" w:sz="8" w:color="EC25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ind w:left="80"/>
              <w:spacing w:after="0"/>
              <w:rPr>
                <w:sz w:val="20"/>
                <w:szCs w:val="20"/>
                <w:color w:val="auto"/>
              </w:rPr>
            </w:pPr>
            <w:r>
              <w:rPr>
                <w:rFonts w:ascii="Arial" w:cs="Arial" w:eastAsia="Arial" w:hAnsi="Arial"/>
                <w:sz w:val="13"/>
                <w:szCs w:val="13"/>
                <w:color w:val="auto"/>
              </w:rPr>
              <w:t>Mr. Santana</w:t>
            </w:r>
          </w:p>
        </w:tc>
        <w:tc>
          <w:tcPr>
            <w:tcW w:w="1420" w:type="dxa"/>
            <w:vAlign w:val="bottom"/>
          </w:tcPr>
          <w:p>
            <w:pPr>
              <w:jc w:val="right"/>
              <w:ind w:right="233"/>
              <w:spacing w:after="0"/>
              <w:rPr>
                <w:sz w:val="20"/>
                <w:szCs w:val="20"/>
                <w:color w:val="auto"/>
              </w:rPr>
            </w:pPr>
            <w:r>
              <w:rPr>
                <w:rFonts w:ascii="Arial" w:cs="Arial" w:eastAsia="Arial" w:hAnsi="Arial"/>
                <w:sz w:val="13"/>
                <w:szCs w:val="13"/>
                <w:color w:val="auto"/>
              </w:rPr>
              <w:t>$0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1,800,000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4,050,000</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11,888</w:t>
            </w:r>
          </w:p>
        </w:tc>
        <w:tc>
          <w:tcPr>
            <w:tcW w:w="600" w:type="dxa"/>
            <w:vAlign w:val="bottom"/>
          </w:tcPr>
          <w:p>
            <w:pPr>
              <w:jc w:val="center"/>
              <w:spacing w:after="0"/>
              <w:rPr>
                <w:sz w:val="20"/>
                <w:szCs w:val="20"/>
                <w:color w:val="auto"/>
              </w:rPr>
            </w:pPr>
            <w:r>
              <w:rPr>
                <w:rFonts w:ascii="Arial" w:cs="Arial" w:eastAsia="Arial" w:hAnsi="Arial"/>
                <w:sz w:val="13"/>
                <w:szCs w:val="13"/>
                <w:color w:val="auto"/>
              </w:rPr>
              <w:t>47,553</w:t>
            </w:r>
          </w:p>
        </w:tc>
        <w:tc>
          <w:tcPr>
            <w:tcW w:w="660" w:type="dxa"/>
            <w:vAlign w:val="bottom"/>
          </w:tcPr>
          <w:p>
            <w:pPr>
              <w:jc w:val="center"/>
              <w:spacing w:after="0"/>
              <w:rPr>
                <w:sz w:val="20"/>
                <w:szCs w:val="20"/>
                <w:color w:val="auto"/>
              </w:rPr>
            </w:pPr>
            <w:r>
              <w:rPr>
                <w:rFonts w:ascii="Arial" w:cs="Arial" w:eastAsia="Arial" w:hAnsi="Arial"/>
                <w:sz w:val="13"/>
                <w:szCs w:val="13"/>
                <w:color w:val="auto"/>
              </w:rPr>
              <w:t>95,106</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3,861,779</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31,442</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2,553,405</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rPr>
              <w:t>31,442</w:t>
            </w:r>
          </w:p>
        </w:tc>
        <w:tc>
          <w:tcPr>
            <w:tcW w:w="1000" w:type="dxa"/>
            <w:vAlign w:val="bottom"/>
          </w:tcPr>
          <w:p>
            <w:pPr>
              <w:jc w:val="center"/>
              <w:spacing w:after="0"/>
              <w:rPr>
                <w:sz w:val="20"/>
                <w:szCs w:val="20"/>
                <w:color w:val="auto"/>
              </w:rPr>
            </w:pPr>
            <w:r>
              <w:rPr>
                <w:rFonts w:ascii="Arial" w:cs="Arial" w:eastAsia="Arial" w:hAnsi="Arial"/>
                <w:sz w:val="13"/>
                <w:szCs w:val="13"/>
                <w:color w:val="auto"/>
              </w:rPr>
              <w:t>$81.21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786,364</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5/19/2021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3"/>
                <w:szCs w:val="13"/>
                <w:color w:val="auto"/>
              </w:rPr>
              <w:t>4,620</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431,531</w:t>
            </w:r>
          </w:p>
        </w:tc>
        <w:tc>
          <w:tcPr>
            <w:tcW w:w="0" w:type="dxa"/>
            <w:vAlign w:val="bottom"/>
          </w:tcPr>
          <w:p>
            <w:pPr>
              <w:spacing w:after="0"/>
              <w:rPr>
                <w:sz w:val="1"/>
                <w:szCs w:val="1"/>
                <w:color w:val="auto"/>
              </w:rPr>
            </w:pPr>
          </w:p>
        </w:tc>
      </w:tr>
      <w:tr>
        <w:trPr>
          <w:trHeight w:val="39"/>
        </w:trPr>
        <w:tc>
          <w:tcPr>
            <w:tcW w:w="1120" w:type="dxa"/>
            <w:vAlign w:val="bottom"/>
            <w:tcBorders>
              <w:bottom w:val="single" w:sz="8" w:color="EC252A"/>
            </w:tcBorders>
          </w:tcPr>
          <w:p>
            <w:pPr>
              <w:spacing w:after="0"/>
              <w:rPr>
                <w:sz w:val="3"/>
                <w:szCs w:val="3"/>
                <w:color w:val="auto"/>
              </w:rPr>
            </w:pPr>
          </w:p>
        </w:tc>
        <w:tc>
          <w:tcPr>
            <w:tcW w:w="142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40" w:type="dxa"/>
            <w:vAlign w:val="bottom"/>
            <w:tcBorders>
              <w:bottom w:val="single" w:sz="8" w:color="EC252A"/>
            </w:tcBorders>
          </w:tcPr>
          <w:p>
            <w:pPr>
              <w:spacing w:after="0"/>
              <w:rPr>
                <w:sz w:val="3"/>
                <w:szCs w:val="3"/>
                <w:color w:val="auto"/>
              </w:rPr>
            </w:pPr>
          </w:p>
        </w:tc>
        <w:tc>
          <w:tcPr>
            <w:tcW w:w="14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0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720" w:type="dxa"/>
            <w:vAlign w:val="bottom"/>
            <w:tcBorders>
              <w:bottom w:val="single" w:sz="8" w:color="EC252A"/>
            </w:tcBorders>
          </w:tcPr>
          <w:p>
            <w:pPr>
              <w:spacing w:after="0"/>
              <w:rPr>
                <w:sz w:val="3"/>
                <w:szCs w:val="3"/>
                <w:color w:val="auto"/>
              </w:rPr>
            </w:pPr>
          </w:p>
        </w:tc>
        <w:tc>
          <w:tcPr>
            <w:tcW w:w="740" w:type="dxa"/>
            <w:vAlign w:val="bottom"/>
            <w:tcBorders>
              <w:bottom w:val="single" w:sz="8" w:color="EC252A"/>
            </w:tcBorders>
          </w:tcPr>
          <w:p>
            <w:pPr>
              <w:spacing w:after="0"/>
              <w:rPr>
                <w:sz w:val="3"/>
                <w:szCs w:val="3"/>
                <w:color w:val="auto"/>
              </w:rPr>
            </w:pPr>
          </w:p>
        </w:tc>
        <w:tc>
          <w:tcPr>
            <w:tcW w:w="100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80" w:type="dxa"/>
            <w:vAlign w:val="bottom"/>
            <w:tcBorders>
              <w:bottom w:val="single" w:sz="8" w:color="EC25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ind w:left="80"/>
              <w:spacing w:after="0"/>
              <w:rPr>
                <w:sz w:val="20"/>
                <w:szCs w:val="20"/>
                <w:color w:val="auto"/>
              </w:rPr>
            </w:pPr>
            <w:r>
              <w:rPr>
                <w:rFonts w:ascii="Arial" w:cs="Arial" w:eastAsia="Arial" w:hAnsi="Arial"/>
                <w:sz w:val="13"/>
                <w:szCs w:val="13"/>
                <w:color w:val="auto"/>
              </w:rPr>
              <w:t>Mr. Olin</w:t>
            </w:r>
          </w:p>
        </w:tc>
        <w:tc>
          <w:tcPr>
            <w:tcW w:w="1420" w:type="dxa"/>
            <w:vAlign w:val="bottom"/>
          </w:tcPr>
          <w:p>
            <w:pPr>
              <w:jc w:val="right"/>
              <w:ind w:right="233"/>
              <w:spacing w:after="0"/>
              <w:rPr>
                <w:sz w:val="20"/>
                <w:szCs w:val="20"/>
                <w:color w:val="auto"/>
              </w:rPr>
            </w:pPr>
            <w:r>
              <w:rPr>
                <w:rFonts w:ascii="Arial" w:cs="Arial" w:eastAsia="Arial" w:hAnsi="Arial"/>
                <w:sz w:val="13"/>
                <w:szCs w:val="13"/>
                <w:color w:val="auto"/>
              </w:rPr>
              <w:t>$0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254,795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573,288</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8/30/2021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3"/>
                <w:szCs w:val="13"/>
                <w:color w:val="auto"/>
              </w:rPr>
              <w:t>11,109</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1,000,032</w:t>
            </w:r>
          </w:p>
        </w:tc>
        <w:tc>
          <w:tcPr>
            <w:tcW w:w="0" w:type="dxa"/>
            <w:vAlign w:val="bottom"/>
          </w:tcPr>
          <w:p>
            <w:pPr>
              <w:spacing w:after="0"/>
              <w:rPr>
                <w:sz w:val="1"/>
                <w:szCs w:val="1"/>
                <w:color w:val="auto"/>
              </w:rPr>
            </w:pPr>
          </w:p>
        </w:tc>
      </w:tr>
      <w:tr>
        <w:trPr>
          <w:trHeight w:val="39"/>
        </w:trPr>
        <w:tc>
          <w:tcPr>
            <w:tcW w:w="1120" w:type="dxa"/>
            <w:vAlign w:val="bottom"/>
            <w:tcBorders>
              <w:bottom w:val="single" w:sz="8" w:color="EC252A"/>
            </w:tcBorders>
          </w:tcPr>
          <w:p>
            <w:pPr>
              <w:spacing w:after="0"/>
              <w:rPr>
                <w:sz w:val="3"/>
                <w:szCs w:val="3"/>
                <w:color w:val="auto"/>
              </w:rPr>
            </w:pPr>
          </w:p>
        </w:tc>
        <w:tc>
          <w:tcPr>
            <w:tcW w:w="142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40" w:type="dxa"/>
            <w:vAlign w:val="bottom"/>
            <w:tcBorders>
              <w:bottom w:val="single" w:sz="8" w:color="EC252A"/>
            </w:tcBorders>
          </w:tcPr>
          <w:p>
            <w:pPr>
              <w:spacing w:after="0"/>
              <w:rPr>
                <w:sz w:val="3"/>
                <w:szCs w:val="3"/>
                <w:color w:val="auto"/>
              </w:rPr>
            </w:pPr>
          </w:p>
        </w:tc>
        <w:tc>
          <w:tcPr>
            <w:tcW w:w="14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0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720" w:type="dxa"/>
            <w:vAlign w:val="bottom"/>
            <w:tcBorders>
              <w:bottom w:val="single" w:sz="8" w:color="EC252A"/>
            </w:tcBorders>
          </w:tcPr>
          <w:p>
            <w:pPr>
              <w:spacing w:after="0"/>
              <w:rPr>
                <w:sz w:val="3"/>
                <w:szCs w:val="3"/>
                <w:color w:val="auto"/>
              </w:rPr>
            </w:pPr>
          </w:p>
        </w:tc>
        <w:tc>
          <w:tcPr>
            <w:tcW w:w="740" w:type="dxa"/>
            <w:vAlign w:val="bottom"/>
            <w:tcBorders>
              <w:bottom w:val="single" w:sz="8" w:color="EC252A"/>
            </w:tcBorders>
          </w:tcPr>
          <w:p>
            <w:pPr>
              <w:spacing w:after="0"/>
              <w:rPr>
                <w:sz w:val="3"/>
                <w:szCs w:val="3"/>
                <w:color w:val="auto"/>
              </w:rPr>
            </w:pPr>
          </w:p>
        </w:tc>
        <w:tc>
          <w:tcPr>
            <w:tcW w:w="100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80" w:type="dxa"/>
            <w:vAlign w:val="bottom"/>
            <w:tcBorders>
              <w:bottom w:val="single" w:sz="8" w:color="EC25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ind w:left="80"/>
              <w:spacing w:after="0"/>
              <w:rPr>
                <w:sz w:val="20"/>
                <w:szCs w:val="20"/>
                <w:color w:val="auto"/>
              </w:rPr>
            </w:pPr>
            <w:r>
              <w:rPr>
                <w:rFonts w:ascii="Arial" w:cs="Arial" w:eastAsia="Arial" w:hAnsi="Arial"/>
                <w:sz w:val="13"/>
                <w:szCs w:val="13"/>
                <w:color w:val="auto"/>
              </w:rPr>
              <w:t>Mr. DeNinno</w:t>
            </w:r>
          </w:p>
        </w:tc>
        <w:tc>
          <w:tcPr>
            <w:tcW w:w="1420" w:type="dxa"/>
            <w:vAlign w:val="bottom"/>
          </w:tcPr>
          <w:p>
            <w:pPr>
              <w:jc w:val="right"/>
              <w:ind w:right="233"/>
              <w:spacing w:after="0"/>
              <w:rPr>
                <w:sz w:val="20"/>
                <w:szCs w:val="20"/>
                <w:color w:val="auto"/>
              </w:rPr>
            </w:pPr>
            <w:r>
              <w:rPr>
                <w:rFonts w:ascii="Arial" w:cs="Arial" w:eastAsia="Arial" w:hAnsi="Arial"/>
                <w:sz w:val="13"/>
                <w:szCs w:val="13"/>
                <w:color w:val="auto"/>
              </w:rPr>
              <w:t>$0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1,125,000</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2,023</w:t>
            </w: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8,090</w:t>
            </w:r>
          </w:p>
        </w:tc>
        <w:tc>
          <w:tcPr>
            <w:tcW w:w="660" w:type="dxa"/>
            <w:vAlign w:val="bottom"/>
          </w:tcPr>
          <w:p>
            <w:pPr>
              <w:jc w:val="center"/>
              <w:spacing w:after="0"/>
              <w:rPr>
                <w:sz w:val="20"/>
                <w:szCs w:val="20"/>
                <w:color w:val="auto"/>
              </w:rPr>
            </w:pPr>
            <w:r>
              <w:rPr>
                <w:rFonts w:ascii="Arial" w:cs="Arial" w:eastAsia="Arial" w:hAnsi="Arial"/>
                <w:sz w:val="13"/>
                <w:szCs w:val="13"/>
                <w:color w:val="auto"/>
              </w:rPr>
              <w:t>16,180</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656,989</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3"/>
                <w:szCs w:val="13"/>
                <w:color w:val="auto"/>
              </w:rPr>
              <w:t>5,350</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434,474</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3"/>
                <w:szCs w:val="13"/>
                <w:color w:val="auto"/>
              </w:rPr>
              <w:t>5,350</w:t>
            </w:r>
          </w:p>
        </w:tc>
        <w:tc>
          <w:tcPr>
            <w:tcW w:w="1000" w:type="dxa"/>
            <w:vAlign w:val="bottom"/>
          </w:tcPr>
          <w:p>
            <w:pPr>
              <w:jc w:val="center"/>
              <w:spacing w:after="0"/>
              <w:rPr>
                <w:sz w:val="20"/>
                <w:szCs w:val="20"/>
                <w:color w:val="auto"/>
              </w:rPr>
            </w:pPr>
            <w:r>
              <w:rPr>
                <w:rFonts w:ascii="Arial" w:cs="Arial" w:eastAsia="Arial" w:hAnsi="Arial"/>
                <w:sz w:val="13"/>
                <w:szCs w:val="13"/>
                <w:color w:val="auto"/>
              </w:rPr>
              <w:t>$81.21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133,804</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5/19/2021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3"/>
                <w:szCs w:val="13"/>
                <w:color w:val="auto"/>
              </w:rPr>
              <w:t>2,431</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246,589</w:t>
            </w:r>
          </w:p>
        </w:tc>
        <w:tc>
          <w:tcPr>
            <w:tcW w:w="0" w:type="dxa"/>
            <w:vAlign w:val="bottom"/>
          </w:tcPr>
          <w:p>
            <w:pPr>
              <w:spacing w:after="0"/>
              <w:rPr>
                <w:sz w:val="1"/>
                <w:szCs w:val="1"/>
                <w:color w:val="auto"/>
              </w:rPr>
            </w:pPr>
          </w:p>
        </w:tc>
      </w:tr>
      <w:tr>
        <w:trPr>
          <w:trHeight w:val="39"/>
        </w:trPr>
        <w:tc>
          <w:tcPr>
            <w:tcW w:w="1120" w:type="dxa"/>
            <w:vAlign w:val="bottom"/>
            <w:tcBorders>
              <w:bottom w:val="single" w:sz="8" w:color="EC252A"/>
            </w:tcBorders>
          </w:tcPr>
          <w:p>
            <w:pPr>
              <w:spacing w:after="0"/>
              <w:rPr>
                <w:sz w:val="3"/>
                <w:szCs w:val="3"/>
                <w:color w:val="auto"/>
              </w:rPr>
            </w:pPr>
          </w:p>
        </w:tc>
        <w:tc>
          <w:tcPr>
            <w:tcW w:w="142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40" w:type="dxa"/>
            <w:vAlign w:val="bottom"/>
            <w:tcBorders>
              <w:bottom w:val="single" w:sz="8" w:color="EC252A"/>
            </w:tcBorders>
          </w:tcPr>
          <w:p>
            <w:pPr>
              <w:spacing w:after="0"/>
              <w:rPr>
                <w:sz w:val="3"/>
                <w:szCs w:val="3"/>
                <w:color w:val="auto"/>
              </w:rPr>
            </w:pPr>
          </w:p>
        </w:tc>
        <w:tc>
          <w:tcPr>
            <w:tcW w:w="14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0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720" w:type="dxa"/>
            <w:vAlign w:val="bottom"/>
            <w:tcBorders>
              <w:bottom w:val="single" w:sz="8" w:color="EC252A"/>
            </w:tcBorders>
          </w:tcPr>
          <w:p>
            <w:pPr>
              <w:spacing w:after="0"/>
              <w:rPr>
                <w:sz w:val="3"/>
                <w:szCs w:val="3"/>
                <w:color w:val="auto"/>
              </w:rPr>
            </w:pPr>
          </w:p>
        </w:tc>
        <w:tc>
          <w:tcPr>
            <w:tcW w:w="740" w:type="dxa"/>
            <w:vAlign w:val="bottom"/>
            <w:tcBorders>
              <w:bottom w:val="single" w:sz="8" w:color="EC252A"/>
            </w:tcBorders>
          </w:tcPr>
          <w:p>
            <w:pPr>
              <w:spacing w:after="0"/>
              <w:rPr>
                <w:sz w:val="3"/>
                <w:szCs w:val="3"/>
                <w:color w:val="auto"/>
              </w:rPr>
            </w:pPr>
          </w:p>
        </w:tc>
        <w:tc>
          <w:tcPr>
            <w:tcW w:w="100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80" w:type="dxa"/>
            <w:vAlign w:val="bottom"/>
            <w:tcBorders>
              <w:bottom w:val="single" w:sz="8" w:color="EC25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ind w:left="80"/>
              <w:spacing w:after="0"/>
              <w:rPr>
                <w:sz w:val="20"/>
                <w:szCs w:val="20"/>
                <w:color w:val="auto"/>
              </w:rPr>
            </w:pPr>
            <w:r>
              <w:rPr>
                <w:rFonts w:ascii="Arial" w:cs="Arial" w:eastAsia="Arial" w:hAnsi="Arial"/>
                <w:sz w:val="13"/>
                <w:szCs w:val="13"/>
                <w:color w:val="auto"/>
              </w:rPr>
              <w:t>Mr. Schweitzer</w:t>
            </w:r>
          </w:p>
        </w:tc>
        <w:tc>
          <w:tcPr>
            <w:tcW w:w="1420" w:type="dxa"/>
            <w:vAlign w:val="bottom"/>
          </w:tcPr>
          <w:p>
            <w:pPr>
              <w:jc w:val="right"/>
              <w:ind w:right="233"/>
              <w:spacing w:after="0"/>
              <w:rPr>
                <w:sz w:val="20"/>
                <w:szCs w:val="20"/>
                <w:color w:val="auto"/>
              </w:rPr>
            </w:pPr>
            <w:r>
              <w:rPr>
                <w:rFonts w:ascii="Arial" w:cs="Arial" w:eastAsia="Arial" w:hAnsi="Arial"/>
                <w:sz w:val="13"/>
                <w:szCs w:val="13"/>
                <w:color w:val="auto"/>
              </w:rPr>
              <w:t>$0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525,000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1,181,250</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1,569</w:t>
            </w: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6,274</w:t>
            </w:r>
          </w:p>
        </w:tc>
        <w:tc>
          <w:tcPr>
            <w:tcW w:w="660" w:type="dxa"/>
            <w:vAlign w:val="bottom"/>
          </w:tcPr>
          <w:p>
            <w:pPr>
              <w:jc w:val="center"/>
              <w:spacing w:after="0"/>
              <w:rPr>
                <w:sz w:val="20"/>
                <w:szCs w:val="20"/>
                <w:color w:val="auto"/>
              </w:rPr>
            </w:pPr>
            <w:r>
              <w:rPr>
                <w:rFonts w:ascii="Arial" w:cs="Arial" w:eastAsia="Arial" w:hAnsi="Arial"/>
                <w:sz w:val="13"/>
                <w:szCs w:val="13"/>
                <w:color w:val="auto"/>
              </w:rPr>
              <w:t>12,548</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509,512</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3"/>
                <w:szCs w:val="13"/>
                <w:color w:val="auto"/>
              </w:rPr>
              <w:t>4,149</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336,940</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3"/>
                <w:szCs w:val="13"/>
                <w:color w:val="auto"/>
              </w:rPr>
              <w:t>4,149</w:t>
            </w:r>
          </w:p>
        </w:tc>
        <w:tc>
          <w:tcPr>
            <w:tcW w:w="1000" w:type="dxa"/>
            <w:vAlign w:val="bottom"/>
          </w:tcPr>
          <w:p>
            <w:pPr>
              <w:jc w:val="center"/>
              <w:spacing w:after="0"/>
              <w:rPr>
                <w:sz w:val="20"/>
                <w:szCs w:val="20"/>
                <w:color w:val="auto"/>
              </w:rPr>
            </w:pPr>
            <w:r>
              <w:rPr>
                <w:rFonts w:ascii="Arial" w:cs="Arial" w:eastAsia="Arial" w:hAnsi="Arial"/>
                <w:sz w:val="13"/>
                <w:szCs w:val="13"/>
                <w:color w:val="auto"/>
              </w:rPr>
              <w:t>$81.21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103,766</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5/19/2021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3"/>
                <w:szCs w:val="13"/>
                <w:color w:val="auto"/>
              </w:rPr>
              <w:t>990</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92,470</w:t>
            </w:r>
          </w:p>
        </w:tc>
        <w:tc>
          <w:tcPr>
            <w:tcW w:w="0" w:type="dxa"/>
            <w:vAlign w:val="bottom"/>
          </w:tcPr>
          <w:p>
            <w:pPr>
              <w:spacing w:after="0"/>
              <w:rPr>
                <w:sz w:val="1"/>
                <w:szCs w:val="1"/>
                <w:color w:val="auto"/>
              </w:rPr>
            </w:pPr>
          </w:p>
        </w:tc>
      </w:tr>
      <w:tr>
        <w:trPr>
          <w:trHeight w:val="39"/>
        </w:trPr>
        <w:tc>
          <w:tcPr>
            <w:tcW w:w="1120" w:type="dxa"/>
            <w:vAlign w:val="bottom"/>
            <w:tcBorders>
              <w:bottom w:val="single" w:sz="8" w:color="EC252A"/>
            </w:tcBorders>
          </w:tcPr>
          <w:p>
            <w:pPr>
              <w:spacing w:after="0"/>
              <w:rPr>
                <w:sz w:val="3"/>
                <w:szCs w:val="3"/>
                <w:color w:val="auto"/>
              </w:rPr>
            </w:pPr>
          </w:p>
        </w:tc>
        <w:tc>
          <w:tcPr>
            <w:tcW w:w="142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40" w:type="dxa"/>
            <w:vAlign w:val="bottom"/>
            <w:tcBorders>
              <w:bottom w:val="single" w:sz="8" w:color="EC252A"/>
            </w:tcBorders>
          </w:tcPr>
          <w:p>
            <w:pPr>
              <w:spacing w:after="0"/>
              <w:rPr>
                <w:sz w:val="3"/>
                <w:szCs w:val="3"/>
                <w:color w:val="auto"/>
              </w:rPr>
            </w:pPr>
          </w:p>
        </w:tc>
        <w:tc>
          <w:tcPr>
            <w:tcW w:w="14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0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720" w:type="dxa"/>
            <w:vAlign w:val="bottom"/>
            <w:tcBorders>
              <w:bottom w:val="single" w:sz="8" w:color="EC252A"/>
            </w:tcBorders>
          </w:tcPr>
          <w:p>
            <w:pPr>
              <w:spacing w:after="0"/>
              <w:rPr>
                <w:sz w:val="3"/>
                <w:szCs w:val="3"/>
                <w:color w:val="auto"/>
              </w:rPr>
            </w:pPr>
          </w:p>
        </w:tc>
        <w:tc>
          <w:tcPr>
            <w:tcW w:w="740" w:type="dxa"/>
            <w:vAlign w:val="bottom"/>
            <w:tcBorders>
              <w:bottom w:val="single" w:sz="8" w:color="EC252A"/>
            </w:tcBorders>
          </w:tcPr>
          <w:p>
            <w:pPr>
              <w:spacing w:after="0"/>
              <w:rPr>
                <w:sz w:val="3"/>
                <w:szCs w:val="3"/>
                <w:color w:val="auto"/>
              </w:rPr>
            </w:pPr>
          </w:p>
        </w:tc>
        <w:tc>
          <w:tcPr>
            <w:tcW w:w="100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80" w:type="dxa"/>
            <w:vAlign w:val="bottom"/>
            <w:tcBorders>
              <w:bottom w:val="single" w:sz="8" w:color="EC25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ind w:left="80"/>
              <w:spacing w:after="0"/>
              <w:rPr>
                <w:sz w:val="20"/>
                <w:szCs w:val="20"/>
                <w:color w:val="auto"/>
              </w:rPr>
            </w:pPr>
            <w:r>
              <w:rPr>
                <w:rFonts w:ascii="Arial" w:cs="Arial" w:eastAsia="Arial" w:hAnsi="Arial"/>
                <w:sz w:val="13"/>
                <w:szCs w:val="13"/>
                <w:color w:val="auto"/>
              </w:rPr>
              <w:t>Mr. Gebhardt</w:t>
            </w:r>
          </w:p>
        </w:tc>
        <w:tc>
          <w:tcPr>
            <w:tcW w:w="1420" w:type="dxa"/>
            <w:vAlign w:val="bottom"/>
          </w:tcPr>
          <w:p>
            <w:pPr>
              <w:jc w:val="right"/>
              <w:ind w:right="233"/>
              <w:spacing w:after="0"/>
              <w:rPr>
                <w:sz w:val="20"/>
                <w:szCs w:val="20"/>
                <w:color w:val="auto"/>
              </w:rPr>
            </w:pPr>
            <w:r>
              <w:rPr>
                <w:rFonts w:ascii="Arial" w:cs="Arial" w:eastAsia="Arial" w:hAnsi="Arial"/>
                <w:sz w:val="13"/>
                <w:szCs w:val="13"/>
                <w:color w:val="auto"/>
              </w:rPr>
              <w:t>$0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600,000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1,350,000</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1,239</w:t>
            </w: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4,954</w:t>
            </w:r>
          </w:p>
        </w:tc>
        <w:tc>
          <w:tcPr>
            <w:tcW w:w="660" w:type="dxa"/>
            <w:vAlign w:val="bottom"/>
          </w:tcPr>
          <w:p>
            <w:pPr>
              <w:jc w:val="center"/>
              <w:spacing w:after="0"/>
              <w:rPr>
                <w:sz w:val="20"/>
                <w:szCs w:val="20"/>
                <w:color w:val="auto"/>
              </w:rPr>
            </w:pPr>
            <w:r>
              <w:rPr>
                <w:rFonts w:ascii="Arial" w:cs="Arial" w:eastAsia="Arial" w:hAnsi="Arial"/>
                <w:sz w:val="13"/>
                <w:szCs w:val="13"/>
                <w:color w:val="auto"/>
              </w:rPr>
              <w:t>9,908</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402,314</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3"/>
                <w:szCs w:val="13"/>
                <w:color w:val="auto"/>
              </w:rPr>
              <w:t>3,275</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265,963</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3"/>
                <w:szCs w:val="13"/>
                <w:color w:val="auto"/>
              </w:rPr>
              <w:t>3,275</w:t>
            </w:r>
          </w:p>
        </w:tc>
        <w:tc>
          <w:tcPr>
            <w:tcW w:w="1000" w:type="dxa"/>
            <w:vAlign w:val="bottom"/>
          </w:tcPr>
          <w:p>
            <w:pPr>
              <w:jc w:val="center"/>
              <w:spacing w:after="0"/>
              <w:rPr>
                <w:sz w:val="20"/>
                <w:szCs w:val="20"/>
                <w:color w:val="auto"/>
              </w:rPr>
            </w:pPr>
            <w:r>
              <w:rPr>
                <w:rFonts w:ascii="Arial" w:cs="Arial" w:eastAsia="Arial" w:hAnsi="Arial"/>
                <w:sz w:val="13"/>
                <w:szCs w:val="13"/>
                <w:color w:val="auto"/>
              </w:rPr>
              <w:t>$81.21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81,908</w:t>
            </w:r>
          </w:p>
        </w:tc>
        <w:tc>
          <w:tcPr>
            <w:tcW w:w="0" w:type="dxa"/>
            <w:vAlign w:val="bottom"/>
          </w:tcPr>
          <w:p>
            <w:pPr>
              <w:spacing w:after="0"/>
              <w:rPr>
                <w:sz w:val="1"/>
                <w:szCs w:val="1"/>
                <w:color w:val="auto"/>
              </w:rPr>
            </w:pPr>
          </w:p>
        </w:tc>
      </w:tr>
      <w:tr>
        <w:trPr>
          <w:trHeight w:val="39"/>
        </w:trPr>
        <w:tc>
          <w:tcPr>
            <w:tcW w:w="1120" w:type="dxa"/>
            <w:vAlign w:val="bottom"/>
            <w:tcBorders>
              <w:bottom w:val="single" w:sz="8" w:color="EC252A"/>
            </w:tcBorders>
          </w:tcPr>
          <w:p>
            <w:pPr>
              <w:spacing w:after="0"/>
              <w:rPr>
                <w:sz w:val="3"/>
                <w:szCs w:val="3"/>
                <w:color w:val="auto"/>
              </w:rPr>
            </w:pPr>
          </w:p>
        </w:tc>
        <w:tc>
          <w:tcPr>
            <w:tcW w:w="142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40" w:type="dxa"/>
            <w:vAlign w:val="bottom"/>
            <w:tcBorders>
              <w:bottom w:val="single" w:sz="8" w:color="EC252A"/>
            </w:tcBorders>
          </w:tcPr>
          <w:p>
            <w:pPr>
              <w:spacing w:after="0"/>
              <w:rPr>
                <w:sz w:val="3"/>
                <w:szCs w:val="3"/>
                <w:color w:val="auto"/>
              </w:rPr>
            </w:pPr>
          </w:p>
        </w:tc>
        <w:tc>
          <w:tcPr>
            <w:tcW w:w="14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600" w:type="dxa"/>
            <w:vAlign w:val="bottom"/>
            <w:tcBorders>
              <w:bottom w:val="single" w:sz="8" w:color="EC252A"/>
            </w:tcBorders>
          </w:tcPr>
          <w:p>
            <w:pPr>
              <w:spacing w:after="0"/>
              <w:rPr>
                <w:sz w:val="3"/>
                <w:szCs w:val="3"/>
                <w:color w:val="auto"/>
              </w:rPr>
            </w:pPr>
          </w:p>
        </w:tc>
        <w:tc>
          <w:tcPr>
            <w:tcW w:w="660" w:type="dxa"/>
            <w:vAlign w:val="bottom"/>
            <w:tcBorders>
              <w:bottom w:val="single" w:sz="8" w:color="EC252A"/>
            </w:tcBorders>
          </w:tcPr>
          <w:p>
            <w:pPr>
              <w:spacing w:after="0"/>
              <w:rPr>
                <w:sz w:val="3"/>
                <w:szCs w:val="3"/>
                <w:color w:val="auto"/>
              </w:rPr>
            </w:pPr>
          </w:p>
        </w:tc>
        <w:tc>
          <w:tcPr>
            <w:tcW w:w="720" w:type="dxa"/>
            <w:vAlign w:val="bottom"/>
            <w:tcBorders>
              <w:bottom w:val="single" w:sz="8" w:color="EC252A"/>
            </w:tcBorders>
          </w:tcPr>
          <w:p>
            <w:pPr>
              <w:spacing w:after="0"/>
              <w:rPr>
                <w:sz w:val="3"/>
                <w:szCs w:val="3"/>
                <w:color w:val="auto"/>
              </w:rPr>
            </w:pPr>
          </w:p>
        </w:tc>
        <w:tc>
          <w:tcPr>
            <w:tcW w:w="740" w:type="dxa"/>
            <w:vAlign w:val="bottom"/>
            <w:tcBorders>
              <w:bottom w:val="single" w:sz="8" w:color="EC252A"/>
            </w:tcBorders>
          </w:tcPr>
          <w:p>
            <w:pPr>
              <w:spacing w:after="0"/>
              <w:rPr>
                <w:sz w:val="3"/>
                <w:szCs w:val="3"/>
                <w:color w:val="auto"/>
              </w:rPr>
            </w:pPr>
          </w:p>
        </w:tc>
        <w:tc>
          <w:tcPr>
            <w:tcW w:w="1000" w:type="dxa"/>
            <w:vAlign w:val="bottom"/>
            <w:tcBorders>
              <w:bottom w:val="single" w:sz="8" w:color="EC252A"/>
            </w:tcBorders>
          </w:tcPr>
          <w:p>
            <w:pPr>
              <w:spacing w:after="0"/>
              <w:rPr>
                <w:sz w:val="3"/>
                <w:szCs w:val="3"/>
                <w:color w:val="auto"/>
              </w:rPr>
            </w:pPr>
          </w:p>
        </w:tc>
        <w:tc>
          <w:tcPr>
            <w:tcW w:w="120" w:type="dxa"/>
            <w:vAlign w:val="bottom"/>
            <w:tcBorders>
              <w:bottom w:val="single" w:sz="8" w:color="EC252A"/>
            </w:tcBorders>
          </w:tcPr>
          <w:p>
            <w:pPr>
              <w:spacing w:after="0"/>
              <w:rPr>
                <w:sz w:val="3"/>
                <w:szCs w:val="3"/>
                <w:color w:val="auto"/>
              </w:rPr>
            </w:pPr>
          </w:p>
        </w:tc>
        <w:tc>
          <w:tcPr>
            <w:tcW w:w="680" w:type="dxa"/>
            <w:vAlign w:val="bottom"/>
            <w:tcBorders>
              <w:bottom w:val="single" w:sz="8" w:color="EC25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ind w:left="80"/>
              <w:spacing w:after="0"/>
              <w:rPr>
                <w:sz w:val="20"/>
                <w:szCs w:val="20"/>
                <w:color w:val="auto"/>
              </w:rPr>
            </w:pPr>
            <w:r>
              <w:rPr>
                <w:rFonts w:ascii="Arial" w:cs="Arial" w:eastAsia="Arial" w:hAnsi="Arial"/>
                <w:sz w:val="13"/>
                <w:szCs w:val="13"/>
                <w:color w:val="auto"/>
              </w:rPr>
              <w:t>Mr. Dugan (7)</w:t>
            </w:r>
          </w:p>
        </w:tc>
        <w:tc>
          <w:tcPr>
            <w:tcW w:w="1420" w:type="dxa"/>
            <w:vAlign w:val="bottom"/>
          </w:tcPr>
          <w:p>
            <w:pPr>
              <w:jc w:val="right"/>
              <w:ind w:right="233"/>
              <w:spacing w:after="0"/>
              <w:rPr>
                <w:sz w:val="20"/>
                <w:szCs w:val="20"/>
                <w:color w:val="auto"/>
              </w:rPr>
            </w:pPr>
            <w:r>
              <w:rPr>
                <w:rFonts w:ascii="Arial" w:cs="Arial" w:eastAsia="Arial" w:hAnsi="Arial"/>
                <w:sz w:val="13"/>
                <w:szCs w:val="13"/>
                <w:color w:val="auto"/>
              </w:rPr>
              <w:t>$0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560,000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1,260,000</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2,642</w:t>
            </w:r>
          </w:p>
        </w:tc>
        <w:tc>
          <w:tcPr>
            <w:tcW w:w="600" w:type="dxa"/>
            <w:vAlign w:val="bottom"/>
          </w:tcPr>
          <w:p>
            <w:pPr>
              <w:jc w:val="center"/>
              <w:spacing w:after="0"/>
              <w:rPr>
                <w:sz w:val="20"/>
                <w:szCs w:val="20"/>
                <w:color w:val="auto"/>
              </w:rPr>
            </w:pPr>
            <w:r>
              <w:rPr>
                <w:rFonts w:ascii="Arial" w:cs="Arial" w:eastAsia="Arial" w:hAnsi="Arial"/>
                <w:sz w:val="13"/>
                <w:szCs w:val="13"/>
                <w:color w:val="auto"/>
              </w:rPr>
              <w:t>10,568</w:t>
            </w:r>
          </w:p>
        </w:tc>
        <w:tc>
          <w:tcPr>
            <w:tcW w:w="660" w:type="dxa"/>
            <w:vAlign w:val="bottom"/>
          </w:tcPr>
          <w:p>
            <w:pPr>
              <w:jc w:val="center"/>
              <w:spacing w:after="0"/>
              <w:rPr>
                <w:sz w:val="20"/>
                <w:szCs w:val="20"/>
                <w:color w:val="auto"/>
              </w:rPr>
            </w:pPr>
            <w:r>
              <w:rPr>
                <w:rFonts w:ascii="Arial" w:cs="Arial" w:eastAsia="Arial" w:hAnsi="Arial"/>
                <w:sz w:val="13"/>
                <w:szCs w:val="13"/>
                <w:color w:val="auto"/>
              </w:rPr>
              <w:t>21,136</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858,227</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3"/>
                <w:szCs w:val="13"/>
                <w:color w:val="auto"/>
              </w:rPr>
              <w:t>6,987</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567,414</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2/11/2021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3"/>
                <w:szCs w:val="13"/>
                <w:color w:val="auto"/>
              </w:rPr>
              <w:t>6,987</w:t>
            </w:r>
          </w:p>
        </w:tc>
        <w:tc>
          <w:tcPr>
            <w:tcW w:w="1000" w:type="dxa"/>
            <w:vAlign w:val="bottom"/>
          </w:tcPr>
          <w:p>
            <w:pPr>
              <w:jc w:val="center"/>
              <w:spacing w:after="0"/>
              <w:rPr>
                <w:sz w:val="20"/>
                <w:szCs w:val="20"/>
                <w:color w:val="auto"/>
              </w:rPr>
            </w:pPr>
            <w:r>
              <w:rPr>
                <w:rFonts w:ascii="Arial" w:cs="Arial" w:eastAsia="Arial" w:hAnsi="Arial"/>
                <w:sz w:val="13"/>
                <w:szCs w:val="13"/>
                <w:color w:val="auto"/>
              </w:rPr>
              <w:t>$81.21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174,745</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5/19/2021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3"/>
                <w:szCs w:val="13"/>
                <w:color w:val="auto"/>
              </w:rPr>
              <w:t>3,241</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339,060</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9/9/2021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881</w:t>
            </w: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3,523</w:t>
            </w:r>
          </w:p>
        </w:tc>
        <w:tc>
          <w:tcPr>
            <w:tcW w:w="660" w:type="dxa"/>
            <w:vAlign w:val="bottom"/>
          </w:tcPr>
          <w:p>
            <w:pPr>
              <w:jc w:val="center"/>
              <w:spacing w:after="0"/>
              <w:rPr>
                <w:sz w:val="20"/>
                <w:szCs w:val="20"/>
                <w:color w:val="auto"/>
              </w:rPr>
            </w:pPr>
            <w:r>
              <w:rPr>
                <w:rFonts w:ascii="Arial" w:cs="Arial" w:eastAsia="Arial" w:hAnsi="Arial"/>
                <w:sz w:val="13"/>
                <w:szCs w:val="13"/>
                <w:color w:val="auto"/>
              </w:rPr>
              <w:t>7,046</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315,238</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9/9/2021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1,811</w:t>
            </w: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7,244</w:t>
            </w:r>
          </w:p>
        </w:tc>
        <w:tc>
          <w:tcPr>
            <w:tcW w:w="660" w:type="dxa"/>
            <w:vAlign w:val="bottom"/>
          </w:tcPr>
          <w:p>
            <w:pPr>
              <w:jc w:val="center"/>
              <w:spacing w:after="0"/>
              <w:rPr>
                <w:sz w:val="20"/>
                <w:szCs w:val="20"/>
                <w:color w:val="auto"/>
              </w:rPr>
            </w:pPr>
            <w:r>
              <w:rPr>
                <w:rFonts w:ascii="Arial" w:cs="Arial" w:eastAsia="Arial" w:hAnsi="Arial"/>
                <w:sz w:val="13"/>
                <w:szCs w:val="13"/>
                <w:color w:val="auto"/>
              </w:rPr>
              <w:t>14,488</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648,193</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9/9/2021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2,750</w:t>
            </w: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11,000</w:t>
            </w:r>
          </w:p>
        </w:tc>
        <w:tc>
          <w:tcPr>
            <w:tcW w:w="660" w:type="dxa"/>
            <w:vAlign w:val="bottom"/>
          </w:tcPr>
          <w:p>
            <w:pPr>
              <w:jc w:val="center"/>
              <w:spacing w:after="0"/>
              <w:rPr>
                <w:sz w:val="20"/>
                <w:szCs w:val="20"/>
                <w:color w:val="auto"/>
              </w:rPr>
            </w:pPr>
            <w:r>
              <w:rPr>
                <w:rFonts w:ascii="Arial" w:cs="Arial" w:eastAsia="Arial" w:hAnsi="Arial"/>
                <w:sz w:val="13"/>
                <w:szCs w:val="13"/>
                <w:color w:val="auto"/>
              </w:rPr>
              <w:t>22,000</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984,280</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9/9/2021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19,356</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1,731,975</w:t>
            </w: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420" w:type="dxa"/>
            <w:vAlign w:val="bottom"/>
          </w:tcPr>
          <w:p>
            <w:pPr>
              <w:jc w:val="right"/>
              <w:ind w:right="713"/>
              <w:spacing w:after="0"/>
              <w:rPr>
                <w:sz w:val="20"/>
                <w:szCs w:val="20"/>
                <w:color w:val="auto"/>
              </w:rPr>
            </w:pPr>
            <w:r>
              <w:rPr>
                <w:rFonts w:ascii="Arial" w:cs="Arial" w:eastAsia="Arial" w:hAnsi="Arial"/>
                <w:sz w:val="13"/>
                <w:szCs w:val="13"/>
                <w:color w:val="auto"/>
              </w:rPr>
              <w:t>9/9/2021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rPr>
              <w:t>16,024</w:t>
            </w: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383,158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8978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77" w:lineRule="exact"/>
        <w:rPr>
          <w:sz w:val="20"/>
          <w:szCs w:val="20"/>
          <w:color w:val="auto"/>
        </w:rPr>
      </w:pPr>
    </w:p>
    <w:p>
      <w:pPr>
        <w:ind w:left="360" w:hanging="360"/>
        <w:spacing w:after="0" w:line="281" w:lineRule="auto"/>
        <w:tabs>
          <w:tab w:leader="none" w:pos="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Reflects the possible payments under Wabtec’s annual incentive award plan. Note that Mr. Olin’s annual cash incentive opportunity is pro-rated based on his start date during 2021.</w:t>
      </w:r>
    </w:p>
    <w:p>
      <w:pPr>
        <w:spacing w:after="0" w:line="1" w:lineRule="exact"/>
        <w:rPr>
          <w:rFonts w:ascii="Arial" w:cs="Arial" w:eastAsia="Arial" w:hAnsi="Arial"/>
          <w:sz w:val="14"/>
          <w:szCs w:val="14"/>
          <w:color w:val="auto"/>
        </w:rPr>
      </w:pPr>
    </w:p>
    <w:p>
      <w:pPr>
        <w:jc w:val="both"/>
        <w:ind w:left="360" w:hanging="360"/>
        <w:spacing w:after="0" w:line="247" w:lineRule="auto"/>
        <w:tabs>
          <w:tab w:leader="none" w:pos="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Reflects the grant of performance units for the three-year performance period of 2021-2023 approved by the Compensation Committee in February 2021 under Wabtec’s 2011 Stock Incentive Plan. These columns reflect the range of payouts possible for this grant. A performance unit is equal to a share of Wabtec common stock. If Wabtec achieves its three-year ROIC and CCC goals (with an RTSR modifier), then participants will earn the target number of performance units. If Wabtec achieves the maximum goal achievement, a participant will earn a maximum number (equal to 200% of the target level) of performance units. If Wabtec achieves the threshold goal achievement, a participant will earn a threshold number </w:t>
      </w:r>
      <w:r>
        <w:rPr>
          <w:rFonts w:ascii="Arial" w:cs="Arial" w:eastAsia="Arial" w:hAnsi="Arial"/>
          <w:sz w:val="14"/>
          <w:szCs w:val="14"/>
          <w:u w:val="single" w:color="auto"/>
          <w:color w:val="auto"/>
        </w:rPr>
        <w:t>(equal to 25% of the target level)</w:t>
      </w:r>
      <w:r>
        <w:rPr>
          <w:rFonts w:ascii="Arial" w:cs="Arial" w:eastAsia="Arial" w:hAnsi="Arial"/>
          <w:sz w:val="14"/>
          <w:szCs w:val="14"/>
          <w:color w:val="auto"/>
        </w:rPr>
        <w:t xml:space="preserve"> of performance units. No performance units will be earned for performance below the threshold and no additional performance units will be earned for performance exceeding the maximum. Payouts for these awards, if any, will be made by March 31, 2024.</w:t>
      </w:r>
    </w:p>
    <w:p>
      <w:pPr>
        <w:spacing w:after="0" w:line="24" w:lineRule="exact"/>
        <w:rPr>
          <w:rFonts w:ascii="Arial" w:cs="Arial" w:eastAsia="Arial" w:hAnsi="Arial"/>
          <w:sz w:val="14"/>
          <w:szCs w:val="14"/>
          <w:color w:val="auto"/>
        </w:rPr>
      </w:pPr>
    </w:p>
    <w:p>
      <w:pPr>
        <w:jc w:val="both"/>
        <w:ind w:left="360" w:hanging="360"/>
        <w:spacing w:after="0" w:line="256" w:lineRule="auto"/>
        <w:tabs>
          <w:tab w:leader="none" w:pos="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awards with a grant date of February 11, 2021 or (for Mr. Olin) August 30, 2021 reflect the grant of restricted stock to the named executive officers during 2021 under Wabtec’s 2011 Stock Incentive Plan. One-third of the shares vested on March 1, 2022 and the remaining shares will vest in one-third increments on March 1, 2023 and March 1, 2024, except that the new hire award for Mr. Olin vests on the third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58978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68"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44</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803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49" w:name="page50"/>
    <w:bookmarkEnd w:id="49"/>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20" w:right="880" w:hanging="360"/>
        <w:spacing w:after="0" w:line="281" w:lineRule="auto"/>
        <w:tabs>
          <w:tab w:leader="none" w:pos="1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Reflects the grant of options to the named executive officers on February 11, 2021 under Wabtec’s 2011 Stock Incentive Plan. One-third of the options vested on March 1, 2022 and the remaining shares will vest in one-third increments on March 1, 2023 and March 1, 2024.</w:t>
      </w:r>
    </w:p>
    <w:p>
      <w:pPr>
        <w:spacing w:after="0" w:line="1" w:lineRule="exact"/>
        <w:rPr>
          <w:rFonts w:ascii="Arial" w:cs="Arial" w:eastAsia="Arial" w:hAnsi="Arial"/>
          <w:sz w:val="14"/>
          <w:szCs w:val="14"/>
          <w:color w:val="auto"/>
        </w:rPr>
      </w:pPr>
    </w:p>
    <w:p>
      <w:pPr>
        <w:ind w:left="1220" w:hanging="360"/>
        <w:spacing w:after="0"/>
        <w:tabs>
          <w:tab w:leader="none" w:pos="1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Reflects the grant date fair value computed in accordance with ASC 718.</w:t>
      </w:r>
    </w:p>
    <w:p>
      <w:pPr>
        <w:spacing w:after="0" w:line="55" w:lineRule="exact"/>
        <w:rPr>
          <w:rFonts w:ascii="Arial" w:cs="Arial" w:eastAsia="Arial" w:hAnsi="Arial"/>
          <w:sz w:val="14"/>
          <w:szCs w:val="14"/>
          <w:color w:val="auto"/>
        </w:rPr>
      </w:pPr>
    </w:p>
    <w:p>
      <w:pPr>
        <w:jc w:val="both"/>
        <w:ind w:left="1220" w:right="880" w:hanging="360"/>
        <w:spacing w:after="0" w:line="252" w:lineRule="auto"/>
        <w:tabs>
          <w:tab w:leader="none" w:pos="1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The awards with a grant date of May 19, 2021 are the previously granted 2019 performance units that were modified during 2021 to base performance on the average payout percentages in 2019, 2020, and 2021 determined separately for each year, resulting in one-third of the original target award becoming earned based on 2019 performance, to vest at the end of 2021 based on continued employment. See the discussion under “Long Term Incentive Compensation” on page </w:t>
      </w:r>
      <w:hyperlink w:anchor="page42">
        <w:r>
          <w:rPr>
            <w:rFonts w:ascii="Arial" w:cs="Arial" w:eastAsia="Arial" w:hAnsi="Arial"/>
            <w:sz w:val="14"/>
            <w:szCs w:val="14"/>
            <w:u w:val="single" w:color="auto"/>
            <w:color w:val="0000EE"/>
          </w:rPr>
          <w:t>37</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the Compensation and Discussion Analysis for additional details on the actions taken.</w:t>
      </w:r>
    </w:p>
    <w:p>
      <w:pPr>
        <w:spacing w:after="0" w:line="18" w:lineRule="exact"/>
        <w:rPr>
          <w:rFonts w:ascii="Arial" w:cs="Arial" w:eastAsia="Arial" w:hAnsi="Arial"/>
          <w:sz w:val="14"/>
          <w:szCs w:val="14"/>
          <w:color w:val="auto"/>
        </w:rPr>
      </w:pPr>
    </w:p>
    <w:p>
      <w:pPr>
        <w:jc w:val="both"/>
        <w:ind w:left="1220" w:right="880" w:hanging="360"/>
        <w:spacing w:after="0" w:line="256" w:lineRule="auto"/>
        <w:tabs>
          <w:tab w:leader="none" w:pos="1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The awards with a grant date of September 9, 2021, are the previously granted performance units, restricted shares and options that were modified as a result of the Transition Agreement between Wabtec and Mr. Dugan of the same date, which provided for (i) continued, prorated vesting of the performance units subject to actual performance results, and (ii) full vesting of all unvested restricted shares and options, all effective upon his separation date See “2021 Severance of Mr. Dugan” on page </w:t>
      </w:r>
      <w:hyperlink w:anchor="page55">
        <w:r>
          <w:rPr>
            <w:rFonts w:ascii="Arial" w:cs="Arial" w:eastAsia="Arial" w:hAnsi="Arial"/>
            <w:sz w:val="14"/>
            <w:szCs w:val="14"/>
            <w:u w:val="single" w:color="auto"/>
            <w:color w:val="0000EE"/>
          </w:rPr>
          <w:t>50</w:t>
        </w:r>
      </w:hyperlink>
      <w:r>
        <w:rPr>
          <w:rFonts w:ascii="Arial" w:cs="Arial" w:eastAsia="Arial" w:hAnsi="Arial"/>
          <w:sz w:val="14"/>
          <w:szCs w:val="14"/>
          <w:color w:val="auto"/>
        </w:rPr>
        <w:t>.</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546100</wp:posOffset>
            </wp:positionH>
            <wp:positionV relativeFrom="paragraph">
              <wp:posOffset>169545</wp:posOffset>
            </wp:positionV>
            <wp:extent cx="58978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272415</wp:posOffset>
            </wp:positionV>
            <wp:extent cx="471170"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pacing w:after="0" w:line="200" w:lineRule="exact"/>
        <w:rPr>
          <w:rFonts w:ascii="Arial" w:cs="Arial" w:eastAsia="Arial" w:hAnsi="Arial"/>
          <w:sz w:val="14"/>
          <w:szCs w:val="14"/>
          <w:color w:val="auto"/>
        </w:rPr>
      </w:pPr>
    </w:p>
    <w:p>
      <w:pPr>
        <w:spacing w:after="0" w:line="222"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45</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sectPr>
      </w:pPr>
    </w:p>
    <w:bookmarkStart w:id="50" w:name="page51"/>
    <w:bookmarkEnd w:id="5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2021 Outstanding Equity Awards at Fiscal Year-End</w:t>
      </w:r>
    </w:p>
    <w:p>
      <w:pPr>
        <w:spacing w:after="0" w:line="12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This table provides information concerning unexercised options, unvested stock and equity incentive plan awards outstanding as of December 31, 2021 for the named executive officers. All share and per share amounts below have been adjusted to reflect the two for one stock split (in the form of a 100% stock dividend) of Wabtec common stock effected on June 11, 2013.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b w:val="1"/>
                <w:bCs w:val="1"/>
                <w:color w:val="EC252A"/>
              </w:rPr>
              <w:t>Option Awards</w:t>
            </w: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right"/>
              <w:ind w:right="351"/>
              <w:spacing w:after="0"/>
              <w:rPr>
                <w:sz w:val="20"/>
                <w:szCs w:val="20"/>
                <w:color w:val="auto"/>
              </w:rPr>
            </w:pPr>
            <w:r>
              <w:rPr>
                <w:rFonts w:ascii="Arial" w:cs="Arial" w:eastAsia="Arial" w:hAnsi="Arial"/>
                <w:sz w:val="13"/>
                <w:szCs w:val="13"/>
                <w:b w:val="1"/>
                <w:bCs w:val="1"/>
                <w:color w:val="EC252A"/>
              </w:rPr>
              <w:t>Stock Awards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Borders>
              <w:bottom w:val="single" w:sz="8" w:color="EC252A"/>
            </w:tcBorders>
          </w:tcPr>
          <w:p>
            <w:pPr>
              <w:spacing w:after="0"/>
              <w:rPr>
                <w:sz w:val="2"/>
                <w:szCs w:val="2"/>
                <w:color w:val="auto"/>
              </w:rPr>
            </w:pPr>
          </w:p>
        </w:tc>
        <w:tc>
          <w:tcPr>
            <w:tcW w:w="1520" w:type="dxa"/>
            <w:vAlign w:val="bottom"/>
            <w:tcBorders>
              <w:bottom w:val="single" w:sz="8" w:color="EC252A"/>
            </w:tcBorders>
          </w:tcPr>
          <w:p>
            <w:pPr>
              <w:spacing w:after="0"/>
              <w:rPr>
                <w:sz w:val="2"/>
                <w:szCs w:val="2"/>
                <w:color w:val="auto"/>
              </w:rPr>
            </w:pPr>
          </w:p>
        </w:tc>
        <w:tc>
          <w:tcPr>
            <w:tcW w:w="160" w:type="dxa"/>
            <w:vAlign w:val="bottom"/>
            <w:tcBorders>
              <w:bottom w:val="single" w:sz="8" w:color="EC252A"/>
            </w:tcBorders>
          </w:tcPr>
          <w:p>
            <w:pPr>
              <w:spacing w:after="0"/>
              <w:rPr>
                <w:sz w:val="2"/>
                <w:szCs w:val="2"/>
                <w:color w:val="auto"/>
              </w:rPr>
            </w:pPr>
          </w:p>
        </w:tc>
        <w:tc>
          <w:tcPr>
            <w:tcW w:w="960" w:type="dxa"/>
            <w:vAlign w:val="bottom"/>
            <w:tcBorders>
              <w:bottom w:val="single" w:sz="8" w:color="EC252A"/>
            </w:tcBorders>
          </w:tcPr>
          <w:p>
            <w:pPr>
              <w:spacing w:after="0"/>
              <w:rPr>
                <w:sz w:val="2"/>
                <w:szCs w:val="2"/>
                <w:color w:val="auto"/>
              </w:rPr>
            </w:pPr>
          </w:p>
        </w:tc>
        <w:tc>
          <w:tcPr>
            <w:tcW w:w="20" w:type="dxa"/>
            <w:vAlign w:val="bottom"/>
            <w:tcBorders>
              <w:bottom w:val="single" w:sz="8" w:color="EC252A"/>
            </w:tcBorders>
          </w:tcPr>
          <w:p>
            <w:pPr>
              <w:spacing w:after="0"/>
              <w:rPr>
                <w:sz w:val="2"/>
                <w:szCs w:val="2"/>
                <w:color w:val="auto"/>
              </w:rPr>
            </w:pPr>
          </w:p>
        </w:tc>
        <w:tc>
          <w:tcPr>
            <w:tcW w:w="160" w:type="dxa"/>
            <w:vAlign w:val="bottom"/>
            <w:tcBorders>
              <w:bottom w:val="single" w:sz="8" w:color="EC252A"/>
            </w:tcBorders>
          </w:tcPr>
          <w:p>
            <w:pPr>
              <w:spacing w:after="0"/>
              <w:rPr>
                <w:sz w:val="2"/>
                <w:szCs w:val="2"/>
                <w:color w:val="auto"/>
              </w:rPr>
            </w:pPr>
          </w:p>
        </w:tc>
        <w:tc>
          <w:tcPr>
            <w:tcW w:w="80" w:type="dxa"/>
            <w:vAlign w:val="bottom"/>
            <w:tcBorders>
              <w:bottom w:val="single" w:sz="8" w:color="EC252A"/>
            </w:tcBorders>
          </w:tcPr>
          <w:p>
            <w:pPr>
              <w:spacing w:after="0"/>
              <w:rPr>
                <w:sz w:val="2"/>
                <w:szCs w:val="2"/>
                <w:color w:val="auto"/>
              </w:rPr>
            </w:pPr>
          </w:p>
        </w:tc>
        <w:tc>
          <w:tcPr>
            <w:tcW w:w="960" w:type="dxa"/>
            <w:vAlign w:val="bottom"/>
            <w:tcBorders>
              <w:bottom w:val="single" w:sz="8" w:color="EC252A"/>
            </w:tcBorders>
          </w:tcPr>
          <w:p>
            <w:pPr>
              <w:spacing w:after="0"/>
              <w:rPr>
                <w:sz w:val="2"/>
                <w:szCs w:val="2"/>
                <w:color w:val="auto"/>
              </w:rPr>
            </w:pPr>
          </w:p>
        </w:tc>
        <w:tc>
          <w:tcPr>
            <w:tcW w:w="220" w:type="dxa"/>
            <w:vAlign w:val="bottom"/>
            <w:tcBorders>
              <w:bottom w:val="single" w:sz="8" w:color="EC252A"/>
            </w:tcBorders>
          </w:tcPr>
          <w:p>
            <w:pPr>
              <w:spacing w:after="0"/>
              <w:rPr>
                <w:sz w:val="2"/>
                <w:szCs w:val="2"/>
                <w:color w:val="auto"/>
              </w:rPr>
            </w:pPr>
          </w:p>
        </w:tc>
        <w:tc>
          <w:tcPr>
            <w:tcW w:w="660" w:type="dxa"/>
            <w:vAlign w:val="bottom"/>
            <w:tcBorders>
              <w:bottom w:val="single" w:sz="8" w:color="EC252A"/>
            </w:tcBorders>
          </w:tcPr>
          <w:p>
            <w:pPr>
              <w:spacing w:after="0"/>
              <w:rPr>
                <w:sz w:val="2"/>
                <w:szCs w:val="2"/>
                <w:color w:val="auto"/>
              </w:rPr>
            </w:pPr>
          </w:p>
        </w:tc>
        <w:tc>
          <w:tcPr>
            <w:tcW w:w="840" w:type="dxa"/>
            <w:vAlign w:val="bottom"/>
            <w:tcBorders>
              <w:bottom w:val="single" w:sz="8" w:color="EC252A"/>
            </w:tcBorders>
          </w:tcPr>
          <w:p>
            <w:pPr>
              <w:spacing w:after="0"/>
              <w:rPr>
                <w:sz w:val="2"/>
                <w:szCs w:val="2"/>
                <w:color w:val="auto"/>
              </w:rPr>
            </w:pPr>
          </w:p>
        </w:tc>
        <w:tc>
          <w:tcPr>
            <w:tcW w:w="880" w:type="dxa"/>
            <w:vAlign w:val="bottom"/>
            <w:tcBorders>
              <w:bottom w:val="single" w:sz="8" w:color="EC252A"/>
            </w:tcBorders>
          </w:tcPr>
          <w:p>
            <w:pPr>
              <w:spacing w:after="0"/>
              <w:rPr>
                <w:sz w:val="2"/>
                <w:szCs w:val="2"/>
                <w:color w:val="auto"/>
              </w:rPr>
            </w:pPr>
          </w:p>
        </w:tc>
        <w:tc>
          <w:tcPr>
            <w:tcW w:w="160" w:type="dxa"/>
            <w:vAlign w:val="bottom"/>
            <w:tcBorders>
              <w:bottom w:val="single" w:sz="8" w:color="EC252A"/>
            </w:tcBorders>
          </w:tcPr>
          <w:p>
            <w:pPr>
              <w:spacing w:after="0"/>
              <w:rPr>
                <w:sz w:val="2"/>
                <w:szCs w:val="2"/>
                <w:color w:val="auto"/>
              </w:rPr>
            </w:pPr>
          </w:p>
        </w:tc>
        <w:tc>
          <w:tcPr>
            <w:tcW w:w="720" w:type="dxa"/>
            <w:vAlign w:val="bottom"/>
            <w:tcBorders>
              <w:bottom w:val="single" w:sz="8" w:color="EC252A"/>
            </w:tcBorders>
          </w:tcPr>
          <w:p>
            <w:pPr>
              <w:spacing w:after="0"/>
              <w:rPr>
                <w:sz w:val="2"/>
                <w:szCs w:val="2"/>
                <w:color w:val="auto"/>
              </w:rPr>
            </w:pPr>
          </w:p>
        </w:tc>
        <w:tc>
          <w:tcPr>
            <w:tcW w:w="940" w:type="dxa"/>
            <w:vAlign w:val="bottom"/>
            <w:tcBorders>
              <w:bottom w:val="single" w:sz="8" w:color="EC252A"/>
            </w:tcBorders>
          </w:tcPr>
          <w:p>
            <w:pPr>
              <w:spacing w:after="0"/>
              <w:rPr>
                <w:sz w:val="2"/>
                <w:szCs w:val="2"/>
                <w:color w:val="auto"/>
              </w:rPr>
            </w:pPr>
          </w:p>
        </w:tc>
        <w:tc>
          <w:tcPr>
            <w:tcW w:w="180" w:type="dxa"/>
            <w:vAlign w:val="bottom"/>
            <w:tcBorders>
              <w:bottom w:val="single" w:sz="8" w:color="EC252A"/>
            </w:tcBorders>
          </w:tcPr>
          <w:p>
            <w:pPr>
              <w:spacing w:after="0"/>
              <w:rPr>
                <w:sz w:val="2"/>
                <w:szCs w:val="2"/>
                <w:color w:val="auto"/>
              </w:rPr>
            </w:pPr>
          </w:p>
        </w:tc>
        <w:tc>
          <w:tcPr>
            <w:tcW w:w="760" w:type="dxa"/>
            <w:vAlign w:val="bottom"/>
            <w:tcBorders>
              <w:bottom w:val="single" w:sz="8" w:color="EC252A"/>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Borders>
              <w:right w:val="single" w:sz="8" w:color="EC252A"/>
            </w:tcBorders>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center"/>
              <w:ind w:right="71"/>
              <w:spacing w:after="0"/>
              <w:rPr>
                <w:sz w:val="20"/>
                <w:szCs w:val="20"/>
                <w:color w:val="auto"/>
              </w:rPr>
            </w:pPr>
            <w:r>
              <w:rPr>
                <w:rFonts w:ascii="Arial" w:cs="Arial" w:eastAsia="Arial" w:hAnsi="Arial"/>
                <w:sz w:val="13"/>
                <w:szCs w:val="13"/>
                <w:b w:val="1"/>
                <w:bCs w:val="1"/>
                <w:color w:val="EC252A"/>
              </w:rPr>
              <w:t>Equity</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Borders>
              <w:right w:val="single" w:sz="8" w:color="EC252A"/>
            </w:tcBorders>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EC252A"/>
              </w:rPr>
              <w:t>Equity</w:t>
            </w:r>
          </w:p>
        </w:tc>
        <w:tc>
          <w:tcPr>
            <w:tcW w:w="180" w:type="dxa"/>
            <w:vAlign w:val="bottom"/>
          </w:tcPr>
          <w:p>
            <w:pPr>
              <w:spacing w:after="0"/>
              <w:rPr>
                <w:sz w:val="12"/>
                <w:szCs w:val="12"/>
                <w:color w:val="auto"/>
              </w:rPr>
            </w:pPr>
          </w:p>
        </w:tc>
        <w:tc>
          <w:tcPr>
            <w:tcW w:w="760" w:type="dxa"/>
            <w:vAlign w:val="bottom"/>
          </w:tcPr>
          <w:p>
            <w:pPr>
              <w:jc w:val="center"/>
              <w:ind w:right="71"/>
              <w:spacing w:after="0"/>
              <w:rPr>
                <w:sz w:val="20"/>
                <w:szCs w:val="20"/>
                <w:color w:val="auto"/>
              </w:rPr>
            </w:pPr>
            <w:r>
              <w:rPr>
                <w:rFonts w:ascii="Arial" w:cs="Arial" w:eastAsia="Arial" w:hAnsi="Arial"/>
                <w:sz w:val="13"/>
                <w:szCs w:val="13"/>
                <w:b w:val="1"/>
                <w:bCs w:val="1"/>
                <w:color w:val="EC252A"/>
              </w:rPr>
              <w:t>Incentive</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Borders>
              <w:right w:val="single" w:sz="8" w:color="EC252A"/>
            </w:tcBorders>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91"/>
              <w:spacing w:after="0"/>
              <w:rPr>
                <w:sz w:val="20"/>
                <w:szCs w:val="20"/>
                <w:color w:val="auto"/>
              </w:rPr>
            </w:pPr>
            <w:r>
              <w:rPr>
                <w:rFonts w:ascii="Arial" w:cs="Arial" w:eastAsia="Arial" w:hAnsi="Arial"/>
                <w:sz w:val="13"/>
                <w:szCs w:val="13"/>
                <w:b w:val="1"/>
                <w:bCs w:val="1"/>
                <w:color w:val="EC252A"/>
              </w:rPr>
              <w:t>Plan</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Borders>
              <w:right w:val="single" w:sz="8" w:color="EC252A"/>
            </w:tcBorders>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EC252A"/>
              </w:rPr>
              <w:t>Incentive</w:t>
            </w:r>
          </w:p>
        </w:tc>
        <w:tc>
          <w:tcPr>
            <w:tcW w:w="180" w:type="dxa"/>
            <w:vAlign w:val="bottom"/>
          </w:tcPr>
          <w:p>
            <w:pPr>
              <w:spacing w:after="0"/>
              <w:rPr>
                <w:sz w:val="12"/>
                <w:szCs w:val="12"/>
                <w:color w:val="auto"/>
              </w:rPr>
            </w:pPr>
          </w:p>
        </w:tc>
        <w:tc>
          <w:tcPr>
            <w:tcW w:w="760" w:type="dxa"/>
            <w:vAlign w:val="bottom"/>
          </w:tcPr>
          <w:p>
            <w:pPr>
              <w:jc w:val="center"/>
              <w:ind w:right="91"/>
              <w:spacing w:after="0"/>
              <w:rPr>
                <w:sz w:val="20"/>
                <w:szCs w:val="20"/>
                <w:color w:val="auto"/>
              </w:rPr>
            </w:pPr>
            <w:r>
              <w:rPr>
                <w:rFonts w:ascii="Arial" w:cs="Arial" w:eastAsia="Arial" w:hAnsi="Arial"/>
                <w:sz w:val="13"/>
                <w:szCs w:val="13"/>
                <w:b w:val="1"/>
                <w:bCs w:val="1"/>
                <w:color w:val="EC252A"/>
              </w:rPr>
              <w:t>Awards:</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Borders>
              <w:right w:val="single" w:sz="8" w:color="EC252A"/>
            </w:tcBorders>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EC252A"/>
              </w:rPr>
              <w:t>Plan</w:t>
            </w:r>
          </w:p>
        </w:tc>
        <w:tc>
          <w:tcPr>
            <w:tcW w:w="180" w:type="dxa"/>
            <w:vAlign w:val="bottom"/>
          </w:tcPr>
          <w:p>
            <w:pPr>
              <w:spacing w:after="0"/>
              <w:rPr>
                <w:sz w:val="12"/>
                <w:szCs w:val="12"/>
                <w:color w:val="auto"/>
              </w:rPr>
            </w:pPr>
          </w:p>
        </w:tc>
        <w:tc>
          <w:tcPr>
            <w:tcW w:w="760" w:type="dxa"/>
            <w:vAlign w:val="bottom"/>
          </w:tcPr>
          <w:p>
            <w:pPr>
              <w:jc w:val="center"/>
              <w:ind w:right="91"/>
              <w:spacing w:after="0"/>
              <w:rPr>
                <w:sz w:val="20"/>
                <w:szCs w:val="20"/>
                <w:color w:val="auto"/>
              </w:rPr>
            </w:pPr>
            <w:r>
              <w:rPr>
                <w:rFonts w:ascii="Arial" w:cs="Arial" w:eastAsia="Arial" w:hAnsi="Arial"/>
                <w:sz w:val="13"/>
                <w:szCs w:val="13"/>
                <w:b w:val="1"/>
                <w:bCs w:val="1"/>
                <w:color w:val="EC252A"/>
              </w:rPr>
              <w:t>Market or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Borders>
              <w:right w:val="single" w:sz="8" w:color="EC252A"/>
            </w:tcBorders>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EC252A"/>
              </w:rPr>
              <w:t>Awards:</w:t>
            </w:r>
          </w:p>
        </w:tc>
        <w:tc>
          <w:tcPr>
            <w:tcW w:w="180" w:type="dxa"/>
            <w:vAlign w:val="bottom"/>
          </w:tcPr>
          <w:p>
            <w:pPr>
              <w:spacing w:after="0"/>
              <w:rPr>
                <w:sz w:val="12"/>
                <w:szCs w:val="12"/>
                <w:color w:val="auto"/>
              </w:rPr>
            </w:pPr>
          </w:p>
        </w:tc>
        <w:tc>
          <w:tcPr>
            <w:tcW w:w="760" w:type="dxa"/>
            <w:vAlign w:val="bottom"/>
          </w:tcPr>
          <w:p>
            <w:pPr>
              <w:jc w:val="center"/>
              <w:ind w:right="91"/>
              <w:spacing w:after="0"/>
              <w:rPr>
                <w:sz w:val="20"/>
                <w:szCs w:val="20"/>
                <w:color w:val="auto"/>
              </w:rPr>
            </w:pPr>
            <w:r>
              <w:rPr>
                <w:rFonts w:ascii="Arial" w:cs="Arial" w:eastAsia="Arial" w:hAnsi="Arial"/>
                <w:sz w:val="13"/>
                <w:szCs w:val="13"/>
                <w:b w:val="1"/>
                <w:bCs w:val="1"/>
                <w:color w:val="EC252A"/>
              </w:rPr>
              <w:t>Payout</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Borders>
              <w:right w:val="single" w:sz="8" w:color="EC252A"/>
            </w:tcBorders>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center"/>
              <w:ind w:right="130"/>
              <w:spacing w:after="0"/>
              <w:rPr>
                <w:sz w:val="20"/>
                <w:szCs w:val="20"/>
                <w:color w:val="auto"/>
              </w:rPr>
            </w:pPr>
            <w:r>
              <w:rPr>
                <w:rFonts w:ascii="Arial" w:cs="Arial" w:eastAsia="Arial" w:hAnsi="Arial"/>
                <w:sz w:val="13"/>
                <w:szCs w:val="13"/>
                <w:b w:val="1"/>
                <w:bCs w:val="1"/>
                <w:color w:val="EC252A"/>
              </w:rPr>
              <w:t>Market</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EC252A"/>
              </w:rPr>
              <w:t>Number of</w:t>
            </w:r>
          </w:p>
        </w:tc>
        <w:tc>
          <w:tcPr>
            <w:tcW w:w="180" w:type="dxa"/>
            <w:vAlign w:val="bottom"/>
          </w:tcPr>
          <w:p>
            <w:pPr>
              <w:spacing w:after="0"/>
              <w:rPr>
                <w:sz w:val="12"/>
                <w:szCs w:val="12"/>
                <w:color w:val="auto"/>
              </w:rPr>
            </w:pPr>
          </w:p>
        </w:tc>
        <w:tc>
          <w:tcPr>
            <w:tcW w:w="760" w:type="dxa"/>
            <w:vAlign w:val="bottom"/>
          </w:tcPr>
          <w:p>
            <w:pPr>
              <w:jc w:val="center"/>
              <w:ind w:right="91"/>
              <w:spacing w:after="0"/>
              <w:rPr>
                <w:sz w:val="20"/>
                <w:szCs w:val="20"/>
                <w:color w:val="auto"/>
              </w:rPr>
            </w:pPr>
            <w:r>
              <w:rPr>
                <w:rFonts w:ascii="Arial" w:cs="Arial" w:eastAsia="Arial" w:hAnsi="Arial"/>
                <w:sz w:val="13"/>
                <w:szCs w:val="13"/>
                <w:b w:val="1"/>
                <w:bCs w:val="1"/>
                <w:color w:val="EC252A"/>
              </w:rPr>
              <w:t>Value of</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EC252A"/>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EC252A"/>
              </w:rPr>
              <w:t>Number of</w:t>
            </w:r>
          </w:p>
        </w:tc>
        <w:tc>
          <w:tcPr>
            <w:tcW w:w="660" w:type="dxa"/>
            <w:vAlign w:val="bottom"/>
          </w:tcPr>
          <w:p>
            <w:pPr>
              <w:spacing w:after="0"/>
              <w:rPr>
                <w:sz w:val="12"/>
                <w:szCs w:val="12"/>
                <w:color w:val="auto"/>
              </w:rPr>
            </w:pPr>
          </w:p>
        </w:tc>
        <w:tc>
          <w:tcPr>
            <w:tcW w:w="840" w:type="dxa"/>
            <w:vAlign w:val="bottom"/>
            <w:tcBorders>
              <w:right w:val="single" w:sz="8" w:color="EC252A"/>
            </w:tcBorders>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EC252A"/>
              </w:rPr>
              <w:t>Number of</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EC252A"/>
              </w:rPr>
              <w:t>Unearned</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Unearned</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Borders>
              <w:right w:val="single" w:sz="8" w:color="EC252A"/>
            </w:tcBorders>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130"/>
              <w:spacing w:after="0"/>
              <w:rPr>
                <w:sz w:val="20"/>
                <w:szCs w:val="20"/>
                <w:color w:val="auto"/>
              </w:rPr>
            </w:pPr>
            <w:r>
              <w:rPr>
                <w:rFonts w:ascii="Arial" w:cs="Arial" w:eastAsia="Arial" w:hAnsi="Arial"/>
                <w:sz w:val="13"/>
                <w:szCs w:val="13"/>
                <w:b w:val="1"/>
                <w:bCs w:val="1"/>
                <w:color w:val="EC252A"/>
              </w:rPr>
              <w:t>Value of</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EC252A"/>
              </w:rPr>
              <w:t>Shares,</w:t>
            </w:r>
          </w:p>
        </w:tc>
        <w:tc>
          <w:tcPr>
            <w:tcW w:w="180" w:type="dxa"/>
            <w:vAlign w:val="bottom"/>
          </w:tcPr>
          <w:p>
            <w:pPr>
              <w:spacing w:after="0"/>
              <w:rPr>
                <w:sz w:val="12"/>
                <w:szCs w:val="12"/>
                <w:color w:val="auto"/>
              </w:rPr>
            </w:pPr>
          </w:p>
        </w:tc>
        <w:tc>
          <w:tcPr>
            <w:tcW w:w="760" w:type="dxa"/>
            <w:vAlign w:val="bottom"/>
          </w:tcPr>
          <w:p>
            <w:pPr>
              <w:jc w:val="center"/>
              <w:ind w:right="91"/>
              <w:spacing w:after="0"/>
              <w:rPr>
                <w:sz w:val="20"/>
                <w:szCs w:val="20"/>
                <w:color w:val="auto"/>
              </w:rPr>
            </w:pPr>
            <w:r>
              <w:rPr>
                <w:rFonts w:ascii="Arial" w:cs="Arial" w:eastAsia="Arial" w:hAnsi="Arial"/>
                <w:sz w:val="13"/>
                <w:szCs w:val="13"/>
                <w:b w:val="1"/>
                <w:bCs w:val="1"/>
                <w:color w:val="EC252A"/>
              </w:rPr>
              <w:t>Shares,</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EC252A"/>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EC252A"/>
              </w:rPr>
              <w:t>Securities</w:t>
            </w:r>
          </w:p>
        </w:tc>
        <w:tc>
          <w:tcPr>
            <w:tcW w:w="660" w:type="dxa"/>
            <w:vAlign w:val="bottom"/>
          </w:tcPr>
          <w:p>
            <w:pPr>
              <w:spacing w:after="0"/>
              <w:rPr>
                <w:sz w:val="12"/>
                <w:szCs w:val="12"/>
                <w:color w:val="auto"/>
              </w:rPr>
            </w:pPr>
          </w:p>
        </w:tc>
        <w:tc>
          <w:tcPr>
            <w:tcW w:w="840" w:type="dxa"/>
            <w:vAlign w:val="bottom"/>
            <w:tcBorders>
              <w:right w:val="single" w:sz="8" w:color="EC252A"/>
            </w:tcBorders>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EC252A"/>
              </w:rPr>
              <w:t>Shares or</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Shares or</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EC252A"/>
              </w:rPr>
              <w:t>Units or</w:t>
            </w:r>
          </w:p>
        </w:tc>
        <w:tc>
          <w:tcPr>
            <w:tcW w:w="180" w:type="dxa"/>
            <w:vAlign w:val="bottom"/>
          </w:tcPr>
          <w:p>
            <w:pPr>
              <w:spacing w:after="0"/>
              <w:rPr>
                <w:sz w:val="12"/>
                <w:szCs w:val="12"/>
                <w:color w:val="auto"/>
              </w:rPr>
            </w:pPr>
          </w:p>
        </w:tc>
        <w:tc>
          <w:tcPr>
            <w:tcW w:w="760" w:type="dxa"/>
            <w:vAlign w:val="bottom"/>
          </w:tcPr>
          <w:p>
            <w:pPr>
              <w:jc w:val="center"/>
              <w:ind w:right="91"/>
              <w:spacing w:after="0"/>
              <w:rPr>
                <w:sz w:val="20"/>
                <w:szCs w:val="20"/>
                <w:color w:val="auto"/>
              </w:rPr>
            </w:pPr>
            <w:r>
              <w:rPr>
                <w:rFonts w:ascii="Arial" w:cs="Arial" w:eastAsia="Arial" w:hAnsi="Arial"/>
                <w:sz w:val="13"/>
                <w:szCs w:val="13"/>
                <w:b w:val="1"/>
                <w:bCs w:val="1"/>
                <w:color w:val="EC252A"/>
              </w:rPr>
              <w:t>Units or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EC252A"/>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EC252A"/>
              </w:rPr>
              <w:t>Underlying</w:t>
            </w:r>
          </w:p>
        </w:tc>
        <w:tc>
          <w:tcPr>
            <w:tcW w:w="660" w:type="dxa"/>
            <w:vAlign w:val="bottom"/>
            <w:vMerge w:val="restart"/>
          </w:tcPr>
          <w:p>
            <w:pPr>
              <w:jc w:val="center"/>
              <w:ind w:right="29"/>
              <w:spacing w:after="0"/>
              <w:rPr>
                <w:sz w:val="20"/>
                <w:szCs w:val="20"/>
                <w:color w:val="auto"/>
              </w:rPr>
            </w:pPr>
            <w:r>
              <w:rPr>
                <w:rFonts w:ascii="Arial" w:cs="Arial" w:eastAsia="Arial" w:hAnsi="Arial"/>
                <w:sz w:val="13"/>
                <w:szCs w:val="13"/>
                <w:b w:val="1"/>
                <w:bCs w:val="1"/>
                <w:color w:val="EC252A"/>
              </w:rPr>
              <w:t>Option</w:t>
            </w:r>
          </w:p>
        </w:tc>
        <w:tc>
          <w:tcPr>
            <w:tcW w:w="840" w:type="dxa"/>
            <w:vAlign w:val="bottom"/>
            <w:tcBorders>
              <w:right w:val="single" w:sz="8" w:color="EC252A"/>
            </w:tcBorders>
            <w:vMerge w:val="restart"/>
          </w:tcPr>
          <w:p>
            <w:pPr>
              <w:jc w:val="center"/>
              <w:spacing w:after="0"/>
              <w:rPr>
                <w:sz w:val="20"/>
                <w:szCs w:val="20"/>
                <w:color w:val="auto"/>
              </w:rPr>
            </w:pPr>
            <w:r>
              <w:rPr>
                <w:rFonts w:ascii="Arial" w:cs="Arial" w:eastAsia="Arial" w:hAnsi="Arial"/>
                <w:sz w:val="13"/>
                <w:szCs w:val="13"/>
                <w:b w:val="1"/>
                <w:bCs w:val="1"/>
                <w:color w:val="EC252A"/>
              </w:rPr>
              <w:t>Option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EC252A"/>
              </w:rPr>
              <w:t>Units of</w:t>
            </w:r>
          </w:p>
        </w:tc>
        <w:tc>
          <w:tcPr>
            <w:tcW w:w="160" w:type="dxa"/>
            <w:vAlign w:val="bottom"/>
          </w:tcPr>
          <w:p>
            <w:pPr>
              <w:spacing w:after="0"/>
              <w:rPr>
                <w:sz w:val="12"/>
                <w:szCs w:val="12"/>
                <w:color w:val="auto"/>
              </w:rPr>
            </w:pPr>
          </w:p>
        </w:tc>
        <w:tc>
          <w:tcPr>
            <w:tcW w:w="720" w:type="dxa"/>
            <w:vAlign w:val="bottom"/>
          </w:tcPr>
          <w:p>
            <w:pPr>
              <w:jc w:val="center"/>
              <w:ind w:right="110"/>
              <w:spacing w:after="0"/>
              <w:rPr>
                <w:sz w:val="20"/>
                <w:szCs w:val="20"/>
                <w:color w:val="auto"/>
              </w:rPr>
            </w:pPr>
            <w:r>
              <w:rPr>
                <w:rFonts w:ascii="Arial" w:cs="Arial" w:eastAsia="Arial" w:hAnsi="Arial"/>
                <w:sz w:val="13"/>
                <w:szCs w:val="13"/>
                <w:b w:val="1"/>
                <w:bCs w:val="1"/>
                <w:color w:val="EC252A"/>
              </w:rPr>
              <w:t>Units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EC252A"/>
              </w:rPr>
              <w:t>Other</w:t>
            </w:r>
          </w:p>
        </w:tc>
        <w:tc>
          <w:tcPr>
            <w:tcW w:w="180" w:type="dxa"/>
            <w:vAlign w:val="bottom"/>
          </w:tcPr>
          <w:p>
            <w:pPr>
              <w:spacing w:after="0"/>
              <w:rPr>
                <w:sz w:val="12"/>
                <w:szCs w:val="12"/>
                <w:color w:val="auto"/>
              </w:rPr>
            </w:pPr>
          </w:p>
        </w:tc>
        <w:tc>
          <w:tcPr>
            <w:tcW w:w="760" w:type="dxa"/>
            <w:vAlign w:val="bottom"/>
          </w:tcPr>
          <w:p>
            <w:pPr>
              <w:jc w:val="center"/>
              <w:ind w:right="91"/>
              <w:spacing w:after="0"/>
              <w:rPr>
                <w:sz w:val="20"/>
                <w:szCs w:val="20"/>
                <w:color w:val="auto"/>
              </w:rPr>
            </w:pPr>
            <w:r>
              <w:rPr>
                <w:rFonts w:ascii="Arial" w:cs="Arial" w:eastAsia="Arial" w:hAnsi="Arial"/>
                <w:sz w:val="13"/>
                <w:szCs w:val="13"/>
                <w:b w:val="1"/>
                <w:bCs w:val="1"/>
                <w:color w:val="EC252A"/>
              </w:rPr>
              <w:t>Other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EC252A"/>
              </w:rPr>
              <w:t>Unexercised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EC252A"/>
              </w:rPr>
              <w:t>Unexercised</w:t>
            </w:r>
          </w:p>
        </w:tc>
        <w:tc>
          <w:tcPr>
            <w:tcW w:w="660" w:type="dxa"/>
            <w:vAlign w:val="bottom"/>
            <w:vMerge w:val="continue"/>
          </w:tcPr>
          <w:p>
            <w:pPr>
              <w:spacing w:after="0"/>
              <w:rPr>
                <w:sz w:val="12"/>
                <w:szCs w:val="12"/>
                <w:color w:val="auto"/>
              </w:rPr>
            </w:pPr>
          </w:p>
        </w:tc>
        <w:tc>
          <w:tcPr>
            <w:tcW w:w="840" w:type="dxa"/>
            <w:vAlign w:val="bottom"/>
            <w:tcBorders>
              <w:right w:val="single" w:sz="8" w:color="EC252A"/>
            </w:tcBorders>
            <w:vMerge w:val="continue"/>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EC252A"/>
              </w:rPr>
              <w:t>Stock That</w:t>
            </w:r>
          </w:p>
        </w:tc>
        <w:tc>
          <w:tcPr>
            <w:tcW w:w="160" w:type="dxa"/>
            <w:vAlign w:val="bottom"/>
          </w:tcPr>
          <w:p>
            <w:pPr>
              <w:spacing w:after="0"/>
              <w:rPr>
                <w:sz w:val="12"/>
                <w:szCs w:val="12"/>
                <w:color w:val="auto"/>
              </w:rPr>
            </w:pPr>
          </w:p>
        </w:tc>
        <w:tc>
          <w:tcPr>
            <w:tcW w:w="720" w:type="dxa"/>
            <w:vAlign w:val="bottom"/>
          </w:tcPr>
          <w:p>
            <w:pPr>
              <w:jc w:val="center"/>
              <w:ind w:right="130"/>
              <w:spacing w:after="0"/>
              <w:rPr>
                <w:sz w:val="20"/>
                <w:szCs w:val="20"/>
                <w:color w:val="auto"/>
              </w:rPr>
            </w:pPr>
            <w:r>
              <w:rPr>
                <w:rFonts w:ascii="Arial" w:cs="Arial" w:eastAsia="Arial" w:hAnsi="Arial"/>
                <w:sz w:val="13"/>
                <w:szCs w:val="13"/>
                <w:b w:val="1"/>
                <w:bCs w:val="1"/>
                <w:color w:val="EC252A"/>
              </w:rPr>
              <w:t>That</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EC252A"/>
              </w:rPr>
              <w:t>Rights That</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Rights That</w:t>
            </w: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bottom w:val="single" w:sz="8" w:color="EC252A"/>
            </w:tcBorders>
          </w:tcPr>
          <w:p>
            <w:pPr>
              <w:jc w:val="center"/>
              <w:spacing w:after="0"/>
              <w:rPr>
                <w:sz w:val="20"/>
                <w:szCs w:val="20"/>
                <w:color w:val="auto"/>
              </w:rPr>
            </w:pPr>
            <w:r>
              <w:rPr>
                <w:rFonts w:ascii="Arial" w:cs="Arial" w:eastAsia="Arial" w:hAnsi="Arial"/>
                <w:sz w:val="13"/>
                <w:szCs w:val="13"/>
                <w:b w:val="1"/>
                <w:bCs w:val="1"/>
                <w:color w:val="EC252A"/>
              </w:rPr>
              <w:t>Options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EC252A"/>
            </w:tcBorders>
          </w:tcPr>
          <w:p>
            <w:pPr>
              <w:jc w:val="center"/>
              <w:spacing w:after="0"/>
              <w:rPr>
                <w:sz w:val="20"/>
                <w:szCs w:val="20"/>
                <w:color w:val="auto"/>
              </w:rPr>
            </w:pPr>
            <w:r>
              <w:rPr>
                <w:rFonts w:ascii="Arial" w:cs="Arial" w:eastAsia="Arial" w:hAnsi="Arial"/>
                <w:sz w:val="13"/>
                <w:szCs w:val="13"/>
                <w:b w:val="1"/>
                <w:bCs w:val="1"/>
                <w:color w:val="EC252A"/>
              </w:rPr>
              <w:t>Options</w:t>
            </w:r>
          </w:p>
        </w:tc>
        <w:tc>
          <w:tcPr>
            <w:tcW w:w="2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EC252A"/>
              </w:rPr>
              <w:t>Exercise</w:t>
            </w:r>
          </w:p>
        </w:tc>
        <w:tc>
          <w:tcPr>
            <w:tcW w:w="840" w:type="dxa"/>
            <w:vAlign w:val="bottom"/>
            <w:tcBorders>
              <w:right w:val="single" w:sz="8" w:color="EC252A"/>
            </w:tcBorders>
          </w:tcPr>
          <w:p>
            <w:pPr>
              <w:jc w:val="center"/>
              <w:spacing w:after="0"/>
              <w:rPr>
                <w:sz w:val="20"/>
                <w:szCs w:val="20"/>
                <w:color w:val="auto"/>
              </w:rPr>
            </w:pPr>
            <w:r>
              <w:rPr>
                <w:rFonts w:ascii="Arial" w:cs="Arial" w:eastAsia="Arial" w:hAnsi="Arial"/>
                <w:sz w:val="13"/>
                <w:szCs w:val="13"/>
                <w:b w:val="1"/>
                <w:bCs w:val="1"/>
                <w:color w:val="EC252A"/>
              </w:rPr>
              <w:t>Expiration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EC252A"/>
              </w:rPr>
              <w:t>Have Not</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EC252A"/>
              </w:rPr>
              <w:t>Have Not</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EC252A"/>
              </w:rPr>
              <w:t>Have Not</w:t>
            </w:r>
          </w:p>
        </w:tc>
        <w:tc>
          <w:tcPr>
            <w:tcW w:w="180" w:type="dxa"/>
            <w:vAlign w:val="bottom"/>
          </w:tcPr>
          <w:p>
            <w:pPr>
              <w:spacing w:after="0"/>
              <w:rPr>
                <w:sz w:val="13"/>
                <w:szCs w:val="13"/>
                <w:color w:val="auto"/>
              </w:rPr>
            </w:pPr>
          </w:p>
        </w:tc>
        <w:tc>
          <w:tcPr>
            <w:tcW w:w="760" w:type="dxa"/>
            <w:vAlign w:val="bottom"/>
          </w:tcPr>
          <w:p>
            <w:pPr>
              <w:jc w:val="center"/>
              <w:ind w:right="71"/>
              <w:spacing w:after="0"/>
              <w:rPr>
                <w:sz w:val="20"/>
                <w:szCs w:val="20"/>
                <w:color w:val="auto"/>
              </w:rPr>
            </w:pPr>
            <w:r>
              <w:rPr>
                <w:rFonts w:ascii="Arial" w:cs="Arial" w:eastAsia="Arial" w:hAnsi="Arial"/>
                <w:sz w:val="13"/>
                <w:szCs w:val="13"/>
                <w:b w:val="1"/>
                <w:bCs w:val="1"/>
                <w:color w:val="EC252A"/>
              </w:rPr>
              <w:t>Have Not</w:t>
            </w:r>
          </w:p>
        </w:tc>
        <w:tc>
          <w:tcPr>
            <w:tcW w:w="0" w:type="dxa"/>
            <w:vAlign w:val="bottom"/>
          </w:tcPr>
          <w:p>
            <w:pPr>
              <w:spacing w:after="0"/>
              <w:rPr>
                <w:sz w:val="1"/>
                <w:szCs w:val="1"/>
                <w:color w:val="auto"/>
              </w:rPr>
            </w:pPr>
          </w:p>
        </w:tc>
      </w:tr>
      <w:tr>
        <w:trPr>
          <w:trHeight w:val="189"/>
        </w:trPr>
        <w:tc>
          <w:tcPr>
            <w:tcW w:w="60" w:type="dxa"/>
            <w:vAlign w:val="bottom"/>
            <w:tcBorders>
              <w:bottom w:val="single" w:sz="8" w:color="EC252A"/>
            </w:tcBorders>
          </w:tcPr>
          <w:p>
            <w:pPr>
              <w:spacing w:after="0"/>
              <w:rPr>
                <w:sz w:val="16"/>
                <w:szCs w:val="16"/>
                <w:color w:val="auto"/>
              </w:rPr>
            </w:pPr>
          </w:p>
        </w:tc>
        <w:tc>
          <w:tcPr>
            <w:tcW w:w="1520" w:type="dxa"/>
            <w:vAlign w:val="bottom"/>
            <w:tcBorders>
              <w:bottom w:val="single" w:sz="8" w:color="EC252A"/>
            </w:tcBorders>
          </w:tcPr>
          <w:p>
            <w:pPr>
              <w:ind w:left="20"/>
              <w:spacing w:after="0"/>
              <w:rPr>
                <w:sz w:val="20"/>
                <w:szCs w:val="20"/>
                <w:color w:val="auto"/>
              </w:rPr>
            </w:pPr>
            <w:r>
              <w:rPr>
                <w:rFonts w:ascii="Arial" w:cs="Arial" w:eastAsia="Arial" w:hAnsi="Arial"/>
                <w:sz w:val="13"/>
                <w:szCs w:val="13"/>
                <w:b w:val="1"/>
                <w:bCs w:val="1"/>
                <w:color w:val="EC252A"/>
              </w:rPr>
              <w:t>Name</w:t>
            </w:r>
          </w:p>
        </w:tc>
        <w:tc>
          <w:tcPr>
            <w:tcW w:w="160" w:type="dxa"/>
            <w:vAlign w:val="bottom"/>
            <w:tcBorders>
              <w:bottom w:val="single" w:sz="8" w:color="EC252A"/>
            </w:tcBorders>
          </w:tcPr>
          <w:p>
            <w:pPr>
              <w:spacing w:after="0"/>
              <w:rPr>
                <w:sz w:val="16"/>
                <w:szCs w:val="16"/>
                <w:color w:val="auto"/>
              </w:rPr>
            </w:pPr>
          </w:p>
        </w:tc>
        <w:tc>
          <w:tcPr>
            <w:tcW w:w="960" w:type="dxa"/>
            <w:vAlign w:val="bottom"/>
            <w:tcBorders>
              <w:bottom w:val="single" w:sz="8" w:color="EC252A"/>
            </w:tcBorders>
          </w:tcPr>
          <w:p>
            <w:pPr>
              <w:jc w:val="center"/>
              <w:spacing w:after="0"/>
              <w:rPr>
                <w:sz w:val="20"/>
                <w:szCs w:val="20"/>
                <w:color w:val="auto"/>
              </w:rPr>
            </w:pPr>
            <w:r>
              <w:rPr>
                <w:rFonts w:ascii="Arial" w:cs="Arial" w:eastAsia="Arial" w:hAnsi="Arial"/>
                <w:sz w:val="13"/>
                <w:szCs w:val="13"/>
                <w:b w:val="1"/>
                <w:bCs w:val="1"/>
                <w:color w:val="EC252A"/>
              </w:rPr>
              <w:t>Exercisable</w:t>
            </w:r>
          </w:p>
        </w:tc>
        <w:tc>
          <w:tcPr>
            <w:tcW w:w="20" w:type="dxa"/>
            <w:vAlign w:val="bottom"/>
            <w:tcBorders>
              <w:bottom w:val="single" w:sz="8" w:color="EC252A"/>
            </w:tcBorders>
          </w:tcPr>
          <w:p>
            <w:pPr>
              <w:spacing w:after="0"/>
              <w:rPr>
                <w:sz w:val="16"/>
                <w:szCs w:val="16"/>
                <w:color w:val="auto"/>
              </w:rPr>
            </w:pPr>
          </w:p>
        </w:tc>
        <w:tc>
          <w:tcPr>
            <w:tcW w:w="160" w:type="dxa"/>
            <w:vAlign w:val="bottom"/>
            <w:tcBorders>
              <w:bottom w:val="single" w:sz="8" w:color="EC252A"/>
            </w:tcBorders>
          </w:tcPr>
          <w:p>
            <w:pPr>
              <w:spacing w:after="0"/>
              <w:rPr>
                <w:sz w:val="16"/>
                <w:szCs w:val="16"/>
                <w:color w:val="auto"/>
              </w:rPr>
            </w:pPr>
          </w:p>
        </w:tc>
        <w:tc>
          <w:tcPr>
            <w:tcW w:w="80" w:type="dxa"/>
            <w:vAlign w:val="bottom"/>
            <w:tcBorders>
              <w:bottom w:val="single" w:sz="8" w:color="EC252A"/>
            </w:tcBorders>
          </w:tcPr>
          <w:p>
            <w:pPr>
              <w:spacing w:after="0"/>
              <w:rPr>
                <w:sz w:val="16"/>
                <w:szCs w:val="16"/>
                <w:color w:val="auto"/>
              </w:rPr>
            </w:pPr>
          </w:p>
        </w:tc>
        <w:tc>
          <w:tcPr>
            <w:tcW w:w="1180" w:type="dxa"/>
            <w:vAlign w:val="bottom"/>
            <w:tcBorders>
              <w:bottom w:val="single" w:sz="8" w:color="EC252A"/>
            </w:tcBorders>
            <w:gridSpan w:val="2"/>
          </w:tcPr>
          <w:p>
            <w:pPr>
              <w:spacing w:after="0"/>
              <w:rPr>
                <w:sz w:val="20"/>
                <w:szCs w:val="20"/>
                <w:color w:val="auto"/>
              </w:rPr>
            </w:pPr>
            <w:r>
              <w:rPr>
                <w:rFonts w:ascii="Arial" w:cs="Arial" w:eastAsia="Arial" w:hAnsi="Arial"/>
                <w:sz w:val="13"/>
                <w:szCs w:val="13"/>
                <w:b w:val="1"/>
                <w:bCs w:val="1"/>
                <w:color w:val="EC252A"/>
              </w:rPr>
              <w:t>Unexercisable (1)</w:t>
            </w:r>
          </w:p>
        </w:tc>
        <w:tc>
          <w:tcPr>
            <w:tcW w:w="660" w:type="dxa"/>
            <w:vAlign w:val="bottom"/>
            <w:tcBorders>
              <w:bottom w:val="single" w:sz="8" w:color="EC252A"/>
            </w:tcBorders>
          </w:tcPr>
          <w:p>
            <w:pPr>
              <w:jc w:val="center"/>
              <w:spacing w:after="0"/>
              <w:rPr>
                <w:sz w:val="20"/>
                <w:szCs w:val="20"/>
                <w:color w:val="auto"/>
              </w:rPr>
            </w:pPr>
            <w:r>
              <w:rPr>
                <w:rFonts w:ascii="Arial" w:cs="Arial" w:eastAsia="Arial" w:hAnsi="Arial"/>
                <w:sz w:val="13"/>
                <w:szCs w:val="13"/>
                <w:b w:val="1"/>
                <w:bCs w:val="1"/>
                <w:color w:val="EC252A"/>
              </w:rPr>
              <w:t>Price ($)</w:t>
            </w:r>
          </w:p>
        </w:tc>
        <w:tc>
          <w:tcPr>
            <w:tcW w:w="840" w:type="dxa"/>
            <w:vAlign w:val="bottom"/>
            <w:tcBorders>
              <w:bottom w:val="single" w:sz="8" w:color="EC252A"/>
              <w:right w:val="single" w:sz="8" w:color="EC252A"/>
            </w:tcBorders>
          </w:tcPr>
          <w:p>
            <w:pPr>
              <w:jc w:val="center"/>
              <w:spacing w:after="0"/>
              <w:rPr>
                <w:sz w:val="20"/>
                <w:szCs w:val="20"/>
                <w:color w:val="auto"/>
              </w:rPr>
            </w:pPr>
            <w:r>
              <w:rPr>
                <w:rFonts w:ascii="Arial" w:cs="Arial" w:eastAsia="Arial" w:hAnsi="Arial"/>
                <w:sz w:val="13"/>
                <w:szCs w:val="13"/>
                <w:b w:val="1"/>
                <w:bCs w:val="1"/>
                <w:color w:val="EC252A"/>
                <w:w w:val="99"/>
              </w:rPr>
              <w:t>Date</w:t>
            </w:r>
          </w:p>
        </w:tc>
        <w:tc>
          <w:tcPr>
            <w:tcW w:w="880" w:type="dxa"/>
            <w:vAlign w:val="bottom"/>
            <w:tcBorders>
              <w:bottom w:val="single" w:sz="8" w:color="EC252A"/>
            </w:tcBorders>
          </w:tcPr>
          <w:p>
            <w:pPr>
              <w:jc w:val="center"/>
              <w:spacing w:after="0"/>
              <w:rPr>
                <w:sz w:val="20"/>
                <w:szCs w:val="20"/>
                <w:color w:val="auto"/>
              </w:rPr>
            </w:pPr>
            <w:r>
              <w:rPr>
                <w:rFonts w:ascii="Arial" w:cs="Arial" w:eastAsia="Arial" w:hAnsi="Arial"/>
                <w:sz w:val="13"/>
                <w:szCs w:val="13"/>
                <w:b w:val="1"/>
                <w:bCs w:val="1"/>
                <w:color w:val="EC252A"/>
              </w:rPr>
              <w:t>Vested</w:t>
            </w:r>
          </w:p>
        </w:tc>
        <w:tc>
          <w:tcPr>
            <w:tcW w:w="160" w:type="dxa"/>
            <w:vAlign w:val="bottom"/>
            <w:tcBorders>
              <w:bottom w:val="single" w:sz="8" w:color="EC252A"/>
            </w:tcBorders>
          </w:tcPr>
          <w:p>
            <w:pPr>
              <w:spacing w:after="0"/>
              <w:rPr>
                <w:sz w:val="16"/>
                <w:szCs w:val="16"/>
                <w:color w:val="auto"/>
              </w:rPr>
            </w:pPr>
          </w:p>
        </w:tc>
        <w:tc>
          <w:tcPr>
            <w:tcW w:w="720" w:type="dxa"/>
            <w:vAlign w:val="bottom"/>
            <w:tcBorders>
              <w:bottom w:val="single" w:sz="8" w:color="EC252A"/>
            </w:tcBorders>
          </w:tcPr>
          <w:p>
            <w:pPr>
              <w:jc w:val="center"/>
              <w:ind w:right="90"/>
              <w:spacing w:after="0"/>
              <w:rPr>
                <w:sz w:val="20"/>
                <w:szCs w:val="20"/>
                <w:color w:val="auto"/>
              </w:rPr>
            </w:pPr>
            <w:r>
              <w:rPr>
                <w:rFonts w:ascii="Arial" w:cs="Arial" w:eastAsia="Arial" w:hAnsi="Arial"/>
                <w:sz w:val="13"/>
                <w:szCs w:val="13"/>
                <w:b w:val="1"/>
                <w:bCs w:val="1"/>
                <w:color w:val="EC252A"/>
              </w:rPr>
              <w:t>Vested</w:t>
            </w:r>
          </w:p>
        </w:tc>
        <w:tc>
          <w:tcPr>
            <w:tcW w:w="940" w:type="dxa"/>
            <w:vAlign w:val="bottom"/>
            <w:tcBorders>
              <w:bottom w:val="single" w:sz="8" w:color="EC252A"/>
            </w:tcBorders>
          </w:tcPr>
          <w:p>
            <w:pPr>
              <w:jc w:val="center"/>
              <w:spacing w:after="0"/>
              <w:rPr>
                <w:sz w:val="20"/>
                <w:szCs w:val="20"/>
                <w:color w:val="auto"/>
              </w:rPr>
            </w:pPr>
            <w:r>
              <w:rPr>
                <w:rFonts w:ascii="Arial" w:cs="Arial" w:eastAsia="Arial" w:hAnsi="Arial"/>
                <w:sz w:val="13"/>
                <w:szCs w:val="13"/>
                <w:b w:val="1"/>
                <w:bCs w:val="1"/>
                <w:color w:val="EC252A"/>
              </w:rPr>
              <w:t>Vested (2)</w:t>
            </w:r>
          </w:p>
        </w:tc>
        <w:tc>
          <w:tcPr>
            <w:tcW w:w="180" w:type="dxa"/>
            <w:vAlign w:val="bottom"/>
            <w:tcBorders>
              <w:bottom w:val="single" w:sz="8" w:color="EC252A"/>
            </w:tcBorders>
          </w:tcPr>
          <w:p>
            <w:pPr>
              <w:spacing w:after="0"/>
              <w:rPr>
                <w:sz w:val="16"/>
                <w:szCs w:val="16"/>
                <w:color w:val="auto"/>
              </w:rPr>
            </w:pPr>
          </w:p>
        </w:tc>
        <w:tc>
          <w:tcPr>
            <w:tcW w:w="760" w:type="dxa"/>
            <w:vAlign w:val="bottom"/>
            <w:tcBorders>
              <w:bottom w:val="single" w:sz="8" w:color="EC252A"/>
            </w:tcBorders>
          </w:tcPr>
          <w:p>
            <w:pPr>
              <w:jc w:val="center"/>
              <w:ind w:right="51"/>
              <w:spacing w:after="0"/>
              <w:rPr>
                <w:sz w:val="20"/>
                <w:szCs w:val="20"/>
                <w:color w:val="auto"/>
              </w:rPr>
            </w:pPr>
            <w:r>
              <w:rPr>
                <w:rFonts w:ascii="Arial" w:cs="Arial" w:eastAsia="Arial" w:hAnsi="Arial"/>
                <w:sz w:val="13"/>
                <w:szCs w:val="13"/>
                <w:b w:val="1"/>
                <w:bCs w:val="1"/>
                <w:color w:val="EC252A"/>
              </w:rPr>
              <w:t>Vested (2)</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1520" w:type="dxa"/>
            <w:vAlign w:val="bottom"/>
          </w:tcPr>
          <w:p>
            <w:pPr>
              <w:ind w:left="20"/>
              <w:spacing w:after="0"/>
              <w:rPr>
                <w:sz w:val="20"/>
                <w:szCs w:val="20"/>
                <w:color w:val="auto"/>
              </w:rPr>
            </w:pPr>
            <w:r>
              <w:rPr>
                <w:rFonts w:ascii="Arial" w:cs="Arial" w:eastAsia="Arial" w:hAnsi="Arial"/>
                <w:sz w:val="14"/>
                <w:szCs w:val="14"/>
                <w:color w:val="auto"/>
              </w:rPr>
              <w:t>Rafael Santana</w:t>
            </w: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6,533</w:t>
            </w:r>
          </w:p>
        </w:tc>
        <w:tc>
          <w:tcPr>
            <w:tcW w:w="20" w:type="dxa"/>
            <w:vAlign w:val="bottom"/>
          </w:tcPr>
          <w:p>
            <w:pPr>
              <w:spacing w:after="0"/>
              <w:rPr>
                <w:sz w:val="20"/>
                <w:szCs w:val="20"/>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4"/>
                <w:szCs w:val="14"/>
                <w:color w:val="auto"/>
              </w:rPr>
              <w:t>3,267</w:t>
            </w:r>
          </w:p>
        </w:tc>
        <w:tc>
          <w:tcPr>
            <w:tcW w:w="22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$70.635</w:t>
            </w:r>
          </w:p>
        </w:tc>
        <w:tc>
          <w:tcPr>
            <w:tcW w:w="840" w:type="dxa"/>
            <w:vAlign w:val="bottom"/>
            <w:tcBorders>
              <w:right w:val="single" w:sz="8" w:color="EC252A"/>
            </w:tcBorders>
          </w:tcPr>
          <w:p>
            <w:pPr>
              <w:jc w:val="right"/>
              <w:ind w:right="49"/>
              <w:spacing w:after="0"/>
              <w:rPr>
                <w:sz w:val="20"/>
                <w:szCs w:val="20"/>
                <w:color w:val="auto"/>
              </w:rPr>
            </w:pPr>
            <w:r>
              <w:rPr>
                <w:rFonts w:ascii="Arial" w:cs="Arial" w:eastAsia="Arial" w:hAnsi="Arial"/>
                <w:sz w:val="14"/>
                <w:szCs w:val="14"/>
                <w:color w:val="auto"/>
              </w:rPr>
              <w:t>3/6/2029</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3,266(4)</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300,423</w:t>
            </w:r>
          </w:p>
        </w:tc>
        <w:tc>
          <w:tcPr>
            <w:tcW w:w="940" w:type="dxa"/>
            <w:vAlign w:val="bottom"/>
          </w:tcPr>
          <w:p>
            <w:pPr>
              <w:jc w:val="center"/>
              <w:spacing w:after="0"/>
              <w:rPr>
                <w:sz w:val="20"/>
                <w:szCs w:val="20"/>
                <w:color w:val="auto"/>
              </w:rPr>
            </w:pPr>
            <w:r>
              <w:rPr>
                <w:rFonts w:ascii="Arial" w:cs="Arial" w:eastAsia="Arial" w:hAnsi="Arial"/>
                <w:sz w:val="14"/>
                <w:szCs w:val="14"/>
                <w:color w:val="auto"/>
              </w:rPr>
              <w:t>178,558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$16,424,658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9,197</w:t>
            </w:r>
          </w:p>
        </w:tc>
        <w:tc>
          <w:tcPr>
            <w:tcW w:w="20" w:type="dxa"/>
            <w:vAlign w:val="bottom"/>
          </w:tcPr>
          <w:p>
            <w:pPr>
              <w:spacing w:after="0"/>
              <w:rPr>
                <w:sz w:val="21"/>
                <w:szCs w:val="21"/>
                <w:color w:val="auto"/>
              </w:rPr>
            </w:pPr>
          </w:p>
        </w:tc>
        <w:tc>
          <w:tcPr>
            <w:tcW w:w="1200" w:type="dxa"/>
            <w:vAlign w:val="bottom"/>
            <w:gridSpan w:val="3"/>
          </w:tcPr>
          <w:p>
            <w:pPr>
              <w:jc w:val="center"/>
              <w:ind w:left="168"/>
              <w:spacing w:after="0"/>
              <w:rPr>
                <w:sz w:val="20"/>
                <w:szCs w:val="20"/>
                <w:color w:val="auto"/>
              </w:rPr>
            </w:pPr>
            <w:r>
              <w:rPr>
                <w:rFonts w:ascii="Arial" w:cs="Arial" w:eastAsia="Arial" w:hAnsi="Arial"/>
                <w:sz w:val="14"/>
                <w:szCs w:val="14"/>
                <w:color w:val="auto"/>
              </w:rPr>
              <w:t>18,394</w:t>
            </w:r>
          </w:p>
        </w:tc>
        <w:tc>
          <w:tcPr>
            <w:tcW w:w="22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$78.33</w:t>
            </w:r>
          </w:p>
        </w:tc>
        <w:tc>
          <w:tcPr>
            <w:tcW w:w="840" w:type="dxa"/>
            <w:vAlign w:val="bottom"/>
            <w:tcBorders>
              <w:right w:val="single" w:sz="8" w:color="EC252A"/>
            </w:tcBorders>
          </w:tcPr>
          <w:p>
            <w:pPr>
              <w:jc w:val="right"/>
              <w:ind w:right="49"/>
              <w:spacing w:after="0"/>
              <w:rPr>
                <w:sz w:val="20"/>
                <w:szCs w:val="20"/>
                <w:color w:val="auto"/>
              </w:rPr>
            </w:pPr>
            <w:r>
              <w:rPr>
                <w:rFonts w:ascii="Arial" w:cs="Arial" w:eastAsia="Arial" w:hAnsi="Arial"/>
                <w:sz w:val="14"/>
                <w:szCs w:val="14"/>
                <w:color w:val="auto"/>
              </w:rPr>
              <w:t>2/7/2030</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14,156(6)</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$1,302,140</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gridSpan w:val="2"/>
          </w:tcPr>
          <w:p>
            <w:pPr>
              <w:jc w:val="right"/>
              <w:ind w:right="233"/>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21"/>
                <w:szCs w:val="21"/>
                <w:color w:val="auto"/>
              </w:rPr>
            </w:pPr>
          </w:p>
        </w:tc>
        <w:tc>
          <w:tcPr>
            <w:tcW w:w="1200" w:type="dxa"/>
            <w:vAlign w:val="bottom"/>
            <w:gridSpan w:val="3"/>
          </w:tcPr>
          <w:p>
            <w:pPr>
              <w:jc w:val="center"/>
              <w:ind w:left="168"/>
              <w:spacing w:after="0"/>
              <w:rPr>
                <w:sz w:val="20"/>
                <w:szCs w:val="20"/>
                <w:color w:val="auto"/>
              </w:rPr>
            </w:pPr>
            <w:r>
              <w:rPr>
                <w:rFonts w:ascii="Arial" w:cs="Arial" w:eastAsia="Arial" w:hAnsi="Arial"/>
                <w:sz w:val="14"/>
                <w:szCs w:val="14"/>
                <w:color w:val="auto"/>
              </w:rPr>
              <w:t>31,442</w:t>
            </w:r>
          </w:p>
        </w:tc>
        <w:tc>
          <w:tcPr>
            <w:tcW w:w="22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$81.21</w:t>
            </w:r>
          </w:p>
        </w:tc>
        <w:tc>
          <w:tcPr>
            <w:tcW w:w="840" w:type="dxa"/>
            <w:vAlign w:val="bottom"/>
            <w:tcBorders>
              <w:right w:val="single" w:sz="8" w:color="EC252A"/>
            </w:tcBorders>
          </w:tcPr>
          <w:p>
            <w:pPr>
              <w:jc w:val="right"/>
              <w:ind w:right="49"/>
              <w:spacing w:after="0"/>
              <w:rPr>
                <w:sz w:val="20"/>
                <w:szCs w:val="20"/>
                <w:color w:val="auto"/>
              </w:rPr>
            </w:pPr>
            <w:r>
              <w:rPr>
                <w:rFonts w:ascii="Arial" w:cs="Arial" w:eastAsia="Arial" w:hAnsi="Arial"/>
                <w:sz w:val="14"/>
                <w:szCs w:val="14"/>
                <w:color w:val="auto"/>
              </w:rPr>
              <w:t>2/11/2031</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1,666(4)</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153,247</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Borders>
              <w:right w:val="single" w:sz="8" w:color="EC252A"/>
            </w:tcBorders>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18,394(7)</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$1,691,972</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Borders>
              <w:right w:val="single" w:sz="8" w:color="EC252A"/>
            </w:tcBorders>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31,442(10)</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$2,892,192</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right w:val="single" w:sz="8" w:color="EC252A"/>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bottom w:val="single" w:sz="8" w:color="FCD3C3"/>
            </w:tcBorders>
            <w:shd w:val="clear" w:color="auto" w:fill="FCD3C3"/>
          </w:tcPr>
          <w:p>
            <w:pPr>
              <w:spacing w:after="0"/>
              <w:rPr>
                <w:sz w:val="19"/>
                <w:szCs w:val="19"/>
                <w:color w:val="auto"/>
              </w:rPr>
            </w:pPr>
          </w:p>
        </w:tc>
        <w:tc>
          <w:tcPr>
            <w:tcW w:w="1520" w:type="dxa"/>
            <w:vAlign w:val="bottom"/>
            <w:tcBorders>
              <w:bottom w:val="single" w:sz="8" w:color="FCD3C3"/>
            </w:tcBorders>
            <w:shd w:val="clear" w:color="auto" w:fill="FCD3C3"/>
          </w:tcPr>
          <w:p>
            <w:pPr>
              <w:ind w:left="20"/>
              <w:spacing w:after="0"/>
              <w:rPr>
                <w:sz w:val="20"/>
                <w:szCs w:val="20"/>
                <w:color w:val="auto"/>
              </w:rPr>
            </w:pPr>
            <w:r>
              <w:rPr>
                <w:rFonts w:ascii="Arial" w:cs="Arial" w:eastAsia="Arial" w:hAnsi="Arial"/>
                <w:sz w:val="14"/>
                <w:szCs w:val="14"/>
                <w:color w:val="auto"/>
              </w:rPr>
              <w:t>John Olin</w:t>
            </w:r>
          </w:p>
        </w:tc>
        <w:tc>
          <w:tcPr>
            <w:tcW w:w="160" w:type="dxa"/>
            <w:vAlign w:val="bottom"/>
            <w:tcBorders>
              <w:bottom w:val="single" w:sz="8" w:color="FCD3C3"/>
            </w:tcBorders>
            <w:shd w:val="clear" w:color="auto" w:fill="FCD3C3"/>
          </w:tcPr>
          <w:p>
            <w:pPr>
              <w:spacing w:after="0"/>
              <w:rPr>
                <w:sz w:val="19"/>
                <w:szCs w:val="19"/>
                <w:color w:val="auto"/>
              </w:rPr>
            </w:pPr>
          </w:p>
        </w:tc>
        <w:tc>
          <w:tcPr>
            <w:tcW w:w="960" w:type="dxa"/>
            <w:vAlign w:val="bottom"/>
            <w:tcBorders>
              <w:bottom w:val="single" w:sz="8" w:color="FCD3C3"/>
            </w:tcBorders>
            <w:shd w:val="clear" w:color="auto" w:fill="FCD3C3"/>
          </w:tcPr>
          <w:p>
            <w:pPr>
              <w:spacing w:after="0"/>
              <w:rPr>
                <w:sz w:val="19"/>
                <w:szCs w:val="19"/>
                <w:color w:val="auto"/>
              </w:rPr>
            </w:pPr>
          </w:p>
        </w:tc>
        <w:tc>
          <w:tcPr>
            <w:tcW w:w="20" w:type="dxa"/>
            <w:vAlign w:val="bottom"/>
            <w:tcBorders>
              <w:bottom w:val="single" w:sz="8" w:color="FCD3C3"/>
            </w:tcBorders>
            <w:shd w:val="clear" w:color="auto" w:fill="FCD3C3"/>
          </w:tcPr>
          <w:p>
            <w:pPr>
              <w:spacing w:after="0"/>
              <w:rPr>
                <w:sz w:val="19"/>
                <w:szCs w:val="19"/>
                <w:color w:val="auto"/>
              </w:rPr>
            </w:pPr>
          </w:p>
        </w:tc>
        <w:tc>
          <w:tcPr>
            <w:tcW w:w="160" w:type="dxa"/>
            <w:vAlign w:val="bottom"/>
            <w:tcBorders>
              <w:bottom w:val="single" w:sz="8" w:color="FCD3C3"/>
            </w:tcBorders>
            <w:shd w:val="clear" w:color="auto" w:fill="FCD3C3"/>
          </w:tcPr>
          <w:p>
            <w:pPr>
              <w:spacing w:after="0"/>
              <w:rPr>
                <w:sz w:val="19"/>
                <w:szCs w:val="19"/>
                <w:color w:val="auto"/>
              </w:rPr>
            </w:pPr>
          </w:p>
        </w:tc>
        <w:tc>
          <w:tcPr>
            <w:tcW w:w="80" w:type="dxa"/>
            <w:vAlign w:val="bottom"/>
            <w:tcBorders>
              <w:bottom w:val="single" w:sz="8" w:color="FCD3C3"/>
            </w:tcBorders>
            <w:shd w:val="clear" w:color="auto" w:fill="FCD3C3"/>
          </w:tcPr>
          <w:p>
            <w:pPr>
              <w:spacing w:after="0"/>
              <w:rPr>
                <w:sz w:val="19"/>
                <w:szCs w:val="19"/>
                <w:color w:val="auto"/>
              </w:rPr>
            </w:pPr>
          </w:p>
        </w:tc>
        <w:tc>
          <w:tcPr>
            <w:tcW w:w="960" w:type="dxa"/>
            <w:vAlign w:val="bottom"/>
            <w:tcBorders>
              <w:bottom w:val="single" w:sz="8" w:color="FCD3C3"/>
            </w:tcBorders>
            <w:shd w:val="clear" w:color="auto" w:fill="FCD3C3"/>
          </w:tcPr>
          <w:p>
            <w:pPr>
              <w:spacing w:after="0"/>
              <w:rPr>
                <w:sz w:val="19"/>
                <w:szCs w:val="19"/>
                <w:color w:val="auto"/>
              </w:rPr>
            </w:pPr>
          </w:p>
        </w:tc>
        <w:tc>
          <w:tcPr>
            <w:tcW w:w="220" w:type="dxa"/>
            <w:vAlign w:val="bottom"/>
            <w:tcBorders>
              <w:bottom w:val="single" w:sz="8" w:color="FCD3C3"/>
            </w:tcBorders>
            <w:shd w:val="clear" w:color="auto" w:fill="FCD3C3"/>
          </w:tcPr>
          <w:p>
            <w:pPr>
              <w:spacing w:after="0"/>
              <w:rPr>
                <w:sz w:val="19"/>
                <w:szCs w:val="19"/>
                <w:color w:val="auto"/>
              </w:rPr>
            </w:pPr>
          </w:p>
        </w:tc>
        <w:tc>
          <w:tcPr>
            <w:tcW w:w="660" w:type="dxa"/>
            <w:vAlign w:val="bottom"/>
            <w:tcBorders>
              <w:bottom w:val="single" w:sz="8" w:color="FCD3C3"/>
            </w:tcBorders>
            <w:shd w:val="clear" w:color="auto" w:fill="FCD3C3"/>
          </w:tcPr>
          <w:p>
            <w:pPr>
              <w:spacing w:after="0"/>
              <w:rPr>
                <w:sz w:val="19"/>
                <w:szCs w:val="19"/>
                <w:color w:val="auto"/>
              </w:rPr>
            </w:pPr>
          </w:p>
        </w:tc>
        <w:tc>
          <w:tcPr>
            <w:tcW w:w="840" w:type="dxa"/>
            <w:vAlign w:val="bottom"/>
            <w:tcBorders>
              <w:bottom w:val="single" w:sz="8" w:color="FCD3C3"/>
              <w:right w:val="single" w:sz="8" w:color="EC252A"/>
            </w:tcBorders>
            <w:shd w:val="clear" w:color="auto" w:fill="FCD3C3"/>
          </w:tcPr>
          <w:p>
            <w:pPr>
              <w:spacing w:after="0"/>
              <w:rPr>
                <w:sz w:val="19"/>
                <w:szCs w:val="19"/>
                <w:color w:val="auto"/>
              </w:rPr>
            </w:pPr>
          </w:p>
        </w:tc>
        <w:tc>
          <w:tcPr>
            <w:tcW w:w="880" w:type="dxa"/>
            <w:vAlign w:val="bottom"/>
            <w:tcBorders>
              <w:bottom w:val="single" w:sz="8" w:color="FCD3C3"/>
            </w:tcBorders>
            <w:shd w:val="clear" w:color="auto" w:fill="FCD3C3"/>
          </w:tcPr>
          <w:p>
            <w:pPr>
              <w:jc w:val="right"/>
              <w:ind w:right="29"/>
              <w:spacing w:after="0"/>
              <w:rPr>
                <w:sz w:val="20"/>
                <w:szCs w:val="20"/>
                <w:color w:val="auto"/>
              </w:rPr>
            </w:pPr>
            <w:r>
              <w:rPr>
                <w:rFonts w:ascii="Arial" w:cs="Arial" w:eastAsia="Arial" w:hAnsi="Arial"/>
                <w:sz w:val="14"/>
                <w:szCs w:val="14"/>
                <w:color w:val="auto"/>
              </w:rPr>
              <w:t>11,109(11)</w:t>
            </w:r>
          </w:p>
        </w:tc>
        <w:tc>
          <w:tcPr>
            <w:tcW w:w="880" w:type="dxa"/>
            <w:vAlign w:val="bottom"/>
            <w:tcBorders>
              <w:bottom w:val="single" w:sz="8" w:color="FCD3C3"/>
            </w:tcBorders>
            <w:gridSpan w:val="2"/>
            <w:shd w:val="clear" w:color="auto" w:fill="FCD3C3"/>
          </w:tcPr>
          <w:p>
            <w:pPr>
              <w:ind w:left="80"/>
              <w:spacing w:after="0"/>
              <w:rPr>
                <w:sz w:val="20"/>
                <w:szCs w:val="20"/>
                <w:color w:val="auto"/>
              </w:rPr>
            </w:pPr>
            <w:r>
              <w:rPr>
                <w:rFonts w:ascii="Arial" w:cs="Arial" w:eastAsia="Arial" w:hAnsi="Arial"/>
                <w:sz w:val="14"/>
                <w:szCs w:val="14"/>
                <w:color w:val="auto"/>
              </w:rPr>
              <w:t>$1,021,861</w:t>
            </w:r>
          </w:p>
        </w:tc>
        <w:tc>
          <w:tcPr>
            <w:tcW w:w="940" w:type="dxa"/>
            <w:vAlign w:val="bottom"/>
            <w:tcBorders>
              <w:bottom w:val="single" w:sz="8" w:color="FCD3C3"/>
            </w:tcBorders>
            <w:shd w:val="clear" w:color="auto" w:fill="FCD3C3"/>
          </w:tcPr>
          <w:p>
            <w:pPr>
              <w:jc w:val="right"/>
              <w:ind w:right="151"/>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520" w:type="dxa"/>
            <w:vAlign w:val="bottom"/>
          </w:tcPr>
          <w:p>
            <w:pPr>
              <w:ind w:left="20"/>
              <w:spacing w:after="0"/>
              <w:rPr>
                <w:sz w:val="20"/>
                <w:szCs w:val="20"/>
                <w:color w:val="auto"/>
              </w:rPr>
            </w:pPr>
            <w:r>
              <w:rPr>
                <w:rFonts w:ascii="Arial" w:cs="Arial" w:eastAsia="Arial" w:hAnsi="Arial"/>
                <w:sz w:val="14"/>
                <w:szCs w:val="14"/>
                <w:color w:val="auto"/>
              </w:rPr>
              <w:t>David DeNinno</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Borders>
              <w:right w:val="single" w:sz="8" w:color="EC252A"/>
            </w:tcBorders>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gridSpan w:val="2"/>
          </w:tcPr>
          <w:p>
            <w:pPr>
              <w:jc w:val="right"/>
              <w:ind w:right="253"/>
              <w:spacing w:after="0"/>
              <w:rPr>
                <w:sz w:val="20"/>
                <w:szCs w:val="20"/>
                <w:color w:val="auto"/>
              </w:rPr>
            </w:pPr>
            <w:r>
              <w:rPr>
                <w:rFonts w:ascii="Arial" w:cs="Arial" w:eastAsia="Arial" w:hAnsi="Arial"/>
                <w:sz w:val="14"/>
                <w:szCs w:val="14"/>
                <w:color w:val="auto"/>
              </w:rPr>
              <w:t>875</w:t>
            </w:r>
          </w:p>
        </w:tc>
        <w:tc>
          <w:tcPr>
            <w:tcW w:w="20" w:type="dxa"/>
            <w:vAlign w:val="bottom"/>
          </w:tcPr>
          <w:p>
            <w:pPr>
              <w:spacing w:after="0"/>
              <w:rPr>
                <w:sz w:val="21"/>
                <w:szCs w:val="21"/>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$87.03</w:t>
            </w:r>
          </w:p>
        </w:tc>
        <w:tc>
          <w:tcPr>
            <w:tcW w:w="840" w:type="dxa"/>
            <w:vAlign w:val="bottom"/>
            <w:tcBorders>
              <w:right w:val="single" w:sz="8" w:color="EC252A"/>
            </w:tcBorders>
          </w:tcPr>
          <w:p>
            <w:pPr>
              <w:jc w:val="center"/>
              <w:spacing w:after="0"/>
              <w:rPr>
                <w:sz w:val="20"/>
                <w:szCs w:val="20"/>
                <w:color w:val="auto"/>
              </w:rPr>
            </w:pPr>
            <w:r>
              <w:rPr>
                <w:rFonts w:ascii="Arial" w:cs="Arial" w:eastAsia="Arial" w:hAnsi="Arial"/>
                <w:sz w:val="14"/>
                <w:szCs w:val="14"/>
                <w:color w:val="auto"/>
              </w:rPr>
              <w:t>2/10/2025</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1,050(3)</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96,584</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33,700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3,099,895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2,100</w:t>
            </w:r>
          </w:p>
        </w:tc>
        <w:tc>
          <w:tcPr>
            <w:tcW w:w="20" w:type="dxa"/>
            <w:vAlign w:val="bottom"/>
          </w:tcPr>
          <w:p>
            <w:pPr>
              <w:spacing w:after="0"/>
              <w:rPr>
                <w:sz w:val="21"/>
                <w:szCs w:val="21"/>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$61.33</w:t>
            </w:r>
          </w:p>
        </w:tc>
        <w:tc>
          <w:tcPr>
            <w:tcW w:w="840" w:type="dxa"/>
            <w:vAlign w:val="bottom"/>
            <w:tcBorders>
              <w:right w:val="single" w:sz="8" w:color="EC252A"/>
            </w:tcBorders>
          </w:tcPr>
          <w:p>
            <w:pPr>
              <w:jc w:val="right"/>
              <w:ind w:right="49"/>
              <w:spacing w:after="0"/>
              <w:rPr>
                <w:sz w:val="20"/>
                <w:szCs w:val="20"/>
                <w:color w:val="auto"/>
              </w:rPr>
            </w:pPr>
            <w:r>
              <w:rPr>
                <w:rFonts w:ascii="Arial" w:cs="Arial" w:eastAsia="Arial" w:hAnsi="Arial"/>
                <w:sz w:val="14"/>
                <w:szCs w:val="14"/>
                <w:color w:val="auto"/>
              </w:rPr>
              <w:t>2/9/2026</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1,866(4)</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171,644</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2,625</w:t>
            </w:r>
          </w:p>
        </w:tc>
        <w:tc>
          <w:tcPr>
            <w:tcW w:w="20" w:type="dxa"/>
            <w:vAlign w:val="bottom"/>
          </w:tcPr>
          <w:p>
            <w:pPr>
              <w:spacing w:after="0"/>
              <w:rPr>
                <w:sz w:val="21"/>
                <w:szCs w:val="21"/>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$87.05</w:t>
            </w:r>
          </w:p>
        </w:tc>
        <w:tc>
          <w:tcPr>
            <w:tcW w:w="840" w:type="dxa"/>
            <w:vAlign w:val="bottom"/>
            <w:tcBorders>
              <w:right w:val="single" w:sz="8" w:color="EC252A"/>
            </w:tcBorders>
          </w:tcPr>
          <w:p>
            <w:pPr>
              <w:jc w:val="right"/>
              <w:ind w:right="49"/>
              <w:spacing w:after="0"/>
              <w:rPr>
                <w:sz w:val="20"/>
                <w:szCs w:val="20"/>
                <w:color w:val="auto"/>
              </w:rPr>
            </w:pPr>
            <w:r>
              <w:rPr>
                <w:rFonts w:ascii="Arial" w:cs="Arial" w:eastAsia="Arial" w:hAnsi="Arial"/>
                <w:sz w:val="14"/>
                <w:szCs w:val="14"/>
                <w:color w:val="auto"/>
              </w:rPr>
              <w:t>2/7/2027</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3,333(5)</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306,586</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3,150</w:t>
            </w:r>
          </w:p>
        </w:tc>
        <w:tc>
          <w:tcPr>
            <w:tcW w:w="20" w:type="dxa"/>
            <w:vAlign w:val="bottom"/>
          </w:tcPr>
          <w:p>
            <w:pPr>
              <w:spacing w:after="0"/>
              <w:rPr>
                <w:sz w:val="21"/>
                <w:szCs w:val="21"/>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4"/>
                <w:szCs w:val="14"/>
                <w:color w:val="auto"/>
              </w:rPr>
              <w:t>1,050</w:t>
            </w:r>
          </w:p>
        </w:tc>
        <w:tc>
          <w:tcPr>
            <w:tcW w:w="22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$71.79</w:t>
            </w:r>
          </w:p>
        </w:tc>
        <w:tc>
          <w:tcPr>
            <w:tcW w:w="840" w:type="dxa"/>
            <w:vAlign w:val="bottom"/>
            <w:tcBorders>
              <w:right w:val="single" w:sz="8" w:color="EC252A"/>
            </w:tcBorders>
          </w:tcPr>
          <w:p>
            <w:pPr>
              <w:jc w:val="right"/>
              <w:ind w:right="49"/>
              <w:spacing w:after="0"/>
              <w:rPr>
                <w:sz w:val="20"/>
                <w:szCs w:val="20"/>
                <w:color w:val="auto"/>
              </w:rPr>
            </w:pPr>
            <w:r>
              <w:rPr>
                <w:rFonts w:ascii="Arial" w:cs="Arial" w:eastAsia="Arial" w:hAnsi="Arial"/>
                <w:sz w:val="14"/>
                <w:szCs w:val="14"/>
                <w:color w:val="auto"/>
              </w:rPr>
              <w:t>2/6/2028</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3,472(7)</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319,372</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3,733</w:t>
            </w:r>
          </w:p>
        </w:tc>
        <w:tc>
          <w:tcPr>
            <w:tcW w:w="20" w:type="dxa"/>
            <w:vAlign w:val="bottom"/>
          </w:tcPr>
          <w:p>
            <w:pPr>
              <w:spacing w:after="0"/>
              <w:rPr>
                <w:sz w:val="21"/>
                <w:szCs w:val="21"/>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4"/>
                <w:szCs w:val="14"/>
                <w:color w:val="auto"/>
              </w:rPr>
              <w:t>1,867</w:t>
            </w:r>
          </w:p>
        </w:tc>
        <w:tc>
          <w:tcPr>
            <w:tcW w:w="22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$70.635</w:t>
            </w:r>
          </w:p>
        </w:tc>
        <w:tc>
          <w:tcPr>
            <w:tcW w:w="840" w:type="dxa"/>
            <w:vAlign w:val="bottom"/>
            <w:tcBorders>
              <w:right w:val="single" w:sz="8" w:color="EC252A"/>
            </w:tcBorders>
          </w:tcPr>
          <w:p>
            <w:pPr>
              <w:jc w:val="right"/>
              <w:ind w:right="49"/>
              <w:spacing w:after="0"/>
              <w:rPr>
                <w:sz w:val="20"/>
                <w:szCs w:val="20"/>
                <w:color w:val="auto"/>
              </w:rPr>
            </w:pPr>
            <w:r>
              <w:rPr>
                <w:rFonts w:ascii="Arial" w:cs="Arial" w:eastAsia="Arial" w:hAnsi="Arial"/>
                <w:sz w:val="14"/>
                <w:szCs w:val="14"/>
                <w:color w:val="auto"/>
              </w:rPr>
              <w:t>3/6/2029</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5,350(10)</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492,120</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1,736</w:t>
            </w:r>
          </w:p>
        </w:tc>
        <w:tc>
          <w:tcPr>
            <w:tcW w:w="20" w:type="dxa"/>
            <w:vAlign w:val="bottom"/>
          </w:tcPr>
          <w:p>
            <w:pPr>
              <w:spacing w:after="0"/>
              <w:rPr>
                <w:sz w:val="21"/>
                <w:szCs w:val="21"/>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4"/>
                <w:szCs w:val="14"/>
                <w:color w:val="auto"/>
              </w:rPr>
              <w:t>3,472</w:t>
            </w:r>
          </w:p>
        </w:tc>
        <w:tc>
          <w:tcPr>
            <w:tcW w:w="22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$78.33</w:t>
            </w:r>
          </w:p>
        </w:tc>
        <w:tc>
          <w:tcPr>
            <w:tcW w:w="840" w:type="dxa"/>
            <w:vAlign w:val="bottom"/>
            <w:tcBorders>
              <w:right w:val="single" w:sz="8" w:color="EC252A"/>
            </w:tcBorders>
          </w:tcPr>
          <w:p>
            <w:pPr>
              <w:jc w:val="right"/>
              <w:ind w:right="49"/>
              <w:spacing w:after="0"/>
              <w:rPr>
                <w:sz w:val="20"/>
                <w:szCs w:val="20"/>
                <w:color w:val="auto"/>
              </w:rPr>
            </w:pPr>
            <w:r>
              <w:rPr>
                <w:rFonts w:ascii="Arial" w:cs="Arial" w:eastAsia="Arial" w:hAnsi="Arial"/>
                <w:sz w:val="14"/>
                <w:szCs w:val="14"/>
                <w:color w:val="auto"/>
              </w:rPr>
              <w:t>2/7/2030</w:t>
            </w: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gridSpan w:val="2"/>
          </w:tcPr>
          <w:p>
            <w:pPr>
              <w:jc w:val="right"/>
              <w:ind w:right="233"/>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21"/>
                <w:szCs w:val="21"/>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4"/>
                <w:szCs w:val="14"/>
                <w:color w:val="auto"/>
              </w:rPr>
              <w:t>5,350</w:t>
            </w:r>
          </w:p>
        </w:tc>
        <w:tc>
          <w:tcPr>
            <w:tcW w:w="22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$81.21</w:t>
            </w:r>
          </w:p>
        </w:tc>
        <w:tc>
          <w:tcPr>
            <w:tcW w:w="840" w:type="dxa"/>
            <w:vAlign w:val="bottom"/>
            <w:tcBorders>
              <w:right w:val="single" w:sz="8" w:color="EC252A"/>
            </w:tcBorders>
          </w:tcPr>
          <w:p>
            <w:pPr>
              <w:jc w:val="right"/>
              <w:ind w:right="49"/>
              <w:spacing w:after="0"/>
              <w:rPr>
                <w:sz w:val="20"/>
                <w:szCs w:val="20"/>
                <w:color w:val="auto"/>
              </w:rPr>
            </w:pPr>
            <w:r>
              <w:rPr>
                <w:rFonts w:ascii="Arial" w:cs="Arial" w:eastAsia="Arial" w:hAnsi="Arial"/>
                <w:sz w:val="14"/>
                <w:szCs w:val="14"/>
                <w:color w:val="auto"/>
              </w:rPr>
              <w:t>2/11/2031</w:t>
            </w: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right w:val="single" w:sz="8" w:color="EC252A"/>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 w:type="dxa"/>
            <w:vAlign w:val="bottom"/>
            <w:shd w:val="clear" w:color="auto" w:fill="FCD3C3"/>
          </w:tcPr>
          <w:p>
            <w:pPr>
              <w:spacing w:after="0"/>
              <w:rPr>
                <w:sz w:val="19"/>
                <w:szCs w:val="19"/>
                <w:color w:val="auto"/>
              </w:rPr>
            </w:pPr>
          </w:p>
        </w:tc>
        <w:tc>
          <w:tcPr>
            <w:tcW w:w="1520" w:type="dxa"/>
            <w:vAlign w:val="bottom"/>
            <w:shd w:val="clear" w:color="auto" w:fill="FCD3C3"/>
          </w:tcPr>
          <w:p>
            <w:pPr>
              <w:ind w:left="20"/>
              <w:spacing w:after="0"/>
              <w:rPr>
                <w:sz w:val="20"/>
                <w:szCs w:val="20"/>
                <w:color w:val="auto"/>
              </w:rPr>
            </w:pPr>
            <w:r>
              <w:rPr>
                <w:rFonts w:ascii="Arial" w:cs="Arial" w:eastAsia="Arial" w:hAnsi="Arial"/>
                <w:sz w:val="14"/>
                <w:szCs w:val="14"/>
                <w:color w:val="auto"/>
              </w:rPr>
              <w:t>Eric Gebhardt</w:t>
            </w:r>
          </w:p>
        </w:tc>
        <w:tc>
          <w:tcPr>
            <w:tcW w:w="1120" w:type="dxa"/>
            <w:vAlign w:val="bottom"/>
            <w:gridSpan w:val="2"/>
            <w:shd w:val="clear" w:color="auto" w:fill="FCD3C3"/>
          </w:tcPr>
          <w:p>
            <w:pPr>
              <w:jc w:val="right"/>
              <w:ind w:right="233"/>
              <w:spacing w:after="0"/>
              <w:rPr>
                <w:sz w:val="20"/>
                <w:szCs w:val="20"/>
                <w:color w:val="auto"/>
              </w:rPr>
            </w:pPr>
            <w:r>
              <w:rPr>
                <w:rFonts w:ascii="Arial" w:cs="Arial" w:eastAsia="Arial" w:hAnsi="Arial"/>
                <w:sz w:val="14"/>
                <w:szCs w:val="14"/>
                <w:color w:val="auto"/>
              </w:rPr>
              <w:t>0</w:t>
            </w:r>
          </w:p>
        </w:tc>
        <w:tc>
          <w:tcPr>
            <w:tcW w:w="20" w:type="dxa"/>
            <w:vAlign w:val="bottom"/>
            <w:shd w:val="clear" w:color="auto" w:fill="FCD3C3"/>
          </w:tcPr>
          <w:p>
            <w:pPr>
              <w:spacing w:after="0"/>
              <w:rPr>
                <w:sz w:val="19"/>
                <w:szCs w:val="19"/>
                <w:color w:val="auto"/>
              </w:rPr>
            </w:pPr>
          </w:p>
        </w:tc>
        <w:tc>
          <w:tcPr>
            <w:tcW w:w="1200" w:type="dxa"/>
            <w:vAlign w:val="bottom"/>
            <w:gridSpan w:val="3"/>
            <w:shd w:val="clear" w:color="auto" w:fill="FCD3C3"/>
          </w:tcPr>
          <w:p>
            <w:pPr>
              <w:jc w:val="right"/>
              <w:ind w:right="213"/>
              <w:spacing w:after="0"/>
              <w:rPr>
                <w:sz w:val="20"/>
                <w:szCs w:val="20"/>
                <w:color w:val="auto"/>
              </w:rPr>
            </w:pPr>
            <w:r>
              <w:rPr>
                <w:rFonts w:ascii="Arial" w:cs="Arial" w:eastAsia="Arial" w:hAnsi="Arial"/>
                <w:sz w:val="14"/>
                <w:szCs w:val="14"/>
                <w:color w:val="auto"/>
              </w:rPr>
              <w:t>3,275</w:t>
            </w:r>
          </w:p>
        </w:tc>
        <w:tc>
          <w:tcPr>
            <w:tcW w:w="220" w:type="dxa"/>
            <w:vAlign w:val="bottom"/>
            <w:shd w:val="clear" w:color="auto" w:fill="FCD3C3"/>
          </w:tcPr>
          <w:p>
            <w:pPr>
              <w:spacing w:after="0"/>
              <w:rPr>
                <w:sz w:val="19"/>
                <w:szCs w:val="19"/>
                <w:color w:val="auto"/>
              </w:rPr>
            </w:pPr>
          </w:p>
        </w:tc>
        <w:tc>
          <w:tcPr>
            <w:tcW w:w="660" w:type="dxa"/>
            <w:vAlign w:val="bottom"/>
            <w:shd w:val="clear" w:color="auto" w:fill="FCD3C3"/>
          </w:tcPr>
          <w:p>
            <w:pPr>
              <w:ind w:left="40"/>
              <w:spacing w:after="0"/>
              <w:rPr>
                <w:sz w:val="20"/>
                <w:szCs w:val="20"/>
                <w:color w:val="auto"/>
              </w:rPr>
            </w:pPr>
            <w:r>
              <w:rPr>
                <w:rFonts w:ascii="Arial" w:cs="Arial" w:eastAsia="Arial" w:hAnsi="Arial"/>
                <w:sz w:val="14"/>
                <w:szCs w:val="14"/>
                <w:color w:val="auto"/>
              </w:rPr>
              <w:t>$81.21</w:t>
            </w:r>
          </w:p>
        </w:tc>
        <w:tc>
          <w:tcPr>
            <w:tcW w:w="840" w:type="dxa"/>
            <w:vAlign w:val="bottom"/>
            <w:tcBorders>
              <w:right w:val="single" w:sz="8" w:color="EC252A"/>
            </w:tcBorders>
            <w:shd w:val="clear" w:color="auto" w:fill="FCD3C3"/>
          </w:tcPr>
          <w:p>
            <w:pPr>
              <w:jc w:val="right"/>
              <w:ind w:right="49"/>
              <w:spacing w:after="0"/>
              <w:rPr>
                <w:sz w:val="20"/>
                <w:szCs w:val="20"/>
                <w:color w:val="auto"/>
              </w:rPr>
            </w:pPr>
            <w:r>
              <w:rPr>
                <w:rFonts w:ascii="Arial" w:cs="Arial" w:eastAsia="Arial" w:hAnsi="Arial"/>
                <w:sz w:val="14"/>
                <w:szCs w:val="14"/>
                <w:color w:val="auto"/>
              </w:rPr>
              <w:t>2/11/3031</w:t>
            </w:r>
          </w:p>
        </w:tc>
        <w:tc>
          <w:tcPr>
            <w:tcW w:w="88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3,275(10)</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FCD3C3"/>
          </w:tcPr>
          <w:p>
            <w:pPr>
              <w:jc w:val="right"/>
              <w:ind w:right="30"/>
              <w:spacing w:after="0"/>
              <w:rPr>
                <w:sz w:val="20"/>
                <w:szCs w:val="20"/>
                <w:color w:val="auto"/>
              </w:rPr>
            </w:pPr>
            <w:r>
              <w:rPr>
                <w:rFonts w:ascii="Arial" w:cs="Arial" w:eastAsia="Arial" w:hAnsi="Arial"/>
                <w:sz w:val="14"/>
                <w:szCs w:val="14"/>
                <w:color w:val="auto"/>
              </w:rPr>
              <w:t>301,251</w:t>
            </w:r>
          </w:p>
        </w:tc>
        <w:tc>
          <w:tcPr>
            <w:tcW w:w="940" w:type="dxa"/>
            <w:vAlign w:val="bottom"/>
            <w:shd w:val="clear" w:color="auto" w:fill="FCD3C3"/>
          </w:tcPr>
          <w:p>
            <w:pPr>
              <w:jc w:val="right"/>
              <w:ind w:right="151"/>
              <w:spacing w:after="0"/>
              <w:rPr>
                <w:sz w:val="20"/>
                <w:szCs w:val="20"/>
                <w:color w:val="auto"/>
              </w:rPr>
            </w:pPr>
            <w:r>
              <w:rPr>
                <w:rFonts w:ascii="Arial" w:cs="Arial" w:eastAsia="Arial" w:hAnsi="Arial"/>
                <w:sz w:val="14"/>
                <w:szCs w:val="14"/>
                <w:color w:val="auto"/>
              </w:rPr>
              <w:t>9,908</w:t>
            </w:r>
          </w:p>
        </w:tc>
        <w:tc>
          <w:tcPr>
            <w:tcW w:w="180" w:type="dxa"/>
            <w:vAlign w:val="bottom"/>
            <w:shd w:val="clear" w:color="auto" w:fill="FCD3C3"/>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FCD3C3"/>
          </w:tcPr>
          <w:p>
            <w:pPr>
              <w:jc w:val="right"/>
              <w:spacing w:after="0"/>
              <w:rPr>
                <w:sz w:val="20"/>
                <w:szCs w:val="20"/>
                <w:color w:val="auto"/>
              </w:rPr>
            </w:pPr>
            <w:r>
              <w:rPr>
                <w:rFonts w:ascii="Arial" w:cs="Arial" w:eastAsia="Arial" w:hAnsi="Arial"/>
                <w:sz w:val="14"/>
                <w:szCs w:val="14"/>
                <w:color w:val="auto"/>
              </w:rPr>
              <w:t>911,387</w:t>
            </w:r>
          </w:p>
        </w:tc>
        <w:tc>
          <w:tcPr>
            <w:tcW w:w="0" w:type="dxa"/>
            <w:vAlign w:val="bottom"/>
          </w:tcPr>
          <w:p>
            <w:pPr>
              <w:spacing w:after="0"/>
              <w:rPr>
                <w:sz w:val="1"/>
                <w:szCs w:val="1"/>
                <w:color w:val="auto"/>
              </w:rPr>
            </w:pPr>
          </w:p>
        </w:tc>
      </w:tr>
      <w:tr>
        <w:trPr>
          <w:trHeight w:val="245"/>
        </w:trPr>
        <w:tc>
          <w:tcPr>
            <w:tcW w:w="60" w:type="dxa"/>
            <w:vAlign w:val="bottom"/>
            <w:tcBorders>
              <w:bottom w:val="single" w:sz="8" w:color="FCD3C3"/>
            </w:tcBorders>
            <w:shd w:val="clear" w:color="auto" w:fill="FCD3C3"/>
          </w:tcPr>
          <w:p>
            <w:pPr>
              <w:spacing w:after="0"/>
              <w:rPr>
                <w:sz w:val="21"/>
                <w:szCs w:val="21"/>
                <w:color w:val="auto"/>
              </w:rPr>
            </w:pPr>
          </w:p>
        </w:tc>
        <w:tc>
          <w:tcPr>
            <w:tcW w:w="1520" w:type="dxa"/>
            <w:vAlign w:val="bottom"/>
            <w:tcBorders>
              <w:bottom w:val="single" w:sz="8" w:color="FCD3C3"/>
            </w:tcBorders>
            <w:shd w:val="clear" w:color="auto" w:fill="FCD3C3"/>
          </w:tcPr>
          <w:p>
            <w:pPr>
              <w:spacing w:after="0"/>
              <w:rPr>
                <w:sz w:val="21"/>
                <w:szCs w:val="21"/>
                <w:color w:val="auto"/>
              </w:rPr>
            </w:pPr>
          </w:p>
        </w:tc>
        <w:tc>
          <w:tcPr>
            <w:tcW w:w="160" w:type="dxa"/>
            <w:vAlign w:val="bottom"/>
            <w:tcBorders>
              <w:bottom w:val="single" w:sz="8" w:color="FCD3C3"/>
            </w:tcBorders>
            <w:shd w:val="clear" w:color="auto" w:fill="FCD3C3"/>
          </w:tcPr>
          <w:p>
            <w:pPr>
              <w:spacing w:after="0"/>
              <w:rPr>
                <w:sz w:val="21"/>
                <w:szCs w:val="21"/>
                <w:color w:val="auto"/>
              </w:rPr>
            </w:pPr>
          </w:p>
        </w:tc>
        <w:tc>
          <w:tcPr>
            <w:tcW w:w="960" w:type="dxa"/>
            <w:vAlign w:val="bottom"/>
            <w:tcBorders>
              <w:bottom w:val="single" w:sz="8" w:color="FCD3C3"/>
            </w:tcBorders>
            <w:shd w:val="clear" w:color="auto" w:fill="FCD3C3"/>
          </w:tcPr>
          <w:p>
            <w:pPr>
              <w:spacing w:after="0"/>
              <w:rPr>
                <w:sz w:val="21"/>
                <w:szCs w:val="21"/>
                <w:color w:val="auto"/>
              </w:rPr>
            </w:pPr>
          </w:p>
        </w:tc>
        <w:tc>
          <w:tcPr>
            <w:tcW w:w="20" w:type="dxa"/>
            <w:vAlign w:val="bottom"/>
            <w:tcBorders>
              <w:bottom w:val="single" w:sz="8" w:color="FCD3C3"/>
            </w:tcBorders>
            <w:shd w:val="clear" w:color="auto" w:fill="FCD3C3"/>
          </w:tcPr>
          <w:p>
            <w:pPr>
              <w:spacing w:after="0"/>
              <w:rPr>
                <w:sz w:val="21"/>
                <w:szCs w:val="21"/>
                <w:color w:val="auto"/>
              </w:rPr>
            </w:pPr>
          </w:p>
        </w:tc>
        <w:tc>
          <w:tcPr>
            <w:tcW w:w="160" w:type="dxa"/>
            <w:vAlign w:val="bottom"/>
            <w:tcBorders>
              <w:bottom w:val="single" w:sz="8" w:color="FCD3C3"/>
            </w:tcBorders>
            <w:shd w:val="clear" w:color="auto" w:fill="FCD3C3"/>
          </w:tcPr>
          <w:p>
            <w:pPr>
              <w:spacing w:after="0"/>
              <w:rPr>
                <w:sz w:val="21"/>
                <w:szCs w:val="21"/>
                <w:color w:val="auto"/>
              </w:rPr>
            </w:pPr>
          </w:p>
        </w:tc>
        <w:tc>
          <w:tcPr>
            <w:tcW w:w="80" w:type="dxa"/>
            <w:vAlign w:val="bottom"/>
            <w:tcBorders>
              <w:bottom w:val="single" w:sz="8" w:color="FCD3C3"/>
            </w:tcBorders>
            <w:shd w:val="clear" w:color="auto" w:fill="FCD3C3"/>
          </w:tcPr>
          <w:p>
            <w:pPr>
              <w:spacing w:after="0"/>
              <w:rPr>
                <w:sz w:val="21"/>
                <w:szCs w:val="21"/>
                <w:color w:val="auto"/>
              </w:rPr>
            </w:pPr>
          </w:p>
        </w:tc>
        <w:tc>
          <w:tcPr>
            <w:tcW w:w="960" w:type="dxa"/>
            <w:vAlign w:val="bottom"/>
            <w:tcBorders>
              <w:bottom w:val="single" w:sz="8" w:color="FCD3C3"/>
            </w:tcBorders>
            <w:shd w:val="clear" w:color="auto" w:fill="FCD3C3"/>
          </w:tcPr>
          <w:p>
            <w:pPr>
              <w:spacing w:after="0"/>
              <w:rPr>
                <w:sz w:val="21"/>
                <w:szCs w:val="21"/>
                <w:color w:val="auto"/>
              </w:rPr>
            </w:pPr>
          </w:p>
        </w:tc>
        <w:tc>
          <w:tcPr>
            <w:tcW w:w="220" w:type="dxa"/>
            <w:vAlign w:val="bottom"/>
            <w:tcBorders>
              <w:bottom w:val="single" w:sz="8" w:color="FCD3C3"/>
            </w:tcBorders>
            <w:shd w:val="clear" w:color="auto" w:fill="FCD3C3"/>
          </w:tcPr>
          <w:p>
            <w:pPr>
              <w:spacing w:after="0"/>
              <w:rPr>
                <w:sz w:val="21"/>
                <w:szCs w:val="21"/>
                <w:color w:val="auto"/>
              </w:rPr>
            </w:pPr>
          </w:p>
        </w:tc>
        <w:tc>
          <w:tcPr>
            <w:tcW w:w="660" w:type="dxa"/>
            <w:vAlign w:val="bottom"/>
            <w:tcBorders>
              <w:bottom w:val="single" w:sz="8" w:color="FCD3C3"/>
            </w:tcBorders>
            <w:shd w:val="clear" w:color="auto" w:fill="FCD3C3"/>
          </w:tcPr>
          <w:p>
            <w:pPr>
              <w:spacing w:after="0"/>
              <w:rPr>
                <w:sz w:val="21"/>
                <w:szCs w:val="21"/>
                <w:color w:val="auto"/>
              </w:rPr>
            </w:pPr>
          </w:p>
        </w:tc>
        <w:tc>
          <w:tcPr>
            <w:tcW w:w="840" w:type="dxa"/>
            <w:vAlign w:val="bottom"/>
            <w:tcBorders>
              <w:bottom w:val="single" w:sz="8" w:color="FCD3C3"/>
              <w:right w:val="single" w:sz="8" w:color="EC252A"/>
            </w:tcBorders>
            <w:shd w:val="clear" w:color="auto" w:fill="FCD3C3"/>
          </w:tcPr>
          <w:p>
            <w:pPr>
              <w:spacing w:after="0"/>
              <w:rPr>
                <w:sz w:val="21"/>
                <w:szCs w:val="21"/>
                <w:color w:val="auto"/>
              </w:rPr>
            </w:pPr>
          </w:p>
        </w:tc>
        <w:tc>
          <w:tcPr>
            <w:tcW w:w="880" w:type="dxa"/>
            <w:vAlign w:val="bottom"/>
            <w:tcBorders>
              <w:bottom w:val="single" w:sz="8" w:color="FCD3C3"/>
            </w:tcBorders>
            <w:shd w:val="clear" w:color="auto" w:fill="FCD3C3"/>
          </w:tcPr>
          <w:p>
            <w:pPr>
              <w:jc w:val="right"/>
              <w:ind w:right="29"/>
              <w:spacing w:after="0"/>
              <w:rPr>
                <w:sz w:val="20"/>
                <w:szCs w:val="20"/>
                <w:color w:val="auto"/>
              </w:rPr>
            </w:pPr>
            <w:r>
              <w:rPr>
                <w:rFonts w:ascii="Arial" w:cs="Arial" w:eastAsia="Arial" w:hAnsi="Arial"/>
                <w:sz w:val="14"/>
                <w:szCs w:val="14"/>
                <w:color w:val="auto"/>
              </w:rPr>
              <w:t>15,000(9)</w:t>
            </w:r>
          </w:p>
        </w:tc>
        <w:tc>
          <w:tcPr>
            <w:tcW w:w="880" w:type="dxa"/>
            <w:vAlign w:val="bottom"/>
            <w:tcBorders>
              <w:bottom w:val="single" w:sz="8" w:color="FCD3C3"/>
            </w:tcBorders>
            <w:gridSpan w:val="2"/>
            <w:shd w:val="clear" w:color="auto" w:fill="FCD3C3"/>
          </w:tcPr>
          <w:p>
            <w:pPr>
              <w:ind w:left="80"/>
              <w:spacing w:after="0"/>
              <w:rPr>
                <w:sz w:val="20"/>
                <w:szCs w:val="20"/>
                <w:color w:val="auto"/>
              </w:rPr>
            </w:pPr>
            <w:r>
              <w:rPr>
                <w:rFonts w:ascii="Arial" w:cs="Arial" w:eastAsia="Arial" w:hAnsi="Arial"/>
                <w:sz w:val="14"/>
                <w:szCs w:val="14"/>
                <w:color w:val="auto"/>
              </w:rPr>
              <w:t>$1,379,775</w:t>
            </w:r>
          </w:p>
        </w:tc>
        <w:tc>
          <w:tcPr>
            <w:tcW w:w="940" w:type="dxa"/>
            <w:vAlign w:val="bottom"/>
            <w:tcBorders>
              <w:bottom w:val="single" w:sz="8" w:color="FCD3C3"/>
            </w:tcBorders>
            <w:shd w:val="clear" w:color="auto" w:fill="FCD3C3"/>
          </w:tcPr>
          <w:p>
            <w:pPr>
              <w:spacing w:after="0"/>
              <w:rPr>
                <w:sz w:val="21"/>
                <w:szCs w:val="21"/>
                <w:color w:val="auto"/>
              </w:rPr>
            </w:pPr>
          </w:p>
        </w:tc>
        <w:tc>
          <w:tcPr>
            <w:tcW w:w="180" w:type="dxa"/>
            <w:vAlign w:val="bottom"/>
            <w:tcBorders>
              <w:bottom w:val="single" w:sz="8" w:color="FCD3C3"/>
            </w:tcBorders>
            <w:shd w:val="clear" w:color="auto" w:fill="FCD3C3"/>
          </w:tcPr>
          <w:p>
            <w:pPr>
              <w:spacing w:after="0"/>
              <w:rPr>
                <w:sz w:val="21"/>
                <w:szCs w:val="21"/>
                <w:color w:val="auto"/>
              </w:rPr>
            </w:pPr>
          </w:p>
        </w:tc>
        <w:tc>
          <w:tcPr>
            <w:tcW w:w="760" w:type="dxa"/>
            <w:vAlign w:val="bottom"/>
            <w:tcBorders>
              <w:bottom w:val="single" w:sz="8" w:color="FCD3C3"/>
            </w:tcBorders>
            <w:shd w:val="clear" w:color="auto" w:fill="FCD3C3"/>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520" w:type="dxa"/>
            <w:vAlign w:val="bottom"/>
          </w:tcPr>
          <w:p>
            <w:pPr>
              <w:ind w:left="20"/>
              <w:spacing w:after="0"/>
              <w:rPr>
                <w:sz w:val="20"/>
                <w:szCs w:val="20"/>
                <w:color w:val="auto"/>
              </w:rPr>
            </w:pPr>
            <w:r>
              <w:rPr>
                <w:rFonts w:ascii="Arial" w:cs="Arial" w:eastAsia="Arial" w:hAnsi="Arial"/>
                <w:sz w:val="14"/>
                <w:szCs w:val="14"/>
                <w:color w:val="auto"/>
              </w:rPr>
              <w:t>Pascal Schweitzer</w:t>
            </w: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1,189</w:t>
            </w:r>
          </w:p>
        </w:tc>
        <w:tc>
          <w:tcPr>
            <w:tcW w:w="20" w:type="dxa"/>
            <w:vAlign w:val="bottom"/>
          </w:tcPr>
          <w:p>
            <w:pPr>
              <w:spacing w:after="0"/>
              <w:rPr>
                <w:sz w:val="19"/>
                <w:szCs w:val="19"/>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4"/>
                <w:szCs w:val="14"/>
                <w:color w:val="auto"/>
              </w:rPr>
              <w:t>2,378</w:t>
            </w:r>
          </w:p>
        </w:tc>
        <w:tc>
          <w:tcPr>
            <w:tcW w:w="220" w:type="dxa"/>
            <w:vAlign w:val="bottom"/>
          </w:tcPr>
          <w:p>
            <w:pPr>
              <w:spacing w:after="0"/>
              <w:rPr>
                <w:sz w:val="19"/>
                <w:szCs w:val="19"/>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$78.33</w:t>
            </w:r>
          </w:p>
        </w:tc>
        <w:tc>
          <w:tcPr>
            <w:tcW w:w="840" w:type="dxa"/>
            <w:vAlign w:val="bottom"/>
            <w:tcBorders>
              <w:right w:val="single" w:sz="8" w:color="EC252A"/>
            </w:tcBorders>
          </w:tcPr>
          <w:p>
            <w:pPr>
              <w:jc w:val="right"/>
              <w:ind w:right="49"/>
              <w:spacing w:after="0"/>
              <w:rPr>
                <w:sz w:val="20"/>
                <w:szCs w:val="20"/>
                <w:color w:val="auto"/>
              </w:rPr>
            </w:pPr>
            <w:r>
              <w:rPr>
                <w:rFonts w:ascii="Arial" w:cs="Arial" w:eastAsia="Arial" w:hAnsi="Arial"/>
                <w:sz w:val="14"/>
                <w:szCs w:val="14"/>
                <w:color w:val="auto"/>
              </w:rPr>
              <w:t>2/7/2030</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1,000(4)</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91,985</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23,730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2,182,804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gridSpan w:val="2"/>
          </w:tcPr>
          <w:p>
            <w:pPr>
              <w:jc w:val="right"/>
              <w:ind w:right="233"/>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21"/>
                <w:szCs w:val="21"/>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4"/>
                <w:szCs w:val="14"/>
                <w:color w:val="auto"/>
              </w:rPr>
              <w:t>4,149</w:t>
            </w:r>
          </w:p>
        </w:tc>
        <w:tc>
          <w:tcPr>
            <w:tcW w:w="22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$81.21</w:t>
            </w:r>
          </w:p>
        </w:tc>
        <w:tc>
          <w:tcPr>
            <w:tcW w:w="840" w:type="dxa"/>
            <w:vAlign w:val="bottom"/>
            <w:tcBorders>
              <w:right w:val="single" w:sz="8" w:color="EC252A"/>
            </w:tcBorders>
          </w:tcPr>
          <w:p>
            <w:pPr>
              <w:jc w:val="right"/>
              <w:ind w:right="49"/>
              <w:spacing w:after="0"/>
              <w:rPr>
                <w:sz w:val="20"/>
                <w:szCs w:val="20"/>
                <w:color w:val="auto"/>
              </w:rPr>
            </w:pPr>
            <w:r>
              <w:rPr>
                <w:rFonts w:ascii="Arial" w:cs="Arial" w:eastAsia="Arial" w:hAnsi="Arial"/>
                <w:sz w:val="14"/>
                <w:szCs w:val="14"/>
                <w:color w:val="auto"/>
              </w:rPr>
              <w:t>2/11/2031</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1,666(8)</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153,247</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Borders>
              <w:right w:val="single" w:sz="8" w:color="EC252A"/>
            </w:tcBorders>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2,378(7)</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218,740</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Borders>
              <w:right w:val="single" w:sz="8" w:color="EC252A"/>
            </w:tcBorders>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4,149(10)</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381,646</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right w:val="single" w:sz="8" w:color="EC252A"/>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 w:type="dxa"/>
            <w:vAlign w:val="bottom"/>
            <w:shd w:val="clear" w:color="auto" w:fill="FCD3C3"/>
          </w:tcPr>
          <w:p>
            <w:pPr>
              <w:spacing w:after="0"/>
              <w:rPr>
                <w:sz w:val="19"/>
                <w:szCs w:val="19"/>
                <w:color w:val="auto"/>
              </w:rPr>
            </w:pPr>
          </w:p>
        </w:tc>
        <w:tc>
          <w:tcPr>
            <w:tcW w:w="1520" w:type="dxa"/>
            <w:vAlign w:val="bottom"/>
            <w:shd w:val="clear" w:color="auto" w:fill="FCD3C3"/>
          </w:tcPr>
          <w:p>
            <w:pPr>
              <w:ind w:left="20"/>
              <w:spacing w:after="0"/>
              <w:rPr>
                <w:sz w:val="20"/>
                <w:szCs w:val="20"/>
                <w:color w:val="auto"/>
              </w:rPr>
            </w:pPr>
            <w:r>
              <w:rPr>
                <w:rFonts w:ascii="Arial" w:cs="Arial" w:eastAsia="Arial" w:hAnsi="Arial"/>
                <w:sz w:val="14"/>
                <w:szCs w:val="14"/>
                <w:color w:val="auto"/>
              </w:rPr>
              <w:t>Patrick Dugan</w:t>
            </w:r>
          </w:p>
        </w:tc>
        <w:tc>
          <w:tcPr>
            <w:tcW w:w="160" w:type="dxa"/>
            <w:vAlign w:val="bottom"/>
            <w:shd w:val="clear" w:color="auto" w:fill="FCD3C3"/>
          </w:tcPr>
          <w:p>
            <w:pPr>
              <w:spacing w:after="0"/>
              <w:rPr>
                <w:sz w:val="19"/>
                <w:szCs w:val="19"/>
                <w:color w:val="auto"/>
              </w:rPr>
            </w:pPr>
          </w:p>
        </w:tc>
        <w:tc>
          <w:tcPr>
            <w:tcW w:w="960" w:type="dxa"/>
            <w:vAlign w:val="bottom"/>
            <w:shd w:val="clear" w:color="auto" w:fill="FCD3C3"/>
          </w:tcPr>
          <w:p>
            <w:pPr>
              <w:spacing w:after="0"/>
              <w:rPr>
                <w:sz w:val="19"/>
                <w:szCs w:val="19"/>
                <w:color w:val="auto"/>
              </w:rPr>
            </w:pPr>
          </w:p>
        </w:tc>
        <w:tc>
          <w:tcPr>
            <w:tcW w:w="20" w:type="dxa"/>
            <w:vAlign w:val="bottom"/>
            <w:shd w:val="clear" w:color="auto" w:fill="FCD3C3"/>
          </w:tcPr>
          <w:p>
            <w:pPr>
              <w:spacing w:after="0"/>
              <w:rPr>
                <w:sz w:val="19"/>
                <w:szCs w:val="19"/>
                <w:color w:val="auto"/>
              </w:rPr>
            </w:pPr>
          </w:p>
        </w:tc>
        <w:tc>
          <w:tcPr>
            <w:tcW w:w="160" w:type="dxa"/>
            <w:vAlign w:val="bottom"/>
            <w:shd w:val="clear" w:color="auto" w:fill="FCD3C3"/>
          </w:tcPr>
          <w:p>
            <w:pPr>
              <w:spacing w:after="0"/>
              <w:rPr>
                <w:sz w:val="19"/>
                <w:szCs w:val="19"/>
                <w:color w:val="auto"/>
              </w:rPr>
            </w:pPr>
          </w:p>
        </w:tc>
        <w:tc>
          <w:tcPr>
            <w:tcW w:w="80" w:type="dxa"/>
            <w:vAlign w:val="bottom"/>
            <w:shd w:val="clear" w:color="auto" w:fill="FCD3C3"/>
          </w:tcPr>
          <w:p>
            <w:pPr>
              <w:spacing w:after="0"/>
              <w:rPr>
                <w:sz w:val="19"/>
                <w:szCs w:val="19"/>
                <w:color w:val="auto"/>
              </w:rPr>
            </w:pPr>
          </w:p>
        </w:tc>
        <w:tc>
          <w:tcPr>
            <w:tcW w:w="960" w:type="dxa"/>
            <w:vAlign w:val="bottom"/>
            <w:shd w:val="clear" w:color="auto" w:fill="FCD3C3"/>
          </w:tcPr>
          <w:p>
            <w:pPr>
              <w:spacing w:after="0"/>
              <w:rPr>
                <w:sz w:val="19"/>
                <w:szCs w:val="19"/>
                <w:color w:val="auto"/>
              </w:rPr>
            </w:pPr>
          </w:p>
        </w:tc>
        <w:tc>
          <w:tcPr>
            <w:tcW w:w="220" w:type="dxa"/>
            <w:vAlign w:val="bottom"/>
            <w:shd w:val="clear" w:color="auto" w:fill="FCD3C3"/>
          </w:tcPr>
          <w:p>
            <w:pPr>
              <w:spacing w:after="0"/>
              <w:rPr>
                <w:sz w:val="19"/>
                <w:szCs w:val="19"/>
                <w:color w:val="auto"/>
              </w:rPr>
            </w:pPr>
          </w:p>
        </w:tc>
        <w:tc>
          <w:tcPr>
            <w:tcW w:w="660" w:type="dxa"/>
            <w:vAlign w:val="bottom"/>
            <w:shd w:val="clear" w:color="auto" w:fill="FCD3C3"/>
          </w:tcPr>
          <w:p>
            <w:pPr>
              <w:spacing w:after="0"/>
              <w:rPr>
                <w:sz w:val="19"/>
                <w:szCs w:val="19"/>
                <w:color w:val="auto"/>
              </w:rPr>
            </w:pPr>
          </w:p>
        </w:tc>
        <w:tc>
          <w:tcPr>
            <w:tcW w:w="840" w:type="dxa"/>
            <w:vAlign w:val="bottom"/>
            <w:tcBorders>
              <w:right w:val="single" w:sz="8" w:color="EC252A"/>
            </w:tcBorders>
            <w:shd w:val="clear" w:color="auto" w:fill="FCD3C3"/>
          </w:tcPr>
          <w:p>
            <w:pPr>
              <w:spacing w:after="0"/>
              <w:rPr>
                <w:sz w:val="19"/>
                <w:szCs w:val="19"/>
                <w:color w:val="auto"/>
              </w:rPr>
            </w:pPr>
          </w:p>
        </w:tc>
        <w:tc>
          <w:tcPr>
            <w:tcW w:w="880" w:type="dxa"/>
            <w:vAlign w:val="bottom"/>
            <w:shd w:val="clear" w:color="auto" w:fill="FCD3C3"/>
          </w:tcPr>
          <w:p>
            <w:pPr>
              <w:spacing w:after="0"/>
              <w:rPr>
                <w:sz w:val="19"/>
                <w:szCs w:val="19"/>
                <w:color w:val="auto"/>
              </w:rPr>
            </w:pPr>
          </w:p>
        </w:tc>
        <w:tc>
          <w:tcPr>
            <w:tcW w:w="160" w:type="dxa"/>
            <w:vAlign w:val="bottom"/>
            <w:shd w:val="clear" w:color="auto" w:fill="FCD3C3"/>
          </w:tcPr>
          <w:p>
            <w:pPr>
              <w:spacing w:after="0"/>
              <w:rPr>
                <w:sz w:val="19"/>
                <w:szCs w:val="19"/>
                <w:color w:val="auto"/>
              </w:rPr>
            </w:pPr>
          </w:p>
        </w:tc>
        <w:tc>
          <w:tcPr>
            <w:tcW w:w="720" w:type="dxa"/>
            <w:vAlign w:val="bottom"/>
            <w:shd w:val="clear" w:color="auto" w:fill="FCD3C3"/>
          </w:tcPr>
          <w:p>
            <w:pPr>
              <w:spacing w:after="0"/>
              <w:rPr>
                <w:sz w:val="19"/>
                <w:szCs w:val="19"/>
                <w:color w:val="auto"/>
              </w:rPr>
            </w:pPr>
          </w:p>
        </w:tc>
        <w:tc>
          <w:tcPr>
            <w:tcW w:w="940" w:type="dxa"/>
            <w:vAlign w:val="bottom"/>
            <w:shd w:val="clear" w:color="auto" w:fill="FCD3C3"/>
          </w:tcPr>
          <w:p>
            <w:pPr>
              <w:jc w:val="right"/>
              <w:ind w:right="151"/>
              <w:spacing w:after="0"/>
              <w:rPr>
                <w:sz w:val="20"/>
                <w:szCs w:val="20"/>
                <w:color w:val="auto"/>
              </w:rPr>
            </w:pPr>
            <w:r>
              <w:rPr>
                <w:rFonts w:ascii="Arial" w:cs="Arial" w:eastAsia="Arial" w:hAnsi="Arial"/>
                <w:sz w:val="14"/>
                <w:szCs w:val="14"/>
                <w:color w:val="auto"/>
              </w:rPr>
              <w:t>25,164</w:t>
            </w:r>
          </w:p>
        </w:tc>
        <w:tc>
          <w:tcPr>
            <w:tcW w:w="180" w:type="dxa"/>
            <w:vAlign w:val="bottom"/>
            <w:shd w:val="clear" w:color="auto" w:fill="FCD3C3"/>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FCD3C3"/>
          </w:tcPr>
          <w:p>
            <w:pPr>
              <w:jc w:val="right"/>
              <w:spacing w:after="0"/>
              <w:rPr>
                <w:sz w:val="20"/>
                <w:szCs w:val="20"/>
                <w:color w:val="auto"/>
              </w:rPr>
            </w:pPr>
            <w:r>
              <w:rPr>
                <w:rFonts w:ascii="Arial" w:cs="Arial" w:eastAsia="Arial" w:hAnsi="Arial"/>
                <w:sz w:val="14"/>
                <w:szCs w:val="14"/>
                <w:color w:val="auto"/>
              </w:rPr>
              <w:t>2,314,711</w:t>
            </w:r>
          </w:p>
        </w:tc>
        <w:tc>
          <w:tcPr>
            <w:tcW w:w="0" w:type="dxa"/>
            <w:vAlign w:val="bottom"/>
          </w:tcPr>
          <w:p>
            <w:pPr>
              <w:spacing w:after="0"/>
              <w:rPr>
                <w:sz w:val="1"/>
                <w:szCs w:val="1"/>
                <w:color w:val="auto"/>
              </w:rPr>
            </w:pPr>
          </w:p>
        </w:tc>
      </w:tr>
      <w:tr>
        <w:trPr>
          <w:trHeight w:val="365"/>
        </w:trPr>
        <w:tc>
          <w:tcPr>
            <w:tcW w:w="60" w:type="dxa"/>
            <w:vAlign w:val="bottom"/>
            <w:shd w:val="clear" w:color="auto" w:fill="FCD3C3"/>
          </w:tcPr>
          <w:p>
            <w:pPr>
              <w:spacing w:after="0"/>
              <w:rPr>
                <w:sz w:val="24"/>
                <w:szCs w:val="24"/>
                <w:color w:val="auto"/>
              </w:rPr>
            </w:pPr>
          </w:p>
        </w:tc>
        <w:tc>
          <w:tcPr>
            <w:tcW w:w="1520" w:type="dxa"/>
            <w:vAlign w:val="bottom"/>
            <w:shd w:val="clear" w:color="auto" w:fill="FCD3C3"/>
          </w:tcPr>
          <w:p>
            <w:pPr>
              <w:spacing w:after="0"/>
              <w:rPr>
                <w:sz w:val="24"/>
                <w:szCs w:val="24"/>
                <w:color w:val="auto"/>
              </w:rPr>
            </w:pPr>
          </w:p>
        </w:tc>
        <w:tc>
          <w:tcPr>
            <w:tcW w:w="1120" w:type="dxa"/>
            <w:vAlign w:val="bottom"/>
            <w:gridSpan w:val="2"/>
            <w:shd w:val="clear" w:color="auto" w:fill="FCD3C3"/>
          </w:tcPr>
          <w:p>
            <w:pPr>
              <w:jc w:val="right"/>
              <w:ind w:right="253"/>
              <w:spacing w:after="0"/>
              <w:rPr>
                <w:sz w:val="20"/>
                <w:szCs w:val="20"/>
                <w:color w:val="auto"/>
              </w:rPr>
            </w:pPr>
            <w:r>
              <w:rPr>
                <w:rFonts w:ascii="Arial" w:cs="Arial" w:eastAsia="Arial" w:hAnsi="Arial"/>
                <w:sz w:val="14"/>
                <w:szCs w:val="14"/>
                <w:color w:val="auto"/>
              </w:rPr>
              <w:t>875</w:t>
            </w:r>
          </w:p>
        </w:tc>
        <w:tc>
          <w:tcPr>
            <w:tcW w:w="20" w:type="dxa"/>
            <w:vAlign w:val="bottom"/>
            <w:shd w:val="clear" w:color="auto" w:fill="FCD3C3"/>
          </w:tcPr>
          <w:p>
            <w:pPr>
              <w:spacing w:after="0"/>
              <w:rPr>
                <w:sz w:val="24"/>
                <w:szCs w:val="24"/>
                <w:color w:val="auto"/>
              </w:rPr>
            </w:pPr>
          </w:p>
        </w:tc>
        <w:tc>
          <w:tcPr>
            <w:tcW w:w="1200" w:type="dxa"/>
            <w:vAlign w:val="bottom"/>
            <w:gridSpan w:val="3"/>
            <w:shd w:val="clear" w:color="auto" w:fill="FCD3C3"/>
          </w:tcPr>
          <w:p>
            <w:pPr>
              <w:jc w:val="right"/>
              <w:ind w:right="213"/>
              <w:spacing w:after="0"/>
              <w:rPr>
                <w:sz w:val="20"/>
                <w:szCs w:val="20"/>
                <w:color w:val="auto"/>
              </w:rPr>
            </w:pPr>
            <w:r>
              <w:rPr>
                <w:rFonts w:ascii="Arial" w:cs="Arial" w:eastAsia="Arial" w:hAnsi="Arial"/>
                <w:sz w:val="14"/>
                <w:szCs w:val="14"/>
                <w:color w:val="auto"/>
              </w:rPr>
              <w:t>0</w:t>
            </w:r>
          </w:p>
        </w:tc>
        <w:tc>
          <w:tcPr>
            <w:tcW w:w="220" w:type="dxa"/>
            <w:vAlign w:val="bottom"/>
            <w:shd w:val="clear" w:color="auto" w:fill="FCD3C3"/>
          </w:tcPr>
          <w:p>
            <w:pPr>
              <w:spacing w:after="0"/>
              <w:rPr>
                <w:sz w:val="24"/>
                <w:szCs w:val="24"/>
                <w:color w:val="auto"/>
              </w:rPr>
            </w:pPr>
          </w:p>
        </w:tc>
        <w:tc>
          <w:tcPr>
            <w:tcW w:w="660" w:type="dxa"/>
            <w:vAlign w:val="bottom"/>
            <w:shd w:val="clear" w:color="auto" w:fill="FCD3C3"/>
          </w:tcPr>
          <w:p>
            <w:pPr>
              <w:ind w:left="40"/>
              <w:spacing w:after="0"/>
              <w:rPr>
                <w:sz w:val="20"/>
                <w:szCs w:val="20"/>
                <w:color w:val="auto"/>
              </w:rPr>
            </w:pPr>
            <w:r>
              <w:rPr>
                <w:rFonts w:ascii="Arial" w:cs="Arial" w:eastAsia="Arial" w:hAnsi="Arial"/>
                <w:sz w:val="14"/>
                <w:szCs w:val="14"/>
                <w:color w:val="auto"/>
              </w:rPr>
              <w:t>$87.03</w:t>
            </w:r>
          </w:p>
        </w:tc>
        <w:tc>
          <w:tcPr>
            <w:tcW w:w="840" w:type="dxa"/>
            <w:vAlign w:val="bottom"/>
            <w:tcBorders>
              <w:right w:val="single" w:sz="8" w:color="EC252A"/>
            </w:tcBorders>
            <w:shd w:val="clear" w:color="auto" w:fill="FCD3C3"/>
          </w:tcPr>
          <w:p>
            <w:pPr>
              <w:jc w:val="center"/>
              <w:spacing w:after="0"/>
              <w:rPr>
                <w:sz w:val="20"/>
                <w:szCs w:val="20"/>
                <w:color w:val="auto"/>
              </w:rPr>
            </w:pPr>
            <w:r>
              <w:rPr>
                <w:rFonts w:ascii="Arial" w:cs="Arial" w:eastAsia="Arial" w:hAnsi="Arial"/>
                <w:sz w:val="14"/>
                <w:szCs w:val="14"/>
                <w:color w:val="auto"/>
              </w:rPr>
              <w:t>2/10/2025</w:t>
            </w:r>
          </w:p>
        </w:tc>
        <w:tc>
          <w:tcPr>
            <w:tcW w:w="880" w:type="dxa"/>
            <w:vAlign w:val="bottom"/>
            <w:shd w:val="clear" w:color="auto" w:fill="FCD3C3"/>
          </w:tcPr>
          <w:p>
            <w:pPr>
              <w:spacing w:after="0"/>
              <w:rPr>
                <w:sz w:val="24"/>
                <w:szCs w:val="24"/>
                <w:color w:val="auto"/>
              </w:rPr>
            </w:pPr>
          </w:p>
        </w:tc>
        <w:tc>
          <w:tcPr>
            <w:tcW w:w="160" w:type="dxa"/>
            <w:vAlign w:val="bottom"/>
            <w:shd w:val="clear" w:color="auto" w:fill="FCD3C3"/>
          </w:tcPr>
          <w:p>
            <w:pPr>
              <w:spacing w:after="0"/>
              <w:rPr>
                <w:sz w:val="24"/>
                <w:szCs w:val="24"/>
                <w:color w:val="auto"/>
              </w:rPr>
            </w:pPr>
          </w:p>
        </w:tc>
        <w:tc>
          <w:tcPr>
            <w:tcW w:w="720" w:type="dxa"/>
            <w:vAlign w:val="bottom"/>
            <w:shd w:val="clear" w:color="auto" w:fill="FCD3C3"/>
          </w:tcPr>
          <w:p>
            <w:pPr>
              <w:spacing w:after="0"/>
              <w:rPr>
                <w:sz w:val="24"/>
                <w:szCs w:val="24"/>
                <w:color w:val="auto"/>
              </w:rPr>
            </w:pPr>
          </w:p>
        </w:tc>
        <w:tc>
          <w:tcPr>
            <w:tcW w:w="940" w:type="dxa"/>
            <w:vAlign w:val="bottom"/>
            <w:shd w:val="clear" w:color="auto" w:fill="FCD3C3"/>
          </w:tcPr>
          <w:p>
            <w:pPr>
              <w:spacing w:after="0"/>
              <w:rPr>
                <w:sz w:val="24"/>
                <w:szCs w:val="24"/>
                <w:color w:val="auto"/>
              </w:rPr>
            </w:pPr>
          </w:p>
        </w:tc>
        <w:tc>
          <w:tcPr>
            <w:tcW w:w="180" w:type="dxa"/>
            <w:vAlign w:val="bottom"/>
            <w:shd w:val="clear" w:color="auto" w:fill="FCD3C3"/>
          </w:tcPr>
          <w:p>
            <w:pPr>
              <w:spacing w:after="0"/>
              <w:rPr>
                <w:sz w:val="24"/>
                <w:szCs w:val="24"/>
                <w:color w:val="auto"/>
              </w:rPr>
            </w:pPr>
          </w:p>
        </w:tc>
        <w:tc>
          <w:tcPr>
            <w:tcW w:w="760" w:type="dxa"/>
            <w:vAlign w:val="bottom"/>
            <w:shd w:val="clear" w:color="auto" w:fill="FCD3C3"/>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20" w:type="dxa"/>
            <w:vAlign w:val="bottom"/>
            <w:gridSpan w:val="2"/>
            <w:shd w:val="clear" w:color="auto" w:fill="FCD3C3"/>
          </w:tcPr>
          <w:p>
            <w:pPr>
              <w:jc w:val="center"/>
              <w:ind w:left="88"/>
              <w:spacing w:after="0"/>
              <w:rPr>
                <w:sz w:val="20"/>
                <w:szCs w:val="20"/>
                <w:color w:val="auto"/>
              </w:rPr>
            </w:pPr>
            <w:r>
              <w:rPr>
                <w:rFonts w:ascii="Arial" w:cs="Arial" w:eastAsia="Arial" w:hAnsi="Arial"/>
                <w:sz w:val="14"/>
                <w:szCs w:val="14"/>
                <w:color w:val="auto"/>
              </w:rPr>
              <w:t>2,100</w:t>
            </w:r>
          </w:p>
        </w:tc>
        <w:tc>
          <w:tcPr>
            <w:tcW w:w="20" w:type="dxa"/>
            <w:vAlign w:val="bottom"/>
            <w:shd w:val="clear" w:color="auto" w:fill="FCD3C3"/>
          </w:tcPr>
          <w:p>
            <w:pPr>
              <w:spacing w:after="0"/>
              <w:rPr>
                <w:sz w:val="21"/>
                <w:szCs w:val="21"/>
                <w:color w:val="auto"/>
              </w:rPr>
            </w:pPr>
          </w:p>
        </w:tc>
        <w:tc>
          <w:tcPr>
            <w:tcW w:w="1200" w:type="dxa"/>
            <w:vAlign w:val="bottom"/>
            <w:gridSpan w:val="3"/>
            <w:shd w:val="clear" w:color="auto" w:fill="FCD3C3"/>
          </w:tcPr>
          <w:p>
            <w:pPr>
              <w:jc w:val="right"/>
              <w:ind w:right="213"/>
              <w:spacing w:after="0"/>
              <w:rPr>
                <w:sz w:val="20"/>
                <w:szCs w:val="20"/>
                <w:color w:val="auto"/>
              </w:rPr>
            </w:pPr>
            <w:r>
              <w:rPr>
                <w:rFonts w:ascii="Arial" w:cs="Arial" w:eastAsia="Arial" w:hAnsi="Arial"/>
                <w:sz w:val="14"/>
                <w:szCs w:val="14"/>
                <w:color w:val="auto"/>
              </w:rPr>
              <w:t>0</w:t>
            </w:r>
          </w:p>
        </w:tc>
        <w:tc>
          <w:tcPr>
            <w:tcW w:w="220" w:type="dxa"/>
            <w:vAlign w:val="bottom"/>
            <w:shd w:val="clear" w:color="auto" w:fill="FCD3C3"/>
          </w:tcPr>
          <w:p>
            <w:pPr>
              <w:spacing w:after="0"/>
              <w:rPr>
                <w:sz w:val="21"/>
                <w:szCs w:val="21"/>
                <w:color w:val="auto"/>
              </w:rPr>
            </w:pPr>
          </w:p>
        </w:tc>
        <w:tc>
          <w:tcPr>
            <w:tcW w:w="660" w:type="dxa"/>
            <w:vAlign w:val="bottom"/>
            <w:shd w:val="clear" w:color="auto" w:fill="FCD3C3"/>
          </w:tcPr>
          <w:p>
            <w:pPr>
              <w:ind w:left="40"/>
              <w:spacing w:after="0"/>
              <w:rPr>
                <w:sz w:val="20"/>
                <w:szCs w:val="20"/>
                <w:color w:val="auto"/>
              </w:rPr>
            </w:pPr>
            <w:r>
              <w:rPr>
                <w:rFonts w:ascii="Arial" w:cs="Arial" w:eastAsia="Arial" w:hAnsi="Arial"/>
                <w:sz w:val="14"/>
                <w:szCs w:val="14"/>
                <w:color w:val="auto"/>
              </w:rPr>
              <w:t>$61.33</w:t>
            </w:r>
          </w:p>
        </w:tc>
        <w:tc>
          <w:tcPr>
            <w:tcW w:w="840" w:type="dxa"/>
            <w:vAlign w:val="bottom"/>
            <w:tcBorders>
              <w:right w:val="single" w:sz="8" w:color="EC252A"/>
            </w:tcBorders>
            <w:shd w:val="clear" w:color="auto" w:fill="FCD3C3"/>
          </w:tcPr>
          <w:p>
            <w:pPr>
              <w:jc w:val="right"/>
              <w:ind w:right="49"/>
              <w:spacing w:after="0"/>
              <w:rPr>
                <w:sz w:val="20"/>
                <w:szCs w:val="20"/>
                <w:color w:val="auto"/>
              </w:rPr>
            </w:pPr>
            <w:r>
              <w:rPr>
                <w:rFonts w:ascii="Arial" w:cs="Arial" w:eastAsia="Arial" w:hAnsi="Arial"/>
                <w:sz w:val="14"/>
                <w:szCs w:val="14"/>
                <w:color w:val="auto"/>
              </w:rPr>
              <w:t>2/9/2026</w:t>
            </w:r>
          </w:p>
        </w:tc>
        <w:tc>
          <w:tcPr>
            <w:tcW w:w="880" w:type="dxa"/>
            <w:vAlign w:val="bottom"/>
            <w:shd w:val="clear" w:color="auto" w:fill="FCD3C3"/>
          </w:tcPr>
          <w:p>
            <w:pPr>
              <w:spacing w:after="0"/>
              <w:rPr>
                <w:sz w:val="21"/>
                <w:szCs w:val="21"/>
                <w:color w:val="auto"/>
              </w:rPr>
            </w:pPr>
          </w:p>
        </w:tc>
        <w:tc>
          <w:tcPr>
            <w:tcW w:w="160" w:type="dxa"/>
            <w:vAlign w:val="bottom"/>
            <w:shd w:val="clear" w:color="auto" w:fill="FCD3C3"/>
          </w:tcPr>
          <w:p>
            <w:pPr>
              <w:spacing w:after="0"/>
              <w:rPr>
                <w:sz w:val="21"/>
                <w:szCs w:val="21"/>
                <w:color w:val="auto"/>
              </w:rPr>
            </w:pPr>
          </w:p>
        </w:tc>
        <w:tc>
          <w:tcPr>
            <w:tcW w:w="720" w:type="dxa"/>
            <w:vAlign w:val="bottom"/>
            <w:shd w:val="clear" w:color="auto" w:fill="FCD3C3"/>
          </w:tcPr>
          <w:p>
            <w:pPr>
              <w:spacing w:after="0"/>
              <w:rPr>
                <w:sz w:val="21"/>
                <w:szCs w:val="21"/>
                <w:color w:val="auto"/>
              </w:rPr>
            </w:pPr>
          </w:p>
        </w:tc>
        <w:tc>
          <w:tcPr>
            <w:tcW w:w="940" w:type="dxa"/>
            <w:vAlign w:val="bottom"/>
            <w:shd w:val="clear" w:color="auto" w:fill="FCD3C3"/>
          </w:tcPr>
          <w:p>
            <w:pPr>
              <w:spacing w:after="0"/>
              <w:rPr>
                <w:sz w:val="21"/>
                <w:szCs w:val="21"/>
                <w:color w:val="auto"/>
              </w:rPr>
            </w:pPr>
          </w:p>
        </w:tc>
        <w:tc>
          <w:tcPr>
            <w:tcW w:w="180" w:type="dxa"/>
            <w:vAlign w:val="bottom"/>
            <w:shd w:val="clear" w:color="auto" w:fill="FCD3C3"/>
          </w:tcPr>
          <w:p>
            <w:pPr>
              <w:spacing w:after="0"/>
              <w:rPr>
                <w:sz w:val="21"/>
                <w:szCs w:val="21"/>
                <w:color w:val="auto"/>
              </w:rPr>
            </w:pPr>
          </w:p>
        </w:tc>
        <w:tc>
          <w:tcPr>
            <w:tcW w:w="760" w:type="dxa"/>
            <w:vAlign w:val="bottom"/>
            <w:shd w:val="clear" w:color="auto" w:fill="FCD3C3"/>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20" w:type="dxa"/>
            <w:vAlign w:val="bottom"/>
            <w:gridSpan w:val="2"/>
            <w:shd w:val="clear" w:color="auto" w:fill="FCD3C3"/>
          </w:tcPr>
          <w:p>
            <w:pPr>
              <w:jc w:val="center"/>
              <w:ind w:left="88"/>
              <w:spacing w:after="0"/>
              <w:rPr>
                <w:sz w:val="20"/>
                <w:szCs w:val="20"/>
                <w:color w:val="auto"/>
              </w:rPr>
            </w:pPr>
            <w:r>
              <w:rPr>
                <w:rFonts w:ascii="Arial" w:cs="Arial" w:eastAsia="Arial" w:hAnsi="Arial"/>
                <w:sz w:val="14"/>
                <w:szCs w:val="14"/>
                <w:color w:val="auto"/>
              </w:rPr>
              <w:t>3,675</w:t>
            </w:r>
          </w:p>
        </w:tc>
        <w:tc>
          <w:tcPr>
            <w:tcW w:w="20" w:type="dxa"/>
            <w:vAlign w:val="bottom"/>
            <w:shd w:val="clear" w:color="auto" w:fill="FCD3C3"/>
          </w:tcPr>
          <w:p>
            <w:pPr>
              <w:spacing w:after="0"/>
              <w:rPr>
                <w:sz w:val="21"/>
                <w:szCs w:val="21"/>
                <w:color w:val="auto"/>
              </w:rPr>
            </w:pPr>
          </w:p>
        </w:tc>
        <w:tc>
          <w:tcPr>
            <w:tcW w:w="1200" w:type="dxa"/>
            <w:vAlign w:val="bottom"/>
            <w:gridSpan w:val="3"/>
            <w:shd w:val="clear" w:color="auto" w:fill="FCD3C3"/>
          </w:tcPr>
          <w:p>
            <w:pPr>
              <w:jc w:val="right"/>
              <w:ind w:right="213"/>
              <w:spacing w:after="0"/>
              <w:rPr>
                <w:sz w:val="20"/>
                <w:szCs w:val="20"/>
                <w:color w:val="auto"/>
              </w:rPr>
            </w:pPr>
            <w:r>
              <w:rPr>
                <w:rFonts w:ascii="Arial" w:cs="Arial" w:eastAsia="Arial" w:hAnsi="Arial"/>
                <w:sz w:val="14"/>
                <w:szCs w:val="14"/>
                <w:color w:val="auto"/>
              </w:rPr>
              <w:t>0</w:t>
            </w:r>
          </w:p>
        </w:tc>
        <w:tc>
          <w:tcPr>
            <w:tcW w:w="220" w:type="dxa"/>
            <w:vAlign w:val="bottom"/>
            <w:shd w:val="clear" w:color="auto" w:fill="FCD3C3"/>
          </w:tcPr>
          <w:p>
            <w:pPr>
              <w:spacing w:after="0"/>
              <w:rPr>
                <w:sz w:val="21"/>
                <w:szCs w:val="21"/>
                <w:color w:val="auto"/>
              </w:rPr>
            </w:pPr>
          </w:p>
        </w:tc>
        <w:tc>
          <w:tcPr>
            <w:tcW w:w="660" w:type="dxa"/>
            <w:vAlign w:val="bottom"/>
            <w:shd w:val="clear" w:color="auto" w:fill="FCD3C3"/>
          </w:tcPr>
          <w:p>
            <w:pPr>
              <w:ind w:left="40"/>
              <w:spacing w:after="0"/>
              <w:rPr>
                <w:sz w:val="20"/>
                <w:szCs w:val="20"/>
                <w:color w:val="auto"/>
              </w:rPr>
            </w:pPr>
            <w:r>
              <w:rPr>
                <w:rFonts w:ascii="Arial" w:cs="Arial" w:eastAsia="Arial" w:hAnsi="Arial"/>
                <w:sz w:val="14"/>
                <w:szCs w:val="14"/>
                <w:color w:val="auto"/>
              </w:rPr>
              <w:t>$87.05</w:t>
            </w:r>
          </w:p>
        </w:tc>
        <w:tc>
          <w:tcPr>
            <w:tcW w:w="840" w:type="dxa"/>
            <w:vAlign w:val="bottom"/>
            <w:tcBorders>
              <w:right w:val="single" w:sz="8" w:color="EC252A"/>
            </w:tcBorders>
            <w:shd w:val="clear" w:color="auto" w:fill="FCD3C3"/>
          </w:tcPr>
          <w:p>
            <w:pPr>
              <w:jc w:val="right"/>
              <w:ind w:right="49"/>
              <w:spacing w:after="0"/>
              <w:rPr>
                <w:sz w:val="20"/>
                <w:szCs w:val="20"/>
                <w:color w:val="auto"/>
              </w:rPr>
            </w:pPr>
            <w:r>
              <w:rPr>
                <w:rFonts w:ascii="Arial" w:cs="Arial" w:eastAsia="Arial" w:hAnsi="Arial"/>
                <w:sz w:val="14"/>
                <w:szCs w:val="14"/>
                <w:color w:val="auto"/>
              </w:rPr>
              <w:t>2/7/2027</w:t>
            </w:r>
          </w:p>
        </w:tc>
        <w:tc>
          <w:tcPr>
            <w:tcW w:w="880" w:type="dxa"/>
            <w:vAlign w:val="bottom"/>
            <w:shd w:val="clear" w:color="auto" w:fill="FCD3C3"/>
          </w:tcPr>
          <w:p>
            <w:pPr>
              <w:spacing w:after="0"/>
              <w:rPr>
                <w:sz w:val="21"/>
                <w:szCs w:val="21"/>
                <w:color w:val="auto"/>
              </w:rPr>
            </w:pPr>
          </w:p>
        </w:tc>
        <w:tc>
          <w:tcPr>
            <w:tcW w:w="160" w:type="dxa"/>
            <w:vAlign w:val="bottom"/>
            <w:shd w:val="clear" w:color="auto" w:fill="FCD3C3"/>
          </w:tcPr>
          <w:p>
            <w:pPr>
              <w:spacing w:after="0"/>
              <w:rPr>
                <w:sz w:val="21"/>
                <w:szCs w:val="21"/>
                <w:color w:val="auto"/>
              </w:rPr>
            </w:pPr>
          </w:p>
        </w:tc>
        <w:tc>
          <w:tcPr>
            <w:tcW w:w="720" w:type="dxa"/>
            <w:vAlign w:val="bottom"/>
            <w:shd w:val="clear" w:color="auto" w:fill="FCD3C3"/>
          </w:tcPr>
          <w:p>
            <w:pPr>
              <w:spacing w:after="0"/>
              <w:rPr>
                <w:sz w:val="21"/>
                <w:szCs w:val="21"/>
                <w:color w:val="auto"/>
              </w:rPr>
            </w:pPr>
          </w:p>
        </w:tc>
        <w:tc>
          <w:tcPr>
            <w:tcW w:w="940" w:type="dxa"/>
            <w:vAlign w:val="bottom"/>
            <w:shd w:val="clear" w:color="auto" w:fill="FCD3C3"/>
          </w:tcPr>
          <w:p>
            <w:pPr>
              <w:spacing w:after="0"/>
              <w:rPr>
                <w:sz w:val="21"/>
                <w:szCs w:val="21"/>
                <w:color w:val="auto"/>
              </w:rPr>
            </w:pPr>
          </w:p>
        </w:tc>
        <w:tc>
          <w:tcPr>
            <w:tcW w:w="180" w:type="dxa"/>
            <w:vAlign w:val="bottom"/>
            <w:shd w:val="clear" w:color="auto" w:fill="FCD3C3"/>
          </w:tcPr>
          <w:p>
            <w:pPr>
              <w:spacing w:after="0"/>
              <w:rPr>
                <w:sz w:val="21"/>
                <w:szCs w:val="21"/>
                <w:color w:val="auto"/>
              </w:rPr>
            </w:pPr>
          </w:p>
        </w:tc>
        <w:tc>
          <w:tcPr>
            <w:tcW w:w="760" w:type="dxa"/>
            <w:vAlign w:val="bottom"/>
            <w:shd w:val="clear" w:color="auto" w:fill="FCD3C3"/>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20" w:type="dxa"/>
            <w:vAlign w:val="bottom"/>
            <w:gridSpan w:val="2"/>
            <w:shd w:val="clear" w:color="auto" w:fill="FCD3C3"/>
          </w:tcPr>
          <w:p>
            <w:pPr>
              <w:jc w:val="center"/>
              <w:ind w:left="88"/>
              <w:spacing w:after="0"/>
              <w:rPr>
                <w:sz w:val="20"/>
                <w:szCs w:val="20"/>
                <w:color w:val="auto"/>
              </w:rPr>
            </w:pPr>
            <w:r>
              <w:rPr>
                <w:rFonts w:ascii="Arial" w:cs="Arial" w:eastAsia="Arial" w:hAnsi="Arial"/>
                <w:sz w:val="14"/>
                <w:szCs w:val="14"/>
                <w:color w:val="auto"/>
              </w:rPr>
              <w:t>5,600</w:t>
            </w:r>
          </w:p>
        </w:tc>
        <w:tc>
          <w:tcPr>
            <w:tcW w:w="20" w:type="dxa"/>
            <w:vAlign w:val="bottom"/>
            <w:shd w:val="clear" w:color="auto" w:fill="FCD3C3"/>
          </w:tcPr>
          <w:p>
            <w:pPr>
              <w:spacing w:after="0"/>
              <w:rPr>
                <w:sz w:val="21"/>
                <w:szCs w:val="21"/>
                <w:color w:val="auto"/>
              </w:rPr>
            </w:pPr>
          </w:p>
        </w:tc>
        <w:tc>
          <w:tcPr>
            <w:tcW w:w="1200" w:type="dxa"/>
            <w:vAlign w:val="bottom"/>
            <w:gridSpan w:val="3"/>
            <w:shd w:val="clear" w:color="auto" w:fill="FCD3C3"/>
          </w:tcPr>
          <w:p>
            <w:pPr>
              <w:jc w:val="right"/>
              <w:ind w:right="213"/>
              <w:spacing w:after="0"/>
              <w:rPr>
                <w:sz w:val="20"/>
                <w:szCs w:val="20"/>
                <w:color w:val="auto"/>
              </w:rPr>
            </w:pPr>
            <w:r>
              <w:rPr>
                <w:rFonts w:ascii="Arial" w:cs="Arial" w:eastAsia="Arial" w:hAnsi="Arial"/>
                <w:sz w:val="14"/>
                <w:szCs w:val="14"/>
                <w:color w:val="auto"/>
              </w:rPr>
              <w:t>0</w:t>
            </w:r>
          </w:p>
        </w:tc>
        <w:tc>
          <w:tcPr>
            <w:tcW w:w="220" w:type="dxa"/>
            <w:vAlign w:val="bottom"/>
            <w:shd w:val="clear" w:color="auto" w:fill="FCD3C3"/>
          </w:tcPr>
          <w:p>
            <w:pPr>
              <w:spacing w:after="0"/>
              <w:rPr>
                <w:sz w:val="21"/>
                <w:szCs w:val="21"/>
                <w:color w:val="auto"/>
              </w:rPr>
            </w:pPr>
          </w:p>
        </w:tc>
        <w:tc>
          <w:tcPr>
            <w:tcW w:w="660" w:type="dxa"/>
            <w:vAlign w:val="bottom"/>
            <w:shd w:val="clear" w:color="auto" w:fill="FCD3C3"/>
          </w:tcPr>
          <w:p>
            <w:pPr>
              <w:ind w:left="40"/>
              <w:spacing w:after="0"/>
              <w:rPr>
                <w:sz w:val="20"/>
                <w:szCs w:val="20"/>
                <w:color w:val="auto"/>
              </w:rPr>
            </w:pPr>
            <w:r>
              <w:rPr>
                <w:rFonts w:ascii="Arial" w:cs="Arial" w:eastAsia="Arial" w:hAnsi="Arial"/>
                <w:sz w:val="14"/>
                <w:szCs w:val="14"/>
                <w:color w:val="auto"/>
              </w:rPr>
              <w:t>$71.79</w:t>
            </w:r>
          </w:p>
        </w:tc>
        <w:tc>
          <w:tcPr>
            <w:tcW w:w="840" w:type="dxa"/>
            <w:vAlign w:val="bottom"/>
            <w:tcBorders>
              <w:right w:val="single" w:sz="8" w:color="EC252A"/>
            </w:tcBorders>
            <w:shd w:val="clear" w:color="auto" w:fill="FCD3C3"/>
          </w:tcPr>
          <w:p>
            <w:pPr>
              <w:jc w:val="right"/>
              <w:ind w:right="49"/>
              <w:spacing w:after="0"/>
              <w:rPr>
                <w:sz w:val="20"/>
                <w:szCs w:val="20"/>
                <w:color w:val="auto"/>
              </w:rPr>
            </w:pPr>
            <w:r>
              <w:rPr>
                <w:rFonts w:ascii="Arial" w:cs="Arial" w:eastAsia="Arial" w:hAnsi="Arial"/>
                <w:sz w:val="14"/>
                <w:szCs w:val="14"/>
                <w:color w:val="auto"/>
              </w:rPr>
              <w:t>2/6/2028</w:t>
            </w:r>
          </w:p>
        </w:tc>
        <w:tc>
          <w:tcPr>
            <w:tcW w:w="880" w:type="dxa"/>
            <w:vAlign w:val="bottom"/>
            <w:shd w:val="clear" w:color="auto" w:fill="FCD3C3"/>
          </w:tcPr>
          <w:p>
            <w:pPr>
              <w:spacing w:after="0"/>
              <w:rPr>
                <w:sz w:val="21"/>
                <w:szCs w:val="21"/>
                <w:color w:val="auto"/>
              </w:rPr>
            </w:pPr>
          </w:p>
        </w:tc>
        <w:tc>
          <w:tcPr>
            <w:tcW w:w="160" w:type="dxa"/>
            <w:vAlign w:val="bottom"/>
            <w:shd w:val="clear" w:color="auto" w:fill="FCD3C3"/>
          </w:tcPr>
          <w:p>
            <w:pPr>
              <w:spacing w:after="0"/>
              <w:rPr>
                <w:sz w:val="21"/>
                <w:szCs w:val="21"/>
                <w:color w:val="auto"/>
              </w:rPr>
            </w:pPr>
          </w:p>
        </w:tc>
        <w:tc>
          <w:tcPr>
            <w:tcW w:w="720" w:type="dxa"/>
            <w:vAlign w:val="bottom"/>
            <w:shd w:val="clear" w:color="auto" w:fill="FCD3C3"/>
          </w:tcPr>
          <w:p>
            <w:pPr>
              <w:spacing w:after="0"/>
              <w:rPr>
                <w:sz w:val="21"/>
                <w:szCs w:val="21"/>
                <w:color w:val="auto"/>
              </w:rPr>
            </w:pPr>
          </w:p>
        </w:tc>
        <w:tc>
          <w:tcPr>
            <w:tcW w:w="940" w:type="dxa"/>
            <w:vAlign w:val="bottom"/>
            <w:shd w:val="clear" w:color="auto" w:fill="FCD3C3"/>
          </w:tcPr>
          <w:p>
            <w:pPr>
              <w:spacing w:after="0"/>
              <w:rPr>
                <w:sz w:val="21"/>
                <w:szCs w:val="21"/>
                <w:color w:val="auto"/>
              </w:rPr>
            </w:pPr>
          </w:p>
        </w:tc>
        <w:tc>
          <w:tcPr>
            <w:tcW w:w="180" w:type="dxa"/>
            <w:vAlign w:val="bottom"/>
            <w:shd w:val="clear" w:color="auto" w:fill="FCD3C3"/>
          </w:tcPr>
          <w:p>
            <w:pPr>
              <w:spacing w:after="0"/>
              <w:rPr>
                <w:sz w:val="21"/>
                <w:szCs w:val="21"/>
                <w:color w:val="auto"/>
              </w:rPr>
            </w:pPr>
          </w:p>
        </w:tc>
        <w:tc>
          <w:tcPr>
            <w:tcW w:w="760" w:type="dxa"/>
            <w:vAlign w:val="bottom"/>
            <w:shd w:val="clear" w:color="auto" w:fill="FCD3C3"/>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20" w:type="dxa"/>
            <w:vAlign w:val="bottom"/>
            <w:gridSpan w:val="2"/>
            <w:shd w:val="clear" w:color="auto" w:fill="FCD3C3"/>
          </w:tcPr>
          <w:p>
            <w:pPr>
              <w:jc w:val="center"/>
              <w:ind w:left="88"/>
              <w:spacing w:after="0"/>
              <w:rPr>
                <w:sz w:val="20"/>
                <w:szCs w:val="20"/>
                <w:color w:val="auto"/>
              </w:rPr>
            </w:pPr>
            <w:r>
              <w:rPr>
                <w:rFonts w:ascii="Arial" w:cs="Arial" w:eastAsia="Arial" w:hAnsi="Arial"/>
                <w:sz w:val="14"/>
                <w:szCs w:val="14"/>
                <w:color w:val="auto"/>
              </w:rPr>
              <w:t>7,700</w:t>
            </w:r>
          </w:p>
        </w:tc>
        <w:tc>
          <w:tcPr>
            <w:tcW w:w="20" w:type="dxa"/>
            <w:vAlign w:val="bottom"/>
            <w:shd w:val="clear" w:color="auto" w:fill="FCD3C3"/>
          </w:tcPr>
          <w:p>
            <w:pPr>
              <w:spacing w:after="0"/>
              <w:rPr>
                <w:sz w:val="21"/>
                <w:szCs w:val="21"/>
                <w:color w:val="auto"/>
              </w:rPr>
            </w:pPr>
          </w:p>
        </w:tc>
        <w:tc>
          <w:tcPr>
            <w:tcW w:w="160" w:type="dxa"/>
            <w:vAlign w:val="bottom"/>
            <w:shd w:val="clear" w:color="auto" w:fill="FCD3C3"/>
          </w:tcPr>
          <w:p>
            <w:pPr>
              <w:spacing w:after="0"/>
              <w:rPr>
                <w:sz w:val="21"/>
                <w:szCs w:val="21"/>
                <w:color w:val="auto"/>
              </w:rPr>
            </w:pPr>
          </w:p>
        </w:tc>
        <w:tc>
          <w:tcPr>
            <w:tcW w:w="1040" w:type="dxa"/>
            <w:vAlign w:val="bottom"/>
            <w:gridSpan w:val="2"/>
            <w:shd w:val="clear" w:color="auto" w:fill="FCD3C3"/>
          </w:tcPr>
          <w:p>
            <w:pPr>
              <w:jc w:val="right"/>
              <w:ind w:right="213"/>
              <w:spacing w:after="0"/>
              <w:rPr>
                <w:sz w:val="20"/>
                <w:szCs w:val="20"/>
                <w:color w:val="auto"/>
              </w:rPr>
            </w:pPr>
            <w:r>
              <w:rPr>
                <w:rFonts w:ascii="Arial" w:cs="Arial" w:eastAsia="Arial" w:hAnsi="Arial"/>
                <w:sz w:val="14"/>
                <w:szCs w:val="14"/>
                <w:color w:val="auto"/>
              </w:rPr>
              <w:t>0</w:t>
            </w:r>
          </w:p>
        </w:tc>
        <w:tc>
          <w:tcPr>
            <w:tcW w:w="220" w:type="dxa"/>
            <w:vAlign w:val="bottom"/>
            <w:shd w:val="clear" w:color="auto" w:fill="FCD3C3"/>
          </w:tcPr>
          <w:p>
            <w:pPr>
              <w:spacing w:after="0"/>
              <w:rPr>
                <w:sz w:val="21"/>
                <w:szCs w:val="21"/>
                <w:color w:val="auto"/>
              </w:rPr>
            </w:pPr>
          </w:p>
        </w:tc>
        <w:tc>
          <w:tcPr>
            <w:tcW w:w="660" w:type="dxa"/>
            <w:vAlign w:val="bottom"/>
            <w:shd w:val="clear" w:color="auto" w:fill="FCD3C3"/>
          </w:tcPr>
          <w:p>
            <w:pPr>
              <w:ind w:left="40"/>
              <w:spacing w:after="0"/>
              <w:rPr>
                <w:sz w:val="20"/>
                <w:szCs w:val="20"/>
                <w:color w:val="auto"/>
              </w:rPr>
            </w:pPr>
            <w:r>
              <w:rPr>
                <w:rFonts w:ascii="Arial" w:cs="Arial" w:eastAsia="Arial" w:hAnsi="Arial"/>
                <w:sz w:val="14"/>
                <w:szCs w:val="14"/>
                <w:color w:val="auto"/>
              </w:rPr>
              <w:t>$70.635</w:t>
            </w:r>
          </w:p>
        </w:tc>
        <w:tc>
          <w:tcPr>
            <w:tcW w:w="840" w:type="dxa"/>
            <w:vAlign w:val="bottom"/>
            <w:tcBorders>
              <w:right w:val="single" w:sz="8" w:color="EC252A"/>
            </w:tcBorders>
            <w:shd w:val="clear" w:color="auto" w:fill="FCD3C3"/>
          </w:tcPr>
          <w:p>
            <w:pPr>
              <w:jc w:val="right"/>
              <w:ind w:right="49"/>
              <w:spacing w:after="0"/>
              <w:rPr>
                <w:sz w:val="20"/>
                <w:szCs w:val="20"/>
                <w:color w:val="auto"/>
              </w:rPr>
            </w:pPr>
            <w:r>
              <w:rPr>
                <w:rFonts w:ascii="Arial" w:cs="Arial" w:eastAsia="Arial" w:hAnsi="Arial"/>
                <w:sz w:val="14"/>
                <w:szCs w:val="14"/>
                <w:color w:val="auto"/>
              </w:rPr>
              <w:t>3/6/2029</w:t>
            </w:r>
          </w:p>
        </w:tc>
        <w:tc>
          <w:tcPr>
            <w:tcW w:w="880" w:type="dxa"/>
            <w:vAlign w:val="bottom"/>
            <w:shd w:val="clear" w:color="auto" w:fill="FCD3C3"/>
          </w:tcPr>
          <w:p>
            <w:pPr>
              <w:spacing w:after="0"/>
              <w:rPr>
                <w:sz w:val="21"/>
                <w:szCs w:val="21"/>
                <w:color w:val="auto"/>
              </w:rPr>
            </w:pPr>
          </w:p>
        </w:tc>
        <w:tc>
          <w:tcPr>
            <w:tcW w:w="160" w:type="dxa"/>
            <w:vAlign w:val="bottom"/>
            <w:shd w:val="clear" w:color="auto" w:fill="FCD3C3"/>
          </w:tcPr>
          <w:p>
            <w:pPr>
              <w:spacing w:after="0"/>
              <w:rPr>
                <w:sz w:val="21"/>
                <w:szCs w:val="21"/>
                <w:color w:val="auto"/>
              </w:rPr>
            </w:pPr>
          </w:p>
        </w:tc>
        <w:tc>
          <w:tcPr>
            <w:tcW w:w="720" w:type="dxa"/>
            <w:vAlign w:val="bottom"/>
            <w:shd w:val="clear" w:color="auto" w:fill="FCD3C3"/>
          </w:tcPr>
          <w:p>
            <w:pPr>
              <w:spacing w:after="0"/>
              <w:rPr>
                <w:sz w:val="21"/>
                <w:szCs w:val="21"/>
                <w:color w:val="auto"/>
              </w:rPr>
            </w:pPr>
          </w:p>
        </w:tc>
        <w:tc>
          <w:tcPr>
            <w:tcW w:w="940" w:type="dxa"/>
            <w:vAlign w:val="bottom"/>
            <w:shd w:val="clear" w:color="auto" w:fill="FCD3C3"/>
          </w:tcPr>
          <w:p>
            <w:pPr>
              <w:spacing w:after="0"/>
              <w:rPr>
                <w:sz w:val="21"/>
                <w:szCs w:val="21"/>
                <w:color w:val="auto"/>
              </w:rPr>
            </w:pPr>
          </w:p>
        </w:tc>
        <w:tc>
          <w:tcPr>
            <w:tcW w:w="180" w:type="dxa"/>
            <w:vAlign w:val="bottom"/>
            <w:shd w:val="clear" w:color="auto" w:fill="FCD3C3"/>
          </w:tcPr>
          <w:p>
            <w:pPr>
              <w:spacing w:after="0"/>
              <w:rPr>
                <w:sz w:val="21"/>
                <w:szCs w:val="21"/>
                <w:color w:val="auto"/>
              </w:rPr>
            </w:pPr>
          </w:p>
        </w:tc>
        <w:tc>
          <w:tcPr>
            <w:tcW w:w="760" w:type="dxa"/>
            <w:vAlign w:val="bottom"/>
            <w:shd w:val="clear" w:color="auto" w:fill="FCD3C3"/>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20" w:type="dxa"/>
            <w:vAlign w:val="bottom"/>
            <w:gridSpan w:val="2"/>
            <w:shd w:val="clear" w:color="auto" w:fill="FCD3C3"/>
          </w:tcPr>
          <w:p>
            <w:pPr>
              <w:jc w:val="center"/>
              <w:ind w:left="88"/>
              <w:spacing w:after="0"/>
              <w:rPr>
                <w:sz w:val="20"/>
                <w:szCs w:val="20"/>
                <w:color w:val="auto"/>
              </w:rPr>
            </w:pPr>
            <w:r>
              <w:rPr>
                <w:rFonts w:ascii="Arial" w:cs="Arial" w:eastAsia="Arial" w:hAnsi="Arial"/>
                <w:sz w:val="14"/>
                <w:szCs w:val="14"/>
                <w:color w:val="auto"/>
              </w:rPr>
              <w:t>7,606</w:t>
            </w:r>
          </w:p>
        </w:tc>
        <w:tc>
          <w:tcPr>
            <w:tcW w:w="20" w:type="dxa"/>
            <w:vAlign w:val="bottom"/>
            <w:shd w:val="clear" w:color="auto" w:fill="FCD3C3"/>
          </w:tcPr>
          <w:p>
            <w:pPr>
              <w:spacing w:after="0"/>
              <w:rPr>
                <w:sz w:val="21"/>
                <w:szCs w:val="21"/>
                <w:color w:val="auto"/>
              </w:rPr>
            </w:pPr>
          </w:p>
        </w:tc>
        <w:tc>
          <w:tcPr>
            <w:tcW w:w="160" w:type="dxa"/>
            <w:vAlign w:val="bottom"/>
            <w:shd w:val="clear" w:color="auto" w:fill="FCD3C3"/>
          </w:tcPr>
          <w:p>
            <w:pPr>
              <w:spacing w:after="0"/>
              <w:rPr>
                <w:sz w:val="21"/>
                <w:szCs w:val="21"/>
                <w:color w:val="auto"/>
              </w:rPr>
            </w:pPr>
          </w:p>
        </w:tc>
        <w:tc>
          <w:tcPr>
            <w:tcW w:w="1040" w:type="dxa"/>
            <w:vAlign w:val="bottom"/>
            <w:gridSpan w:val="2"/>
            <w:shd w:val="clear" w:color="auto" w:fill="FCD3C3"/>
          </w:tcPr>
          <w:p>
            <w:pPr>
              <w:jc w:val="right"/>
              <w:ind w:right="213"/>
              <w:spacing w:after="0"/>
              <w:rPr>
                <w:sz w:val="20"/>
                <w:szCs w:val="20"/>
                <w:color w:val="auto"/>
              </w:rPr>
            </w:pPr>
            <w:r>
              <w:rPr>
                <w:rFonts w:ascii="Arial" w:cs="Arial" w:eastAsia="Arial" w:hAnsi="Arial"/>
                <w:sz w:val="14"/>
                <w:szCs w:val="14"/>
                <w:color w:val="auto"/>
              </w:rPr>
              <w:t>0</w:t>
            </w:r>
          </w:p>
        </w:tc>
        <w:tc>
          <w:tcPr>
            <w:tcW w:w="220" w:type="dxa"/>
            <w:vAlign w:val="bottom"/>
            <w:shd w:val="clear" w:color="auto" w:fill="FCD3C3"/>
          </w:tcPr>
          <w:p>
            <w:pPr>
              <w:spacing w:after="0"/>
              <w:rPr>
                <w:sz w:val="21"/>
                <w:szCs w:val="21"/>
                <w:color w:val="auto"/>
              </w:rPr>
            </w:pPr>
          </w:p>
        </w:tc>
        <w:tc>
          <w:tcPr>
            <w:tcW w:w="660" w:type="dxa"/>
            <w:vAlign w:val="bottom"/>
            <w:shd w:val="clear" w:color="auto" w:fill="FCD3C3"/>
          </w:tcPr>
          <w:p>
            <w:pPr>
              <w:ind w:left="40"/>
              <w:spacing w:after="0"/>
              <w:rPr>
                <w:sz w:val="20"/>
                <w:szCs w:val="20"/>
                <w:color w:val="auto"/>
              </w:rPr>
            </w:pPr>
            <w:r>
              <w:rPr>
                <w:rFonts w:ascii="Arial" w:cs="Arial" w:eastAsia="Arial" w:hAnsi="Arial"/>
                <w:sz w:val="14"/>
                <w:szCs w:val="14"/>
                <w:color w:val="auto"/>
              </w:rPr>
              <w:t>$78.33</w:t>
            </w:r>
          </w:p>
        </w:tc>
        <w:tc>
          <w:tcPr>
            <w:tcW w:w="840" w:type="dxa"/>
            <w:vAlign w:val="bottom"/>
            <w:tcBorders>
              <w:right w:val="single" w:sz="8" w:color="EC252A"/>
            </w:tcBorders>
            <w:shd w:val="clear" w:color="auto" w:fill="FCD3C3"/>
          </w:tcPr>
          <w:p>
            <w:pPr>
              <w:jc w:val="right"/>
              <w:ind w:right="49"/>
              <w:spacing w:after="0"/>
              <w:rPr>
                <w:sz w:val="20"/>
                <w:szCs w:val="20"/>
                <w:color w:val="auto"/>
              </w:rPr>
            </w:pPr>
            <w:r>
              <w:rPr>
                <w:rFonts w:ascii="Arial" w:cs="Arial" w:eastAsia="Arial" w:hAnsi="Arial"/>
                <w:sz w:val="14"/>
                <w:szCs w:val="14"/>
                <w:color w:val="auto"/>
              </w:rPr>
              <w:t>2/7/2030</w:t>
            </w:r>
          </w:p>
        </w:tc>
        <w:tc>
          <w:tcPr>
            <w:tcW w:w="880" w:type="dxa"/>
            <w:vAlign w:val="bottom"/>
            <w:shd w:val="clear" w:color="auto" w:fill="FCD3C3"/>
          </w:tcPr>
          <w:p>
            <w:pPr>
              <w:spacing w:after="0"/>
              <w:rPr>
                <w:sz w:val="21"/>
                <w:szCs w:val="21"/>
                <w:color w:val="auto"/>
              </w:rPr>
            </w:pPr>
          </w:p>
        </w:tc>
        <w:tc>
          <w:tcPr>
            <w:tcW w:w="160" w:type="dxa"/>
            <w:vAlign w:val="bottom"/>
            <w:shd w:val="clear" w:color="auto" w:fill="FCD3C3"/>
          </w:tcPr>
          <w:p>
            <w:pPr>
              <w:spacing w:after="0"/>
              <w:rPr>
                <w:sz w:val="21"/>
                <w:szCs w:val="21"/>
                <w:color w:val="auto"/>
              </w:rPr>
            </w:pPr>
          </w:p>
        </w:tc>
        <w:tc>
          <w:tcPr>
            <w:tcW w:w="720" w:type="dxa"/>
            <w:vAlign w:val="bottom"/>
            <w:shd w:val="clear" w:color="auto" w:fill="FCD3C3"/>
          </w:tcPr>
          <w:p>
            <w:pPr>
              <w:spacing w:after="0"/>
              <w:rPr>
                <w:sz w:val="21"/>
                <w:szCs w:val="21"/>
                <w:color w:val="auto"/>
              </w:rPr>
            </w:pPr>
          </w:p>
        </w:tc>
        <w:tc>
          <w:tcPr>
            <w:tcW w:w="940" w:type="dxa"/>
            <w:vAlign w:val="bottom"/>
            <w:shd w:val="clear" w:color="auto" w:fill="FCD3C3"/>
          </w:tcPr>
          <w:p>
            <w:pPr>
              <w:spacing w:after="0"/>
              <w:rPr>
                <w:sz w:val="21"/>
                <w:szCs w:val="21"/>
                <w:color w:val="auto"/>
              </w:rPr>
            </w:pPr>
          </w:p>
        </w:tc>
        <w:tc>
          <w:tcPr>
            <w:tcW w:w="180" w:type="dxa"/>
            <w:vAlign w:val="bottom"/>
            <w:shd w:val="clear" w:color="auto" w:fill="FCD3C3"/>
          </w:tcPr>
          <w:p>
            <w:pPr>
              <w:spacing w:after="0"/>
              <w:rPr>
                <w:sz w:val="21"/>
                <w:szCs w:val="21"/>
                <w:color w:val="auto"/>
              </w:rPr>
            </w:pPr>
          </w:p>
        </w:tc>
        <w:tc>
          <w:tcPr>
            <w:tcW w:w="760" w:type="dxa"/>
            <w:vAlign w:val="bottom"/>
            <w:shd w:val="clear" w:color="auto" w:fill="FCD3C3"/>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60" w:type="dxa"/>
            <w:vAlign w:val="bottom"/>
            <w:tcBorders>
              <w:bottom w:val="single" w:sz="8" w:color="FCD3C3"/>
            </w:tcBorders>
            <w:shd w:val="clear" w:color="auto" w:fill="FCD3C3"/>
          </w:tcPr>
          <w:p>
            <w:pPr>
              <w:spacing w:after="0"/>
              <w:rPr>
                <w:sz w:val="22"/>
                <w:szCs w:val="22"/>
                <w:color w:val="auto"/>
              </w:rPr>
            </w:pPr>
          </w:p>
        </w:tc>
        <w:tc>
          <w:tcPr>
            <w:tcW w:w="1520" w:type="dxa"/>
            <w:vAlign w:val="bottom"/>
            <w:tcBorders>
              <w:bottom w:val="single" w:sz="8" w:color="FCD3C3"/>
            </w:tcBorders>
            <w:shd w:val="clear" w:color="auto" w:fill="FCD3C3"/>
          </w:tcPr>
          <w:p>
            <w:pPr>
              <w:spacing w:after="0"/>
              <w:rPr>
                <w:sz w:val="22"/>
                <w:szCs w:val="22"/>
                <w:color w:val="auto"/>
              </w:rPr>
            </w:pPr>
          </w:p>
        </w:tc>
        <w:tc>
          <w:tcPr>
            <w:tcW w:w="1120" w:type="dxa"/>
            <w:vAlign w:val="bottom"/>
            <w:tcBorders>
              <w:bottom w:val="single" w:sz="8" w:color="FCD3C3"/>
            </w:tcBorders>
            <w:gridSpan w:val="2"/>
            <w:shd w:val="clear" w:color="auto" w:fill="FCD3C3"/>
          </w:tcPr>
          <w:p>
            <w:pPr>
              <w:jc w:val="center"/>
              <w:ind w:left="88"/>
              <w:spacing w:after="0"/>
              <w:rPr>
                <w:sz w:val="20"/>
                <w:szCs w:val="20"/>
                <w:color w:val="auto"/>
              </w:rPr>
            </w:pPr>
            <w:r>
              <w:rPr>
                <w:rFonts w:ascii="Arial" w:cs="Arial" w:eastAsia="Arial" w:hAnsi="Arial"/>
                <w:sz w:val="14"/>
                <w:szCs w:val="14"/>
                <w:color w:val="auto"/>
              </w:rPr>
              <w:t>6,987</w:t>
            </w:r>
          </w:p>
        </w:tc>
        <w:tc>
          <w:tcPr>
            <w:tcW w:w="20" w:type="dxa"/>
            <w:vAlign w:val="bottom"/>
            <w:tcBorders>
              <w:bottom w:val="single" w:sz="8" w:color="FCD3C3"/>
            </w:tcBorders>
            <w:shd w:val="clear" w:color="auto" w:fill="FCD3C3"/>
          </w:tcPr>
          <w:p>
            <w:pPr>
              <w:spacing w:after="0"/>
              <w:rPr>
                <w:sz w:val="22"/>
                <w:szCs w:val="22"/>
                <w:color w:val="auto"/>
              </w:rPr>
            </w:pPr>
          </w:p>
        </w:tc>
        <w:tc>
          <w:tcPr>
            <w:tcW w:w="160" w:type="dxa"/>
            <w:vAlign w:val="bottom"/>
            <w:tcBorders>
              <w:bottom w:val="single" w:sz="8" w:color="FCD3C3"/>
            </w:tcBorders>
            <w:shd w:val="clear" w:color="auto" w:fill="FCD3C3"/>
          </w:tcPr>
          <w:p>
            <w:pPr>
              <w:spacing w:after="0"/>
              <w:rPr>
                <w:sz w:val="22"/>
                <w:szCs w:val="22"/>
                <w:color w:val="auto"/>
              </w:rPr>
            </w:pPr>
          </w:p>
        </w:tc>
        <w:tc>
          <w:tcPr>
            <w:tcW w:w="1040" w:type="dxa"/>
            <w:vAlign w:val="bottom"/>
            <w:tcBorders>
              <w:bottom w:val="single" w:sz="8" w:color="FCD3C3"/>
            </w:tcBorders>
            <w:gridSpan w:val="2"/>
            <w:shd w:val="clear" w:color="auto" w:fill="FCD3C3"/>
          </w:tcPr>
          <w:p>
            <w:pPr>
              <w:jc w:val="right"/>
              <w:ind w:right="213"/>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FCD3C3"/>
            </w:tcBorders>
            <w:shd w:val="clear" w:color="auto" w:fill="FCD3C3"/>
          </w:tcPr>
          <w:p>
            <w:pPr>
              <w:spacing w:after="0"/>
              <w:rPr>
                <w:sz w:val="22"/>
                <w:szCs w:val="22"/>
                <w:color w:val="auto"/>
              </w:rPr>
            </w:pPr>
          </w:p>
        </w:tc>
        <w:tc>
          <w:tcPr>
            <w:tcW w:w="660" w:type="dxa"/>
            <w:vAlign w:val="bottom"/>
            <w:tcBorders>
              <w:bottom w:val="single" w:sz="8" w:color="FCD3C3"/>
            </w:tcBorders>
            <w:shd w:val="clear" w:color="auto" w:fill="FCD3C3"/>
          </w:tcPr>
          <w:p>
            <w:pPr>
              <w:ind w:left="40"/>
              <w:spacing w:after="0"/>
              <w:rPr>
                <w:sz w:val="20"/>
                <w:szCs w:val="20"/>
                <w:color w:val="auto"/>
              </w:rPr>
            </w:pPr>
            <w:r>
              <w:rPr>
                <w:rFonts w:ascii="Arial" w:cs="Arial" w:eastAsia="Arial" w:hAnsi="Arial"/>
                <w:sz w:val="14"/>
                <w:szCs w:val="14"/>
                <w:color w:val="auto"/>
              </w:rPr>
              <w:t>$81.21</w:t>
            </w:r>
          </w:p>
        </w:tc>
        <w:tc>
          <w:tcPr>
            <w:tcW w:w="840" w:type="dxa"/>
            <w:vAlign w:val="bottom"/>
            <w:tcBorders>
              <w:bottom w:val="single" w:sz="8" w:color="FCD3C3"/>
              <w:right w:val="single" w:sz="8" w:color="EC252A"/>
            </w:tcBorders>
            <w:shd w:val="clear" w:color="auto" w:fill="FCD3C3"/>
          </w:tcPr>
          <w:p>
            <w:pPr>
              <w:jc w:val="right"/>
              <w:ind w:right="49"/>
              <w:spacing w:after="0"/>
              <w:rPr>
                <w:sz w:val="20"/>
                <w:szCs w:val="20"/>
                <w:color w:val="auto"/>
              </w:rPr>
            </w:pPr>
            <w:r>
              <w:rPr>
                <w:rFonts w:ascii="Arial" w:cs="Arial" w:eastAsia="Arial" w:hAnsi="Arial"/>
                <w:sz w:val="14"/>
                <w:szCs w:val="14"/>
                <w:color w:val="auto"/>
              </w:rPr>
              <w:t>2/11/2031</w:t>
            </w:r>
          </w:p>
        </w:tc>
        <w:tc>
          <w:tcPr>
            <w:tcW w:w="880" w:type="dxa"/>
            <w:vAlign w:val="bottom"/>
            <w:tcBorders>
              <w:bottom w:val="single" w:sz="8" w:color="FCD3C3"/>
            </w:tcBorders>
            <w:shd w:val="clear" w:color="auto" w:fill="FCD3C3"/>
          </w:tcPr>
          <w:p>
            <w:pPr>
              <w:spacing w:after="0"/>
              <w:rPr>
                <w:sz w:val="22"/>
                <w:szCs w:val="22"/>
                <w:color w:val="auto"/>
              </w:rPr>
            </w:pPr>
          </w:p>
        </w:tc>
        <w:tc>
          <w:tcPr>
            <w:tcW w:w="160" w:type="dxa"/>
            <w:vAlign w:val="bottom"/>
            <w:tcBorders>
              <w:bottom w:val="single" w:sz="8" w:color="FCD3C3"/>
            </w:tcBorders>
            <w:shd w:val="clear" w:color="auto" w:fill="FCD3C3"/>
          </w:tcPr>
          <w:p>
            <w:pPr>
              <w:spacing w:after="0"/>
              <w:rPr>
                <w:sz w:val="22"/>
                <w:szCs w:val="22"/>
                <w:color w:val="auto"/>
              </w:rPr>
            </w:pPr>
          </w:p>
        </w:tc>
        <w:tc>
          <w:tcPr>
            <w:tcW w:w="720" w:type="dxa"/>
            <w:vAlign w:val="bottom"/>
            <w:tcBorders>
              <w:bottom w:val="single" w:sz="8" w:color="FCD3C3"/>
            </w:tcBorders>
            <w:shd w:val="clear" w:color="auto" w:fill="FCD3C3"/>
          </w:tcPr>
          <w:p>
            <w:pPr>
              <w:spacing w:after="0"/>
              <w:rPr>
                <w:sz w:val="22"/>
                <w:szCs w:val="22"/>
                <w:color w:val="auto"/>
              </w:rPr>
            </w:pPr>
          </w:p>
        </w:tc>
        <w:tc>
          <w:tcPr>
            <w:tcW w:w="940" w:type="dxa"/>
            <w:vAlign w:val="bottom"/>
            <w:tcBorders>
              <w:bottom w:val="single" w:sz="8" w:color="FCD3C3"/>
            </w:tcBorders>
            <w:shd w:val="clear" w:color="auto" w:fill="FCD3C3"/>
          </w:tcPr>
          <w:p>
            <w:pPr>
              <w:spacing w:after="0"/>
              <w:rPr>
                <w:sz w:val="22"/>
                <w:szCs w:val="22"/>
                <w:color w:val="auto"/>
              </w:rPr>
            </w:pPr>
          </w:p>
        </w:tc>
        <w:tc>
          <w:tcPr>
            <w:tcW w:w="180" w:type="dxa"/>
            <w:vAlign w:val="bottom"/>
            <w:tcBorders>
              <w:bottom w:val="single" w:sz="8" w:color="FCD3C3"/>
            </w:tcBorders>
            <w:shd w:val="clear" w:color="auto" w:fill="FCD3C3"/>
          </w:tcPr>
          <w:p>
            <w:pPr>
              <w:spacing w:after="0"/>
              <w:rPr>
                <w:sz w:val="22"/>
                <w:szCs w:val="22"/>
                <w:color w:val="auto"/>
              </w:rPr>
            </w:pPr>
          </w:p>
        </w:tc>
        <w:tc>
          <w:tcPr>
            <w:tcW w:w="760" w:type="dxa"/>
            <w:vAlign w:val="bottom"/>
            <w:tcBorders>
              <w:bottom w:val="single" w:sz="8" w:color="FCD3C3"/>
            </w:tcBorders>
            <w:shd w:val="clear" w:color="auto" w:fill="FCD3C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EC252A"/>
          </w:tcPr>
          <w:p>
            <w:pPr>
              <w:spacing w:after="0" w:line="20" w:lineRule="exact"/>
              <w:rPr>
                <w:sz w:val="1"/>
                <w:szCs w:val="1"/>
                <w:color w:val="auto"/>
              </w:rPr>
            </w:pPr>
          </w:p>
        </w:tc>
        <w:tc>
          <w:tcPr>
            <w:tcW w:w="1520" w:type="dxa"/>
            <w:vAlign w:val="bottom"/>
            <w:shd w:val="clear" w:color="auto" w:fill="EC252A"/>
          </w:tcPr>
          <w:p>
            <w:pPr>
              <w:spacing w:after="0" w:line="20" w:lineRule="exact"/>
              <w:rPr>
                <w:sz w:val="1"/>
                <w:szCs w:val="1"/>
                <w:color w:val="auto"/>
              </w:rPr>
            </w:pPr>
          </w:p>
        </w:tc>
        <w:tc>
          <w:tcPr>
            <w:tcW w:w="160" w:type="dxa"/>
            <w:vAlign w:val="bottom"/>
            <w:shd w:val="clear" w:color="auto" w:fill="EC252A"/>
          </w:tcPr>
          <w:p>
            <w:pPr>
              <w:spacing w:after="0" w:line="20" w:lineRule="exact"/>
              <w:rPr>
                <w:sz w:val="1"/>
                <w:szCs w:val="1"/>
                <w:color w:val="auto"/>
              </w:rPr>
            </w:pPr>
          </w:p>
        </w:tc>
        <w:tc>
          <w:tcPr>
            <w:tcW w:w="960" w:type="dxa"/>
            <w:vAlign w:val="bottom"/>
            <w:shd w:val="clear" w:color="auto" w:fill="EC252A"/>
          </w:tcPr>
          <w:p>
            <w:pPr>
              <w:spacing w:after="0" w:line="20" w:lineRule="exact"/>
              <w:rPr>
                <w:sz w:val="1"/>
                <w:szCs w:val="1"/>
                <w:color w:val="auto"/>
              </w:rPr>
            </w:pPr>
          </w:p>
        </w:tc>
        <w:tc>
          <w:tcPr>
            <w:tcW w:w="20" w:type="dxa"/>
            <w:vAlign w:val="bottom"/>
            <w:shd w:val="clear" w:color="auto" w:fill="EC252A"/>
          </w:tcPr>
          <w:p>
            <w:pPr>
              <w:spacing w:after="0" w:line="20" w:lineRule="exact"/>
              <w:rPr>
                <w:sz w:val="1"/>
                <w:szCs w:val="1"/>
                <w:color w:val="auto"/>
              </w:rPr>
            </w:pPr>
          </w:p>
        </w:tc>
        <w:tc>
          <w:tcPr>
            <w:tcW w:w="160" w:type="dxa"/>
            <w:vAlign w:val="bottom"/>
            <w:shd w:val="clear" w:color="auto" w:fill="EC252A"/>
          </w:tcPr>
          <w:p>
            <w:pPr>
              <w:spacing w:after="0" w:line="20" w:lineRule="exact"/>
              <w:rPr>
                <w:sz w:val="1"/>
                <w:szCs w:val="1"/>
                <w:color w:val="auto"/>
              </w:rPr>
            </w:pPr>
          </w:p>
        </w:tc>
        <w:tc>
          <w:tcPr>
            <w:tcW w:w="80" w:type="dxa"/>
            <w:vAlign w:val="bottom"/>
            <w:shd w:val="clear" w:color="auto" w:fill="EC252A"/>
          </w:tcPr>
          <w:p>
            <w:pPr>
              <w:spacing w:after="0" w:line="20" w:lineRule="exact"/>
              <w:rPr>
                <w:sz w:val="1"/>
                <w:szCs w:val="1"/>
                <w:color w:val="auto"/>
              </w:rPr>
            </w:pPr>
          </w:p>
        </w:tc>
        <w:tc>
          <w:tcPr>
            <w:tcW w:w="960" w:type="dxa"/>
            <w:vAlign w:val="bottom"/>
            <w:shd w:val="clear" w:color="auto" w:fill="EC252A"/>
          </w:tcPr>
          <w:p>
            <w:pPr>
              <w:spacing w:after="0" w:line="20" w:lineRule="exact"/>
              <w:rPr>
                <w:sz w:val="1"/>
                <w:szCs w:val="1"/>
                <w:color w:val="auto"/>
              </w:rPr>
            </w:pPr>
          </w:p>
        </w:tc>
        <w:tc>
          <w:tcPr>
            <w:tcW w:w="220" w:type="dxa"/>
            <w:vAlign w:val="bottom"/>
            <w:shd w:val="clear" w:color="auto" w:fill="EC252A"/>
          </w:tcPr>
          <w:p>
            <w:pPr>
              <w:spacing w:after="0" w:line="20" w:lineRule="exact"/>
              <w:rPr>
                <w:sz w:val="1"/>
                <w:szCs w:val="1"/>
                <w:color w:val="auto"/>
              </w:rPr>
            </w:pPr>
          </w:p>
        </w:tc>
        <w:tc>
          <w:tcPr>
            <w:tcW w:w="660" w:type="dxa"/>
            <w:vAlign w:val="bottom"/>
            <w:shd w:val="clear" w:color="auto" w:fill="EC252A"/>
          </w:tcPr>
          <w:p>
            <w:pPr>
              <w:spacing w:after="0" w:line="20" w:lineRule="exact"/>
              <w:rPr>
                <w:sz w:val="1"/>
                <w:szCs w:val="1"/>
                <w:color w:val="auto"/>
              </w:rPr>
            </w:pPr>
          </w:p>
        </w:tc>
        <w:tc>
          <w:tcPr>
            <w:tcW w:w="840" w:type="dxa"/>
            <w:vAlign w:val="bottom"/>
            <w:tcBorders>
              <w:right w:val="single" w:sz="8" w:color="EC252A"/>
            </w:tcBorders>
            <w:shd w:val="clear" w:color="auto" w:fill="EC252A"/>
          </w:tcPr>
          <w:p>
            <w:pPr>
              <w:spacing w:after="0" w:line="20" w:lineRule="exact"/>
              <w:rPr>
                <w:sz w:val="1"/>
                <w:szCs w:val="1"/>
                <w:color w:val="auto"/>
              </w:rPr>
            </w:pPr>
          </w:p>
        </w:tc>
        <w:tc>
          <w:tcPr>
            <w:tcW w:w="880" w:type="dxa"/>
            <w:vAlign w:val="bottom"/>
            <w:shd w:val="clear" w:color="auto" w:fill="EC252A"/>
          </w:tcPr>
          <w:p>
            <w:pPr>
              <w:spacing w:after="0" w:line="20" w:lineRule="exact"/>
              <w:rPr>
                <w:sz w:val="1"/>
                <w:szCs w:val="1"/>
                <w:color w:val="auto"/>
              </w:rPr>
            </w:pPr>
          </w:p>
        </w:tc>
        <w:tc>
          <w:tcPr>
            <w:tcW w:w="160" w:type="dxa"/>
            <w:vAlign w:val="bottom"/>
            <w:shd w:val="clear" w:color="auto" w:fill="EC252A"/>
          </w:tcPr>
          <w:p>
            <w:pPr>
              <w:spacing w:after="0" w:line="20" w:lineRule="exact"/>
              <w:rPr>
                <w:sz w:val="1"/>
                <w:szCs w:val="1"/>
                <w:color w:val="auto"/>
              </w:rPr>
            </w:pPr>
          </w:p>
        </w:tc>
        <w:tc>
          <w:tcPr>
            <w:tcW w:w="720" w:type="dxa"/>
            <w:vAlign w:val="bottom"/>
            <w:shd w:val="clear" w:color="auto" w:fill="EC252A"/>
          </w:tcPr>
          <w:p>
            <w:pPr>
              <w:spacing w:after="0" w:line="20" w:lineRule="exact"/>
              <w:rPr>
                <w:sz w:val="1"/>
                <w:szCs w:val="1"/>
                <w:color w:val="auto"/>
              </w:rPr>
            </w:pPr>
          </w:p>
        </w:tc>
        <w:tc>
          <w:tcPr>
            <w:tcW w:w="940" w:type="dxa"/>
            <w:vAlign w:val="bottom"/>
            <w:shd w:val="clear" w:color="auto" w:fill="EC252A"/>
          </w:tcPr>
          <w:p>
            <w:pPr>
              <w:spacing w:after="0" w:line="20" w:lineRule="exact"/>
              <w:rPr>
                <w:sz w:val="1"/>
                <w:szCs w:val="1"/>
                <w:color w:val="auto"/>
              </w:rPr>
            </w:pPr>
          </w:p>
        </w:tc>
        <w:tc>
          <w:tcPr>
            <w:tcW w:w="180" w:type="dxa"/>
            <w:vAlign w:val="bottom"/>
            <w:shd w:val="clear" w:color="auto" w:fill="EC252A"/>
          </w:tcPr>
          <w:p>
            <w:pPr>
              <w:spacing w:after="0" w:line="20" w:lineRule="exact"/>
              <w:rPr>
                <w:sz w:val="1"/>
                <w:szCs w:val="1"/>
                <w:color w:val="auto"/>
              </w:rPr>
            </w:pPr>
          </w:p>
        </w:tc>
        <w:tc>
          <w:tcPr>
            <w:tcW w:w="760" w:type="dxa"/>
            <w:vAlign w:val="bottom"/>
            <w:shd w:val="clear" w:color="auto" w:fill="EC252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360" w:hanging="360"/>
        <w:spacing w:after="0" w:line="281"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Option awards granted to the NEOs prior to March 1, 2019 vest one-fourth per year beginning on March 1 of the year after the grant date. Option awards granted to the NEOs after March 1, 2019 vest one-third per year beginning on March 1 of the year after the grant date.</w:t>
      </w:r>
    </w:p>
    <w:p>
      <w:pPr>
        <w:spacing w:after="0" w:line="1" w:lineRule="exact"/>
        <w:rPr>
          <w:rFonts w:ascii="Arial" w:cs="Arial" w:eastAsia="Arial" w:hAnsi="Arial"/>
          <w:sz w:val="14"/>
          <w:szCs w:val="14"/>
          <w:color w:val="auto"/>
        </w:rPr>
      </w:pPr>
    </w:p>
    <w:p>
      <w:pPr>
        <w:jc w:val="both"/>
        <w:ind w:left="360" w:hanging="360"/>
        <w:spacing w:after="0" w:line="256"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This represents the aggregate number of actual performance units earned for the 2019-2021 long-term incentive plan, based on actual performance results plus the number of the performance units that would be paid out assuming maximum performance for both the 2020-2022 long-term incentive plan and the 2021-2023 long-term incentive plan multiplied by the fair market value of Wabtec common stock price as of December 31, 2021.</w:t>
      </w:r>
    </w:p>
    <w:p>
      <w:pPr>
        <w:spacing w:after="0" w:line="15" w:lineRule="exact"/>
        <w:rPr>
          <w:rFonts w:ascii="Arial" w:cs="Arial" w:eastAsia="Arial" w:hAnsi="Arial"/>
          <w:sz w:val="14"/>
          <w:szCs w:val="14"/>
          <w:color w:val="auto"/>
        </w:rPr>
      </w:pPr>
    </w:p>
    <w:p>
      <w:pPr>
        <w:jc w:val="both"/>
        <w:ind w:left="360" w:hanging="360"/>
        <w:spacing w:after="0" w:line="263"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in 2018 to the executive under the 2011 Stock Incentive Plan and that remain unvested as of December 31, 2021. One-fourth of this award vested on March 1, 2019, March 1, 2020, and March 1, 2021 and the remaining one-fourth shares vested on March 1, 2022.</w:t>
      </w:r>
    </w:p>
    <w:p>
      <w:pPr>
        <w:spacing w:after="0" w:line="10" w:lineRule="exact"/>
        <w:rPr>
          <w:rFonts w:ascii="Arial" w:cs="Arial" w:eastAsia="Arial" w:hAnsi="Arial"/>
          <w:sz w:val="14"/>
          <w:szCs w:val="14"/>
          <w:color w:val="auto"/>
        </w:rPr>
      </w:pPr>
    </w:p>
    <w:p>
      <w:pPr>
        <w:jc w:val="both"/>
        <w:ind w:left="360" w:hanging="360"/>
        <w:spacing w:after="0" w:line="263"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in 2019 to the executive under the 2011 Stock Incentive Plan and that remain unvested as of December 31, 2021. One-third of this award vested on March 1, 2020, one-third of this award vested on March 1, 2021 and the remaining one third shares vested on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58978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64"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46</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79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51" w:name="page52"/>
    <w:bookmarkEnd w:id="5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left="360" w:hanging="360"/>
        <w:spacing w:after="0" w:line="263" w:lineRule="auto"/>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to the executive as a special success award in 2019 under the 2011 Stock Incentive Plan that remained unvested as of December 31, 2021. One-third of this award vested on March 1, 2020, one-third of this award vested on March 1, 2021 and the remaining one-third shares vested on March 1, 2022.</w:t>
      </w:r>
    </w:p>
    <w:p>
      <w:pPr>
        <w:spacing w:after="0" w:line="10" w:lineRule="exact"/>
        <w:rPr>
          <w:rFonts w:ascii="Arial" w:cs="Arial" w:eastAsia="Arial" w:hAnsi="Arial"/>
          <w:sz w:val="14"/>
          <w:szCs w:val="14"/>
          <w:color w:val="auto"/>
        </w:rPr>
      </w:pPr>
    </w:p>
    <w:p>
      <w:pPr>
        <w:jc w:val="both"/>
        <w:ind w:left="360" w:hanging="360"/>
        <w:spacing w:after="0" w:line="258" w:lineRule="auto"/>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to the executive in 2019 under the 2011 Stock Incentive Plan that remained unvested as of December 31, 2021. One-fourth of this award vested on March 1, 2020, one-fourth of this award vested on March 1, 2021 and one-fourth of this award vested on March 1, 2022 and the remaining shares will vest in one-fourth increments on March 1, 2023.</w:t>
      </w:r>
    </w:p>
    <w:p>
      <w:pPr>
        <w:spacing w:after="0" w:line="182" w:lineRule="exact"/>
        <w:rPr>
          <w:rFonts w:ascii="Arial" w:cs="Arial" w:eastAsia="Arial" w:hAnsi="Arial"/>
          <w:sz w:val="14"/>
          <w:szCs w:val="14"/>
          <w:color w:val="auto"/>
        </w:rPr>
      </w:pPr>
    </w:p>
    <w:p>
      <w:pPr>
        <w:jc w:val="both"/>
        <w:ind w:left="360" w:hanging="360"/>
        <w:spacing w:after="0" w:line="263" w:lineRule="auto"/>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in 2020 to the executive under the 2011 Stock Incentive Plan and that remain unvested as of December 31, 2021. One-third of this award vested on March 1, 2021, one-third of this award vested on March 1, 2022 and the remaining one-third of the shares will vest on March 1, 2023.</w:t>
      </w:r>
    </w:p>
    <w:p>
      <w:pPr>
        <w:spacing w:after="0" w:line="10" w:lineRule="exact"/>
        <w:rPr>
          <w:rFonts w:ascii="Arial" w:cs="Arial" w:eastAsia="Arial" w:hAnsi="Arial"/>
          <w:sz w:val="14"/>
          <w:szCs w:val="14"/>
          <w:color w:val="auto"/>
        </w:rPr>
      </w:pPr>
    </w:p>
    <w:p>
      <w:pPr>
        <w:jc w:val="both"/>
        <w:ind w:left="360" w:hanging="360"/>
        <w:spacing w:after="0" w:line="263" w:lineRule="auto"/>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to the executive as a special award in 2019 under the 2011 Stock Incentive Plan that remained unvested as of December 31, 2021. One-third of this award vested on December 5, 2020, one-third of this award vested on December 5, 2021 and the remaining one-third shares will vest on December 5, 2022.</w:t>
      </w:r>
    </w:p>
    <w:p>
      <w:pPr>
        <w:spacing w:after="0" w:line="10" w:lineRule="exact"/>
        <w:rPr>
          <w:rFonts w:ascii="Arial" w:cs="Arial" w:eastAsia="Arial" w:hAnsi="Arial"/>
          <w:sz w:val="14"/>
          <w:szCs w:val="14"/>
          <w:color w:val="auto"/>
        </w:rPr>
      </w:pPr>
    </w:p>
    <w:p>
      <w:pPr>
        <w:ind w:left="360" w:hanging="360"/>
        <w:spacing w:after="0" w:line="281" w:lineRule="auto"/>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to the executive as a special award in 2020 under the 2011 Stock Incentive Plan that remained unvested as of December 31, 2021. This award will vest in full on October 13, 2024.</w:t>
      </w:r>
    </w:p>
    <w:p>
      <w:pPr>
        <w:spacing w:after="0" w:line="1" w:lineRule="exact"/>
        <w:rPr>
          <w:rFonts w:ascii="Arial" w:cs="Arial" w:eastAsia="Arial" w:hAnsi="Arial"/>
          <w:sz w:val="14"/>
          <w:szCs w:val="14"/>
          <w:color w:val="auto"/>
        </w:rPr>
      </w:pPr>
    </w:p>
    <w:p>
      <w:pPr>
        <w:jc w:val="both"/>
        <w:ind w:left="360" w:hanging="360"/>
        <w:spacing w:after="0" w:line="263" w:lineRule="auto"/>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in 2021 to the executive under the 2011 Stock Incentive Plan and that remain unvested as of December 31, 2021. One-third of this award vested on March 1, 2022, and one-third of the award will vest on each of March 1, 2023 and March 1, 2024.</w:t>
      </w:r>
    </w:p>
    <w:p>
      <w:pPr>
        <w:spacing w:after="0" w:line="10" w:lineRule="exact"/>
        <w:rPr>
          <w:rFonts w:ascii="Arial" w:cs="Arial" w:eastAsia="Arial" w:hAnsi="Arial"/>
          <w:sz w:val="14"/>
          <w:szCs w:val="14"/>
          <w:color w:val="auto"/>
        </w:rPr>
      </w:pPr>
    </w:p>
    <w:p>
      <w:pPr>
        <w:jc w:val="both"/>
        <w:ind w:left="360" w:hanging="360"/>
        <w:spacing w:after="0" w:line="263" w:lineRule="auto"/>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to the executive as a new hire award in 2021 under the 2011 Stock Incentive Plan that remained unvested as of December 31, 2021. This award will vest in full on August 30, 2024 (the third anniversary of the grant date).</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Option Exercises and Stock Vested</w:t>
      </w:r>
    </w:p>
    <w:p>
      <w:pPr>
        <w:spacing w:after="0" w:line="128"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This table provides information concerning vesting of stock, including restricted stock, restricted stock units and similar instruments, during 2021 for the named executive officers on an aggregate basis.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0" w:type="dxa"/>
            <w:vAlign w:val="bottom"/>
          </w:tcPr>
          <w:p>
            <w:pPr>
              <w:spacing w:after="0"/>
              <w:rPr>
                <w:sz w:val="19"/>
                <w:szCs w:val="19"/>
                <w:color w:val="auto"/>
              </w:rPr>
            </w:pPr>
          </w:p>
        </w:tc>
        <w:tc>
          <w:tcPr>
            <w:tcW w:w="3300" w:type="dxa"/>
            <w:vAlign w:val="bottom"/>
            <w:gridSpan w:val="2"/>
          </w:tcPr>
          <w:p>
            <w:pPr>
              <w:jc w:val="right"/>
              <w:ind w:right="333"/>
              <w:spacing w:after="0"/>
              <w:rPr>
                <w:sz w:val="20"/>
                <w:szCs w:val="20"/>
                <w:color w:val="auto"/>
              </w:rPr>
            </w:pPr>
            <w:r>
              <w:rPr>
                <w:rFonts w:ascii="Arial" w:cs="Arial" w:eastAsia="Arial" w:hAnsi="Arial"/>
                <w:sz w:val="16"/>
                <w:szCs w:val="16"/>
                <w:b w:val="1"/>
                <w:bCs w:val="1"/>
                <w:color w:val="EC252A"/>
              </w:rPr>
              <w:t>Option Awards</w:t>
            </w:r>
          </w:p>
        </w:tc>
        <w:tc>
          <w:tcPr>
            <w:tcW w:w="420" w:type="dxa"/>
            <w:vAlign w:val="bottom"/>
          </w:tcPr>
          <w:p>
            <w:pPr>
              <w:spacing w:after="0"/>
              <w:rPr>
                <w:sz w:val="19"/>
                <w:szCs w:val="19"/>
                <w:color w:val="auto"/>
              </w:rPr>
            </w:pPr>
          </w:p>
        </w:tc>
        <w:tc>
          <w:tcPr>
            <w:tcW w:w="3160" w:type="dxa"/>
            <w:vAlign w:val="bottom"/>
            <w:gridSpan w:val="3"/>
          </w:tcPr>
          <w:p>
            <w:pPr>
              <w:jc w:val="right"/>
              <w:ind w:right="871"/>
              <w:spacing w:after="0"/>
              <w:rPr>
                <w:sz w:val="20"/>
                <w:szCs w:val="20"/>
                <w:color w:val="auto"/>
              </w:rPr>
            </w:pPr>
            <w:r>
              <w:rPr>
                <w:rFonts w:ascii="Arial" w:cs="Arial" w:eastAsia="Arial" w:hAnsi="Arial"/>
                <w:sz w:val="16"/>
                <w:szCs w:val="16"/>
                <w:b w:val="1"/>
                <w:bCs w:val="1"/>
                <w:color w:val="EC252A"/>
              </w:rPr>
              <w:t>Stock Awards</w:t>
            </w:r>
          </w:p>
        </w:tc>
      </w:tr>
      <w:tr>
        <w:trPr>
          <w:trHeight w:val="62"/>
        </w:trPr>
        <w:tc>
          <w:tcPr>
            <w:tcW w:w="2400" w:type="dxa"/>
            <w:vAlign w:val="bottom"/>
            <w:tcBorders>
              <w:bottom w:val="single" w:sz="8" w:color="EC252A"/>
            </w:tcBorders>
          </w:tcPr>
          <w:p>
            <w:pPr>
              <w:spacing w:after="0"/>
              <w:rPr>
                <w:sz w:val="5"/>
                <w:szCs w:val="5"/>
                <w:color w:val="auto"/>
              </w:rPr>
            </w:pPr>
          </w:p>
        </w:tc>
        <w:tc>
          <w:tcPr>
            <w:tcW w:w="2380" w:type="dxa"/>
            <w:vAlign w:val="bottom"/>
            <w:tcBorders>
              <w:bottom w:val="single" w:sz="8" w:color="EC252A"/>
            </w:tcBorders>
          </w:tcPr>
          <w:p>
            <w:pPr>
              <w:spacing w:after="0"/>
              <w:rPr>
                <w:sz w:val="5"/>
                <w:szCs w:val="5"/>
                <w:color w:val="auto"/>
              </w:rPr>
            </w:pPr>
          </w:p>
        </w:tc>
        <w:tc>
          <w:tcPr>
            <w:tcW w:w="920" w:type="dxa"/>
            <w:vAlign w:val="bottom"/>
            <w:tcBorders>
              <w:bottom w:val="single" w:sz="8" w:color="EC252A"/>
            </w:tcBorders>
          </w:tcPr>
          <w:p>
            <w:pPr>
              <w:spacing w:after="0"/>
              <w:rPr>
                <w:sz w:val="5"/>
                <w:szCs w:val="5"/>
                <w:color w:val="auto"/>
              </w:rPr>
            </w:pPr>
          </w:p>
        </w:tc>
        <w:tc>
          <w:tcPr>
            <w:tcW w:w="420" w:type="dxa"/>
            <w:vAlign w:val="bottom"/>
            <w:tcBorders>
              <w:bottom w:val="single" w:sz="8" w:color="EC252A"/>
            </w:tcBorders>
          </w:tcPr>
          <w:p>
            <w:pPr>
              <w:spacing w:after="0"/>
              <w:rPr>
                <w:sz w:val="5"/>
                <w:szCs w:val="5"/>
                <w:color w:val="auto"/>
              </w:rPr>
            </w:pPr>
          </w:p>
        </w:tc>
        <w:tc>
          <w:tcPr>
            <w:tcW w:w="1660" w:type="dxa"/>
            <w:vAlign w:val="bottom"/>
            <w:tcBorders>
              <w:bottom w:val="single" w:sz="8" w:color="EC252A"/>
            </w:tcBorders>
          </w:tcPr>
          <w:p>
            <w:pPr>
              <w:spacing w:after="0"/>
              <w:rPr>
                <w:sz w:val="5"/>
                <w:szCs w:val="5"/>
                <w:color w:val="auto"/>
              </w:rPr>
            </w:pPr>
          </w:p>
        </w:tc>
        <w:tc>
          <w:tcPr>
            <w:tcW w:w="1500" w:type="dxa"/>
            <w:vAlign w:val="bottom"/>
            <w:tcBorders>
              <w:bottom w:val="single" w:sz="8" w:color="EC252A"/>
            </w:tcBorders>
            <w:gridSpan w:val="2"/>
          </w:tcPr>
          <w:p>
            <w:pPr>
              <w:spacing w:after="0"/>
              <w:rPr>
                <w:sz w:val="5"/>
                <w:szCs w:val="5"/>
                <w:color w:val="auto"/>
              </w:rPr>
            </w:pPr>
          </w:p>
        </w:tc>
      </w:tr>
      <w:tr>
        <w:trPr>
          <w:trHeight w:val="249"/>
        </w:trPr>
        <w:tc>
          <w:tcPr>
            <w:tcW w:w="2400" w:type="dxa"/>
            <w:vAlign w:val="bottom"/>
          </w:tcPr>
          <w:p>
            <w:pPr>
              <w:spacing w:after="0"/>
              <w:rPr>
                <w:sz w:val="21"/>
                <w:szCs w:val="21"/>
                <w:color w:val="auto"/>
              </w:rPr>
            </w:pPr>
          </w:p>
        </w:tc>
        <w:tc>
          <w:tcPr>
            <w:tcW w:w="2380" w:type="dxa"/>
            <w:vAlign w:val="bottom"/>
          </w:tcPr>
          <w:p>
            <w:pPr>
              <w:jc w:val="center"/>
              <w:ind w:left="534"/>
              <w:spacing w:after="0"/>
              <w:rPr>
                <w:sz w:val="20"/>
                <w:szCs w:val="20"/>
                <w:color w:val="auto"/>
              </w:rPr>
            </w:pPr>
            <w:r>
              <w:rPr>
                <w:rFonts w:ascii="Arial" w:cs="Arial" w:eastAsia="Arial" w:hAnsi="Arial"/>
                <w:sz w:val="16"/>
                <w:szCs w:val="16"/>
                <w:b w:val="1"/>
                <w:bCs w:val="1"/>
                <w:color w:val="EC252A"/>
                <w:w w:val="99"/>
              </w:rPr>
              <w:t>Number of</w:t>
            </w:r>
          </w:p>
        </w:tc>
        <w:tc>
          <w:tcPr>
            <w:tcW w:w="920" w:type="dxa"/>
            <w:vAlign w:val="bottom"/>
          </w:tcPr>
          <w:p>
            <w:pPr>
              <w:jc w:val="center"/>
              <w:ind w:left="333"/>
              <w:spacing w:after="0"/>
              <w:rPr>
                <w:sz w:val="20"/>
                <w:szCs w:val="20"/>
                <w:color w:val="auto"/>
              </w:rPr>
            </w:pPr>
            <w:r>
              <w:rPr>
                <w:rFonts w:ascii="Arial" w:cs="Arial" w:eastAsia="Arial" w:hAnsi="Arial"/>
                <w:sz w:val="16"/>
                <w:szCs w:val="16"/>
                <w:b w:val="1"/>
                <w:bCs w:val="1"/>
                <w:color w:val="EC252A"/>
                <w:w w:val="98"/>
              </w:rPr>
              <w:t>Value</w:t>
            </w:r>
          </w:p>
        </w:tc>
        <w:tc>
          <w:tcPr>
            <w:tcW w:w="420" w:type="dxa"/>
            <w:vAlign w:val="bottom"/>
          </w:tcPr>
          <w:p>
            <w:pPr>
              <w:spacing w:after="0"/>
              <w:rPr>
                <w:sz w:val="21"/>
                <w:szCs w:val="21"/>
                <w:color w:val="auto"/>
              </w:rPr>
            </w:pPr>
          </w:p>
        </w:tc>
        <w:tc>
          <w:tcPr>
            <w:tcW w:w="1660" w:type="dxa"/>
            <w:vAlign w:val="bottom"/>
          </w:tcPr>
          <w:p>
            <w:pPr>
              <w:jc w:val="center"/>
              <w:ind w:left="54"/>
              <w:spacing w:after="0"/>
              <w:rPr>
                <w:sz w:val="20"/>
                <w:szCs w:val="20"/>
                <w:color w:val="auto"/>
              </w:rPr>
            </w:pPr>
            <w:r>
              <w:rPr>
                <w:rFonts w:ascii="Arial" w:cs="Arial" w:eastAsia="Arial" w:hAnsi="Arial"/>
                <w:sz w:val="16"/>
                <w:szCs w:val="16"/>
                <w:b w:val="1"/>
                <w:bCs w:val="1"/>
                <w:color w:val="EC252A"/>
              </w:rPr>
              <w:t>Number of Shares</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EC252A"/>
                <w:w w:val="99"/>
              </w:rPr>
              <w:t>Value Realized on</w:t>
            </w:r>
          </w:p>
        </w:tc>
      </w:tr>
      <w:tr>
        <w:trPr>
          <w:trHeight w:val="189"/>
        </w:trPr>
        <w:tc>
          <w:tcPr>
            <w:tcW w:w="2400" w:type="dxa"/>
            <w:vAlign w:val="bottom"/>
          </w:tcPr>
          <w:p>
            <w:pPr>
              <w:spacing w:after="0"/>
              <w:rPr>
                <w:sz w:val="16"/>
                <w:szCs w:val="16"/>
                <w:color w:val="auto"/>
              </w:rPr>
            </w:pPr>
          </w:p>
        </w:tc>
        <w:tc>
          <w:tcPr>
            <w:tcW w:w="2380" w:type="dxa"/>
            <w:vAlign w:val="bottom"/>
          </w:tcPr>
          <w:p>
            <w:pPr>
              <w:jc w:val="center"/>
              <w:ind w:left="534"/>
              <w:spacing w:after="0"/>
              <w:rPr>
                <w:sz w:val="20"/>
                <w:szCs w:val="20"/>
                <w:color w:val="auto"/>
              </w:rPr>
            </w:pPr>
            <w:r>
              <w:rPr>
                <w:rFonts w:ascii="Arial" w:cs="Arial" w:eastAsia="Arial" w:hAnsi="Arial"/>
                <w:sz w:val="16"/>
                <w:szCs w:val="16"/>
                <w:b w:val="1"/>
                <w:bCs w:val="1"/>
                <w:color w:val="EC252A"/>
              </w:rPr>
              <w:t>Shares Acquired</w:t>
            </w: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EC252A"/>
              </w:rPr>
              <w:t>Realized on</w:t>
            </w:r>
          </w:p>
        </w:tc>
        <w:tc>
          <w:tcPr>
            <w:tcW w:w="1660" w:type="dxa"/>
            <w:vAlign w:val="bottom"/>
          </w:tcPr>
          <w:p>
            <w:pPr>
              <w:jc w:val="center"/>
              <w:ind w:left="14"/>
              <w:spacing w:after="0"/>
              <w:rPr>
                <w:sz w:val="20"/>
                <w:szCs w:val="20"/>
                <w:color w:val="auto"/>
              </w:rPr>
            </w:pPr>
            <w:r>
              <w:rPr>
                <w:rFonts w:ascii="Arial" w:cs="Arial" w:eastAsia="Arial" w:hAnsi="Arial"/>
                <w:sz w:val="16"/>
                <w:szCs w:val="16"/>
                <w:b w:val="1"/>
                <w:bCs w:val="1"/>
                <w:color w:val="EC252A"/>
              </w:rPr>
              <w:t>Acquired on</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EC252A"/>
              </w:rPr>
              <w:t>Vesting</w:t>
            </w:r>
          </w:p>
        </w:tc>
      </w:tr>
      <w:tr>
        <w:trPr>
          <w:trHeight w:val="223"/>
        </w:trPr>
        <w:tc>
          <w:tcPr>
            <w:tcW w:w="2400" w:type="dxa"/>
            <w:vAlign w:val="bottom"/>
          </w:tcPr>
          <w:p>
            <w:pPr>
              <w:ind w:left="80"/>
              <w:spacing w:after="0"/>
              <w:rPr>
                <w:sz w:val="20"/>
                <w:szCs w:val="20"/>
                <w:color w:val="auto"/>
              </w:rPr>
            </w:pPr>
            <w:r>
              <w:rPr>
                <w:rFonts w:ascii="Arial" w:cs="Arial" w:eastAsia="Arial" w:hAnsi="Arial"/>
                <w:sz w:val="16"/>
                <w:szCs w:val="16"/>
                <w:b w:val="1"/>
                <w:bCs w:val="1"/>
                <w:color w:val="EC252A"/>
              </w:rPr>
              <w:t>Name</w:t>
            </w:r>
          </w:p>
        </w:tc>
        <w:tc>
          <w:tcPr>
            <w:tcW w:w="2380" w:type="dxa"/>
            <w:vAlign w:val="bottom"/>
          </w:tcPr>
          <w:p>
            <w:pPr>
              <w:jc w:val="center"/>
              <w:ind w:left="574"/>
              <w:spacing w:after="0"/>
              <w:rPr>
                <w:sz w:val="20"/>
                <w:szCs w:val="20"/>
                <w:color w:val="auto"/>
              </w:rPr>
            </w:pPr>
            <w:r>
              <w:rPr>
                <w:rFonts w:ascii="Arial" w:cs="Arial" w:eastAsia="Arial" w:hAnsi="Arial"/>
                <w:sz w:val="16"/>
                <w:szCs w:val="16"/>
                <w:b w:val="1"/>
                <w:bCs w:val="1"/>
                <w:color w:val="EC252A"/>
              </w:rPr>
              <w:t>on Exercise</w:t>
            </w: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EC252A"/>
              </w:rPr>
              <w:t>Exercise</w:t>
            </w:r>
          </w:p>
        </w:tc>
        <w:tc>
          <w:tcPr>
            <w:tcW w:w="1660" w:type="dxa"/>
            <w:vAlign w:val="bottom"/>
          </w:tcPr>
          <w:p>
            <w:pPr>
              <w:jc w:val="center"/>
              <w:ind w:left="54"/>
              <w:spacing w:after="0"/>
              <w:rPr>
                <w:sz w:val="20"/>
                <w:szCs w:val="20"/>
                <w:color w:val="auto"/>
              </w:rPr>
            </w:pPr>
            <w:r>
              <w:rPr>
                <w:rFonts w:ascii="Arial" w:cs="Arial" w:eastAsia="Arial" w:hAnsi="Arial"/>
                <w:sz w:val="16"/>
                <w:szCs w:val="16"/>
                <w:b w:val="1"/>
                <w:bCs w:val="1"/>
                <w:color w:val="EC252A"/>
                <w:w w:val="96"/>
              </w:rPr>
              <w:t>Vesting</w:t>
            </w:r>
          </w:p>
        </w:tc>
        <w:tc>
          <w:tcPr>
            <w:tcW w:w="460" w:type="dxa"/>
            <w:vAlign w:val="bottom"/>
          </w:tcPr>
          <w:p>
            <w:pPr>
              <w:spacing w:after="0"/>
              <w:rPr>
                <w:sz w:val="19"/>
                <w:szCs w:val="19"/>
                <w:color w:val="auto"/>
              </w:rPr>
            </w:pPr>
          </w:p>
        </w:tc>
        <w:tc>
          <w:tcPr>
            <w:tcW w:w="1040" w:type="dxa"/>
            <w:vAlign w:val="bottom"/>
          </w:tcPr>
          <w:p>
            <w:pPr>
              <w:jc w:val="center"/>
              <w:ind w:right="351"/>
              <w:spacing w:after="0"/>
              <w:rPr>
                <w:sz w:val="20"/>
                <w:szCs w:val="20"/>
                <w:color w:val="auto"/>
              </w:rPr>
            </w:pPr>
            <w:r>
              <w:rPr>
                <w:rFonts w:ascii="Arial" w:cs="Arial" w:eastAsia="Arial" w:hAnsi="Arial"/>
                <w:sz w:val="16"/>
                <w:szCs w:val="16"/>
                <w:b w:val="1"/>
                <w:bCs w:val="1"/>
                <w:color w:val="EC252A"/>
              </w:rPr>
              <w:t>(1)(2)</w:t>
            </w:r>
          </w:p>
        </w:tc>
      </w:tr>
      <w:tr>
        <w:trPr>
          <w:trHeight w:val="61"/>
        </w:trPr>
        <w:tc>
          <w:tcPr>
            <w:tcW w:w="2400" w:type="dxa"/>
            <w:vAlign w:val="bottom"/>
            <w:tcBorders>
              <w:bottom w:val="single" w:sz="8" w:color="EC252A"/>
            </w:tcBorders>
          </w:tcPr>
          <w:p>
            <w:pPr>
              <w:spacing w:after="0"/>
              <w:rPr>
                <w:sz w:val="5"/>
                <w:szCs w:val="5"/>
                <w:color w:val="auto"/>
              </w:rPr>
            </w:pPr>
          </w:p>
        </w:tc>
        <w:tc>
          <w:tcPr>
            <w:tcW w:w="2380" w:type="dxa"/>
            <w:vAlign w:val="bottom"/>
            <w:tcBorders>
              <w:bottom w:val="single" w:sz="8" w:color="EC252A"/>
            </w:tcBorders>
          </w:tcPr>
          <w:p>
            <w:pPr>
              <w:spacing w:after="0"/>
              <w:rPr>
                <w:sz w:val="5"/>
                <w:szCs w:val="5"/>
                <w:color w:val="auto"/>
              </w:rPr>
            </w:pPr>
          </w:p>
        </w:tc>
        <w:tc>
          <w:tcPr>
            <w:tcW w:w="920" w:type="dxa"/>
            <w:vAlign w:val="bottom"/>
            <w:tcBorders>
              <w:bottom w:val="single" w:sz="8" w:color="EC252A"/>
            </w:tcBorders>
          </w:tcPr>
          <w:p>
            <w:pPr>
              <w:spacing w:after="0"/>
              <w:rPr>
                <w:sz w:val="5"/>
                <w:szCs w:val="5"/>
                <w:color w:val="auto"/>
              </w:rPr>
            </w:pPr>
          </w:p>
        </w:tc>
        <w:tc>
          <w:tcPr>
            <w:tcW w:w="420" w:type="dxa"/>
            <w:vAlign w:val="bottom"/>
            <w:tcBorders>
              <w:bottom w:val="single" w:sz="8" w:color="EC252A"/>
            </w:tcBorders>
          </w:tcPr>
          <w:p>
            <w:pPr>
              <w:spacing w:after="0"/>
              <w:rPr>
                <w:sz w:val="5"/>
                <w:szCs w:val="5"/>
                <w:color w:val="auto"/>
              </w:rPr>
            </w:pPr>
          </w:p>
        </w:tc>
        <w:tc>
          <w:tcPr>
            <w:tcW w:w="1660" w:type="dxa"/>
            <w:vAlign w:val="bottom"/>
            <w:tcBorders>
              <w:bottom w:val="single" w:sz="8" w:color="EC252A"/>
            </w:tcBorders>
          </w:tcPr>
          <w:p>
            <w:pPr>
              <w:spacing w:after="0"/>
              <w:rPr>
                <w:sz w:val="5"/>
                <w:szCs w:val="5"/>
                <w:color w:val="auto"/>
              </w:rPr>
            </w:pPr>
          </w:p>
        </w:tc>
        <w:tc>
          <w:tcPr>
            <w:tcW w:w="460" w:type="dxa"/>
            <w:vAlign w:val="bottom"/>
            <w:tcBorders>
              <w:bottom w:val="single" w:sz="8" w:color="EC252A"/>
            </w:tcBorders>
          </w:tcPr>
          <w:p>
            <w:pPr>
              <w:spacing w:after="0"/>
              <w:rPr>
                <w:sz w:val="5"/>
                <w:szCs w:val="5"/>
                <w:color w:val="auto"/>
              </w:rPr>
            </w:pPr>
          </w:p>
        </w:tc>
        <w:tc>
          <w:tcPr>
            <w:tcW w:w="1040" w:type="dxa"/>
            <w:vAlign w:val="bottom"/>
            <w:tcBorders>
              <w:bottom w:val="single" w:sz="8" w:color="EC252A"/>
            </w:tcBorders>
          </w:tcPr>
          <w:p>
            <w:pPr>
              <w:spacing w:after="0"/>
              <w:rPr>
                <w:sz w:val="5"/>
                <w:szCs w:val="5"/>
                <w:color w:val="auto"/>
              </w:rPr>
            </w:pPr>
          </w:p>
        </w:tc>
      </w:tr>
      <w:tr>
        <w:trPr>
          <w:trHeight w:val="295"/>
        </w:trPr>
        <w:tc>
          <w:tcPr>
            <w:tcW w:w="2400" w:type="dxa"/>
            <w:vAlign w:val="bottom"/>
          </w:tcPr>
          <w:p>
            <w:pPr>
              <w:ind w:left="80"/>
              <w:spacing w:after="0"/>
              <w:rPr>
                <w:sz w:val="20"/>
                <w:szCs w:val="20"/>
                <w:color w:val="auto"/>
              </w:rPr>
            </w:pPr>
            <w:r>
              <w:rPr>
                <w:rFonts w:ascii="Arial" w:cs="Arial" w:eastAsia="Arial" w:hAnsi="Arial"/>
                <w:sz w:val="18"/>
                <w:szCs w:val="18"/>
                <w:color w:val="auto"/>
              </w:rPr>
              <w:t>Rafael Santana</w:t>
            </w:r>
          </w:p>
        </w:tc>
        <w:tc>
          <w:tcPr>
            <w:tcW w:w="2380" w:type="dxa"/>
            <w:vAlign w:val="bottom"/>
          </w:tcPr>
          <w:p>
            <w:pPr>
              <w:jc w:val="center"/>
              <w:ind w:left="554"/>
              <w:spacing w:after="0"/>
              <w:rPr>
                <w:sz w:val="20"/>
                <w:szCs w:val="20"/>
                <w:color w:val="auto"/>
              </w:rPr>
            </w:pPr>
            <w:r>
              <w:rPr>
                <w:rFonts w:ascii="Arial" w:cs="Arial" w:eastAsia="Arial" w:hAnsi="Arial"/>
                <w:sz w:val="18"/>
                <w:szCs w:val="18"/>
                <w:color w:val="auto"/>
                <w:w w:val="99"/>
              </w:rPr>
              <w:t>0</w:t>
            </w:r>
          </w:p>
        </w:tc>
        <w:tc>
          <w:tcPr>
            <w:tcW w:w="92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28,209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w w:val="97"/>
              </w:rPr>
              <w:t>2,091,697</w:t>
            </w:r>
          </w:p>
        </w:tc>
      </w:tr>
      <w:tr>
        <w:trPr>
          <w:trHeight w:val="50"/>
        </w:trPr>
        <w:tc>
          <w:tcPr>
            <w:tcW w:w="24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81"/>
        </w:trPr>
        <w:tc>
          <w:tcPr>
            <w:tcW w:w="2400" w:type="dxa"/>
            <w:vAlign w:val="bottom"/>
          </w:tcPr>
          <w:p>
            <w:pPr>
              <w:ind w:left="80"/>
              <w:spacing w:after="0"/>
              <w:rPr>
                <w:sz w:val="20"/>
                <w:szCs w:val="20"/>
                <w:color w:val="auto"/>
              </w:rPr>
            </w:pPr>
            <w:r>
              <w:rPr>
                <w:rFonts w:ascii="Arial" w:cs="Arial" w:eastAsia="Arial" w:hAnsi="Arial"/>
                <w:sz w:val="18"/>
                <w:szCs w:val="18"/>
                <w:color w:val="auto"/>
              </w:rPr>
              <w:t>John Olin</w:t>
            </w:r>
          </w:p>
        </w:tc>
        <w:tc>
          <w:tcPr>
            <w:tcW w:w="2380" w:type="dxa"/>
            <w:vAlign w:val="bottom"/>
          </w:tcPr>
          <w:p>
            <w:pPr>
              <w:jc w:val="center"/>
              <w:ind w:left="554"/>
              <w:spacing w:after="0"/>
              <w:rPr>
                <w:sz w:val="20"/>
                <w:szCs w:val="20"/>
                <w:color w:val="auto"/>
              </w:rPr>
            </w:pPr>
            <w:r>
              <w:rPr>
                <w:rFonts w:ascii="Arial" w:cs="Arial" w:eastAsia="Arial" w:hAnsi="Arial"/>
                <w:sz w:val="18"/>
                <w:szCs w:val="18"/>
                <w:color w:val="auto"/>
                <w:w w:val="99"/>
              </w:rPr>
              <w:t>0</w:t>
            </w:r>
          </w:p>
        </w:tc>
        <w:tc>
          <w:tcPr>
            <w:tcW w:w="92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0</w:t>
            </w:r>
          </w:p>
        </w:tc>
      </w:tr>
      <w:tr>
        <w:trPr>
          <w:trHeight w:val="50"/>
        </w:trPr>
        <w:tc>
          <w:tcPr>
            <w:tcW w:w="24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81"/>
        </w:trPr>
        <w:tc>
          <w:tcPr>
            <w:tcW w:w="2400" w:type="dxa"/>
            <w:vAlign w:val="bottom"/>
          </w:tcPr>
          <w:p>
            <w:pPr>
              <w:ind w:left="80"/>
              <w:spacing w:after="0"/>
              <w:rPr>
                <w:sz w:val="20"/>
                <w:szCs w:val="20"/>
                <w:color w:val="auto"/>
              </w:rPr>
            </w:pPr>
            <w:r>
              <w:rPr>
                <w:rFonts w:ascii="Arial" w:cs="Arial" w:eastAsia="Arial" w:hAnsi="Arial"/>
                <w:sz w:val="18"/>
                <w:szCs w:val="18"/>
                <w:color w:val="auto"/>
              </w:rPr>
              <w:t>David DeNinno</w:t>
            </w:r>
          </w:p>
        </w:tc>
        <w:tc>
          <w:tcPr>
            <w:tcW w:w="2380" w:type="dxa"/>
            <w:vAlign w:val="bottom"/>
          </w:tcPr>
          <w:p>
            <w:pPr>
              <w:jc w:val="center"/>
              <w:ind w:left="554"/>
              <w:spacing w:after="0"/>
              <w:rPr>
                <w:sz w:val="20"/>
                <w:szCs w:val="20"/>
                <w:color w:val="auto"/>
              </w:rPr>
            </w:pPr>
            <w:r>
              <w:rPr>
                <w:rFonts w:ascii="Arial" w:cs="Arial" w:eastAsia="Arial" w:hAnsi="Arial"/>
                <w:sz w:val="18"/>
                <w:szCs w:val="18"/>
                <w:color w:val="auto"/>
                <w:w w:val="99"/>
              </w:rPr>
              <w:t>0</w:t>
            </w:r>
          </w:p>
        </w:tc>
        <w:tc>
          <w:tcPr>
            <w:tcW w:w="92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15,042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1,122,949(2)</w:t>
            </w:r>
          </w:p>
        </w:tc>
      </w:tr>
      <w:tr>
        <w:trPr>
          <w:trHeight w:val="50"/>
        </w:trPr>
        <w:tc>
          <w:tcPr>
            <w:tcW w:w="24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81"/>
        </w:trPr>
        <w:tc>
          <w:tcPr>
            <w:tcW w:w="2400" w:type="dxa"/>
            <w:vAlign w:val="bottom"/>
          </w:tcPr>
          <w:p>
            <w:pPr>
              <w:ind w:left="80"/>
              <w:spacing w:after="0"/>
              <w:rPr>
                <w:sz w:val="20"/>
                <w:szCs w:val="20"/>
                <w:color w:val="auto"/>
              </w:rPr>
            </w:pPr>
            <w:r>
              <w:rPr>
                <w:rFonts w:ascii="Arial" w:cs="Arial" w:eastAsia="Arial" w:hAnsi="Arial"/>
                <w:sz w:val="18"/>
                <w:szCs w:val="18"/>
                <w:color w:val="auto"/>
              </w:rPr>
              <w:t>Pascal Schweitzer</w:t>
            </w:r>
          </w:p>
        </w:tc>
        <w:tc>
          <w:tcPr>
            <w:tcW w:w="2380" w:type="dxa"/>
            <w:vAlign w:val="bottom"/>
          </w:tcPr>
          <w:p>
            <w:pPr>
              <w:jc w:val="center"/>
              <w:ind w:left="554"/>
              <w:spacing w:after="0"/>
              <w:rPr>
                <w:sz w:val="20"/>
                <w:szCs w:val="20"/>
                <w:color w:val="auto"/>
              </w:rPr>
            </w:pPr>
            <w:r>
              <w:rPr>
                <w:rFonts w:ascii="Arial" w:cs="Arial" w:eastAsia="Arial" w:hAnsi="Arial"/>
                <w:sz w:val="18"/>
                <w:szCs w:val="18"/>
                <w:color w:val="auto"/>
                <w:w w:val="99"/>
              </w:rPr>
              <w:t>0</w:t>
            </w:r>
          </w:p>
        </w:tc>
        <w:tc>
          <w:tcPr>
            <w:tcW w:w="92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3,439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255,001</w:t>
            </w:r>
          </w:p>
        </w:tc>
      </w:tr>
      <w:tr>
        <w:trPr>
          <w:trHeight w:val="50"/>
        </w:trPr>
        <w:tc>
          <w:tcPr>
            <w:tcW w:w="24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81"/>
        </w:trPr>
        <w:tc>
          <w:tcPr>
            <w:tcW w:w="2400" w:type="dxa"/>
            <w:vAlign w:val="bottom"/>
          </w:tcPr>
          <w:p>
            <w:pPr>
              <w:ind w:left="80"/>
              <w:spacing w:after="0"/>
              <w:rPr>
                <w:sz w:val="20"/>
                <w:szCs w:val="20"/>
                <w:color w:val="auto"/>
              </w:rPr>
            </w:pPr>
            <w:r>
              <w:rPr>
                <w:rFonts w:ascii="Arial" w:cs="Arial" w:eastAsia="Arial" w:hAnsi="Arial"/>
                <w:sz w:val="18"/>
                <w:szCs w:val="18"/>
                <w:color w:val="auto"/>
              </w:rPr>
              <w:t>Eric Gebhardt</w:t>
            </w:r>
          </w:p>
        </w:tc>
        <w:tc>
          <w:tcPr>
            <w:tcW w:w="2380" w:type="dxa"/>
            <w:vAlign w:val="bottom"/>
          </w:tcPr>
          <w:p>
            <w:pPr>
              <w:jc w:val="center"/>
              <w:ind w:left="554"/>
              <w:spacing w:after="0"/>
              <w:rPr>
                <w:sz w:val="20"/>
                <w:szCs w:val="20"/>
                <w:color w:val="auto"/>
              </w:rPr>
            </w:pPr>
            <w:r>
              <w:rPr>
                <w:rFonts w:ascii="Arial" w:cs="Arial" w:eastAsia="Arial" w:hAnsi="Arial"/>
                <w:sz w:val="18"/>
                <w:szCs w:val="18"/>
                <w:color w:val="auto"/>
                <w:w w:val="99"/>
              </w:rPr>
              <w:t>0</w:t>
            </w:r>
          </w:p>
        </w:tc>
        <w:tc>
          <w:tcPr>
            <w:tcW w:w="92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0</w:t>
            </w:r>
          </w:p>
        </w:tc>
      </w:tr>
      <w:tr>
        <w:trPr>
          <w:trHeight w:val="50"/>
        </w:trPr>
        <w:tc>
          <w:tcPr>
            <w:tcW w:w="24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81"/>
        </w:trPr>
        <w:tc>
          <w:tcPr>
            <w:tcW w:w="2400" w:type="dxa"/>
            <w:vAlign w:val="bottom"/>
          </w:tcPr>
          <w:p>
            <w:pPr>
              <w:ind w:left="80"/>
              <w:spacing w:after="0"/>
              <w:rPr>
                <w:sz w:val="20"/>
                <w:szCs w:val="20"/>
                <w:color w:val="auto"/>
              </w:rPr>
            </w:pPr>
            <w:r>
              <w:rPr>
                <w:rFonts w:ascii="Arial" w:cs="Arial" w:eastAsia="Arial" w:hAnsi="Arial"/>
                <w:sz w:val="18"/>
                <w:szCs w:val="18"/>
                <w:color w:val="auto"/>
              </w:rPr>
              <w:t>Patrick Dugan</w:t>
            </w:r>
          </w:p>
        </w:tc>
        <w:tc>
          <w:tcPr>
            <w:tcW w:w="2380" w:type="dxa"/>
            <w:vAlign w:val="bottom"/>
          </w:tcPr>
          <w:p>
            <w:pPr>
              <w:jc w:val="center"/>
              <w:ind w:left="554"/>
              <w:spacing w:after="0"/>
              <w:rPr>
                <w:sz w:val="20"/>
                <w:szCs w:val="20"/>
                <w:color w:val="auto"/>
              </w:rPr>
            </w:pPr>
            <w:r>
              <w:rPr>
                <w:rFonts w:ascii="Arial" w:cs="Arial" w:eastAsia="Arial" w:hAnsi="Arial"/>
                <w:sz w:val="18"/>
                <w:szCs w:val="18"/>
                <w:color w:val="auto"/>
                <w:w w:val="99"/>
              </w:rPr>
              <w:t>0</w:t>
            </w:r>
          </w:p>
        </w:tc>
        <w:tc>
          <w:tcPr>
            <w:tcW w:w="92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394"/>
              <w:spacing w:after="0"/>
              <w:rPr>
                <w:sz w:val="20"/>
                <w:szCs w:val="20"/>
                <w:color w:val="auto"/>
              </w:rPr>
            </w:pPr>
            <w:r>
              <w:rPr>
                <w:rFonts w:ascii="Arial" w:cs="Arial" w:eastAsia="Arial" w:hAnsi="Arial"/>
                <w:sz w:val="18"/>
                <w:szCs w:val="18"/>
                <w:color w:val="auto"/>
              </w:rPr>
              <w:t>19,302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1,441,355(2)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58978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75" w:lineRule="exact"/>
        <w:rPr>
          <w:sz w:val="20"/>
          <w:szCs w:val="20"/>
          <w:color w:val="auto"/>
        </w:rPr>
      </w:pPr>
    </w:p>
    <w:p>
      <w:pPr>
        <w:ind w:left="360" w:hanging="360"/>
        <w:spacing w:after="0" w:line="281" w:lineRule="auto"/>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Calculated by multiplying the number of shares of restricted stock that vested by the market price of Wabtec’s common stock on the vesting date.</w:t>
      </w:r>
    </w:p>
    <w:p>
      <w:pPr>
        <w:spacing w:after="0" w:line="1" w:lineRule="exact"/>
        <w:rPr>
          <w:rFonts w:ascii="Arial" w:cs="Arial" w:eastAsia="Arial" w:hAnsi="Arial"/>
          <w:sz w:val="14"/>
          <w:szCs w:val="14"/>
          <w:color w:val="auto"/>
        </w:rPr>
      </w:pPr>
    </w:p>
    <w:p>
      <w:pPr>
        <w:jc w:val="both"/>
        <w:ind w:left="360" w:hanging="360"/>
        <w:spacing w:after="0" w:line="258" w:lineRule="auto"/>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includes a payout under the 2018-2020 long-term incentive plan. Under this plan, Mr. Dugan and Mr. DeNinno earned and received on March 18, 2021, a payout of 3,241 and 2,431 shares of Wabtec common stock, respectively, with the respective values on that date of $250,432 and $187,843. Mr. Santana, Mr. Schweitzer, Mr. Gebhardt and Mr. Olin did not participate in the 2018-2020 long-term incentive plan.</w:t>
      </w:r>
    </w:p>
    <w:p>
      <w:pPr>
        <w:spacing w:after="0" w:line="307"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Post-Employment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58978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1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Wabtec sponsors a deferred compensation plan for executive officers and non-employee directors. Under the terms of the plan, eligible employee executive officers may elect to defer their base salary, cash bonus and/or long term incentive payout. None of the named executive officers currently have any benefits under this plan.</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Potential Payments Upon Termination or Change in Control</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 Agreement with Mr. Santana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58978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1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On May 6, 2020, the Company entered into a Severance Agreement with Mr. Santana setting forth severance payments in case of his termination by the Company without “cause” (as defined) or his termination as a result of certain adverse changes in his job (commonly known as “good reason”).</w:t>
      </w:r>
    </w:p>
    <w:p>
      <w:pPr>
        <w:spacing w:after="0" w:line="6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Under this arrangement, if the termination occurs other than for “cause” or by Mr. Santana for “good reason” (as defined), Mr. Santana will be entitled to severance benefits equal to 200% of the sum of his then-current salary and target annual bonus amount plus accrued compensation and continued medical benefits for two years. In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58978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384" w:lineRule="exact"/>
        <w:rPr>
          <w:sz w:val="20"/>
          <w:szCs w:val="20"/>
          <w:color w:val="auto"/>
        </w:rPr>
      </w:pPr>
    </w:p>
    <w:p>
      <w:pPr>
        <w:spacing w:after="0"/>
        <w:tabs>
          <w:tab w:leader="none" w:pos="8980" w:val="left"/>
        </w:tabs>
        <w:rPr>
          <w:sz w:val="20"/>
          <w:szCs w:val="20"/>
          <w:color w:val="auto"/>
        </w:rPr>
      </w:pPr>
      <w:r>
        <w:rPr>
          <w:sz w:val="1"/>
          <w:szCs w:val="1"/>
          <w:color w:val="auto"/>
        </w:rPr>
        <w:drawing>
          <wp:inline distT="0" distB="0" distL="0" distR="0">
            <wp:extent cx="471170" cy="18034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1170" cy="180340"/>
                    </a:xfrm>
                    <a:prstGeom prst="rect">
                      <a:avLst/>
                    </a:prstGeom>
                    <a:noFill/>
                    <a:ln>
                      <a:noFill/>
                    </a:ln>
                  </pic:spPr>
                </pic:pic>
              </a:graphicData>
            </a:graphic>
          </wp:inline>
        </w:drawing>
      </w:r>
      <w:r>
        <w:rPr>
          <w:rFonts w:ascii="Arial" w:cs="Arial" w:eastAsia="Arial" w:hAnsi="Arial"/>
          <w:sz w:val="12"/>
          <w:szCs w:val="12"/>
          <w:color w:val="EC252A"/>
        </w:rPr>
        <w:t xml:space="preserve"> 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r>
        <w:rPr>
          <w:sz w:val="20"/>
          <w:szCs w:val="20"/>
          <w:color w:val="auto"/>
        </w:rPr>
        <w:tab/>
      </w:r>
      <w:r>
        <w:rPr>
          <w:rFonts w:ascii="Arial" w:cs="Arial" w:eastAsia="Arial" w:hAnsi="Arial"/>
          <w:sz w:val="24"/>
          <w:szCs w:val="24"/>
          <w:b w:val="1"/>
          <w:bCs w:val="1"/>
          <w:color w:val="auto"/>
          <w:vertAlign w:val="superscript"/>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120015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52" w:name="page53"/>
    <w:bookmarkEnd w:id="5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case, he would also retain pro-rated participation in any three-year long-term incentive plans of the Company (which will vest at the end of the performance period based on actual performance results). For purposes of this arrangement, “cause” means (i) the willful and continued failure by Mr. Santana to substantially perform his duties to the Company; (ii) the willful or grossly negligent engaging by Mr. Santana in misconduct which is materially injurious to the Company, monetarily or otherwise; or (iii) the conviction of Mr. Santana for any felony or charge of moral turpitude. “Good reason” for this arrangement means (i) diminution of Mr. Santana’s duties, authority level or responsibilities; (ii) Mr. Santana being required to report to any person other than the Chairman of the Company; (iii) a material diminution of Mr. Santana’s annual compensation; or (iv) a failure to nominate Mr. Santana to the Wabtec board of directors. Had Mr. Santana’s employment terminated on December 31, 2021 without cause or for good reason under this arrangement, he would have been entitled to a cash severance payment in the amount of $6,029,050.</w:t>
      </w:r>
    </w:p>
    <w:p>
      <w:pPr>
        <w:spacing w:after="0" w:line="78" w:lineRule="exact"/>
        <w:rPr>
          <w:sz w:val="20"/>
          <w:szCs w:val="20"/>
          <w:color w:val="auto"/>
        </w:rPr>
      </w:pPr>
    </w:p>
    <w:p>
      <w:pPr>
        <w:ind w:right="140"/>
        <w:spacing w:after="0"/>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If Mr. Santana’s employment is terminated due to his death or disability, he will receive his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through the date of termination, any unreimbursed business expenses, and any vested amounts or benefits under Wabtec’s benefit plans, including any benefits payable for death or disability under applicable plans or policies. If Mr. Santana had terminated his employment due to death at December 31, 2021, the value of the life insurance benefits payable under Wabtec’s plan to Mr. Santana would have been $1,000,000 or in the case of termination for disability at December 31, 2021, the value of the disability benefits under Wabtec’s plan to Mr. Santana would have been $300,000 annually.</w:t>
      </w:r>
    </w:p>
    <w:p>
      <w:pPr>
        <w:spacing w:after="0" w:line="7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i w:val="1"/>
          <w:iCs w:val="1"/>
          <w:color w:val="auto"/>
        </w:rPr>
        <w:t>By the Company for Cause; By Mr. Santana for any Reason</w:t>
      </w:r>
      <w:r>
        <w:rPr>
          <w:rFonts w:ascii="Arial" w:cs="Arial" w:eastAsia="Arial" w:hAnsi="Arial"/>
          <w:sz w:val="18"/>
          <w:szCs w:val="18"/>
          <w:color w:val="auto"/>
        </w:rPr>
        <w:t>. If Mr. Santana’s employment is terminated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or he terminates his employment for any reason, the Severance Agreement will terminate without further obligations of the Company.</w:t>
      </w:r>
    </w:p>
    <w:p>
      <w:pPr>
        <w:spacing w:after="0" w:line="6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While Mr. Santana has also entered into the Employment Continuation Agreement referenced below, any benefits due to Mr. Santana under the Employment Continuation Agreement upon termination of employment upon a change in control or potential change in control shall be reduced (but not below zero) by any amounts received under the Severance Agreement.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Continuation Agreements with Certain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58978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During 2021, Wabtec had in effect employment continuation agreements with certain senior executive officers, including the following named executive officers: Rafael Santana, John Olin and David DeNinno (each an “Agreement” and collectively, the “Agreements”). The purpose of the Agreements is to ensure that, in the event Wabtec is confronted with a situation that could result in a change in ownership or control of the Company, the named executive officers are provided certain financial assurances to enable them to perform the responsibilities of the position without undue distraction and to exercise judgment without bias due to personal circumstances, since continuity of management will be essential to its ability to evaluate and respond to such situation in the best interests of stockholders. Under each Agreement, if the executive is employed on the date on which a change of control, as defined in the Agreements, occurs then the executive will be entitled to remain employed by Wabtec until the 24-month anniversary of the change of control, subject to certain termination provisions. Each Agreement contains standard confidentiality and other restrictive covenants, including restrictions for a period of one year following termination of the executive’s employment on soliciting business or employees away from us or providing any services that may compete with our business.</w:t>
      </w:r>
    </w:p>
    <w:p>
      <w:pPr>
        <w:spacing w:after="0" w:line="7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During the employment period, the executive will (a) receive a base salary at a monthly rate at least equal to the monthly salary paid to the executive immediately prior to the change of control, (b) be afforded the opportunity to receive a cash bonus (i) on terms and conditions no less favorable to the executive than the annual cash bonus opportunity made available to the executive for the fiscal year ended immediately prior to the change of control and</w:t>
      </w:r>
    </w:p>
    <w:p>
      <w:pPr>
        <w:ind w:right="80"/>
        <w:spacing w:after="0" w:line="252" w:lineRule="auto"/>
        <w:tabs>
          <w:tab w:leader="none" w:pos="25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an amount not less than the target cash bonus amount for the executive in the fiscal year ending immediately prior to the change of control, (c) participate in all long-term incentive compensation programs for key executives and benefit plans at a level that is commensurate with the executive’s opportunity to participate in such plans immediately prior to the change of control, or if more favorable, at the level made available to the executive or other similarly situated officers at any time thereafter, (d) receive fringe benefits and office and support staff at a level that is commensurate with the executive’s benefits immediately prior to the change of control, or if more favorable, at the level made available to the executive or other similarly situated officers at any time thereafter, (e) receive expense reimbursement at a level that is commensurate with the executive’s benefits immediately prior to the change of control, or if more favorable, at the level made available to the executive thereafter and (f) be indemnified,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58978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88"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48</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-169545</wp:posOffset>
            </wp:positionV>
            <wp:extent cx="471805"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53" w:name="page54"/>
    <w:bookmarkEnd w:id="53"/>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860" w:right="1000"/>
        <w:spacing w:after="0" w:line="242" w:lineRule="auto"/>
        <w:rPr>
          <w:sz w:val="20"/>
          <w:szCs w:val="20"/>
          <w:color w:val="auto"/>
        </w:rPr>
      </w:pPr>
      <w:r>
        <w:rPr>
          <w:rFonts w:ascii="Arial" w:cs="Arial" w:eastAsia="Arial" w:hAnsi="Arial"/>
          <w:sz w:val="18"/>
          <w:szCs w:val="18"/>
          <w:color w:val="auto"/>
        </w:rPr>
        <w:t>and after his employment period, for claims arising from or out of the executive’s performance as an officer, director or employee of Wabtec or any of its subsidiaries, or in any other capacity while serving at the request of the Company, to the maximum extent permitted by applicable law and Wabtec’s governing documents. Wabtec is also required to maintain existing or comparable insurance policies covering such matters at a level of protection that is no less than that afforded under the Company’s governing documents in effect immediately prior to the change of control.</w:t>
      </w:r>
    </w:p>
    <w:p>
      <w:pPr>
        <w:spacing w:after="0" w:line="71" w:lineRule="exact"/>
        <w:rPr>
          <w:sz w:val="20"/>
          <w:szCs w:val="20"/>
          <w:color w:val="auto"/>
        </w:rPr>
      </w:pPr>
    </w:p>
    <w:p>
      <w:pPr>
        <w:ind w:left="860" w:right="880"/>
        <w:spacing w:after="0"/>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If an executive’s employment is terminated after a change of control due to death or disability,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will receive only the executive’s base salary through the date of termination, any vested amounts or benefits under Wabtec’s benefit plans, including any benefits payable for death or disability under applicable plans or policies. If, after a change of control, any of the named executive officers had terminated employment due to death at December 31, 2021, the value of the life insurance benefits payable under Wabtec’s plan to such executive would have been: Mr. Olin $1,000,000 and Mr. DeNinno $938,000 or, in the case of termination for disability at December 31, 2021, the value of the disability benefits under Wabtec’s plan to such executive would have been Mr. Olin $300,000 and Mr. DeNinno $300,000 annually.</w:t>
      </w:r>
    </w:p>
    <w:p>
      <w:pPr>
        <w:spacing w:after="0" w:line="72" w:lineRule="exact"/>
        <w:rPr>
          <w:sz w:val="20"/>
          <w:szCs w:val="20"/>
          <w:color w:val="auto"/>
        </w:rPr>
      </w:pPr>
    </w:p>
    <w:p>
      <w:pPr>
        <w:ind w:left="860" w:right="1020"/>
        <w:spacing w:after="0"/>
        <w:rPr>
          <w:sz w:val="20"/>
          <w:szCs w:val="20"/>
          <w:color w:val="auto"/>
        </w:rPr>
      </w:pPr>
      <w:r>
        <w:rPr>
          <w:rFonts w:ascii="Arial" w:cs="Arial" w:eastAsia="Arial" w:hAnsi="Arial"/>
          <w:sz w:val="18"/>
          <w:szCs w:val="18"/>
          <w:i w:val="1"/>
          <w:iCs w:val="1"/>
          <w:color w:val="auto"/>
        </w:rPr>
        <w:t>For Cause/Voluntary Termination</w:t>
      </w:r>
      <w:r>
        <w:rPr>
          <w:rFonts w:ascii="Arial" w:cs="Arial" w:eastAsia="Arial" w:hAnsi="Arial"/>
          <w:sz w:val="18"/>
          <w:szCs w:val="18"/>
          <w:color w:val="auto"/>
        </w:rPr>
        <w:t>. If, after a change of control, an executive’s employment is terminated by Wabtec</w:t>
      </w:r>
      <w:r>
        <w:rPr>
          <w:rFonts w:ascii="Arial" w:cs="Arial" w:eastAsia="Arial" w:hAnsi="Arial"/>
          <w:sz w:val="18"/>
          <w:szCs w:val="18"/>
          <w:i w:val="1"/>
          <w:iCs w:val="1"/>
          <w:color w:val="auto"/>
        </w:rPr>
        <w:t xml:space="preserve"> </w:t>
      </w:r>
      <w:r>
        <w:rPr>
          <w:rFonts w:ascii="Arial" w:cs="Arial" w:eastAsia="Arial" w:hAnsi="Arial"/>
          <w:sz w:val="18"/>
          <w:szCs w:val="18"/>
          <w:color w:val="auto"/>
        </w:rPr>
        <w:t>for cause (as defined in the Agreements), or the executive voluntarily terminates their employment other than for good reason (as defined in the Agreements), the executive will receive only the executive’s base salary through the date of termination and any vested amounts or benefits under Wabtec’s benefit plans, including accrued but unpaid vacation. If, after a change of control Mr. Olin or Mr. DeNinno had been terminated by the Company for cause, or if Mr. Olin or Mr. DeNinno voluntarily terminated his employment other than for good reason, at December 31, 2021, no benefits would have been payable to either Mr. Olin or Mr. DeNinno.</w:t>
      </w:r>
    </w:p>
    <w:p>
      <w:pPr>
        <w:spacing w:after="0" w:line="77" w:lineRule="exact"/>
        <w:rPr>
          <w:sz w:val="20"/>
          <w:szCs w:val="20"/>
          <w:color w:val="auto"/>
        </w:rPr>
      </w:pPr>
    </w:p>
    <w:p>
      <w:pPr>
        <w:ind w:left="860" w:right="1040"/>
        <w:spacing w:after="0" w:line="259" w:lineRule="auto"/>
        <w:rPr>
          <w:sz w:val="20"/>
          <w:szCs w:val="20"/>
          <w:color w:val="auto"/>
        </w:rPr>
      </w:pPr>
      <w:r>
        <w:rPr>
          <w:rFonts w:ascii="Arial" w:cs="Arial" w:eastAsia="Arial" w:hAnsi="Arial"/>
          <w:sz w:val="17"/>
          <w:szCs w:val="17"/>
          <w:i w:val="1"/>
          <w:iCs w:val="1"/>
          <w:color w:val="auto"/>
        </w:rPr>
        <w:t>Other than for Cause/Good Reason</w:t>
      </w:r>
      <w:r>
        <w:rPr>
          <w:rFonts w:ascii="Arial" w:cs="Arial" w:eastAsia="Arial" w:hAnsi="Arial"/>
          <w:sz w:val="17"/>
          <w:szCs w:val="17"/>
          <w:color w:val="auto"/>
        </w:rPr>
        <w:t>. If, after a change of control, an executive’s employment is terminated by</w:t>
      </w:r>
      <w:r>
        <w:rPr>
          <w:rFonts w:ascii="Arial" w:cs="Arial" w:eastAsia="Arial" w:hAnsi="Arial"/>
          <w:sz w:val="17"/>
          <w:szCs w:val="17"/>
          <w:i w:val="1"/>
          <w:iCs w:val="1"/>
          <w:color w:val="auto"/>
        </w:rPr>
        <w:t xml:space="preserve"> </w:t>
      </w:r>
      <w:r>
        <w:rPr>
          <w:rFonts w:ascii="Arial" w:cs="Arial" w:eastAsia="Arial" w:hAnsi="Arial"/>
          <w:sz w:val="17"/>
          <w:szCs w:val="17"/>
          <w:color w:val="auto"/>
        </w:rPr>
        <w:t>Wabtec other than for cause or the executive terminates his employment for good reason the executive will receive</w:t>
      </w:r>
    </w:p>
    <w:p>
      <w:pPr>
        <w:spacing w:after="0" w:line="1" w:lineRule="exact"/>
        <w:rPr>
          <w:sz w:val="20"/>
          <w:szCs w:val="20"/>
          <w:color w:val="auto"/>
        </w:rPr>
      </w:pPr>
    </w:p>
    <w:p>
      <w:pPr>
        <w:ind w:left="860" w:right="920"/>
        <w:spacing w:after="0" w:line="236" w:lineRule="auto"/>
        <w:tabs>
          <w:tab w:leader="none" w:pos="11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executive’s base salary through the date of termination, (b) a cash amount equal to two times the sum of the executive’s annual base salary and the target cash bonus amount for the executive for the fiscal year ending immediately prior to the change of control, and (c) any vested benefits under Wabtec’s benefit plans, including benefits under the 2011 Stock Incentive Plan. The executive will also be entitled to continue participation in all of Wabtec’s employee and executive welfare and fringe plans until the earlier of the 24-month anniversary of the termination date and the date the executive becomes eligible for comparable benefits under a similar plan, policy or program of a subsequent employer. The amounts described may be subject to reduction as may be necessary to avoid characterization of amounts as “excess parachute payments” under the Internal Revenue Code. (if a reduction would result in the executive receiving a greater amount after taxes). Wabtec does not provide gross-up payments for excise taxes related to “excess parachute payments.” If, after a change of control, any of the three named executive officers had been terminated by the Company other than for cause, or if the executive had terminated his employment for good reason, at December 31, 2021, the value of the benefit to such executive would have been: Mr. Santana $6,029,050, Mr. Olin $3,029,050, and Mr. DeNinno $2,279,050.</w:t>
      </w:r>
    </w:p>
    <w:p>
      <w:pPr>
        <w:spacing w:after="0" w:line="77" w:lineRule="exact"/>
        <w:rPr>
          <w:sz w:val="20"/>
          <w:szCs w:val="20"/>
          <w:color w:val="auto"/>
        </w:rPr>
      </w:pPr>
    </w:p>
    <w:p>
      <w:pPr>
        <w:ind w:left="860" w:right="880"/>
        <w:spacing w:after="0" w:line="239" w:lineRule="auto"/>
        <w:rPr>
          <w:sz w:val="20"/>
          <w:szCs w:val="20"/>
          <w:color w:val="auto"/>
        </w:rPr>
      </w:pPr>
      <w:r>
        <w:rPr>
          <w:rFonts w:ascii="Arial" w:cs="Arial" w:eastAsia="Arial" w:hAnsi="Arial"/>
          <w:sz w:val="18"/>
          <w:szCs w:val="18"/>
          <w:i w:val="1"/>
          <w:iCs w:val="1"/>
          <w:color w:val="auto"/>
        </w:rPr>
        <w:t>Potential Change of Control</w:t>
      </w:r>
      <w:r>
        <w:rPr>
          <w:rFonts w:ascii="Arial" w:cs="Arial" w:eastAsia="Arial" w:hAnsi="Arial"/>
          <w:sz w:val="18"/>
          <w:szCs w:val="18"/>
          <w:color w:val="auto"/>
        </w:rPr>
        <w:t>. If, after the occurrence of a potential change of control, as defined in the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prior to a change of control, (a)(i) an executive’s employment is terminated by the Company other than for cause or by the executive for good reason or (ii) the Company terminates the Agreement and (b) a change of control, which also constitutes certain changes in ownership or effective control under Section 409A of the Code, as amended, occurs within one year of the termination, the executive will be deemed, solely for purposes of determining the executive’s rights under the Agreement, to have remained employed until the change of control and to have been terminated by the Company without cause immediately after the change of control. In such case, at December 31, 2021, the value of severance benefits to the executive would have been: Mr. Santana $6,029,050, Mr. Olin $3,029,050 and Mr. DeNinno $2,279,050.</w:t>
      </w:r>
    </w:p>
    <w:p>
      <w:pPr>
        <w:spacing w:after="0" w:line="75" w:lineRule="exact"/>
        <w:rPr>
          <w:sz w:val="20"/>
          <w:szCs w:val="20"/>
          <w:color w:val="auto"/>
        </w:rPr>
      </w:pPr>
    </w:p>
    <w:p>
      <w:pPr>
        <w:ind w:left="860" w:right="920"/>
        <w:spacing w:after="0" w:line="244" w:lineRule="auto"/>
        <w:rPr>
          <w:sz w:val="20"/>
          <w:szCs w:val="20"/>
          <w:color w:val="auto"/>
        </w:rPr>
      </w:pPr>
      <w:r>
        <w:rPr>
          <w:rFonts w:ascii="Arial" w:cs="Arial" w:eastAsia="Arial" w:hAnsi="Arial"/>
          <w:sz w:val="18"/>
          <w:szCs w:val="18"/>
          <w:color w:val="auto"/>
        </w:rPr>
        <w:t>Except with respect to Mr. Santana, Wabtec may terminate the Employee Continuation Agreements at any time prior to the occurrence of a change of control without liability, except as may arise in circumstances relating to a potential change of control. Neither Mr. Santana’s Continuation Agreement nor his Severance Agreement can be unilaterally terminated by the Company, and his Severance Agreement survives expiration of the Continuation Agreement provided that his employment has not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175260</wp:posOffset>
            </wp:positionV>
            <wp:extent cx="58978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278130</wp:posOffset>
            </wp:positionV>
            <wp:extent cx="471170" cy="1803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49</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sectPr>
      </w:pPr>
    </w:p>
    <w:bookmarkStart w:id="54" w:name="page55"/>
    <w:bookmarkEnd w:id="5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Severance of Mr.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58978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14" w:lineRule="exact"/>
        <w:rPr>
          <w:sz w:val="20"/>
          <w:szCs w:val="20"/>
          <w:color w:val="auto"/>
        </w:rPr>
      </w:pPr>
    </w:p>
    <w:p>
      <w:pPr>
        <w:ind w:right="580"/>
        <w:spacing w:after="0" w:line="239" w:lineRule="auto"/>
        <w:rPr>
          <w:sz w:val="20"/>
          <w:szCs w:val="20"/>
          <w:color w:val="auto"/>
        </w:rPr>
      </w:pPr>
      <w:r>
        <w:rPr>
          <w:rFonts w:ascii="Arial" w:cs="Arial" w:eastAsia="Arial" w:hAnsi="Arial"/>
          <w:sz w:val="17"/>
          <w:szCs w:val="17"/>
          <w:color w:val="auto"/>
        </w:rPr>
        <w:t>The Company terminated Mr. Dugan’s employment effective as of December 31, 2021 in accordance with the Transition Service Agreement dated as of September 9, 2021. In connection with that termination, and in consideration for a release of claims, the Company provided Mr. Dugan with the following severance benefits:</w:t>
      </w:r>
    </w:p>
    <w:p>
      <w:pPr>
        <w:spacing w:after="0" w:line="1" w:lineRule="exact"/>
        <w:rPr>
          <w:sz w:val="20"/>
          <w:szCs w:val="20"/>
          <w:color w:val="auto"/>
        </w:rPr>
      </w:pPr>
    </w:p>
    <w:p>
      <w:pPr>
        <w:ind w:right="20"/>
        <w:spacing w:after="0" w:line="238" w:lineRule="auto"/>
        <w:tabs>
          <w:tab w:leader="none" w:pos="21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cash severance in the amount of $2,520,000 (two times the sum of his annual salary and his targeted 2021 bonus, as provided in his employment continuation agreement) paid as a lump sum on December 31, 2021, (ii) a lump sum of $50,000 paid on December 31, 2021 for certain additional costs; (iii) continued participation in Wabtec’s healthcare plans for 24 months, valued at $29,050, and (iv) accelerated vesting of his outstanding stock options and restricted stock awards and eligibility to receive a pro-rated award of performance units. See the Grants of Plan-Based Awards Table on page </w:t>
      </w:r>
      <w:hyperlink w:anchor="page49">
        <w:r>
          <w:rPr>
            <w:rFonts w:ascii="Arial" w:cs="Arial" w:eastAsia="Arial" w:hAnsi="Arial"/>
            <w:sz w:val="17"/>
            <w:szCs w:val="17"/>
            <w:u w:val="single" w:color="auto"/>
            <w:color w:val="0000EE"/>
          </w:rPr>
          <w:t>44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incremental accounting charges related to the additional equity vesting.</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58978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14"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Under the 2011 Stock Incentive Plan, in instances of disability or death during employment or a Section 11 Event as defined in the Plans, respectively, which generally includes a change of control of Wabtec, all outstanding options become exercisable even if not otherwise exercisable. In addition, in the case of a Section 11 Event, all outstanding options are subject to being cashed out automatically based on the difference between the option exercise price and the value of Wabtec stock in connection with the Section 11 Event. In instances of a Section 11 Event only, all restrictions on restricted stock or restricted stock units lapse. For performance units, in instances of a Section 11 Event, all performance units are deemed to have been fully earned regardless of the attainment of performance targets. The following table provides the value of such benefits for each of our named executive officers (other than Mr. Dugan who separated during 2021) as if the applicable event occurred on December 31,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gridSpan w:val="2"/>
          </w:tcPr>
          <w:p>
            <w:pPr>
              <w:jc w:val="right"/>
              <w:ind w:right="370"/>
              <w:spacing w:after="0"/>
              <w:rPr>
                <w:sz w:val="20"/>
                <w:szCs w:val="20"/>
                <w:color w:val="auto"/>
              </w:rPr>
            </w:pPr>
            <w:r>
              <w:rPr>
                <w:rFonts w:ascii="Arial" w:cs="Arial" w:eastAsia="Arial" w:hAnsi="Arial"/>
                <w:sz w:val="16"/>
                <w:szCs w:val="16"/>
                <w:b w:val="1"/>
                <w:bCs w:val="1"/>
                <w:color w:val="EC252A"/>
              </w:rPr>
              <w:t>Death During</w:t>
            </w:r>
          </w:p>
        </w:tc>
        <w:tc>
          <w:tcPr>
            <w:tcW w:w="460" w:type="dxa"/>
            <w:vAlign w:val="bottom"/>
          </w:tcPr>
          <w:p>
            <w:pPr>
              <w:spacing w:after="0"/>
              <w:rPr>
                <w:sz w:val="16"/>
                <w:szCs w:val="16"/>
                <w:color w:val="auto"/>
              </w:rPr>
            </w:pPr>
          </w:p>
        </w:tc>
        <w:tc>
          <w:tcPr>
            <w:tcW w:w="940" w:type="dxa"/>
            <w:vAlign w:val="bottom"/>
          </w:tcPr>
          <w:p>
            <w:pPr>
              <w:jc w:val="right"/>
              <w:ind w:right="51"/>
              <w:spacing w:after="0"/>
              <w:rPr>
                <w:sz w:val="20"/>
                <w:szCs w:val="20"/>
                <w:color w:val="auto"/>
              </w:rPr>
            </w:pPr>
            <w:r>
              <w:rPr>
                <w:rFonts w:ascii="Arial" w:cs="Arial" w:eastAsia="Arial" w:hAnsi="Arial"/>
                <w:sz w:val="16"/>
                <w:szCs w:val="16"/>
                <w:b w:val="1"/>
                <w:bCs w:val="1"/>
                <w:color w:val="EC252A"/>
                <w:w w:val="97"/>
              </w:rPr>
              <w:t>Section 11</w:t>
            </w:r>
          </w:p>
        </w:tc>
      </w:tr>
      <w:tr>
        <w:trPr>
          <w:trHeight w:val="223"/>
        </w:trPr>
        <w:tc>
          <w:tcPr>
            <w:tcW w:w="3940" w:type="dxa"/>
            <w:vAlign w:val="bottom"/>
          </w:tcPr>
          <w:p>
            <w:pPr>
              <w:ind w:left="80"/>
              <w:spacing w:after="0"/>
              <w:rPr>
                <w:sz w:val="20"/>
                <w:szCs w:val="20"/>
                <w:color w:val="auto"/>
              </w:rPr>
            </w:pPr>
            <w:r>
              <w:rPr>
                <w:rFonts w:ascii="Arial" w:cs="Arial" w:eastAsia="Arial" w:hAnsi="Arial"/>
                <w:sz w:val="16"/>
                <w:szCs w:val="16"/>
                <w:b w:val="1"/>
                <w:bCs w:val="1"/>
                <w:color w:val="EC252A"/>
              </w:rPr>
              <w:t>Name</w:t>
            </w:r>
          </w:p>
        </w:tc>
        <w:tc>
          <w:tcPr>
            <w:tcW w:w="840" w:type="dxa"/>
            <w:vAlign w:val="bottom"/>
          </w:tcPr>
          <w:p>
            <w:pPr>
              <w:spacing w:after="0"/>
              <w:rPr>
                <w:sz w:val="19"/>
                <w:szCs w:val="19"/>
                <w:color w:val="auto"/>
              </w:rPr>
            </w:pPr>
          </w:p>
        </w:tc>
        <w:tc>
          <w:tcPr>
            <w:tcW w:w="1160" w:type="dxa"/>
            <w:vAlign w:val="bottom"/>
          </w:tcPr>
          <w:p>
            <w:pPr>
              <w:jc w:val="right"/>
              <w:ind w:right="351"/>
              <w:spacing w:after="0"/>
              <w:rPr>
                <w:sz w:val="20"/>
                <w:szCs w:val="20"/>
                <w:color w:val="auto"/>
              </w:rPr>
            </w:pPr>
            <w:r>
              <w:rPr>
                <w:rFonts w:ascii="Arial" w:cs="Arial" w:eastAsia="Arial" w:hAnsi="Arial"/>
                <w:sz w:val="16"/>
                <w:szCs w:val="16"/>
                <w:b w:val="1"/>
                <w:bCs w:val="1"/>
                <w:color w:val="EC252A"/>
                <w:w w:val="98"/>
              </w:rPr>
              <w:t>Disability</w:t>
            </w:r>
          </w:p>
        </w:tc>
        <w:tc>
          <w:tcPr>
            <w:tcW w:w="1940" w:type="dxa"/>
            <w:vAlign w:val="bottom"/>
            <w:gridSpan w:val="2"/>
          </w:tcPr>
          <w:p>
            <w:pPr>
              <w:jc w:val="right"/>
              <w:ind w:right="270"/>
              <w:spacing w:after="0"/>
              <w:rPr>
                <w:sz w:val="20"/>
                <w:szCs w:val="20"/>
                <w:color w:val="auto"/>
              </w:rPr>
            </w:pPr>
            <w:r>
              <w:rPr>
                <w:rFonts w:ascii="Arial" w:cs="Arial" w:eastAsia="Arial" w:hAnsi="Arial"/>
                <w:sz w:val="16"/>
                <w:szCs w:val="16"/>
                <w:b w:val="1"/>
                <w:bCs w:val="1"/>
                <w:color w:val="EC252A"/>
              </w:rPr>
              <w:t>Employment (1)</w:t>
            </w:r>
          </w:p>
        </w:tc>
        <w:tc>
          <w:tcPr>
            <w:tcW w:w="460" w:type="dxa"/>
            <w:vAlign w:val="bottom"/>
          </w:tcPr>
          <w:p>
            <w:pPr>
              <w:spacing w:after="0"/>
              <w:rPr>
                <w:sz w:val="19"/>
                <w:szCs w:val="19"/>
                <w:color w:val="auto"/>
              </w:rPr>
            </w:pPr>
          </w:p>
        </w:tc>
        <w:tc>
          <w:tcPr>
            <w:tcW w:w="940" w:type="dxa"/>
            <w:vAlign w:val="bottom"/>
          </w:tcPr>
          <w:p>
            <w:pPr>
              <w:jc w:val="right"/>
              <w:ind w:right="111"/>
              <w:spacing w:after="0"/>
              <w:rPr>
                <w:sz w:val="20"/>
                <w:szCs w:val="20"/>
                <w:color w:val="auto"/>
              </w:rPr>
            </w:pPr>
            <w:r>
              <w:rPr>
                <w:rFonts w:ascii="Arial" w:cs="Arial" w:eastAsia="Arial" w:hAnsi="Arial"/>
                <w:sz w:val="16"/>
                <w:szCs w:val="16"/>
                <w:b w:val="1"/>
                <w:bCs w:val="1"/>
                <w:color w:val="EC252A"/>
              </w:rPr>
              <w:t>Event (2)</w:t>
            </w:r>
          </w:p>
        </w:tc>
      </w:tr>
      <w:tr>
        <w:trPr>
          <w:trHeight w:val="34"/>
        </w:trPr>
        <w:tc>
          <w:tcPr>
            <w:tcW w:w="3940" w:type="dxa"/>
            <w:vAlign w:val="bottom"/>
            <w:tcBorders>
              <w:bottom w:val="single" w:sz="8" w:color="EC252A"/>
            </w:tcBorders>
          </w:tcPr>
          <w:p>
            <w:pPr>
              <w:spacing w:after="0"/>
              <w:rPr>
                <w:sz w:val="3"/>
                <w:szCs w:val="3"/>
                <w:color w:val="auto"/>
              </w:rPr>
            </w:pPr>
          </w:p>
        </w:tc>
        <w:tc>
          <w:tcPr>
            <w:tcW w:w="840" w:type="dxa"/>
            <w:vAlign w:val="bottom"/>
            <w:tcBorders>
              <w:bottom w:val="single" w:sz="8" w:color="EC252A"/>
            </w:tcBorders>
          </w:tcPr>
          <w:p>
            <w:pPr>
              <w:spacing w:after="0"/>
              <w:rPr>
                <w:sz w:val="3"/>
                <w:szCs w:val="3"/>
                <w:color w:val="auto"/>
              </w:rPr>
            </w:pPr>
          </w:p>
        </w:tc>
        <w:tc>
          <w:tcPr>
            <w:tcW w:w="1160" w:type="dxa"/>
            <w:vAlign w:val="bottom"/>
            <w:tcBorders>
              <w:bottom w:val="single" w:sz="8" w:color="EC252A"/>
            </w:tcBorders>
          </w:tcPr>
          <w:p>
            <w:pPr>
              <w:spacing w:after="0"/>
              <w:rPr>
                <w:sz w:val="3"/>
                <w:szCs w:val="3"/>
                <w:color w:val="auto"/>
              </w:rPr>
            </w:pPr>
          </w:p>
        </w:tc>
        <w:tc>
          <w:tcPr>
            <w:tcW w:w="620" w:type="dxa"/>
            <w:vAlign w:val="bottom"/>
            <w:tcBorders>
              <w:bottom w:val="single" w:sz="8" w:color="EC252A"/>
            </w:tcBorders>
          </w:tcPr>
          <w:p>
            <w:pPr>
              <w:spacing w:after="0"/>
              <w:rPr>
                <w:sz w:val="3"/>
                <w:szCs w:val="3"/>
                <w:color w:val="auto"/>
              </w:rPr>
            </w:pPr>
          </w:p>
        </w:tc>
        <w:tc>
          <w:tcPr>
            <w:tcW w:w="1320" w:type="dxa"/>
            <w:vAlign w:val="bottom"/>
            <w:tcBorders>
              <w:bottom w:val="single" w:sz="8" w:color="EC252A"/>
            </w:tcBorders>
          </w:tcPr>
          <w:p>
            <w:pPr>
              <w:spacing w:after="0"/>
              <w:rPr>
                <w:sz w:val="3"/>
                <w:szCs w:val="3"/>
                <w:color w:val="auto"/>
              </w:rPr>
            </w:pPr>
          </w:p>
        </w:tc>
        <w:tc>
          <w:tcPr>
            <w:tcW w:w="460" w:type="dxa"/>
            <w:vAlign w:val="bottom"/>
            <w:tcBorders>
              <w:bottom w:val="single" w:sz="8" w:color="EC252A"/>
            </w:tcBorders>
          </w:tcPr>
          <w:p>
            <w:pPr>
              <w:spacing w:after="0"/>
              <w:rPr>
                <w:sz w:val="3"/>
                <w:szCs w:val="3"/>
                <w:color w:val="auto"/>
              </w:rPr>
            </w:pPr>
          </w:p>
        </w:tc>
        <w:tc>
          <w:tcPr>
            <w:tcW w:w="940" w:type="dxa"/>
            <w:vAlign w:val="bottom"/>
            <w:tcBorders>
              <w:bottom w:val="single" w:sz="8" w:color="EC252A"/>
            </w:tcBorders>
          </w:tcPr>
          <w:p>
            <w:pPr>
              <w:spacing w:after="0"/>
              <w:rPr>
                <w:sz w:val="3"/>
                <w:szCs w:val="3"/>
                <w:color w:val="auto"/>
              </w:rPr>
            </w:pPr>
          </w:p>
        </w:tc>
      </w:tr>
      <w:tr>
        <w:trPr>
          <w:trHeight w:val="268"/>
        </w:trPr>
        <w:tc>
          <w:tcPr>
            <w:tcW w:w="3940" w:type="dxa"/>
            <w:vAlign w:val="bottom"/>
          </w:tcPr>
          <w:p>
            <w:pPr>
              <w:ind w:left="80"/>
              <w:spacing w:after="0"/>
              <w:rPr>
                <w:sz w:val="20"/>
                <w:szCs w:val="20"/>
                <w:color w:val="auto"/>
              </w:rPr>
            </w:pPr>
            <w:r>
              <w:rPr>
                <w:rFonts w:ascii="Arial" w:cs="Arial" w:eastAsia="Arial" w:hAnsi="Arial"/>
                <w:sz w:val="18"/>
                <w:szCs w:val="18"/>
                <w:color w:val="auto"/>
              </w:rPr>
              <w:t>Mr. Santana</w:t>
            </w:r>
          </w:p>
        </w:tc>
        <w:tc>
          <w:tcPr>
            <w:tcW w:w="8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10"/>
        </w:trPr>
        <w:tc>
          <w:tcPr>
            <w:tcW w:w="3940" w:type="dxa"/>
            <w:vAlign w:val="bottom"/>
          </w:tcPr>
          <w:p>
            <w:pPr>
              <w:ind w:left="260"/>
              <w:spacing w:after="0"/>
              <w:rPr>
                <w:sz w:val="20"/>
                <w:szCs w:val="20"/>
                <w:color w:val="auto"/>
              </w:rPr>
            </w:pPr>
            <w:r>
              <w:rPr>
                <w:rFonts w:ascii="Arial" w:cs="Arial" w:eastAsia="Arial" w:hAnsi="Arial"/>
                <w:sz w:val="18"/>
                <w:szCs w:val="18"/>
                <w:color w:val="auto"/>
              </w:rPr>
              <w:t>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1"/>
              <w:spacing w:after="0"/>
              <w:rPr>
                <w:sz w:val="20"/>
                <w:szCs w:val="20"/>
                <w:color w:val="auto"/>
              </w:rPr>
            </w:pPr>
            <w:r>
              <w:rPr>
                <w:rFonts w:ascii="Arial" w:cs="Arial" w:eastAsia="Arial" w:hAnsi="Arial"/>
                <w:sz w:val="18"/>
                <w:szCs w:val="18"/>
                <w:color w:val="auto"/>
              </w:rPr>
              <w:t>924,773</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924,773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924,773</w:t>
            </w:r>
          </w:p>
        </w:tc>
      </w:tr>
      <w:tr>
        <w:trPr>
          <w:trHeight w:val="311"/>
        </w:trPr>
        <w:tc>
          <w:tcPr>
            <w:tcW w:w="394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1"/>
              <w:spacing w:after="0"/>
              <w:rPr>
                <w:sz w:val="20"/>
                <w:szCs w:val="20"/>
                <w:color w:val="auto"/>
              </w:rPr>
            </w:pPr>
            <w:r>
              <w:rPr>
                <w:rFonts w:ascii="Arial" w:cs="Arial" w:eastAsia="Arial" w:hAnsi="Arial"/>
                <w:sz w:val="18"/>
                <w:szCs w:val="18"/>
                <w:color w:val="auto"/>
                <w:w w:val="97"/>
              </w:rPr>
              <w:t>6,339,974</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w w:val="97"/>
              </w:rPr>
              <w:t>6,339,974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6,339,974</w:t>
            </w:r>
          </w:p>
        </w:tc>
      </w:tr>
      <w:tr>
        <w:trPr>
          <w:trHeight w:val="310"/>
        </w:trPr>
        <w:tc>
          <w:tcPr>
            <w:tcW w:w="3940" w:type="dxa"/>
            <w:vAlign w:val="bottom"/>
          </w:tcPr>
          <w:p>
            <w:pPr>
              <w:ind w:left="260"/>
              <w:spacing w:after="0"/>
              <w:rPr>
                <w:sz w:val="20"/>
                <w:szCs w:val="20"/>
                <w:color w:val="auto"/>
              </w:rPr>
            </w:pPr>
            <w:r>
              <w:rPr>
                <w:rFonts w:ascii="Arial" w:cs="Arial" w:eastAsia="Arial" w:hAnsi="Arial"/>
                <w:sz w:val="18"/>
                <w:szCs w:val="18"/>
                <w:color w:val="auto"/>
              </w:rPr>
              <w:t>Performance Units(3)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1"/>
              <w:spacing w:after="0"/>
              <w:rPr>
                <w:sz w:val="20"/>
                <w:szCs w:val="20"/>
                <w:color w:val="auto"/>
              </w:rPr>
            </w:pPr>
            <w:r>
              <w:rPr>
                <w:rFonts w:ascii="Arial" w:cs="Arial" w:eastAsia="Arial" w:hAnsi="Arial"/>
                <w:sz w:val="18"/>
                <w:szCs w:val="18"/>
                <w:color w:val="auto"/>
                <w:w w:val="97"/>
              </w:rPr>
              <w:t>8,382,409</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w w:val="97"/>
              </w:rPr>
              <w:t>8,382,409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18,575,267</w:t>
            </w:r>
          </w:p>
        </w:tc>
      </w:tr>
      <w:tr>
        <w:trPr>
          <w:trHeight w:val="37"/>
        </w:trPr>
        <w:tc>
          <w:tcPr>
            <w:tcW w:w="3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74"/>
        </w:trPr>
        <w:tc>
          <w:tcPr>
            <w:tcW w:w="3940" w:type="dxa"/>
            <w:vAlign w:val="bottom"/>
            <w:shd w:val="clear" w:color="auto" w:fill="FCD3C3"/>
          </w:tcPr>
          <w:p>
            <w:pPr>
              <w:ind w:left="80"/>
              <w:spacing w:after="0"/>
              <w:rPr>
                <w:sz w:val="20"/>
                <w:szCs w:val="20"/>
                <w:color w:val="auto"/>
              </w:rPr>
            </w:pPr>
            <w:r>
              <w:rPr>
                <w:rFonts w:ascii="Arial" w:cs="Arial" w:eastAsia="Arial" w:hAnsi="Arial"/>
                <w:sz w:val="18"/>
                <w:szCs w:val="18"/>
                <w:color w:val="auto"/>
              </w:rPr>
              <w:t>Mr. Olin</w:t>
            </w:r>
          </w:p>
        </w:tc>
        <w:tc>
          <w:tcPr>
            <w:tcW w:w="840" w:type="dxa"/>
            <w:vAlign w:val="bottom"/>
            <w:shd w:val="clear" w:color="auto" w:fill="FCD3C3"/>
          </w:tcPr>
          <w:p>
            <w:pPr>
              <w:spacing w:after="0"/>
              <w:rPr>
                <w:sz w:val="23"/>
                <w:szCs w:val="23"/>
                <w:color w:val="auto"/>
              </w:rPr>
            </w:pPr>
          </w:p>
        </w:tc>
        <w:tc>
          <w:tcPr>
            <w:tcW w:w="1160" w:type="dxa"/>
            <w:vAlign w:val="bottom"/>
            <w:shd w:val="clear" w:color="auto" w:fill="FCD3C3"/>
          </w:tcPr>
          <w:p>
            <w:pPr>
              <w:spacing w:after="0"/>
              <w:rPr>
                <w:sz w:val="23"/>
                <w:szCs w:val="23"/>
                <w:color w:val="auto"/>
              </w:rPr>
            </w:pPr>
          </w:p>
        </w:tc>
        <w:tc>
          <w:tcPr>
            <w:tcW w:w="620" w:type="dxa"/>
            <w:vAlign w:val="bottom"/>
            <w:shd w:val="clear" w:color="auto" w:fill="FCD3C3"/>
          </w:tcPr>
          <w:p>
            <w:pPr>
              <w:spacing w:after="0"/>
              <w:rPr>
                <w:sz w:val="23"/>
                <w:szCs w:val="23"/>
                <w:color w:val="auto"/>
              </w:rPr>
            </w:pPr>
          </w:p>
        </w:tc>
        <w:tc>
          <w:tcPr>
            <w:tcW w:w="1320" w:type="dxa"/>
            <w:vAlign w:val="bottom"/>
            <w:shd w:val="clear" w:color="auto" w:fill="FCD3C3"/>
          </w:tcPr>
          <w:p>
            <w:pPr>
              <w:spacing w:after="0"/>
              <w:rPr>
                <w:sz w:val="23"/>
                <w:szCs w:val="23"/>
                <w:color w:val="auto"/>
              </w:rPr>
            </w:pPr>
          </w:p>
        </w:tc>
        <w:tc>
          <w:tcPr>
            <w:tcW w:w="460" w:type="dxa"/>
            <w:vAlign w:val="bottom"/>
            <w:shd w:val="clear" w:color="auto" w:fill="FCD3C3"/>
          </w:tcPr>
          <w:p>
            <w:pPr>
              <w:spacing w:after="0"/>
              <w:rPr>
                <w:sz w:val="23"/>
                <w:szCs w:val="23"/>
                <w:color w:val="auto"/>
              </w:rPr>
            </w:pPr>
          </w:p>
        </w:tc>
        <w:tc>
          <w:tcPr>
            <w:tcW w:w="940" w:type="dxa"/>
            <w:vAlign w:val="bottom"/>
            <w:shd w:val="clear" w:color="auto" w:fill="FCD3C3"/>
          </w:tcPr>
          <w:p>
            <w:pPr>
              <w:spacing w:after="0"/>
              <w:rPr>
                <w:sz w:val="23"/>
                <w:szCs w:val="23"/>
                <w:color w:val="auto"/>
              </w:rPr>
            </w:pPr>
          </w:p>
        </w:tc>
      </w:tr>
      <w:tr>
        <w:trPr>
          <w:trHeight w:val="327"/>
        </w:trPr>
        <w:tc>
          <w:tcPr>
            <w:tcW w:w="3940" w:type="dxa"/>
            <w:vAlign w:val="bottom"/>
            <w:tcBorders>
              <w:bottom w:val="single" w:sz="8" w:color="FCD3C3"/>
            </w:tcBorders>
            <w:shd w:val="clear" w:color="auto" w:fill="FCD3C3"/>
          </w:tcPr>
          <w:p>
            <w:pPr>
              <w:ind w:left="260"/>
              <w:spacing w:after="0"/>
              <w:rPr>
                <w:sz w:val="20"/>
                <w:szCs w:val="20"/>
                <w:color w:val="auto"/>
              </w:rPr>
            </w:pPr>
            <w:r>
              <w:rPr>
                <w:rFonts w:ascii="Arial" w:cs="Arial" w:eastAsia="Arial" w:hAnsi="Arial"/>
                <w:sz w:val="18"/>
                <w:szCs w:val="18"/>
                <w:color w:val="auto"/>
              </w:rPr>
              <w:t>Restricted Stock</w:t>
            </w:r>
          </w:p>
        </w:tc>
        <w:tc>
          <w:tcPr>
            <w:tcW w:w="84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FCD3C3"/>
            </w:tcBorders>
            <w:shd w:val="clear" w:color="auto" w:fill="FCD3C3"/>
          </w:tcPr>
          <w:p>
            <w:pPr>
              <w:jc w:val="right"/>
              <w:ind w:right="271"/>
              <w:spacing w:after="0"/>
              <w:rPr>
                <w:sz w:val="20"/>
                <w:szCs w:val="20"/>
                <w:color w:val="auto"/>
              </w:rPr>
            </w:pPr>
            <w:r>
              <w:rPr>
                <w:rFonts w:ascii="Arial" w:cs="Arial" w:eastAsia="Arial" w:hAnsi="Arial"/>
                <w:sz w:val="18"/>
                <w:szCs w:val="18"/>
                <w:color w:val="auto"/>
                <w:w w:val="97"/>
              </w:rPr>
              <w:t>1,021,860</w:t>
            </w:r>
          </w:p>
        </w:tc>
        <w:tc>
          <w:tcPr>
            <w:tcW w:w="62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FCD3C3"/>
            </w:tcBorders>
            <w:shd w:val="clear" w:color="auto" w:fill="FCD3C3"/>
          </w:tcPr>
          <w:p>
            <w:pPr>
              <w:jc w:val="right"/>
              <w:ind w:right="430"/>
              <w:spacing w:after="0"/>
              <w:rPr>
                <w:sz w:val="20"/>
                <w:szCs w:val="20"/>
                <w:color w:val="auto"/>
              </w:rPr>
            </w:pPr>
            <w:r>
              <w:rPr>
                <w:rFonts w:ascii="Arial" w:cs="Arial" w:eastAsia="Arial" w:hAnsi="Arial"/>
                <w:sz w:val="18"/>
                <w:szCs w:val="18"/>
                <w:color w:val="auto"/>
                <w:w w:val="97"/>
              </w:rPr>
              <w:t>1,021,860</w:t>
            </w:r>
          </w:p>
        </w:tc>
        <w:tc>
          <w:tcPr>
            <w:tcW w:w="46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1,021,860</w:t>
            </w:r>
          </w:p>
        </w:tc>
      </w:tr>
      <w:tr>
        <w:trPr>
          <w:trHeight w:val="274"/>
        </w:trPr>
        <w:tc>
          <w:tcPr>
            <w:tcW w:w="3940" w:type="dxa"/>
            <w:vAlign w:val="bottom"/>
          </w:tcPr>
          <w:p>
            <w:pPr>
              <w:ind w:left="80"/>
              <w:spacing w:after="0"/>
              <w:rPr>
                <w:sz w:val="20"/>
                <w:szCs w:val="20"/>
                <w:color w:val="auto"/>
              </w:rPr>
            </w:pPr>
            <w:r>
              <w:rPr>
                <w:rFonts w:ascii="Arial" w:cs="Arial" w:eastAsia="Arial" w:hAnsi="Arial"/>
                <w:sz w:val="18"/>
                <w:szCs w:val="18"/>
                <w:color w:val="auto"/>
              </w:rPr>
              <w:t>Mr. DeNinno</w:t>
            </w:r>
          </w:p>
        </w:tc>
        <w:tc>
          <w:tcPr>
            <w:tcW w:w="8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10"/>
        </w:trPr>
        <w:tc>
          <w:tcPr>
            <w:tcW w:w="3940" w:type="dxa"/>
            <w:vAlign w:val="bottom"/>
          </w:tcPr>
          <w:p>
            <w:pPr>
              <w:ind w:left="260"/>
              <w:spacing w:after="0"/>
              <w:rPr>
                <w:sz w:val="20"/>
                <w:szCs w:val="20"/>
                <w:color w:val="auto"/>
              </w:rPr>
            </w:pPr>
            <w:r>
              <w:rPr>
                <w:rFonts w:ascii="Arial" w:cs="Arial" w:eastAsia="Arial" w:hAnsi="Arial"/>
                <w:sz w:val="18"/>
                <w:szCs w:val="18"/>
                <w:color w:val="auto"/>
              </w:rPr>
              <w:t>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1"/>
              <w:spacing w:after="0"/>
              <w:rPr>
                <w:sz w:val="20"/>
                <w:szCs w:val="20"/>
                <w:color w:val="auto"/>
              </w:rPr>
            </w:pPr>
            <w:r>
              <w:rPr>
                <w:rFonts w:ascii="Arial" w:cs="Arial" w:eastAsia="Arial" w:hAnsi="Arial"/>
                <w:sz w:val="18"/>
                <w:szCs w:val="18"/>
                <w:color w:val="auto"/>
              </w:rPr>
              <w:t>414,806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414,806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414,806</w:t>
            </w:r>
          </w:p>
        </w:tc>
      </w:tr>
      <w:tr>
        <w:trPr>
          <w:trHeight w:val="310"/>
        </w:trPr>
        <w:tc>
          <w:tcPr>
            <w:tcW w:w="394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1"/>
              <w:spacing w:after="0"/>
              <w:rPr>
                <w:sz w:val="20"/>
                <w:szCs w:val="20"/>
                <w:color w:val="auto"/>
              </w:rPr>
            </w:pPr>
            <w:r>
              <w:rPr>
                <w:rFonts w:ascii="Arial" w:cs="Arial" w:eastAsia="Arial" w:hAnsi="Arial"/>
                <w:sz w:val="18"/>
                <w:szCs w:val="18"/>
                <w:color w:val="auto"/>
                <w:w w:val="97"/>
              </w:rPr>
              <w:t>1,386,306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w w:val="97"/>
              </w:rPr>
              <w:t>1,386,306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1,386,306</w:t>
            </w:r>
          </w:p>
        </w:tc>
      </w:tr>
      <w:tr>
        <w:trPr>
          <w:trHeight w:val="310"/>
        </w:trPr>
        <w:tc>
          <w:tcPr>
            <w:tcW w:w="3940" w:type="dxa"/>
            <w:vAlign w:val="bottom"/>
          </w:tcPr>
          <w:p>
            <w:pPr>
              <w:ind w:left="260"/>
              <w:spacing w:after="0"/>
              <w:rPr>
                <w:sz w:val="20"/>
                <w:szCs w:val="20"/>
                <w:color w:val="auto"/>
              </w:rPr>
            </w:pPr>
            <w:r>
              <w:rPr>
                <w:rFonts w:ascii="Arial" w:cs="Arial" w:eastAsia="Arial" w:hAnsi="Arial"/>
                <w:sz w:val="18"/>
                <w:szCs w:val="18"/>
                <w:color w:val="auto"/>
              </w:rPr>
              <w:t>Performance Units(3)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1"/>
              <w:spacing w:after="0"/>
              <w:rPr>
                <w:sz w:val="20"/>
                <w:szCs w:val="20"/>
                <w:color w:val="auto"/>
              </w:rPr>
            </w:pPr>
            <w:r>
              <w:rPr>
                <w:rFonts w:ascii="Arial" w:cs="Arial" w:eastAsia="Arial" w:hAnsi="Arial"/>
                <w:sz w:val="18"/>
                <w:szCs w:val="18"/>
                <w:color w:val="auto"/>
                <w:w w:val="97"/>
              </w:rPr>
              <w:t>2,527,196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w w:val="97"/>
              </w:rPr>
              <w:t>2,527,196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4,328,814</w:t>
            </w:r>
          </w:p>
        </w:tc>
      </w:tr>
      <w:tr>
        <w:trPr>
          <w:trHeight w:val="37"/>
        </w:trPr>
        <w:tc>
          <w:tcPr>
            <w:tcW w:w="3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74"/>
        </w:trPr>
        <w:tc>
          <w:tcPr>
            <w:tcW w:w="3940" w:type="dxa"/>
            <w:vAlign w:val="bottom"/>
            <w:shd w:val="clear" w:color="auto" w:fill="FCD3C3"/>
          </w:tcPr>
          <w:p>
            <w:pPr>
              <w:ind w:left="80"/>
              <w:spacing w:after="0"/>
              <w:rPr>
                <w:sz w:val="20"/>
                <w:szCs w:val="20"/>
                <w:color w:val="auto"/>
              </w:rPr>
            </w:pPr>
            <w:r>
              <w:rPr>
                <w:rFonts w:ascii="Arial" w:cs="Arial" w:eastAsia="Arial" w:hAnsi="Arial"/>
                <w:sz w:val="18"/>
                <w:szCs w:val="18"/>
                <w:color w:val="auto"/>
              </w:rPr>
              <w:t>Mr. Schweitzer</w:t>
            </w:r>
          </w:p>
        </w:tc>
        <w:tc>
          <w:tcPr>
            <w:tcW w:w="840" w:type="dxa"/>
            <w:vAlign w:val="bottom"/>
            <w:shd w:val="clear" w:color="auto" w:fill="FCD3C3"/>
          </w:tcPr>
          <w:p>
            <w:pPr>
              <w:spacing w:after="0"/>
              <w:rPr>
                <w:sz w:val="23"/>
                <w:szCs w:val="23"/>
                <w:color w:val="auto"/>
              </w:rPr>
            </w:pPr>
          </w:p>
        </w:tc>
        <w:tc>
          <w:tcPr>
            <w:tcW w:w="1160" w:type="dxa"/>
            <w:vAlign w:val="bottom"/>
            <w:shd w:val="clear" w:color="auto" w:fill="FCD3C3"/>
          </w:tcPr>
          <w:p>
            <w:pPr>
              <w:spacing w:after="0"/>
              <w:rPr>
                <w:sz w:val="23"/>
                <w:szCs w:val="23"/>
                <w:color w:val="auto"/>
              </w:rPr>
            </w:pPr>
          </w:p>
        </w:tc>
        <w:tc>
          <w:tcPr>
            <w:tcW w:w="620" w:type="dxa"/>
            <w:vAlign w:val="bottom"/>
            <w:shd w:val="clear" w:color="auto" w:fill="FCD3C3"/>
          </w:tcPr>
          <w:p>
            <w:pPr>
              <w:spacing w:after="0"/>
              <w:rPr>
                <w:sz w:val="23"/>
                <w:szCs w:val="23"/>
                <w:color w:val="auto"/>
              </w:rPr>
            </w:pPr>
          </w:p>
        </w:tc>
        <w:tc>
          <w:tcPr>
            <w:tcW w:w="1320" w:type="dxa"/>
            <w:vAlign w:val="bottom"/>
            <w:shd w:val="clear" w:color="auto" w:fill="FCD3C3"/>
          </w:tcPr>
          <w:p>
            <w:pPr>
              <w:spacing w:after="0"/>
              <w:rPr>
                <w:sz w:val="23"/>
                <w:szCs w:val="23"/>
                <w:color w:val="auto"/>
              </w:rPr>
            </w:pPr>
          </w:p>
        </w:tc>
        <w:tc>
          <w:tcPr>
            <w:tcW w:w="460" w:type="dxa"/>
            <w:vAlign w:val="bottom"/>
            <w:shd w:val="clear" w:color="auto" w:fill="FCD3C3"/>
          </w:tcPr>
          <w:p>
            <w:pPr>
              <w:spacing w:after="0"/>
              <w:rPr>
                <w:sz w:val="23"/>
                <w:szCs w:val="23"/>
                <w:color w:val="auto"/>
              </w:rPr>
            </w:pPr>
          </w:p>
        </w:tc>
        <w:tc>
          <w:tcPr>
            <w:tcW w:w="940" w:type="dxa"/>
            <w:vAlign w:val="bottom"/>
            <w:shd w:val="clear" w:color="auto" w:fill="FCD3C3"/>
          </w:tcPr>
          <w:p>
            <w:pPr>
              <w:spacing w:after="0"/>
              <w:rPr>
                <w:sz w:val="23"/>
                <w:szCs w:val="23"/>
                <w:color w:val="auto"/>
              </w:rPr>
            </w:pPr>
          </w:p>
        </w:tc>
      </w:tr>
      <w:tr>
        <w:trPr>
          <w:trHeight w:val="310"/>
        </w:trPr>
        <w:tc>
          <w:tcPr>
            <w:tcW w:w="3940" w:type="dxa"/>
            <w:vAlign w:val="bottom"/>
            <w:shd w:val="clear" w:color="auto" w:fill="FCD3C3"/>
          </w:tcPr>
          <w:p>
            <w:pPr>
              <w:ind w:left="260"/>
              <w:spacing w:after="0"/>
              <w:rPr>
                <w:sz w:val="20"/>
                <w:szCs w:val="20"/>
                <w:color w:val="auto"/>
              </w:rPr>
            </w:pPr>
            <w:r>
              <w:rPr>
                <w:rFonts w:ascii="Arial" w:cs="Arial" w:eastAsia="Arial" w:hAnsi="Arial"/>
                <w:sz w:val="18"/>
                <w:szCs w:val="18"/>
                <w:color w:val="auto"/>
              </w:rPr>
              <w:t>Options</w:t>
            </w:r>
          </w:p>
        </w:tc>
        <w:tc>
          <w:tcPr>
            <w:tcW w:w="84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FCD3C3"/>
          </w:tcPr>
          <w:p>
            <w:pPr>
              <w:jc w:val="right"/>
              <w:ind w:right="291"/>
              <w:spacing w:after="0"/>
              <w:rPr>
                <w:sz w:val="20"/>
                <w:szCs w:val="20"/>
                <w:color w:val="auto"/>
              </w:rPr>
            </w:pPr>
            <w:r>
              <w:rPr>
                <w:rFonts w:ascii="Arial" w:cs="Arial" w:eastAsia="Arial" w:hAnsi="Arial"/>
                <w:sz w:val="18"/>
                <w:szCs w:val="18"/>
                <w:color w:val="auto"/>
              </w:rPr>
              <w:t>93,413</w:t>
            </w:r>
          </w:p>
        </w:tc>
        <w:tc>
          <w:tcPr>
            <w:tcW w:w="62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FCD3C3"/>
          </w:tcPr>
          <w:p>
            <w:pPr>
              <w:jc w:val="right"/>
              <w:ind w:right="430"/>
              <w:spacing w:after="0"/>
              <w:rPr>
                <w:sz w:val="20"/>
                <w:szCs w:val="20"/>
                <w:color w:val="auto"/>
              </w:rPr>
            </w:pPr>
            <w:r>
              <w:rPr>
                <w:rFonts w:ascii="Arial" w:cs="Arial" w:eastAsia="Arial" w:hAnsi="Arial"/>
                <w:sz w:val="18"/>
                <w:szCs w:val="18"/>
                <w:color w:val="auto"/>
              </w:rPr>
              <w:t>93,413</w:t>
            </w:r>
          </w:p>
        </w:tc>
        <w:tc>
          <w:tcPr>
            <w:tcW w:w="46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FCD3C3"/>
          </w:tcPr>
          <w:p>
            <w:pPr>
              <w:jc w:val="right"/>
              <w:spacing w:after="0"/>
              <w:rPr>
                <w:sz w:val="20"/>
                <w:szCs w:val="20"/>
                <w:color w:val="auto"/>
              </w:rPr>
            </w:pPr>
            <w:r>
              <w:rPr>
                <w:rFonts w:ascii="Arial" w:cs="Arial" w:eastAsia="Arial" w:hAnsi="Arial"/>
                <w:sz w:val="18"/>
                <w:szCs w:val="18"/>
                <w:color w:val="auto"/>
              </w:rPr>
              <w:t>93,413</w:t>
            </w:r>
          </w:p>
        </w:tc>
      </w:tr>
      <w:tr>
        <w:trPr>
          <w:trHeight w:val="310"/>
        </w:trPr>
        <w:tc>
          <w:tcPr>
            <w:tcW w:w="3940" w:type="dxa"/>
            <w:vAlign w:val="bottom"/>
            <w:shd w:val="clear" w:color="auto" w:fill="FCD3C3"/>
          </w:tcPr>
          <w:p>
            <w:pPr>
              <w:ind w:left="260"/>
              <w:spacing w:after="0"/>
              <w:rPr>
                <w:sz w:val="20"/>
                <w:szCs w:val="20"/>
                <w:color w:val="auto"/>
              </w:rPr>
            </w:pPr>
            <w:r>
              <w:rPr>
                <w:rFonts w:ascii="Arial" w:cs="Arial" w:eastAsia="Arial" w:hAnsi="Arial"/>
                <w:sz w:val="18"/>
                <w:szCs w:val="18"/>
                <w:color w:val="auto"/>
              </w:rPr>
              <w:t>Restricted Stock</w:t>
            </w:r>
          </w:p>
        </w:tc>
        <w:tc>
          <w:tcPr>
            <w:tcW w:w="84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FCD3C3"/>
          </w:tcPr>
          <w:p>
            <w:pPr>
              <w:jc w:val="right"/>
              <w:ind w:right="291"/>
              <w:spacing w:after="0"/>
              <w:rPr>
                <w:sz w:val="20"/>
                <w:szCs w:val="20"/>
                <w:color w:val="auto"/>
              </w:rPr>
            </w:pPr>
            <w:r>
              <w:rPr>
                <w:rFonts w:ascii="Arial" w:cs="Arial" w:eastAsia="Arial" w:hAnsi="Arial"/>
                <w:sz w:val="18"/>
                <w:szCs w:val="18"/>
                <w:color w:val="auto"/>
              </w:rPr>
              <w:t>845,618</w:t>
            </w:r>
          </w:p>
        </w:tc>
        <w:tc>
          <w:tcPr>
            <w:tcW w:w="62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FCD3C3"/>
          </w:tcPr>
          <w:p>
            <w:pPr>
              <w:jc w:val="right"/>
              <w:ind w:right="430"/>
              <w:spacing w:after="0"/>
              <w:rPr>
                <w:sz w:val="20"/>
                <w:szCs w:val="20"/>
                <w:color w:val="auto"/>
              </w:rPr>
            </w:pPr>
            <w:r>
              <w:rPr>
                <w:rFonts w:ascii="Arial" w:cs="Arial" w:eastAsia="Arial" w:hAnsi="Arial"/>
                <w:sz w:val="18"/>
                <w:szCs w:val="18"/>
                <w:color w:val="auto"/>
              </w:rPr>
              <w:t>845,618</w:t>
            </w:r>
          </w:p>
        </w:tc>
        <w:tc>
          <w:tcPr>
            <w:tcW w:w="46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FCD3C3"/>
          </w:tcPr>
          <w:p>
            <w:pPr>
              <w:jc w:val="right"/>
              <w:spacing w:after="0"/>
              <w:rPr>
                <w:sz w:val="20"/>
                <w:szCs w:val="20"/>
                <w:color w:val="auto"/>
              </w:rPr>
            </w:pPr>
            <w:r>
              <w:rPr>
                <w:rFonts w:ascii="Arial" w:cs="Arial" w:eastAsia="Arial" w:hAnsi="Arial"/>
                <w:sz w:val="18"/>
                <w:szCs w:val="18"/>
                <w:color w:val="auto"/>
              </w:rPr>
              <w:t>845,618</w:t>
            </w:r>
          </w:p>
        </w:tc>
      </w:tr>
      <w:tr>
        <w:trPr>
          <w:trHeight w:val="327"/>
        </w:trPr>
        <w:tc>
          <w:tcPr>
            <w:tcW w:w="3940" w:type="dxa"/>
            <w:vAlign w:val="bottom"/>
            <w:tcBorders>
              <w:bottom w:val="single" w:sz="8" w:color="FCD3C3"/>
            </w:tcBorders>
            <w:shd w:val="clear" w:color="auto" w:fill="FCD3C3"/>
          </w:tcPr>
          <w:p>
            <w:pPr>
              <w:ind w:left="260"/>
              <w:spacing w:after="0"/>
              <w:rPr>
                <w:sz w:val="20"/>
                <w:szCs w:val="20"/>
                <w:color w:val="auto"/>
              </w:rPr>
            </w:pPr>
            <w:r>
              <w:rPr>
                <w:rFonts w:ascii="Arial" w:cs="Arial" w:eastAsia="Arial" w:hAnsi="Arial"/>
                <w:sz w:val="18"/>
                <w:szCs w:val="18"/>
                <w:color w:val="auto"/>
              </w:rPr>
              <w:t>Performance Units(3)</w:t>
            </w:r>
          </w:p>
        </w:tc>
        <w:tc>
          <w:tcPr>
            <w:tcW w:w="84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FCD3C3"/>
            </w:tcBorders>
            <w:shd w:val="clear" w:color="auto" w:fill="FCD3C3"/>
          </w:tcPr>
          <w:p>
            <w:pPr>
              <w:jc w:val="right"/>
              <w:ind w:right="271"/>
              <w:spacing w:after="0"/>
              <w:rPr>
                <w:sz w:val="20"/>
                <w:szCs w:val="20"/>
                <w:color w:val="auto"/>
              </w:rPr>
            </w:pPr>
            <w:r>
              <w:rPr>
                <w:rFonts w:ascii="Arial" w:cs="Arial" w:eastAsia="Arial" w:hAnsi="Arial"/>
                <w:sz w:val="18"/>
                <w:szCs w:val="18"/>
                <w:color w:val="auto"/>
                <w:w w:val="97"/>
              </w:rPr>
              <w:t>1,308,395</w:t>
            </w:r>
          </w:p>
        </w:tc>
        <w:tc>
          <w:tcPr>
            <w:tcW w:w="62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FCD3C3"/>
            </w:tcBorders>
            <w:shd w:val="clear" w:color="auto" w:fill="FCD3C3"/>
          </w:tcPr>
          <w:p>
            <w:pPr>
              <w:jc w:val="right"/>
              <w:ind w:right="430"/>
              <w:spacing w:after="0"/>
              <w:rPr>
                <w:sz w:val="20"/>
                <w:szCs w:val="20"/>
                <w:color w:val="auto"/>
              </w:rPr>
            </w:pPr>
            <w:r>
              <w:rPr>
                <w:rFonts w:ascii="Arial" w:cs="Arial" w:eastAsia="Arial" w:hAnsi="Arial"/>
                <w:sz w:val="18"/>
                <w:szCs w:val="18"/>
                <w:color w:val="auto"/>
                <w:w w:val="97"/>
              </w:rPr>
              <w:t>1,308,395</w:t>
            </w:r>
          </w:p>
        </w:tc>
        <w:tc>
          <w:tcPr>
            <w:tcW w:w="46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2,643,649</w:t>
            </w:r>
          </w:p>
        </w:tc>
      </w:tr>
      <w:tr>
        <w:trPr>
          <w:trHeight w:val="274"/>
        </w:trPr>
        <w:tc>
          <w:tcPr>
            <w:tcW w:w="3940" w:type="dxa"/>
            <w:vAlign w:val="bottom"/>
          </w:tcPr>
          <w:p>
            <w:pPr>
              <w:ind w:left="80"/>
              <w:spacing w:after="0"/>
              <w:rPr>
                <w:sz w:val="20"/>
                <w:szCs w:val="20"/>
                <w:color w:val="auto"/>
              </w:rPr>
            </w:pPr>
            <w:r>
              <w:rPr>
                <w:rFonts w:ascii="Arial" w:cs="Arial" w:eastAsia="Arial" w:hAnsi="Arial"/>
                <w:sz w:val="18"/>
                <w:szCs w:val="18"/>
                <w:color w:val="auto"/>
              </w:rPr>
              <w:t>Mr. Gebhardt</w:t>
            </w:r>
          </w:p>
        </w:tc>
        <w:tc>
          <w:tcPr>
            <w:tcW w:w="8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10"/>
        </w:trPr>
        <w:tc>
          <w:tcPr>
            <w:tcW w:w="3940" w:type="dxa"/>
            <w:vAlign w:val="bottom"/>
          </w:tcPr>
          <w:p>
            <w:pPr>
              <w:ind w:left="260"/>
              <w:spacing w:after="0"/>
              <w:rPr>
                <w:sz w:val="20"/>
                <w:szCs w:val="20"/>
                <w:color w:val="auto"/>
              </w:rPr>
            </w:pPr>
            <w:r>
              <w:rPr>
                <w:rFonts w:ascii="Arial" w:cs="Arial" w:eastAsia="Arial" w:hAnsi="Arial"/>
                <w:sz w:val="18"/>
                <w:szCs w:val="18"/>
                <w:color w:val="auto"/>
              </w:rPr>
              <w:t>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1"/>
              <w:spacing w:after="0"/>
              <w:rPr>
                <w:sz w:val="20"/>
                <w:szCs w:val="20"/>
                <w:color w:val="auto"/>
              </w:rPr>
            </w:pPr>
            <w:r>
              <w:rPr>
                <w:rFonts w:ascii="Arial" w:cs="Arial" w:eastAsia="Arial" w:hAnsi="Arial"/>
                <w:sz w:val="18"/>
                <w:szCs w:val="18"/>
                <w:color w:val="auto"/>
              </w:rPr>
              <w:t>35,288</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35,288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35,288</w:t>
            </w:r>
          </w:p>
        </w:tc>
      </w:tr>
      <w:tr>
        <w:trPr>
          <w:trHeight w:val="310"/>
        </w:trPr>
        <w:tc>
          <w:tcPr>
            <w:tcW w:w="394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1"/>
              <w:spacing w:after="0"/>
              <w:rPr>
                <w:sz w:val="20"/>
                <w:szCs w:val="20"/>
                <w:color w:val="auto"/>
              </w:rPr>
            </w:pPr>
            <w:r>
              <w:rPr>
                <w:rFonts w:ascii="Arial" w:cs="Arial" w:eastAsia="Arial" w:hAnsi="Arial"/>
                <w:sz w:val="18"/>
                <w:szCs w:val="18"/>
                <w:color w:val="auto"/>
                <w:w w:val="97"/>
              </w:rPr>
              <w:t>1,681,026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w w:val="97"/>
              </w:rPr>
              <w:t>1,681,026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1,681,026</w:t>
            </w:r>
          </w:p>
        </w:tc>
      </w:tr>
      <w:tr>
        <w:trPr>
          <w:trHeight w:val="310"/>
        </w:trPr>
        <w:tc>
          <w:tcPr>
            <w:tcW w:w="3940" w:type="dxa"/>
            <w:vAlign w:val="bottom"/>
          </w:tcPr>
          <w:p>
            <w:pPr>
              <w:ind w:left="260"/>
              <w:spacing w:after="0"/>
              <w:rPr>
                <w:sz w:val="20"/>
                <w:szCs w:val="20"/>
                <w:color w:val="auto"/>
              </w:rPr>
            </w:pPr>
            <w:r>
              <w:rPr>
                <w:rFonts w:ascii="Arial" w:cs="Arial" w:eastAsia="Arial" w:hAnsi="Arial"/>
                <w:sz w:val="18"/>
                <w:szCs w:val="18"/>
                <w:color w:val="auto"/>
              </w:rPr>
              <w:t>Performance Units(3)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1"/>
              <w:spacing w:after="0"/>
              <w:rPr>
                <w:sz w:val="20"/>
                <w:szCs w:val="20"/>
                <w:color w:val="auto"/>
              </w:rPr>
            </w:pPr>
            <w:r>
              <w:rPr>
                <w:rFonts w:ascii="Arial" w:cs="Arial" w:eastAsia="Arial" w:hAnsi="Arial"/>
                <w:sz w:val="18"/>
                <w:szCs w:val="18"/>
                <w:color w:val="auto"/>
              </w:rPr>
              <w:t>227,203</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227,203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911,387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58978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75" w:lineRule="exact"/>
        <w:rPr>
          <w:sz w:val="20"/>
          <w:szCs w:val="20"/>
          <w:color w:val="auto"/>
        </w:rPr>
      </w:pPr>
    </w:p>
    <w:p>
      <w:pPr>
        <w:jc w:val="both"/>
        <w:ind w:left="360" w:hanging="360"/>
        <w:spacing w:after="0" w:line="258" w:lineRule="auto"/>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Should the named executive officer die or become permanently disabled, the unvested portion of options and restricted stock will become immediately vested upon such termination. Performance shares will vest on a pro-rata basis based on the time the participant remained employed during the performance period. For purpose of this table, performance units are included assuming maximum performance results.</w:t>
      </w:r>
    </w:p>
    <w:p>
      <w:pPr>
        <w:spacing w:after="0" w:line="182" w:lineRule="exact"/>
        <w:rPr>
          <w:rFonts w:ascii="Arial" w:cs="Arial" w:eastAsia="Arial" w:hAnsi="Arial"/>
          <w:sz w:val="14"/>
          <w:szCs w:val="14"/>
          <w:color w:val="auto"/>
        </w:rPr>
      </w:pPr>
    </w:p>
    <w:p>
      <w:pPr>
        <w:jc w:val="both"/>
        <w:ind w:left="360" w:hanging="360"/>
        <w:spacing w:after="0" w:line="263" w:lineRule="auto"/>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2011 Stock Incentive Plan does not provide for gross-up payments in the event of an excise tax liability upon a change of control. However, under our Agreements, payments to an employee upon a change of control may be subject to limitations in the event that an excise tax liability would be triggered.</w:t>
      </w:r>
    </w:p>
    <w:p>
      <w:pPr>
        <w:spacing w:after="0" w:line="10" w:lineRule="exact"/>
        <w:rPr>
          <w:rFonts w:ascii="Arial" w:cs="Arial" w:eastAsia="Arial" w:hAnsi="Arial"/>
          <w:sz w:val="14"/>
          <w:szCs w:val="14"/>
          <w:color w:val="auto"/>
        </w:rPr>
      </w:pPr>
    </w:p>
    <w:p>
      <w:pPr>
        <w:ind w:left="360" w:hanging="360"/>
        <w:spacing w:after="0" w:line="285" w:lineRule="auto"/>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Assumes maximum number of units are paid and includes units which were vested as of December 31, 2021 but were not yet paid to participants.</w:t>
      </w:r>
    </w:p>
    <w:p>
      <w:pPr>
        <w:spacing w:after="0" w:line="2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March 2022 the Company amended the 2011 Stock Incentive Plan to replace automatic vesting of awards upon a Section 11 Event with so-called “double trigger” vesting if awards remain outstanding following a Section 11 Event. If awards remain outstanding (or are assumed or replaced by the surviving entity) following a Section 11 Event and the participant’s employment is terminated without “cause” or for “good reason” (in each case, as defined in the award agreement) during the one-year period following such event, the awards will become fully vested. If awards do not remain outstanding (and are not assumed or replaced by the surviving entity) following a Section 11 Event, the awards will become fully vested upon a Section 11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58978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80"/>
          </w:cols>
          <w:pgMar w:left="1300" w:top="263" w:right="1319" w:bottom="852" w:gutter="0" w:footer="0" w:header="0"/>
        </w:sectPr>
      </w:pPr>
    </w:p>
    <w:p>
      <w:pPr>
        <w:spacing w:after="0" w:line="332" w:lineRule="exact"/>
        <w:rPr>
          <w:sz w:val="20"/>
          <w:szCs w:val="20"/>
          <w:color w:val="auto"/>
        </w:rPr>
      </w:pPr>
    </w:p>
    <w:p>
      <w:pPr>
        <w:ind w:left="140"/>
        <w:spacing w:after="0"/>
        <w:tabs>
          <w:tab w:leader="none" w:pos="5690" w:val="left"/>
        </w:tabs>
        <w:rPr>
          <w:sz w:val="20"/>
          <w:szCs w:val="20"/>
          <w:color w:val="auto"/>
        </w:rPr>
      </w:pPr>
      <w:r>
        <w:rPr>
          <w:rFonts w:ascii="Arial" w:cs="Arial" w:eastAsia="Arial" w:hAnsi="Arial"/>
          <w:sz w:val="32"/>
          <w:szCs w:val="32"/>
          <w:b w:val="1"/>
          <w:bCs w:val="1"/>
          <w:color w:val="auto"/>
          <w:vertAlign w:val="superscript"/>
        </w:rPr>
        <w:t>50</w:t>
      </w:r>
      <w:r>
        <w:rPr>
          <w:sz w:val="20"/>
          <w:szCs w:val="20"/>
          <w:color w:val="auto"/>
        </w:rPr>
        <w:tab/>
      </w:r>
      <w:r>
        <w:rPr>
          <w:sz w:val="1"/>
          <w:szCs w:val="1"/>
          <w:color w:val="auto"/>
        </w:rPr>
        <w:drawing>
          <wp:inline distT="0" distB="0" distL="0" distR="0">
            <wp:extent cx="471805" cy="17970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71805" cy="179705"/>
                    </a:xfrm>
                    <a:prstGeom prst="rect">
                      <a:avLst/>
                    </a:prstGeom>
                    <a:noFill/>
                    <a:ln>
                      <a:noFill/>
                    </a:ln>
                  </pic:spPr>
                </pic:pic>
              </a:graphicData>
            </a:graphic>
          </wp:inline>
        </w:drawing>
      </w:r>
      <w:r>
        <w:rPr>
          <w:rFonts w:ascii="Arial" w:cs="Arial" w:eastAsia="Arial" w:hAnsi="Arial"/>
          <w:sz w:val="12"/>
          <w:szCs w:val="12"/>
          <w:color w:val="EC252A"/>
        </w:rPr>
        <w:t xml:space="preserve"> 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137795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3" w:right="1319" w:bottom="852" w:gutter="0" w:footer="0" w:header="0"/>
          <w:type w:val="continuous"/>
        </w:sectPr>
      </w:pPr>
    </w:p>
    <w:bookmarkStart w:id="55" w:name="page56"/>
    <w:bookmarkEnd w:id="55"/>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CEO Pay Ratio</w:t>
      </w:r>
    </w:p>
    <w:p>
      <w:pPr>
        <w:spacing w:after="0" w:line="128" w:lineRule="exact"/>
        <w:rPr>
          <w:sz w:val="20"/>
          <w:szCs w:val="20"/>
          <w:color w:val="auto"/>
        </w:rPr>
      </w:pPr>
    </w:p>
    <w:p>
      <w:pPr>
        <w:ind w:left="860" w:right="940"/>
        <w:spacing w:after="0" w:line="253"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SEC Regulation S-K, we are providing the following information about the relationship of the annual total compensation of our employees and the annual total compensation of Mr. Santana, our Chief Executive Officer.</w:t>
      </w:r>
    </w:p>
    <w:p>
      <w:pPr>
        <w:spacing w:after="0" w:line="10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For 2021, our last completed fiscal year:</w:t>
      </w:r>
    </w:p>
    <w:p>
      <w:pPr>
        <w:spacing w:after="0" w:line="104" w:lineRule="exact"/>
        <w:rPr>
          <w:sz w:val="20"/>
          <w:szCs w:val="20"/>
          <w:color w:val="auto"/>
        </w:rPr>
      </w:pPr>
    </w:p>
    <w:p>
      <w:pPr>
        <w:ind w:left="1580" w:right="920" w:hanging="360"/>
        <w:spacing w:after="0" w:line="271" w:lineRule="auto"/>
        <w:tabs>
          <w:tab w:leader="none" w:pos="1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annual total compensation of our median employee of our company (other than our CEO) was $45,266; and</w:t>
      </w:r>
    </w:p>
    <w:p>
      <w:pPr>
        <w:spacing w:after="0" w:line="45" w:lineRule="exact"/>
        <w:rPr>
          <w:rFonts w:ascii="Arial" w:cs="Arial" w:eastAsia="Arial" w:hAnsi="Arial"/>
          <w:sz w:val="18"/>
          <w:szCs w:val="18"/>
          <w:color w:val="auto"/>
        </w:rPr>
      </w:pPr>
    </w:p>
    <w:p>
      <w:pPr>
        <w:ind w:left="1580" w:right="980" w:hanging="360"/>
        <w:spacing w:after="0" w:line="271" w:lineRule="auto"/>
        <w:tabs>
          <w:tab w:leader="none" w:pos="1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annual total compensation of our CEO, as reported in the Summary Compensation Table presented on page </w:t>
      </w:r>
      <w:hyperlink w:anchor="page47">
        <w:r>
          <w:rPr>
            <w:rFonts w:ascii="Arial" w:cs="Arial" w:eastAsia="Arial" w:hAnsi="Arial"/>
            <w:sz w:val="18"/>
            <w:szCs w:val="18"/>
            <w:u w:val="single" w:color="auto"/>
            <w:color w:val="0000EE"/>
          </w:rPr>
          <w:t>42</w:t>
        </w:r>
      </w:hyperlink>
      <w:r>
        <w:rPr>
          <w:rFonts w:ascii="Arial" w:cs="Arial" w:eastAsia="Arial" w:hAnsi="Arial"/>
          <w:sz w:val="18"/>
          <w:szCs w:val="18"/>
          <w:color w:val="auto"/>
        </w:rPr>
        <w:t>, was $11,027,238.</w:t>
      </w:r>
    </w:p>
    <w:p>
      <w:pPr>
        <w:spacing w:after="0" w:line="48" w:lineRule="exact"/>
        <w:rPr>
          <w:sz w:val="20"/>
          <w:szCs w:val="20"/>
          <w:color w:val="auto"/>
        </w:rPr>
      </w:pPr>
    </w:p>
    <w:p>
      <w:pPr>
        <w:ind w:left="860" w:right="880"/>
        <w:spacing w:after="0" w:line="256" w:lineRule="auto"/>
        <w:rPr>
          <w:sz w:val="20"/>
          <w:szCs w:val="20"/>
          <w:color w:val="auto"/>
        </w:rPr>
      </w:pPr>
      <w:r>
        <w:rPr>
          <w:rFonts w:ascii="Arial" w:cs="Arial" w:eastAsia="Arial" w:hAnsi="Arial"/>
          <w:sz w:val="18"/>
          <w:szCs w:val="18"/>
          <w:b w:val="1"/>
          <w:bCs w:val="1"/>
          <w:i w:val="1"/>
          <w:iCs w:val="1"/>
          <w:color w:val="auto"/>
        </w:rPr>
        <w:t>Based on this information, for 2021, the ratio of the annual total compensation of Mr. Santana, our Chief Executive Officer, to the median of the annual total compensation of all employees was approximately 244 to 1.</w:t>
      </w:r>
    </w:p>
    <w:p>
      <w:pPr>
        <w:spacing w:after="0" w:line="51" w:lineRule="exact"/>
        <w:rPr>
          <w:sz w:val="20"/>
          <w:szCs w:val="20"/>
          <w:color w:val="auto"/>
        </w:rPr>
      </w:pPr>
    </w:p>
    <w:p>
      <w:pPr>
        <w:ind w:left="860" w:right="1400"/>
        <w:spacing w:after="0" w:line="253" w:lineRule="auto"/>
        <w:rPr>
          <w:sz w:val="20"/>
          <w:szCs w:val="20"/>
          <w:color w:val="auto"/>
        </w:rPr>
      </w:pPr>
      <w:r>
        <w:rPr>
          <w:rFonts w:ascii="Arial" w:cs="Arial" w:eastAsia="Arial" w:hAnsi="Arial"/>
          <w:sz w:val="18"/>
          <w:szCs w:val="18"/>
          <w:color w:val="auto"/>
        </w:rPr>
        <w:t>To identify the median employee among of all our employees (excluding the CEO), as well as to determine the annual total compensation of the “median employee” for this purpose, the methodology and the material assumptions, adjustments, and estimates that we used were as follows:</w:t>
      </w:r>
    </w:p>
    <w:p>
      <w:pPr>
        <w:spacing w:after="0" w:line="61" w:lineRule="exact"/>
        <w:rPr>
          <w:sz w:val="20"/>
          <w:szCs w:val="20"/>
          <w:color w:val="auto"/>
        </w:rPr>
      </w:pPr>
    </w:p>
    <w:p>
      <w:pPr>
        <w:ind w:left="1580" w:hanging="360"/>
        <w:spacing w:after="0"/>
        <w:tabs>
          <w:tab w:leader="none" w:pos="1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selected December 31, 2021 as the date upon which we would identify the median employee.</w:t>
      </w:r>
    </w:p>
    <w:p>
      <w:pPr>
        <w:spacing w:after="0" w:line="103" w:lineRule="exact"/>
        <w:rPr>
          <w:rFonts w:ascii="Arial" w:cs="Arial" w:eastAsia="Arial" w:hAnsi="Arial"/>
          <w:sz w:val="18"/>
          <w:szCs w:val="18"/>
          <w:color w:val="auto"/>
        </w:rPr>
      </w:pPr>
    </w:p>
    <w:p>
      <w:pPr>
        <w:ind w:left="1580" w:right="1040" w:hanging="360"/>
        <w:spacing w:after="0" w:line="301" w:lineRule="auto"/>
        <w:tabs>
          <w:tab w:leader="none" w:pos="15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determined that, as of December 31, 2021, our employee population for pay ratio disclosure purposes consisted of approximately 25,394 individuals. We did not use any statistical sampling techniques.</w:t>
      </w:r>
    </w:p>
    <w:p>
      <w:pPr>
        <w:spacing w:after="0" w:line="22" w:lineRule="exact"/>
        <w:rPr>
          <w:rFonts w:ascii="Arial" w:cs="Arial" w:eastAsia="Arial" w:hAnsi="Arial"/>
          <w:sz w:val="17"/>
          <w:szCs w:val="17"/>
          <w:color w:val="auto"/>
        </w:rPr>
      </w:pPr>
    </w:p>
    <w:p>
      <w:pPr>
        <w:ind w:left="1580" w:right="1160" w:hanging="360"/>
        <w:spacing w:after="0" w:line="271" w:lineRule="auto"/>
        <w:tabs>
          <w:tab w:leader="none" w:pos="1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used total target cash compensation reflected in our payroll records for those employees.</w:t>
      </w:r>
    </w:p>
    <w:p>
      <w:pPr>
        <w:spacing w:after="0" w:line="45" w:lineRule="exact"/>
        <w:rPr>
          <w:rFonts w:ascii="Arial" w:cs="Arial" w:eastAsia="Arial" w:hAnsi="Arial"/>
          <w:sz w:val="18"/>
          <w:szCs w:val="18"/>
          <w:color w:val="auto"/>
        </w:rPr>
      </w:pPr>
    </w:p>
    <w:p>
      <w:pPr>
        <w:jc w:val="both"/>
        <w:ind w:left="1580" w:right="1140" w:hanging="360"/>
        <w:spacing w:after="0" w:line="253" w:lineRule="auto"/>
        <w:tabs>
          <w:tab w:leader="none" w:pos="1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making these determinations, we annualized the compensation of all permanent employees who were hired in 2021 but did not work for us or our consolidated subsidiaries for the entire fiscal year. We did not make any cost-of-living adjustments in identifying the median employee.</w:t>
      </w:r>
    </w:p>
    <w:p>
      <w:pPr>
        <w:spacing w:after="0" w:line="60" w:lineRule="exact"/>
        <w:rPr>
          <w:rFonts w:ascii="Arial" w:cs="Arial" w:eastAsia="Arial" w:hAnsi="Arial"/>
          <w:sz w:val="18"/>
          <w:szCs w:val="18"/>
          <w:color w:val="auto"/>
        </w:rPr>
      </w:pPr>
    </w:p>
    <w:p>
      <w:pPr>
        <w:ind w:left="1580" w:right="940" w:hanging="360"/>
        <w:spacing w:after="0" w:line="259" w:lineRule="auto"/>
        <w:tabs>
          <w:tab w:leader="none" w:pos="15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With respect to the annual total compensation of the median employee, we identified and calculated the elements of such employee’s compensation for 2021 in accordance with the requirements of Item 402(c)(2)</w:t>
      </w:r>
    </w:p>
    <w:p>
      <w:pPr>
        <w:spacing w:after="0" w:line="1" w:lineRule="exact"/>
        <w:rPr>
          <w:rFonts w:ascii="Arial" w:cs="Arial" w:eastAsia="Arial" w:hAnsi="Arial"/>
          <w:sz w:val="17"/>
          <w:szCs w:val="17"/>
          <w:color w:val="auto"/>
        </w:rPr>
      </w:pPr>
    </w:p>
    <w:p>
      <w:pPr>
        <w:ind w:left="1580"/>
        <w:spacing w:after="0"/>
        <w:rPr>
          <w:rFonts w:ascii="Arial" w:cs="Arial" w:eastAsia="Arial" w:hAnsi="Arial"/>
          <w:sz w:val="17"/>
          <w:szCs w:val="17"/>
          <w:color w:val="auto"/>
        </w:rPr>
      </w:pPr>
      <w:r>
        <w:rPr>
          <w:rFonts w:ascii="Arial" w:cs="Arial" w:eastAsia="Arial" w:hAnsi="Arial"/>
          <w:sz w:val="18"/>
          <w:szCs w:val="18"/>
          <w:color w:val="auto"/>
        </w:rPr>
        <w:t>(x) of SEC Regulation S-K, resulting in annual total compensation of $45,266.</w:t>
      </w:r>
    </w:p>
    <w:p>
      <w:pPr>
        <w:spacing w:after="0" w:line="85" w:lineRule="exact"/>
        <w:rPr>
          <w:rFonts w:ascii="Arial" w:cs="Arial" w:eastAsia="Arial" w:hAnsi="Arial"/>
          <w:sz w:val="17"/>
          <w:szCs w:val="17"/>
          <w:color w:val="auto"/>
        </w:rPr>
      </w:pPr>
    </w:p>
    <w:p>
      <w:pPr>
        <w:ind w:left="1580" w:right="1020" w:hanging="360"/>
        <w:spacing w:after="0" w:line="271" w:lineRule="auto"/>
        <w:tabs>
          <w:tab w:leader="none" w:pos="1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did not otherwise adjust or annualize the median employee’s or the CEO’s compensation for purposes of determining the pay ratio noted above</w:t>
      </w:r>
    </w:p>
    <w:p>
      <w:pPr>
        <w:spacing w:after="0" w:line="46" w:lineRule="exact"/>
        <w:rPr>
          <w:sz w:val="20"/>
          <w:szCs w:val="20"/>
          <w:color w:val="auto"/>
        </w:rPr>
      </w:pPr>
    </w:p>
    <w:p>
      <w:pPr>
        <w:ind w:left="860" w:right="920"/>
        <w:spacing w:after="0" w:line="242" w:lineRule="auto"/>
        <w:rPr>
          <w:sz w:val="20"/>
          <w:szCs w:val="20"/>
          <w:color w:val="auto"/>
        </w:rPr>
      </w:pPr>
      <w:r>
        <w:rPr>
          <w:rFonts w:ascii="Arial" w:cs="Arial" w:eastAsia="Arial" w:hAnsi="Arial"/>
          <w:sz w:val="18"/>
          <w:szCs w:val="18"/>
          <w:color w:val="auto"/>
        </w:rPr>
        <w:t>The CEO pay ratio reported above is a reasonable estimate calculated in a manner consistent with SEC rules based on the methodologies and assumptions described above. SEC rules for identifying the median employee and determining the CEO pay ratio permit companies to employ a wide range of methodologies, estimates and assumptions. As a result, the CEO pay ratios reported by other companies, which may have employed other permitted methodologies or assumptions and which may have a significantly different work force structure from ours, are likely not comparable to our 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177165</wp:posOffset>
            </wp:positionV>
            <wp:extent cx="58978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280035</wp:posOffset>
            </wp:positionV>
            <wp:extent cx="471170" cy="1803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51</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sectPr>
      </w:pPr>
    </w:p>
    <w:bookmarkStart w:id="56" w:name="page57"/>
    <w:bookmarkEnd w:id="5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Director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concerning the compensation of our non-employee directors for the period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January 1, 2021 through December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2500" w:type="dxa"/>
            <w:vAlign w:val="bottom"/>
            <w:gridSpan w:val="2"/>
          </w:tcPr>
          <w:p>
            <w:pPr>
              <w:ind w:left="900"/>
              <w:spacing w:after="0"/>
              <w:rPr>
                <w:sz w:val="20"/>
                <w:szCs w:val="20"/>
                <w:color w:val="auto"/>
              </w:rPr>
            </w:pPr>
            <w:r>
              <w:rPr>
                <w:rFonts w:ascii="Arial" w:cs="Arial" w:eastAsia="Arial" w:hAnsi="Arial"/>
                <w:sz w:val="16"/>
                <w:szCs w:val="16"/>
                <w:b w:val="1"/>
                <w:bCs w:val="1"/>
                <w:color w:val="EC252A"/>
              </w:rPr>
              <w:t>Fees Earned</w:t>
            </w:r>
          </w:p>
        </w:tc>
        <w:tc>
          <w:tcPr>
            <w:tcW w:w="2420" w:type="dxa"/>
            <w:vAlign w:val="bottom"/>
          </w:tcPr>
          <w:p>
            <w:pPr>
              <w:jc w:val="center"/>
              <w:spacing w:after="0"/>
              <w:rPr>
                <w:sz w:val="20"/>
                <w:szCs w:val="20"/>
                <w:color w:val="auto"/>
              </w:rPr>
            </w:pPr>
            <w:r>
              <w:rPr>
                <w:rFonts w:ascii="Arial" w:cs="Arial" w:eastAsia="Arial" w:hAnsi="Arial"/>
                <w:sz w:val="16"/>
                <w:szCs w:val="16"/>
                <w:b w:val="1"/>
                <w:bCs w:val="1"/>
                <w:color w:val="EC252A"/>
              </w:rPr>
              <w:t>Stock</w:t>
            </w:r>
          </w:p>
        </w:tc>
        <w:tc>
          <w:tcPr>
            <w:tcW w:w="1380" w:type="dxa"/>
            <w:vAlign w:val="bottom"/>
          </w:tcPr>
          <w:p>
            <w:pPr>
              <w:spacing w:after="0"/>
              <w:rPr>
                <w:sz w:val="16"/>
                <w:szCs w:val="16"/>
                <w:color w:val="auto"/>
              </w:rPr>
            </w:pPr>
          </w:p>
        </w:tc>
      </w:tr>
      <w:tr>
        <w:trPr>
          <w:trHeight w:val="223"/>
        </w:trPr>
        <w:tc>
          <w:tcPr>
            <w:tcW w:w="2980" w:type="dxa"/>
            <w:vAlign w:val="bottom"/>
          </w:tcPr>
          <w:p>
            <w:pPr>
              <w:ind w:left="80"/>
              <w:spacing w:after="0"/>
              <w:rPr>
                <w:sz w:val="20"/>
                <w:szCs w:val="20"/>
                <w:color w:val="auto"/>
              </w:rPr>
            </w:pPr>
            <w:r>
              <w:rPr>
                <w:rFonts w:ascii="Arial" w:cs="Arial" w:eastAsia="Arial" w:hAnsi="Arial"/>
                <w:sz w:val="16"/>
                <w:szCs w:val="16"/>
                <w:b w:val="1"/>
                <w:bCs w:val="1"/>
                <w:color w:val="EC252A"/>
              </w:rPr>
              <w:t>Name</w:t>
            </w:r>
          </w:p>
        </w:tc>
        <w:tc>
          <w:tcPr>
            <w:tcW w:w="2500" w:type="dxa"/>
            <w:vAlign w:val="bottom"/>
            <w:gridSpan w:val="2"/>
          </w:tcPr>
          <w:p>
            <w:pPr>
              <w:ind w:left="920"/>
              <w:spacing w:after="0"/>
              <w:rPr>
                <w:sz w:val="20"/>
                <w:szCs w:val="20"/>
                <w:color w:val="auto"/>
              </w:rPr>
            </w:pPr>
            <w:r>
              <w:rPr>
                <w:rFonts w:ascii="Arial" w:cs="Arial" w:eastAsia="Arial" w:hAnsi="Arial"/>
                <w:sz w:val="16"/>
                <w:szCs w:val="16"/>
                <w:b w:val="1"/>
                <w:bCs w:val="1"/>
                <w:color w:val="EC252A"/>
              </w:rPr>
              <w:t>Paid in Cash</w:t>
            </w:r>
          </w:p>
        </w:tc>
        <w:tc>
          <w:tcPr>
            <w:tcW w:w="2420" w:type="dxa"/>
            <w:vAlign w:val="bottom"/>
          </w:tcPr>
          <w:p>
            <w:pPr>
              <w:jc w:val="center"/>
              <w:spacing w:after="0"/>
              <w:rPr>
                <w:sz w:val="20"/>
                <w:szCs w:val="20"/>
                <w:color w:val="auto"/>
              </w:rPr>
            </w:pPr>
            <w:r>
              <w:rPr>
                <w:rFonts w:ascii="Arial" w:cs="Arial" w:eastAsia="Arial" w:hAnsi="Arial"/>
                <w:sz w:val="16"/>
                <w:szCs w:val="16"/>
                <w:b w:val="1"/>
                <w:bCs w:val="1"/>
                <w:color w:val="EC252A"/>
              </w:rPr>
              <w:t>Awards (1)(2)(3)</w:t>
            </w:r>
          </w:p>
        </w:tc>
        <w:tc>
          <w:tcPr>
            <w:tcW w:w="1380" w:type="dxa"/>
            <w:vAlign w:val="bottom"/>
          </w:tcPr>
          <w:p>
            <w:pPr>
              <w:jc w:val="center"/>
              <w:ind w:left="471"/>
              <w:spacing w:after="0"/>
              <w:rPr>
                <w:sz w:val="20"/>
                <w:szCs w:val="20"/>
                <w:color w:val="auto"/>
              </w:rPr>
            </w:pPr>
            <w:r>
              <w:rPr>
                <w:rFonts w:ascii="Arial" w:cs="Arial" w:eastAsia="Arial" w:hAnsi="Arial"/>
                <w:sz w:val="16"/>
                <w:szCs w:val="16"/>
                <w:b w:val="1"/>
                <w:bCs w:val="1"/>
                <w:color w:val="EC252A"/>
                <w:w w:val="99"/>
              </w:rPr>
              <w:t>Total</w:t>
            </w:r>
          </w:p>
        </w:tc>
      </w:tr>
      <w:tr>
        <w:trPr>
          <w:trHeight w:val="88"/>
        </w:trPr>
        <w:tc>
          <w:tcPr>
            <w:tcW w:w="2980" w:type="dxa"/>
            <w:vAlign w:val="bottom"/>
            <w:tcBorders>
              <w:bottom w:val="single" w:sz="8" w:color="EC252A"/>
            </w:tcBorders>
          </w:tcPr>
          <w:p>
            <w:pPr>
              <w:spacing w:after="0"/>
              <w:rPr>
                <w:sz w:val="7"/>
                <w:szCs w:val="7"/>
                <w:color w:val="auto"/>
              </w:rPr>
            </w:pPr>
          </w:p>
        </w:tc>
        <w:tc>
          <w:tcPr>
            <w:tcW w:w="1100" w:type="dxa"/>
            <w:vAlign w:val="bottom"/>
            <w:tcBorders>
              <w:bottom w:val="single" w:sz="8" w:color="EC252A"/>
            </w:tcBorders>
          </w:tcPr>
          <w:p>
            <w:pPr>
              <w:spacing w:after="0"/>
              <w:rPr>
                <w:sz w:val="7"/>
                <w:szCs w:val="7"/>
                <w:color w:val="auto"/>
              </w:rPr>
            </w:pPr>
          </w:p>
        </w:tc>
        <w:tc>
          <w:tcPr>
            <w:tcW w:w="1400" w:type="dxa"/>
            <w:vAlign w:val="bottom"/>
            <w:tcBorders>
              <w:bottom w:val="single" w:sz="8" w:color="EC252A"/>
            </w:tcBorders>
          </w:tcPr>
          <w:p>
            <w:pPr>
              <w:spacing w:after="0"/>
              <w:rPr>
                <w:sz w:val="7"/>
                <w:szCs w:val="7"/>
                <w:color w:val="auto"/>
              </w:rPr>
            </w:pPr>
          </w:p>
        </w:tc>
        <w:tc>
          <w:tcPr>
            <w:tcW w:w="2420" w:type="dxa"/>
            <w:vAlign w:val="bottom"/>
            <w:tcBorders>
              <w:bottom w:val="single" w:sz="8" w:color="EC252A"/>
            </w:tcBorders>
          </w:tcPr>
          <w:p>
            <w:pPr>
              <w:spacing w:after="0"/>
              <w:rPr>
                <w:sz w:val="7"/>
                <w:szCs w:val="7"/>
                <w:color w:val="auto"/>
              </w:rPr>
            </w:pPr>
          </w:p>
        </w:tc>
        <w:tc>
          <w:tcPr>
            <w:tcW w:w="1380" w:type="dxa"/>
            <w:vAlign w:val="bottom"/>
            <w:tcBorders>
              <w:bottom w:val="single" w:sz="8" w:color="EC252A"/>
            </w:tcBorders>
          </w:tcPr>
          <w:p>
            <w:pPr>
              <w:spacing w:after="0"/>
              <w:rPr>
                <w:sz w:val="7"/>
                <w:szCs w:val="7"/>
                <w:color w:val="auto"/>
              </w:rPr>
            </w:pPr>
          </w:p>
        </w:tc>
      </w:tr>
      <w:tr>
        <w:trPr>
          <w:trHeight w:val="322"/>
        </w:trPr>
        <w:tc>
          <w:tcPr>
            <w:tcW w:w="2980" w:type="dxa"/>
            <w:vAlign w:val="bottom"/>
          </w:tcPr>
          <w:p>
            <w:pPr>
              <w:ind w:left="80"/>
              <w:spacing w:after="0"/>
              <w:rPr>
                <w:sz w:val="20"/>
                <w:szCs w:val="20"/>
                <w:color w:val="auto"/>
              </w:rPr>
            </w:pPr>
            <w:r>
              <w:rPr>
                <w:rFonts w:ascii="Arial" w:cs="Arial" w:eastAsia="Arial" w:hAnsi="Arial"/>
                <w:sz w:val="18"/>
                <w:szCs w:val="18"/>
                <w:color w:val="auto"/>
              </w:rPr>
              <w:t>Albert J. Neupaver, Chair</w:t>
            </w:r>
          </w:p>
        </w:tc>
        <w:tc>
          <w:tcPr>
            <w:tcW w:w="1100" w:type="dxa"/>
            <w:vAlign w:val="bottom"/>
          </w:tcPr>
          <w:p>
            <w:pPr>
              <w:ind w:left="100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650"/>
              <w:spacing w:after="0"/>
              <w:rPr>
                <w:sz w:val="20"/>
                <w:szCs w:val="20"/>
                <w:color w:val="auto"/>
              </w:rPr>
            </w:pPr>
            <w:r>
              <w:rPr>
                <w:rFonts w:ascii="Arial" w:cs="Arial" w:eastAsia="Arial" w:hAnsi="Arial"/>
                <w:sz w:val="18"/>
                <w:szCs w:val="18"/>
                <w:color w:val="auto"/>
                <w:w w:val="98"/>
              </w:rPr>
              <w:t>310,000</w:t>
            </w:r>
          </w:p>
        </w:tc>
        <w:tc>
          <w:tcPr>
            <w:tcW w:w="2420" w:type="dxa"/>
            <w:vAlign w:val="bottom"/>
          </w:tcPr>
          <w:p>
            <w:pPr>
              <w:jc w:val="center"/>
              <w:spacing w:after="0"/>
              <w:rPr>
                <w:sz w:val="20"/>
                <w:szCs w:val="20"/>
                <w:color w:val="auto"/>
              </w:rPr>
            </w:pPr>
            <w:r>
              <w:rPr>
                <w:rFonts w:ascii="Arial" w:cs="Arial" w:eastAsia="Arial" w:hAnsi="Arial"/>
                <w:sz w:val="18"/>
                <w:szCs w:val="18"/>
                <w:color w:val="auto"/>
                <w:w w:val="98"/>
              </w:rPr>
              <w:t>$160,072</w:t>
            </w:r>
          </w:p>
        </w:tc>
        <w:tc>
          <w:tcPr>
            <w:tcW w:w="1380" w:type="dxa"/>
            <w:vAlign w:val="bottom"/>
          </w:tcPr>
          <w:p>
            <w:pPr>
              <w:jc w:val="center"/>
              <w:ind w:left="471"/>
              <w:spacing w:after="0"/>
              <w:rPr>
                <w:sz w:val="20"/>
                <w:szCs w:val="20"/>
                <w:color w:val="auto"/>
              </w:rPr>
            </w:pPr>
            <w:r>
              <w:rPr>
                <w:rFonts w:ascii="Arial" w:cs="Arial" w:eastAsia="Arial" w:hAnsi="Arial"/>
                <w:sz w:val="18"/>
                <w:szCs w:val="18"/>
                <w:color w:val="auto"/>
                <w:w w:val="98"/>
              </w:rPr>
              <w:t>$470,072</w:t>
            </w:r>
          </w:p>
        </w:tc>
      </w:tr>
      <w:tr>
        <w:trPr>
          <w:trHeight w:val="90"/>
        </w:trPr>
        <w:tc>
          <w:tcPr>
            <w:tcW w:w="2980" w:type="dxa"/>
            <w:vAlign w:val="bottom"/>
          </w:tcPr>
          <w:p>
            <w:pPr>
              <w:spacing w:after="0"/>
              <w:rPr>
                <w:sz w:val="7"/>
                <w:szCs w:val="7"/>
                <w:color w:val="auto"/>
              </w:rPr>
            </w:pPr>
          </w:p>
        </w:tc>
        <w:tc>
          <w:tcPr>
            <w:tcW w:w="2500" w:type="dxa"/>
            <w:vAlign w:val="bottom"/>
            <w:gridSpan w:val="2"/>
          </w:tcPr>
          <w:p>
            <w:pPr>
              <w:spacing w:after="0"/>
              <w:rPr>
                <w:sz w:val="7"/>
                <w:szCs w:val="7"/>
                <w:color w:val="auto"/>
              </w:rPr>
            </w:pPr>
          </w:p>
        </w:tc>
        <w:tc>
          <w:tcPr>
            <w:tcW w:w="242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328"/>
        </w:trPr>
        <w:tc>
          <w:tcPr>
            <w:tcW w:w="2980" w:type="dxa"/>
            <w:vAlign w:val="bottom"/>
            <w:shd w:val="clear" w:color="auto" w:fill="FCD3C3"/>
          </w:tcPr>
          <w:p>
            <w:pPr>
              <w:ind w:left="80"/>
              <w:spacing w:after="0"/>
              <w:rPr>
                <w:sz w:val="20"/>
                <w:szCs w:val="20"/>
                <w:color w:val="auto"/>
              </w:rPr>
            </w:pPr>
            <w:r>
              <w:rPr>
                <w:rFonts w:ascii="Arial" w:cs="Arial" w:eastAsia="Arial" w:hAnsi="Arial"/>
                <w:sz w:val="18"/>
                <w:szCs w:val="18"/>
                <w:color w:val="auto"/>
              </w:rPr>
              <w:t>Lee Banks</w:t>
            </w:r>
          </w:p>
        </w:tc>
        <w:tc>
          <w:tcPr>
            <w:tcW w:w="2500" w:type="dxa"/>
            <w:vAlign w:val="bottom"/>
            <w:gridSpan w:val="2"/>
            <w:shd w:val="clear" w:color="auto" w:fill="FCD3C3"/>
          </w:tcPr>
          <w:p>
            <w:pPr>
              <w:ind w:left="1000"/>
              <w:spacing w:after="0"/>
              <w:rPr>
                <w:sz w:val="20"/>
                <w:szCs w:val="20"/>
                <w:color w:val="auto"/>
              </w:rPr>
            </w:pPr>
            <w:r>
              <w:rPr>
                <w:rFonts w:ascii="Arial" w:cs="Arial" w:eastAsia="Arial" w:hAnsi="Arial"/>
                <w:sz w:val="18"/>
                <w:szCs w:val="18"/>
                <w:color w:val="auto"/>
              </w:rPr>
              <w:t>$110,000</w:t>
            </w:r>
          </w:p>
        </w:tc>
        <w:tc>
          <w:tcPr>
            <w:tcW w:w="2420" w:type="dxa"/>
            <w:vAlign w:val="bottom"/>
            <w:shd w:val="clear" w:color="auto" w:fill="FCD3C3"/>
          </w:tcPr>
          <w:p>
            <w:pPr>
              <w:jc w:val="center"/>
              <w:spacing w:after="0"/>
              <w:rPr>
                <w:sz w:val="20"/>
                <w:szCs w:val="20"/>
                <w:color w:val="auto"/>
              </w:rPr>
            </w:pPr>
            <w:r>
              <w:rPr>
                <w:rFonts w:ascii="Arial" w:cs="Arial" w:eastAsia="Arial" w:hAnsi="Arial"/>
                <w:sz w:val="18"/>
                <w:szCs w:val="18"/>
                <w:color w:val="auto"/>
                <w:w w:val="98"/>
              </w:rPr>
              <w:t>$160,072</w:t>
            </w:r>
          </w:p>
        </w:tc>
        <w:tc>
          <w:tcPr>
            <w:tcW w:w="1380" w:type="dxa"/>
            <w:vAlign w:val="bottom"/>
            <w:shd w:val="clear" w:color="auto" w:fill="FCD3C3"/>
          </w:tcPr>
          <w:p>
            <w:pPr>
              <w:jc w:val="center"/>
              <w:ind w:left="471"/>
              <w:spacing w:after="0"/>
              <w:rPr>
                <w:sz w:val="20"/>
                <w:szCs w:val="20"/>
                <w:color w:val="auto"/>
              </w:rPr>
            </w:pPr>
            <w:r>
              <w:rPr>
                <w:rFonts w:ascii="Arial" w:cs="Arial" w:eastAsia="Arial" w:hAnsi="Arial"/>
                <w:sz w:val="18"/>
                <w:szCs w:val="18"/>
                <w:color w:val="auto"/>
                <w:w w:val="98"/>
              </w:rPr>
              <w:t>$270,072</w:t>
            </w:r>
          </w:p>
        </w:tc>
      </w:tr>
      <w:tr>
        <w:trPr>
          <w:trHeight w:val="90"/>
        </w:trPr>
        <w:tc>
          <w:tcPr>
            <w:tcW w:w="2980" w:type="dxa"/>
            <w:vAlign w:val="bottom"/>
            <w:shd w:val="clear" w:color="auto" w:fill="FCD3C3"/>
          </w:tcPr>
          <w:p>
            <w:pPr>
              <w:spacing w:after="0"/>
              <w:rPr>
                <w:sz w:val="7"/>
                <w:szCs w:val="7"/>
                <w:color w:val="auto"/>
              </w:rPr>
            </w:pPr>
          </w:p>
        </w:tc>
        <w:tc>
          <w:tcPr>
            <w:tcW w:w="1100" w:type="dxa"/>
            <w:vAlign w:val="bottom"/>
            <w:shd w:val="clear" w:color="auto" w:fill="FCD3C3"/>
          </w:tcPr>
          <w:p>
            <w:pPr>
              <w:spacing w:after="0"/>
              <w:rPr>
                <w:sz w:val="7"/>
                <w:szCs w:val="7"/>
                <w:color w:val="auto"/>
              </w:rPr>
            </w:pPr>
          </w:p>
        </w:tc>
        <w:tc>
          <w:tcPr>
            <w:tcW w:w="1400" w:type="dxa"/>
            <w:vAlign w:val="bottom"/>
            <w:shd w:val="clear" w:color="auto" w:fill="FCD3C3"/>
          </w:tcPr>
          <w:p>
            <w:pPr>
              <w:spacing w:after="0"/>
              <w:rPr>
                <w:sz w:val="7"/>
                <w:szCs w:val="7"/>
                <w:color w:val="auto"/>
              </w:rPr>
            </w:pPr>
          </w:p>
        </w:tc>
        <w:tc>
          <w:tcPr>
            <w:tcW w:w="2420" w:type="dxa"/>
            <w:vAlign w:val="bottom"/>
            <w:shd w:val="clear" w:color="auto" w:fill="FCD3C3"/>
          </w:tcPr>
          <w:p>
            <w:pPr>
              <w:spacing w:after="0"/>
              <w:rPr>
                <w:sz w:val="7"/>
                <w:szCs w:val="7"/>
                <w:color w:val="auto"/>
              </w:rPr>
            </w:pPr>
          </w:p>
        </w:tc>
        <w:tc>
          <w:tcPr>
            <w:tcW w:w="1380" w:type="dxa"/>
            <w:vAlign w:val="bottom"/>
            <w:shd w:val="clear" w:color="auto" w:fill="FCD3C3"/>
          </w:tcPr>
          <w:p>
            <w:pPr>
              <w:spacing w:after="0"/>
              <w:rPr>
                <w:sz w:val="7"/>
                <w:szCs w:val="7"/>
                <w:color w:val="auto"/>
              </w:rPr>
            </w:pPr>
          </w:p>
        </w:tc>
      </w:tr>
      <w:tr>
        <w:trPr>
          <w:trHeight w:val="328"/>
        </w:trPr>
        <w:tc>
          <w:tcPr>
            <w:tcW w:w="2980" w:type="dxa"/>
            <w:vAlign w:val="bottom"/>
          </w:tcPr>
          <w:p>
            <w:pPr>
              <w:ind w:left="80"/>
              <w:spacing w:after="0"/>
              <w:rPr>
                <w:sz w:val="20"/>
                <w:szCs w:val="20"/>
                <w:color w:val="auto"/>
              </w:rPr>
            </w:pPr>
            <w:r>
              <w:rPr>
                <w:rFonts w:ascii="Arial" w:cs="Arial" w:eastAsia="Arial" w:hAnsi="Arial"/>
                <w:sz w:val="18"/>
                <w:szCs w:val="18"/>
                <w:color w:val="auto"/>
              </w:rPr>
              <w:t>Byron Foster</w:t>
            </w:r>
          </w:p>
        </w:tc>
        <w:tc>
          <w:tcPr>
            <w:tcW w:w="1100" w:type="dxa"/>
            <w:vAlign w:val="bottom"/>
          </w:tcPr>
          <w:p>
            <w:pPr>
              <w:ind w:left="100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91,667</w:t>
            </w:r>
          </w:p>
        </w:tc>
        <w:tc>
          <w:tcPr>
            <w:tcW w:w="2420" w:type="dxa"/>
            <w:vAlign w:val="bottom"/>
          </w:tcPr>
          <w:p>
            <w:pPr>
              <w:jc w:val="center"/>
              <w:spacing w:after="0"/>
              <w:rPr>
                <w:sz w:val="20"/>
                <w:szCs w:val="20"/>
                <w:color w:val="auto"/>
              </w:rPr>
            </w:pPr>
            <w:r>
              <w:rPr>
                <w:rFonts w:ascii="Arial" w:cs="Arial" w:eastAsia="Arial" w:hAnsi="Arial"/>
                <w:sz w:val="18"/>
                <w:szCs w:val="18"/>
                <w:color w:val="auto"/>
                <w:w w:val="98"/>
              </w:rPr>
              <w:t>$133,342</w:t>
            </w:r>
          </w:p>
        </w:tc>
        <w:tc>
          <w:tcPr>
            <w:tcW w:w="1380" w:type="dxa"/>
            <w:vAlign w:val="bottom"/>
          </w:tcPr>
          <w:p>
            <w:pPr>
              <w:jc w:val="center"/>
              <w:ind w:left="471"/>
              <w:spacing w:after="0"/>
              <w:rPr>
                <w:sz w:val="20"/>
                <w:szCs w:val="20"/>
                <w:color w:val="auto"/>
              </w:rPr>
            </w:pPr>
            <w:r>
              <w:rPr>
                <w:rFonts w:ascii="Arial" w:cs="Arial" w:eastAsia="Arial" w:hAnsi="Arial"/>
                <w:sz w:val="18"/>
                <w:szCs w:val="18"/>
                <w:color w:val="auto"/>
                <w:w w:val="98"/>
              </w:rPr>
              <w:t>$225,009</w:t>
            </w:r>
          </w:p>
        </w:tc>
      </w:tr>
      <w:tr>
        <w:trPr>
          <w:trHeight w:val="90"/>
        </w:trPr>
        <w:tc>
          <w:tcPr>
            <w:tcW w:w="2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328"/>
        </w:trPr>
        <w:tc>
          <w:tcPr>
            <w:tcW w:w="2980" w:type="dxa"/>
            <w:vAlign w:val="bottom"/>
            <w:shd w:val="clear" w:color="auto" w:fill="FCD3C3"/>
          </w:tcPr>
          <w:p>
            <w:pPr>
              <w:ind w:left="80"/>
              <w:spacing w:after="0"/>
              <w:rPr>
                <w:sz w:val="20"/>
                <w:szCs w:val="20"/>
                <w:color w:val="auto"/>
              </w:rPr>
            </w:pPr>
            <w:r>
              <w:rPr>
                <w:rFonts w:ascii="Arial" w:cs="Arial" w:eastAsia="Arial" w:hAnsi="Arial"/>
                <w:sz w:val="18"/>
                <w:szCs w:val="18"/>
                <w:color w:val="auto"/>
              </w:rPr>
              <w:t>Lee B. Foster, II (3)</w:t>
            </w:r>
          </w:p>
        </w:tc>
        <w:tc>
          <w:tcPr>
            <w:tcW w:w="1100" w:type="dxa"/>
            <w:vAlign w:val="bottom"/>
            <w:shd w:val="clear" w:color="auto" w:fill="FCD3C3"/>
          </w:tcPr>
          <w:p>
            <w:pPr>
              <w:ind w:left="100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FCD3C3"/>
          </w:tcPr>
          <w:p>
            <w:pPr>
              <w:jc w:val="right"/>
              <w:ind w:right="650"/>
              <w:spacing w:after="0"/>
              <w:rPr>
                <w:sz w:val="20"/>
                <w:szCs w:val="20"/>
                <w:color w:val="auto"/>
              </w:rPr>
            </w:pPr>
            <w:r>
              <w:rPr>
                <w:rFonts w:ascii="Arial" w:cs="Arial" w:eastAsia="Arial" w:hAnsi="Arial"/>
                <w:sz w:val="18"/>
                <w:szCs w:val="18"/>
                <w:color w:val="auto"/>
                <w:w w:val="98"/>
              </w:rPr>
              <w:t>160,000</w:t>
            </w:r>
          </w:p>
        </w:tc>
        <w:tc>
          <w:tcPr>
            <w:tcW w:w="2420" w:type="dxa"/>
            <w:vAlign w:val="bottom"/>
            <w:shd w:val="clear" w:color="auto" w:fill="FCD3C3"/>
          </w:tcPr>
          <w:p>
            <w:pPr>
              <w:jc w:val="center"/>
              <w:spacing w:after="0"/>
              <w:rPr>
                <w:sz w:val="20"/>
                <w:szCs w:val="20"/>
                <w:color w:val="auto"/>
              </w:rPr>
            </w:pPr>
            <w:r>
              <w:rPr>
                <w:rFonts w:ascii="Arial" w:cs="Arial" w:eastAsia="Arial" w:hAnsi="Arial"/>
                <w:sz w:val="18"/>
                <w:szCs w:val="18"/>
                <w:color w:val="auto"/>
                <w:w w:val="98"/>
              </w:rPr>
              <w:t>$160,072</w:t>
            </w:r>
          </w:p>
        </w:tc>
        <w:tc>
          <w:tcPr>
            <w:tcW w:w="1380" w:type="dxa"/>
            <w:vAlign w:val="bottom"/>
            <w:shd w:val="clear" w:color="auto" w:fill="FCD3C3"/>
          </w:tcPr>
          <w:p>
            <w:pPr>
              <w:jc w:val="center"/>
              <w:ind w:left="471"/>
              <w:spacing w:after="0"/>
              <w:rPr>
                <w:sz w:val="20"/>
                <w:szCs w:val="20"/>
                <w:color w:val="auto"/>
              </w:rPr>
            </w:pPr>
            <w:r>
              <w:rPr>
                <w:rFonts w:ascii="Arial" w:cs="Arial" w:eastAsia="Arial" w:hAnsi="Arial"/>
                <w:sz w:val="18"/>
                <w:szCs w:val="18"/>
                <w:color w:val="auto"/>
                <w:w w:val="98"/>
              </w:rPr>
              <w:t>$320,072</w:t>
            </w:r>
          </w:p>
        </w:tc>
      </w:tr>
      <w:tr>
        <w:trPr>
          <w:trHeight w:val="91"/>
        </w:trPr>
        <w:tc>
          <w:tcPr>
            <w:tcW w:w="2980" w:type="dxa"/>
            <w:vAlign w:val="bottom"/>
            <w:shd w:val="clear" w:color="auto" w:fill="FCD3C3"/>
          </w:tcPr>
          <w:p>
            <w:pPr>
              <w:spacing w:after="0"/>
              <w:rPr>
                <w:sz w:val="7"/>
                <w:szCs w:val="7"/>
                <w:color w:val="auto"/>
              </w:rPr>
            </w:pPr>
          </w:p>
        </w:tc>
        <w:tc>
          <w:tcPr>
            <w:tcW w:w="1100" w:type="dxa"/>
            <w:vAlign w:val="bottom"/>
            <w:shd w:val="clear" w:color="auto" w:fill="FCD3C3"/>
          </w:tcPr>
          <w:p>
            <w:pPr>
              <w:spacing w:after="0"/>
              <w:rPr>
                <w:sz w:val="7"/>
                <w:szCs w:val="7"/>
                <w:color w:val="auto"/>
              </w:rPr>
            </w:pPr>
          </w:p>
        </w:tc>
        <w:tc>
          <w:tcPr>
            <w:tcW w:w="1400" w:type="dxa"/>
            <w:vAlign w:val="bottom"/>
            <w:shd w:val="clear" w:color="auto" w:fill="FCD3C3"/>
          </w:tcPr>
          <w:p>
            <w:pPr>
              <w:spacing w:after="0"/>
              <w:rPr>
                <w:sz w:val="7"/>
                <w:szCs w:val="7"/>
                <w:color w:val="auto"/>
              </w:rPr>
            </w:pPr>
          </w:p>
        </w:tc>
        <w:tc>
          <w:tcPr>
            <w:tcW w:w="2420" w:type="dxa"/>
            <w:vAlign w:val="bottom"/>
            <w:shd w:val="clear" w:color="auto" w:fill="FCD3C3"/>
          </w:tcPr>
          <w:p>
            <w:pPr>
              <w:spacing w:after="0"/>
              <w:rPr>
                <w:sz w:val="7"/>
                <w:szCs w:val="7"/>
                <w:color w:val="auto"/>
              </w:rPr>
            </w:pPr>
          </w:p>
        </w:tc>
        <w:tc>
          <w:tcPr>
            <w:tcW w:w="1380" w:type="dxa"/>
            <w:vAlign w:val="bottom"/>
            <w:shd w:val="clear" w:color="auto" w:fill="FCD3C3"/>
          </w:tcPr>
          <w:p>
            <w:pPr>
              <w:spacing w:after="0"/>
              <w:rPr>
                <w:sz w:val="7"/>
                <w:szCs w:val="7"/>
                <w:color w:val="auto"/>
              </w:rPr>
            </w:pPr>
          </w:p>
        </w:tc>
      </w:tr>
      <w:tr>
        <w:trPr>
          <w:trHeight w:val="328"/>
        </w:trPr>
        <w:tc>
          <w:tcPr>
            <w:tcW w:w="2980" w:type="dxa"/>
            <w:vAlign w:val="bottom"/>
          </w:tcPr>
          <w:p>
            <w:pPr>
              <w:ind w:left="80"/>
              <w:spacing w:after="0"/>
              <w:rPr>
                <w:sz w:val="20"/>
                <w:szCs w:val="20"/>
                <w:color w:val="auto"/>
              </w:rPr>
            </w:pPr>
            <w:r>
              <w:rPr>
                <w:rFonts w:ascii="Arial" w:cs="Arial" w:eastAsia="Arial" w:hAnsi="Arial"/>
                <w:sz w:val="18"/>
                <w:szCs w:val="18"/>
                <w:color w:val="auto"/>
              </w:rPr>
              <w:t>Linda A. Harty</w:t>
            </w:r>
          </w:p>
        </w:tc>
        <w:tc>
          <w:tcPr>
            <w:tcW w:w="1100" w:type="dxa"/>
            <w:vAlign w:val="bottom"/>
          </w:tcPr>
          <w:p>
            <w:pPr>
              <w:ind w:left="100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650"/>
              <w:spacing w:after="0"/>
              <w:rPr>
                <w:sz w:val="20"/>
                <w:szCs w:val="20"/>
                <w:color w:val="auto"/>
              </w:rPr>
            </w:pPr>
            <w:r>
              <w:rPr>
                <w:rFonts w:ascii="Arial" w:cs="Arial" w:eastAsia="Arial" w:hAnsi="Arial"/>
                <w:sz w:val="18"/>
                <w:szCs w:val="18"/>
                <w:color w:val="auto"/>
                <w:w w:val="98"/>
              </w:rPr>
              <w:t>130,000</w:t>
            </w:r>
          </w:p>
        </w:tc>
        <w:tc>
          <w:tcPr>
            <w:tcW w:w="2420" w:type="dxa"/>
            <w:vAlign w:val="bottom"/>
          </w:tcPr>
          <w:p>
            <w:pPr>
              <w:jc w:val="center"/>
              <w:spacing w:after="0"/>
              <w:rPr>
                <w:sz w:val="20"/>
                <w:szCs w:val="20"/>
                <w:color w:val="auto"/>
              </w:rPr>
            </w:pPr>
            <w:r>
              <w:rPr>
                <w:rFonts w:ascii="Arial" w:cs="Arial" w:eastAsia="Arial" w:hAnsi="Arial"/>
                <w:sz w:val="18"/>
                <w:szCs w:val="18"/>
                <w:color w:val="auto"/>
                <w:w w:val="98"/>
              </w:rPr>
              <w:t>$160,072</w:t>
            </w:r>
          </w:p>
        </w:tc>
        <w:tc>
          <w:tcPr>
            <w:tcW w:w="1380" w:type="dxa"/>
            <w:vAlign w:val="bottom"/>
          </w:tcPr>
          <w:p>
            <w:pPr>
              <w:jc w:val="center"/>
              <w:ind w:left="471"/>
              <w:spacing w:after="0"/>
              <w:rPr>
                <w:sz w:val="20"/>
                <w:szCs w:val="20"/>
                <w:color w:val="auto"/>
              </w:rPr>
            </w:pPr>
            <w:r>
              <w:rPr>
                <w:rFonts w:ascii="Arial" w:cs="Arial" w:eastAsia="Arial" w:hAnsi="Arial"/>
                <w:sz w:val="18"/>
                <w:szCs w:val="18"/>
                <w:color w:val="auto"/>
                <w:w w:val="98"/>
              </w:rPr>
              <w:t>$290,072</w:t>
            </w:r>
          </w:p>
        </w:tc>
      </w:tr>
      <w:tr>
        <w:trPr>
          <w:trHeight w:val="90"/>
        </w:trPr>
        <w:tc>
          <w:tcPr>
            <w:tcW w:w="2980" w:type="dxa"/>
            <w:vAlign w:val="bottom"/>
          </w:tcPr>
          <w:p>
            <w:pPr>
              <w:spacing w:after="0"/>
              <w:rPr>
                <w:sz w:val="7"/>
                <w:szCs w:val="7"/>
                <w:color w:val="auto"/>
              </w:rPr>
            </w:pPr>
          </w:p>
        </w:tc>
        <w:tc>
          <w:tcPr>
            <w:tcW w:w="2500" w:type="dxa"/>
            <w:vAlign w:val="bottom"/>
            <w:gridSpan w:val="2"/>
          </w:tcPr>
          <w:p>
            <w:pPr>
              <w:spacing w:after="0"/>
              <w:rPr>
                <w:sz w:val="7"/>
                <w:szCs w:val="7"/>
                <w:color w:val="auto"/>
              </w:rPr>
            </w:pPr>
          </w:p>
        </w:tc>
        <w:tc>
          <w:tcPr>
            <w:tcW w:w="242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328"/>
        </w:trPr>
        <w:tc>
          <w:tcPr>
            <w:tcW w:w="2980" w:type="dxa"/>
            <w:vAlign w:val="bottom"/>
            <w:shd w:val="clear" w:color="auto" w:fill="FCD3C3"/>
          </w:tcPr>
          <w:p>
            <w:pPr>
              <w:ind w:left="80"/>
              <w:spacing w:after="0"/>
              <w:rPr>
                <w:sz w:val="20"/>
                <w:szCs w:val="20"/>
                <w:color w:val="auto"/>
              </w:rPr>
            </w:pPr>
            <w:r>
              <w:rPr>
                <w:rFonts w:ascii="Arial" w:cs="Arial" w:eastAsia="Arial" w:hAnsi="Arial"/>
                <w:sz w:val="18"/>
                <w:szCs w:val="18"/>
                <w:color w:val="auto"/>
              </w:rPr>
              <w:t>Michael W. D. Howell</w:t>
            </w:r>
          </w:p>
        </w:tc>
        <w:tc>
          <w:tcPr>
            <w:tcW w:w="2500" w:type="dxa"/>
            <w:vAlign w:val="bottom"/>
            <w:gridSpan w:val="2"/>
            <w:shd w:val="clear" w:color="auto" w:fill="FCD3C3"/>
          </w:tcPr>
          <w:p>
            <w:pPr>
              <w:ind w:left="1000"/>
              <w:spacing w:after="0"/>
              <w:rPr>
                <w:sz w:val="20"/>
                <w:szCs w:val="20"/>
                <w:color w:val="auto"/>
              </w:rPr>
            </w:pPr>
            <w:r>
              <w:rPr>
                <w:rFonts w:ascii="Arial" w:cs="Arial" w:eastAsia="Arial" w:hAnsi="Arial"/>
                <w:sz w:val="18"/>
                <w:szCs w:val="18"/>
                <w:color w:val="auto"/>
              </w:rPr>
              <w:t>$110,000</w:t>
            </w:r>
          </w:p>
        </w:tc>
        <w:tc>
          <w:tcPr>
            <w:tcW w:w="2420" w:type="dxa"/>
            <w:vAlign w:val="bottom"/>
            <w:shd w:val="clear" w:color="auto" w:fill="FCD3C3"/>
          </w:tcPr>
          <w:p>
            <w:pPr>
              <w:jc w:val="center"/>
              <w:spacing w:after="0"/>
              <w:rPr>
                <w:sz w:val="20"/>
                <w:szCs w:val="20"/>
                <w:color w:val="auto"/>
              </w:rPr>
            </w:pPr>
            <w:r>
              <w:rPr>
                <w:rFonts w:ascii="Arial" w:cs="Arial" w:eastAsia="Arial" w:hAnsi="Arial"/>
                <w:sz w:val="18"/>
                <w:szCs w:val="18"/>
                <w:color w:val="auto"/>
                <w:w w:val="98"/>
              </w:rPr>
              <w:t>$160,072</w:t>
            </w:r>
          </w:p>
        </w:tc>
        <w:tc>
          <w:tcPr>
            <w:tcW w:w="1380" w:type="dxa"/>
            <w:vAlign w:val="bottom"/>
            <w:shd w:val="clear" w:color="auto" w:fill="FCD3C3"/>
          </w:tcPr>
          <w:p>
            <w:pPr>
              <w:jc w:val="center"/>
              <w:ind w:left="471"/>
              <w:spacing w:after="0"/>
              <w:rPr>
                <w:sz w:val="20"/>
                <w:szCs w:val="20"/>
                <w:color w:val="auto"/>
              </w:rPr>
            </w:pPr>
            <w:r>
              <w:rPr>
                <w:rFonts w:ascii="Arial" w:cs="Arial" w:eastAsia="Arial" w:hAnsi="Arial"/>
                <w:sz w:val="18"/>
                <w:szCs w:val="18"/>
                <w:color w:val="auto"/>
                <w:w w:val="98"/>
              </w:rPr>
              <w:t>$270,072</w:t>
            </w:r>
          </w:p>
        </w:tc>
      </w:tr>
      <w:tr>
        <w:trPr>
          <w:trHeight w:val="90"/>
        </w:trPr>
        <w:tc>
          <w:tcPr>
            <w:tcW w:w="2980" w:type="dxa"/>
            <w:vAlign w:val="bottom"/>
            <w:shd w:val="clear" w:color="auto" w:fill="FCD3C3"/>
          </w:tcPr>
          <w:p>
            <w:pPr>
              <w:spacing w:after="0"/>
              <w:rPr>
                <w:sz w:val="7"/>
                <w:szCs w:val="7"/>
                <w:color w:val="auto"/>
              </w:rPr>
            </w:pPr>
          </w:p>
        </w:tc>
        <w:tc>
          <w:tcPr>
            <w:tcW w:w="2500" w:type="dxa"/>
            <w:vAlign w:val="bottom"/>
            <w:gridSpan w:val="2"/>
            <w:shd w:val="clear" w:color="auto" w:fill="FCD3C3"/>
          </w:tcPr>
          <w:p>
            <w:pPr>
              <w:spacing w:after="0"/>
              <w:rPr>
                <w:sz w:val="7"/>
                <w:szCs w:val="7"/>
                <w:color w:val="auto"/>
              </w:rPr>
            </w:pPr>
          </w:p>
        </w:tc>
        <w:tc>
          <w:tcPr>
            <w:tcW w:w="2420" w:type="dxa"/>
            <w:vAlign w:val="bottom"/>
            <w:shd w:val="clear" w:color="auto" w:fill="FCD3C3"/>
          </w:tcPr>
          <w:p>
            <w:pPr>
              <w:spacing w:after="0"/>
              <w:rPr>
                <w:sz w:val="7"/>
                <w:szCs w:val="7"/>
                <w:color w:val="auto"/>
              </w:rPr>
            </w:pPr>
          </w:p>
        </w:tc>
        <w:tc>
          <w:tcPr>
            <w:tcW w:w="1380" w:type="dxa"/>
            <w:vAlign w:val="bottom"/>
            <w:shd w:val="clear" w:color="auto" w:fill="FCD3C3"/>
          </w:tcPr>
          <w:p>
            <w:pPr>
              <w:spacing w:after="0"/>
              <w:rPr>
                <w:sz w:val="7"/>
                <w:szCs w:val="7"/>
                <w:color w:val="auto"/>
              </w:rPr>
            </w:pPr>
          </w:p>
        </w:tc>
      </w:tr>
      <w:tr>
        <w:trPr>
          <w:trHeight w:val="328"/>
        </w:trPr>
        <w:tc>
          <w:tcPr>
            <w:tcW w:w="2980" w:type="dxa"/>
            <w:vAlign w:val="bottom"/>
          </w:tcPr>
          <w:p>
            <w:pPr>
              <w:ind w:left="80"/>
              <w:spacing w:after="0"/>
              <w:rPr>
                <w:sz w:val="20"/>
                <w:szCs w:val="20"/>
                <w:color w:val="auto"/>
              </w:rPr>
            </w:pPr>
            <w:r>
              <w:rPr>
                <w:rFonts w:ascii="Arial" w:cs="Arial" w:eastAsia="Arial" w:hAnsi="Arial"/>
                <w:sz w:val="18"/>
                <w:szCs w:val="18"/>
                <w:color w:val="auto"/>
              </w:rPr>
              <w:t>William E. Kassling</w:t>
            </w:r>
          </w:p>
        </w:tc>
        <w:tc>
          <w:tcPr>
            <w:tcW w:w="2500" w:type="dxa"/>
            <w:vAlign w:val="bottom"/>
            <w:gridSpan w:val="2"/>
          </w:tcPr>
          <w:p>
            <w:pPr>
              <w:ind w:left="1000"/>
              <w:spacing w:after="0"/>
              <w:rPr>
                <w:sz w:val="20"/>
                <w:szCs w:val="20"/>
                <w:color w:val="auto"/>
              </w:rPr>
            </w:pPr>
            <w:r>
              <w:rPr>
                <w:rFonts w:ascii="Arial" w:cs="Arial" w:eastAsia="Arial" w:hAnsi="Arial"/>
                <w:sz w:val="18"/>
                <w:szCs w:val="18"/>
                <w:color w:val="auto"/>
              </w:rPr>
              <w:t>$110,000</w:t>
            </w:r>
          </w:p>
        </w:tc>
        <w:tc>
          <w:tcPr>
            <w:tcW w:w="2420" w:type="dxa"/>
            <w:vAlign w:val="bottom"/>
          </w:tcPr>
          <w:p>
            <w:pPr>
              <w:jc w:val="center"/>
              <w:spacing w:after="0"/>
              <w:rPr>
                <w:sz w:val="20"/>
                <w:szCs w:val="20"/>
                <w:color w:val="auto"/>
              </w:rPr>
            </w:pPr>
            <w:r>
              <w:rPr>
                <w:rFonts w:ascii="Arial" w:cs="Arial" w:eastAsia="Arial" w:hAnsi="Arial"/>
                <w:sz w:val="18"/>
                <w:szCs w:val="18"/>
                <w:color w:val="auto"/>
                <w:w w:val="98"/>
              </w:rPr>
              <w:t>$160,072</w:t>
            </w:r>
          </w:p>
        </w:tc>
        <w:tc>
          <w:tcPr>
            <w:tcW w:w="1380" w:type="dxa"/>
            <w:vAlign w:val="bottom"/>
          </w:tcPr>
          <w:p>
            <w:pPr>
              <w:jc w:val="center"/>
              <w:ind w:left="471"/>
              <w:spacing w:after="0"/>
              <w:rPr>
                <w:sz w:val="20"/>
                <w:szCs w:val="20"/>
                <w:color w:val="auto"/>
              </w:rPr>
            </w:pPr>
            <w:r>
              <w:rPr>
                <w:rFonts w:ascii="Arial" w:cs="Arial" w:eastAsia="Arial" w:hAnsi="Arial"/>
                <w:sz w:val="18"/>
                <w:szCs w:val="18"/>
                <w:color w:val="auto"/>
                <w:w w:val="98"/>
              </w:rPr>
              <w:t>$270,072</w:t>
            </w:r>
          </w:p>
        </w:tc>
      </w:tr>
      <w:tr>
        <w:trPr>
          <w:trHeight w:val="90"/>
        </w:trPr>
        <w:tc>
          <w:tcPr>
            <w:tcW w:w="2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328"/>
        </w:trPr>
        <w:tc>
          <w:tcPr>
            <w:tcW w:w="2980" w:type="dxa"/>
            <w:vAlign w:val="bottom"/>
            <w:shd w:val="clear" w:color="auto" w:fill="FCD3C3"/>
          </w:tcPr>
          <w:p>
            <w:pPr>
              <w:ind w:left="80"/>
              <w:spacing w:after="0"/>
              <w:rPr>
                <w:sz w:val="20"/>
                <w:szCs w:val="20"/>
                <w:color w:val="auto"/>
              </w:rPr>
            </w:pPr>
            <w:r>
              <w:rPr>
                <w:rFonts w:ascii="Arial" w:cs="Arial" w:eastAsia="Arial" w:hAnsi="Arial"/>
                <w:sz w:val="18"/>
                <w:szCs w:val="18"/>
                <w:color w:val="auto"/>
              </w:rPr>
              <w:t>Brian P. Hehir</w:t>
            </w:r>
          </w:p>
        </w:tc>
        <w:tc>
          <w:tcPr>
            <w:tcW w:w="1100" w:type="dxa"/>
            <w:vAlign w:val="bottom"/>
            <w:shd w:val="clear" w:color="auto" w:fill="FCD3C3"/>
          </w:tcPr>
          <w:p>
            <w:pPr>
              <w:ind w:left="100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FCD3C3"/>
          </w:tcPr>
          <w:p>
            <w:pPr>
              <w:jc w:val="right"/>
              <w:ind w:right="650"/>
              <w:spacing w:after="0"/>
              <w:rPr>
                <w:sz w:val="20"/>
                <w:szCs w:val="20"/>
                <w:color w:val="auto"/>
              </w:rPr>
            </w:pPr>
            <w:r>
              <w:rPr>
                <w:rFonts w:ascii="Arial" w:cs="Arial" w:eastAsia="Arial" w:hAnsi="Arial"/>
                <w:sz w:val="18"/>
                <w:szCs w:val="18"/>
                <w:color w:val="auto"/>
                <w:w w:val="98"/>
              </w:rPr>
              <w:t>130,000</w:t>
            </w:r>
          </w:p>
        </w:tc>
        <w:tc>
          <w:tcPr>
            <w:tcW w:w="2420" w:type="dxa"/>
            <w:vAlign w:val="bottom"/>
            <w:shd w:val="clear" w:color="auto" w:fill="FCD3C3"/>
          </w:tcPr>
          <w:p>
            <w:pPr>
              <w:jc w:val="center"/>
              <w:spacing w:after="0"/>
              <w:rPr>
                <w:sz w:val="20"/>
                <w:szCs w:val="20"/>
                <w:color w:val="auto"/>
              </w:rPr>
            </w:pPr>
            <w:r>
              <w:rPr>
                <w:rFonts w:ascii="Arial" w:cs="Arial" w:eastAsia="Arial" w:hAnsi="Arial"/>
                <w:sz w:val="18"/>
                <w:szCs w:val="18"/>
                <w:color w:val="auto"/>
                <w:w w:val="98"/>
              </w:rPr>
              <w:t>$160,072</w:t>
            </w:r>
          </w:p>
        </w:tc>
        <w:tc>
          <w:tcPr>
            <w:tcW w:w="1380" w:type="dxa"/>
            <w:vAlign w:val="bottom"/>
            <w:shd w:val="clear" w:color="auto" w:fill="FCD3C3"/>
          </w:tcPr>
          <w:p>
            <w:pPr>
              <w:jc w:val="center"/>
              <w:ind w:left="471"/>
              <w:spacing w:after="0"/>
              <w:rPr>
                <w:sz w:val="20"/>
                <w:szCs w:val="20"/>
                <w:color w:val="auto"/>
              </w:rPr>
            </w:pPr>
            <w:r>
              <w:rPr>
                <w:rFonts w:ascii="Arial" w:cs="Arial" w:eastAsia="Arial" w:hAnsi="Arial"/>
                <w:sz w:val="18"/>
                <w:szCs w:val="18"/>
                <w:color w:val="auto"/>
                <w:w w:val="98"/>
              </w:rPr>
              <w:t>$290,072</w:t>
            </w:r>
          </w:p>
        </w:tc>
      </w:tr>
      <w:tr>
        <w:trPr>
          <w:trHeight w:val="90"/>
        </w:trPr>
        <w:tc>
          <w:tcPr>
            <w:tcW w:w="2980" w:type="dxa"/>
            <w:vAlign w:val="bottom"/>
            <w:shd w:val="clear" w:color="auto" w:fill="FCD3C3"/>
          </w:tcPr>
          <w:p>
            <w:pPr>
              <w:spacing w:after="0"/>
              <w:rPr>
                <w:sz w:val="7"/>
                <w:szCs w:val="7"/>
                <w:color w:val="auto"/>
              </w:rPr>
            </w:pPr>
          </w:p>
        </w:tc>
        <w:tc>
          <w:tcPr>
            <w:tcW w:w="2500" w:type="dxa"/>
            <w:vAlign w:val="bottom"/>
            <w:gridSpan w:val="2"/>
            <w:shd w:val="clear" w:color="auto" w:fill="FCD3C3"/>
          </w:tcPr>
          <w:p>
            <w:pPr>
              <w:spacing w:after="0"/>
              <w:rPr>
                <w:sz w:val="7"/>
                <w:szCs w:val="7"/>
                <w:color w:val="auto"/>
              </w:rPr>
            </w:pPr>
          </w:p>
        </w:tc>
        <w:tc>
          <w:tcPr>
            <w:tcW w:w="2420" w:type="dxa"/>
            <w:vAlign w:val="bottom"/>
            <w:shd w:val="clear" w:color="auto" w:fill="FCD3C3"/>
          </w:tcPr>
          <w:p>
            <w:pPr>
              <w:spacing w:after="0"/>
              <w:rPr>
                <w:sz w:val="7"/>
                <w:szCs w:val="7"/>
                <w:color w:val="auto"/>
              </w:rPr>
            </w:pPr>
          </w:p>
        </w:tc>
        <w:tc>
          <w:tcPr>
            <w:tcW w:w="1380" w:type="dxa"/>
            <w:vAlign w:val="bottom"/>
            <w:shd w:val="clear" w:color="auto" w:fill="FCD3C3"/>
          </w:tcPr>
          <w:p>
            <w:pPr>
              <w:spacing w:after="0"/>
              <w:rPr>
                <w:sz w:val="7"/>
                <w:szCs w:val="7"/>
                <w:color w:val="auto"/>
              </w:rPr>
            </w:pPr>
          </w:p>
        </w:tc>
      </w:tr>
      <w:tr>
        <w:trPr>
          <w:trHeight w:val="328"/>
        </w:trPr>
        <w:tc>
          <w:tcPr>
            <w:tcW w:w="2980" w:type="dxa"/>
            <w:vAlign w:val="bottom"/>
          </w:tcPr>
          <w:p>
            <w:pPr>
              <w:ind w:left="80"/>
              <w:spacing w:after="0"/>
              <w:rPr>
                <w:sz w:val="20"/>
                <w:szCs w:val="20"/>
                <w:color w:val="auto"/>
              </w:rPr>
            </w:pPr>
            <w:r>
              <w:rPr>
                <w:rFonts w:ascii="Arial" w:cs="Arial" w:eastAsia="Arial" w:hAnsi="Arial"/>
                <w:sz w:val="18"/>
                <w:szCs w:val="18"/>
                <w:color w:val="auto"/>
              </w:rPr>
              <w:t>Ann Klee</w:t>
            </w:r>
          </w:p>
        </w:tc>
        <w:tc>
          <w:tcPr>
            <w:tcW w:w="2500" w:type="dxa"/>
            <w:vAlign w:val="bottom"/>
            <w:gridSpan w:val="2"/>
          </w:tcPr>
          <w:p>
            <w:pPr>
              <w:ind w:left="1000"/>
              <w:spacing w:after="0"/>
              <w:rPr>
                <w:sz w:val="20"/>
                <w:szCs w:val="20"/>
                <w:color w:val="auto"/>
              </w:rPr>
            </w:pPr>
            <w:r>
              <w:rPr>
                <w:rFonts w:ascii="Arial" w:cs="Arial" w:eastAsia="Arial" w:hAnsi="Arial"/>
                <w:sz w:val="18"/>
                <w:szCs w:val="18"/>
                <w:color w:val="auto"/>
              </w:rPr>
              <w:t>$110,000</w:t>
            </w:r>
          </w:p>
        </w:tc>
        <w:tc>
          <w:tcPr>
            <w:tcW w:w="2420" w:type="dxa"/>
            <w:vAlign w:val="bottom"/>
          </w:tcPr>
          <w:p>
            <w:pPr>
              <w:jc w:val="center"/>
              <w:spacing w:after="0"/>
              <w:rPr>
                <w:sz w:val="20"/>
                <w:szCs w:val="20"/>
                <w:color w:val="auto"/>
              </w:rPr>
            </w:pPr>
            <w:r>
              <w:rPr>
                <w:rFonts w:ascii="Arial" w:cs="Arial" w:eastAsia="Arial" w:hAnsi="Arial"/>
                <w:sz w:val="18"/>
                <w:szCs w:val="18"/>
                <w:color w:val="auto"/>
                <w:w w:val="98"/>
              </w:rPr>
              <w:t>$160,072</w:t>
            </w:r>
          </w:p>
        </w:tc>
        <w:tc>
          <w:tcPr>
            <w:tcW w:w="1380" w:type="dxa"/>
            <w:vAlign w:val="bottom"/>
          </w:tcPr>
          <w:p>
            <w:pPr>
              <w:jc w:val="center"/>
              <w:ind w:left="471"/>
              <w:spacing w:after="0"/>
              <w:rPr>
                <w:sz w:val="20"/>
                <w:szCs w:val="20"/>
                <w:color w:val="auto"/>
              </w:rPr>
            </w:pPr>
            <w:r>
              <w:rPr>
                <w:rFonts w:ascii="Arial" w:cs="Arial" w:eastAsia="Arial" w:hAnsi="Arial"/>
                <w:sz w:val="18"/>
                <w:szCs w:val="18"/>
                <w:color w:val="auto"/>
                <w:w w:val="98"/>
              </w:rPr>
              <w:t>$270,072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58978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75" w:lineRule="exact"/>
        <w:rPr>
          <w:sz w:val="20"/>
          <w:szCs w:val="20"/>
          <w:color w:val="auto"/>
        </w:rPr>
      </w:pPr>
    </w:p>
    <w:p>
      <w:pPr>
        <w:jc w:val="both"/>
        <w:ind w:left="360" w:hanging="360"/>
        <w:spacing w:after="0" w:line="256" w:lineRule="auto"/>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Reflects the aggregate grant date fair value dollar amount calculated in accordance with ASC 718 related to the awards of stock to the directors under the 1995 Non-Employee Directors’ Fee and Stock Option Plan. For the assumptions used in the calculation of this amount under ASC 718, see Note 12 of the Notes to Consolidated Financial Statements in Wabtec’s Annual Report on Form 10-K for the year ended December 31, 2021.</w:t>
      </w:r>
    </w:p>
    <w:p>
      <w:pPr>
        <w:spacing w:after="0" w:line="15" w:lineRule="exact"/>
        <w:rPr>
          <w:rFonts w:ascii="Arial" w:cs="Arial" w:eastAsia="Arial" w:hAnsi="Arial"/>
          <w:sz w:val="14"/>
          <w:szCs w:val="14"/>
          <w:color w:val="auto"/>
        </w:rPr>
      </w:pPr>
    </w:p>
    <w:p>
      <w:pPr>
        <w:jc w:val="both"/>
        <w:ind w:left="360" w:hanging="360"/>
        <w:spacing w:after="0" w:line="256" w:lineRule="auto"/>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annual award of the $160,072 stock retainer was made on May 19, 2021, with each non-employee director being granted 2,060 restricted shares of Wabtec common stock with a grant date fair market value of $77.705 per share. Mr. Faiveley retired from the Board prior to this grant and therefore did not receive the grant. Mr. Byron Foster was granted 1,662 restricted shares of Wabtec common stock with a grant date fair market value of $80.23 per share upon joining the Board of Directors on July 8, 2021.</w:t>
      </w:r>
    </w:p>
    <w:p>
      <w:pPr>
        <w:spacing w:after="0" w:line="15" w:lineRule="exact"/>
        <w:rPr>
          <w:rFonts w:ascii="Arial" w:cs="Arial" w:eastAsia="Arial" w:hAnsi="Arial"/>
          <w:sz w:val="14"/>
          <w:szCs w:val="14"/>
          <w:color w:val="auto"/>
        </w:rPr>
      </w:pPr>
    </w:p>
    <w:p>
      <w:pPr>
        <w:ind w:left="360" w:hanging="360"/>
        <w:spacing w:after="0"/>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Lee Foster and Mr. Howell elected to defer 100% of the stock retainer.</w:t>
      </w:r>
    </w:p>
    <w:p>
      <w:pPr>
        <w:spacing w:after="0" w:line="9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Each non-employee director who remained in service after the May 2021 annual meeting receives an annual cash retainer of $110,000 and an annual stock retainer of $160,000 for their services as a director, which includes all meeting attendance. In addition, our Chair receives an additional annual retainer of $ 200,000, our non-employee Lead Independent Director receives an additional annual retainer of $ 30,000 and our committee chairs receive additional annual retainers as follows: Compensation Committee and Audit Committee Chairpersons each receive $20,000, and the Nominating and Governance Committee Chairperson receives $15,000. All directors are reimbursed for their out of pocket expenses incurred in connection with attendance at meetings and other activities related to the board or its committees.</w:t>
      </w:r>
    </w:p>
    <w:p>
      <w:pPr>
        <w:spacing w:after="0" w:line="7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Each non-employee director was granted 2,060 restricted shares of Wabtec common stock based on the fair market value of Wabtec stock on May 19, 2021 ($77.705). Mr. Byron Foster was granted 1,662 restricted shares of Wabtec common stock with a grant date fair market value of $80.23 per share upon joining the Board of Directors on July 8, 2021. If a director voluntarily resigns or is otherwise terminated within 12 months from the grant of the restricted shares, the director will forfeit the shares.</w:t>
      </w:r>
    </w:p>
    <w:p>
      <w:pPr>
        <w:spacing w:after="0" w:line="6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Company offers a Deferred Compensation Plan for executive officers and non-employee directors. Under the terms of the plan, eligible directors may defer the annual stock and/or cash retainer, provided that any deferral of the stock retainer will be subject to the same vesting and forfeiture conditions as if the stock retainer had not been deferred. Deferred amounts, including any applicable earnings credited on the deferrals, will be paid out to the director following his termination of service with the Board. During 2021, Mr. Lee Foster and Mr. Howell elected to defer 100% of the stock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58978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79"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52</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797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57" w:name="page58"/>
    <w:bookmarkEnd w:id="57"/>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6172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897880" cy="6172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FFFFFF"/>
        </w:rPr>
        <w:t>Proposal 3—Ratify Independent Registered Public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FFFFFF"/>
        </w:rPr>
        <w:t xml:space="preserve">Accounting </w:t>
      </w:r>
      <w:r>
        <w:rPr>
          <w:rFonts w:ascii="Arial" w:cs="Arial" w:eastAsia="Arial" w:hAnsi="Arial"/>
          <w:sz w:val="29"/>
          <w:szCs w:val="29"/>
          <w:color w:val="FFFFFF"/>
        </w:rPr>
        <w:t>Firm</w:t>
      </w:r>
    </w:p>
    <w:p>
      <w:pPr>
        <w:spacing w:after="0" w:line="165" w:lineRule="exact"/>
        <w:rPr>
          <w:sz w:val="20"/>
          <w:szCs w:val="20"/>
          <w:color w:val="auto"/>
        </w:rPr>
      </w:pPr>
    </w:p>
    <w:p>
      <w:pPr>
        <w:ind w:left="860" w:right="1060"/>
        <w:spacing w:after="0" w:line="242" w:lineRule="auto"/>
        <w:rPr>
          <w:sz w:val="20"/>
          <w:szCs w:val="20"/>
          <w:color w:val="auto"/>
        </w:rPr>
      </w:pPr>
      <w:r>
        <w:rPr>
          <w:rFonts w:ascii="Arial" w:cs="Arial" w:eastAsia="Arial" w:hAnsi="Arial"/>
          <w:sz w:val="18"/>
          <w:szCs w:val="18"/>
          <w:color w:val="auto"/>
        </w:rPr>
        <w:t>The Audit Committee has appointed Ernst &amp; Young LLP as the independent registered public accounting firm to audit our financial statements for the fiscal year ending December 31, 2022. Although you are not required to ratify this appointment, we ask that you do. If you do not, the Audit Committee will reconsider its choice. Ernst &amp; Young LLP served as our independent registered public accounting firm for the fiscal year ended December 31, 2021. A representative of Ernst &amp; Young LLP is expected to be present at the Annual Meeting to answer appropriate questions and make a statement if the representative so desires.</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Vote Required</w:t>
      </w:r>
    </w:p>
    <w:p>
      <w:pPr>
        <w:spacing w:after="0" w:line="128" w:lineRule="exact"/>
        <w:rPr>
          <w:sz w:val="20"/>
          <w:szCs w:val="20"/>
          <w:color w:val="auto"/>
        </w:rPr>
      </w:pPr>
    </w:p>
    <w:p>
      <w:pPr>
        <w:ind w:left="860" w:right="960"/>
        <w:spacing w:after="0" w:line="242" w:lineRule="auto"/>
        <w:rPr>
          <w:sz w:val="20"/>
          <w:szCs w:val="20"/>
          <w:color w:val="auto"/>
        </w:rPr>
      </w:pPr>
      <w:r>
        <w:rPr>
          <w:rFonts w:ascii="Arial" w:cs="Arial" w:eastAsia="Arial" w:hAnsi="Arial"/>
          <w:sz w:val="18"/>
          <w:szCs w:val="18"/>
          <w:color w:val="auto"/>
        </w:rPr>
        <w:t>This proposal is adopted if a majority of the shares present in person or by proxy vote for the proposal. Because the total shares voted “for,” “against,” or “abstain” are counted to determine the minimum votes required for approval, if you abstain from voting, it has the same legal effect as if you vote against. If a broker limits the number of shares voted on the proposal on its proxy card or indicates that the shares represented by the proxy card are not being voted on the proposal, it is considered a broker non-vote. Broker non-votes are not counted as a vote or used to determine the favorable votes required to approve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40005</wp:posOffset>
            </wp:positionV>
            <wp:extent cx="5074920" cy="514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074920" cy="514350"/>
                    </a:xfrm>
                    <a:prstGeom prst="rect">
                      <a:avLst/>
                    </a:prstGeom>
                    <a:noFill/>
                  </pic:spPr>
                </pic:pic>
              </a:graphicData>
            </a:graphic>
          </wp:anchor>
        </w:drawing>
      </w:r>
    </w:p>
    <w:p>
      <w:pPr>
        <w:spacing w:after="0" w:line="219" w:lineRule="exact"/>
        <w:rPr>
          <w:sz w:val="20"/>
          <w:szCs w:val="20"/>
          <w:color w:val="auto"/>
        </w:rPr>
      </w:pPr>
    </w:p>
    <w:p>
      <w:pPr>
        <w:ind w:left="2340" w:hanging="562"/>
        <w:spacing w:after="0"/>
        <w:tabs>
          <w:tab w:leader="none" w:pos="2340" w:val="left"/>
        </w:tabs>
        <w:numPr>
          <w:ilvl w:val="0"/>
          <w:numId w:val="60"/>
        </w:numPr>
        <w:rPr>
          <w:rFonts w:ascii="MS PGothic" w:cs="MS PGothic" w:eastAsia="MS PGothic" w:hAnsi="MS PGothic"/>
          <w:sz w:val="43"/>
          <w:szCs w:val="43"/>
          <w:color w:val="EC252A"/>
        </w:rPr>
      </w:pPr>
      <w:r>
        <w:rPr>
          <w:rFonts w:ascii="Arial" w:cs="Arial" w:eastAsia="Arial" w:hAnsi="Arial"/>
          <w:sz w:val="22"/>
          <w:szCs w:val="22"/>
          <w:b w:val="1"/>
          <w:bCs w:val="1"/>
          <w:color w:val="auto"/>
        </w:rPr>
        <w:t xml:space="preserve">The Board recommends you vote </w:t>
      </w:r>
      <w:r>
        <w:rPr>
          <w:rFonts w:ascii="Arial" w:cs="Arial" w:eastAsia="Arial" w:hAnsi="Arial"/>
          <w:sz w:val="22"/>
          <w:szCs w:val="22"/>
          <w:b w:val="1"/>
          <w:bCs w:val="1"/>
          <w:color w:val="EC252A"/>
        </w:rPr>
        <w:t>FOR</w:t>
      </w:r>
      <w:r>
        <w:rPr>
          <w:rFonts w:ascii="Arial" w:cs="Arial" w:eastAsia="Arial" w:hAnsi="Arial"/>
          <w:sz w:val="22"/>
          <w:szCs w:val="22"/>
          <w:b w:val="1"/>
          <w:bCs w:val="1"/>
          <w:color w:val="auto"/>
        </w:rPr>
        <w:t xml:space="preserve"> this proposal.</w:t>
      </w:r>
    </w:p>
    <w:p>
      <w:pPr>
        <w:spacing w:after="0" w:line="373"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Fees to the Independent Registered Public Accounting Firm</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table shows the aggregate fees for services provided by Ernst &amp; Young LLP for the fiscal years ended</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December 31, 2021 and December 31, 2020:</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6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6"/>
                <w:szCs w:val="16"/>
                <w:b w:val="1"/>
                <w:bCs w:val="1"/>
                <w:color w:val="EC252A"/>
              </w:rPr>
              <w:t>2021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EC252A"/>
              </w:rPr>
              <w:t>2020</w:t>
            </w:r>
          </w:p>
        </w:tc>
        <w:tc>
          <w:tcPr>
            <w:tcW w:w="40" w:type="dxa"/>
            <w:vAlign w:val="bottom"/>
          </w:tcPr>
          <w:p>
            <w:pPr>
              <w:spacing w:after="0"/>
              <w:rPr>
                <w:sz w:val="19"/>
                <w:szCs w:val="19"/>
                <w:color w:val="auto"/>
              </w:rPr>
            </w:pPr>
          </w:p>
        </w:tc>
      </w:tr>
      <w:tr>
        <w:trPr>
          <w:trHeight w:val="62"/>
        </w:trPr>
        <w:tc>
          <w:tcPr>
            <w:tcW w:w="6780" w:type="dxa"/>
            <w:vAlign w:val="bottom"/>
            <w:tcBorders>
              <w:bottom w:val="single" w:sz="8" w:color="EC252A"/>
            </w:tcBorders>
            <w:gridSpan w:val="2"/>
          </w:tcPr>
          <w:p>
            <w:pPr>
              <w:spacing w:after="0"/>
              <w:rPr>
                <w:sz w:val="5"/>
                <w:szCs w:val="5"/>
                <w:color w:val="auto"/>
              </w:rPr>
            </w:pPr>
          </w:p>
        </w:tc>
        <w:tc>
          <w:tcPr>
            <w:tcW w:w="100" w:type="dxa"/>
            <w:vAlign w:val="bottom"/>
            <w:tcBorders>
              <w:bottom w:val="single" w:sz="8" w:color="EC252A"/>
            </w:tcBorders>
          </w:tcPr>
          <w:p>
            <w:pPr>
              <w:spacing w:after="0"/>
              <w:rPr>
                <w:sz w:val="5"/>
                <w:szCs w:val="5"/>
                <w:color w:val="auto"/>
              </w:rPr>
            </w:pPr>
          </w:p>
        </w:tc>
        <w:tc>
          <w:tcPr>
            <w:tcW w:w="800" w:type="dxa"/>
            <w:vAlign w:val="bottom"/>
            <w:tcBorders>
              <w:bottom w:val="single" w:sz="8" w:color="EC252A"/>
            </w:tcBorders>
          </w:tcPr>
          <w:p>
            <w:pPr>
              <w:spacing w:after="0"/>
              <w:rPr>
                <w:sz w:val="5"/>
                <w:szCs w:val="5"/>
                <w:color w:val="auto"/>
              </w:rPr>
            </w:pPr>
          </w:p>
        </w:tc>
        <w:tc>
          <w:tcPr>
            <w:tcW w:w="740" w:type="dxa"/>
            <w:vAlign w:val="bottom"/>
            <w:tcBorders>
              <w:bottom w:val="single" w:sz="8" w:color="EC252A"/>
            </w:tcBorders>
            <w:gridSpan w:val="2"/>
          </w:tcPr>
          <w:p>
            <w:pPr>
              <w:spacing w:after="0"/>
              <w:rPr>
                <w:sz w:val="5"/>
                <w:szCs w:val="5"/>
                <w:color w:val="auto"/>
              </w:rPr>
            </w:pPr>
          </w:p>
        </w:tc>
        <w:tc>
          <w:tcPr>
            <w:tcW w:w="820" w:type="dxa"/>
            <w:vAlign w:val="bottom"/>
            <w:tcBorders>
              <w:bottom w:val="single" w:sz="8" w:color="EC252A"/>
            </w:tcBorders>
          </w:tcPr>
          <w:p>
            <w:pPr>
              <w:spacing w:after="0"/>
              <w:rPr>
                <w:sz w:val="5"/>
                <w:szCs w:val="5"/>
                <w:color w:val="auto"/>
              </w:rPr>
            </w:pPr>
          </w:p>
        </w:tc>
        <w:tc>
          <w:tcPr>
            <w:tcW w:w="40" w:type="dxa"/>
            <w:vAlign w:val="bottom"/>
            <w:tcBorders>
              <w:bottom w:val="single" w:sz="8" w:color="EC252A"/>
            </w:tcBorders>
          </w:tcPr>
          <w:p>
            <w:pPr>
              <w:spacing w:after="0"/>
              <w:rPr>
                <w:sz w:val="5"/>
                <w:szCs w:val="5"/>
                <w:color w:val="auto"/>
              </w:rPr>
            </w:pPr>
          </w:p>
        </w:tc>
      </w:tr>
      <w:tr>
        <w:trPr>
          <w:trHeight w:val="294"/>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Audit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7,559,964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7,547,210</w:t>
            </w:r>
          </w:p>
        </w:tc>
        <w:tc>
          <w:tcPr>
            <w:tcW w:w="40" w:type="dxa"/>
            <w:vAlign w:val="bottom"/>
          </w:tcPr>
          <w:p>
            <w:pPr>
              <w:spacing w:after="0"/>
              <w:rPr>
                <w:sz w:val="24"/>
                <w:szCs w:val="24"/>
                <w:color w:val="auto"/>
              </w:rPr>
            </w:pPr>
          </w:p>
        </w:tc>
      </w:tr>
      <w:tr>
        <w:trPr>
          <w:trHeight w:val="50"/>
        </w:trPr>
        <w:tc>
          <w:tcPr>
            <w:tcW w:w="6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18"/>
        </w:trPr>
        <w:tc>
          <w:tcPr>
            <w:tcW w:w="6780" w:type="dxa"/>
            <w:vAlign w:val="bottom"/>
            <w:tcBorders>
              <w:bottom w:val="single" w:sz="8" w:color="FCD3C3"/>
            </w:tcBorders>
            <w:gridSpan w:val="2"/>
            <w:shd w:val="clear" w:color="auto" w:fill="FCD3C3"/>
          </w:tcPr>
          <w:p>
            <w:pPr>
              <w:ind w:left="80"/>
              <w:spacing w:after="0"/>
              <w:rPr>
                <w:sz w:val="20"/>
                <w:szCs w:val="20"/>
                <w:color w:val="auto"/>
              </w:rPr>
            </w:pPr>
            <w:r>
              <w:rPr>
                <w:rFonts w:ascii="Arial" w:cs="Arial" w:eastAsia="Arial" w:hAnsi="Arial"/>
                <w:sz w:val="18"/>
                <w:szCs w:val="18"/>
                <w:color w:val="auto"/>
              </w:rPr>
              <w:t>Audit-Related Fees</w:t>
            </w:r>
          </w:p>
        </w:tc>
        <w:tc>
          <w:tcPr>
            <w:tcW w:w="10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470,023</w:t>
            </w:r>
          </w:p>
        </w:tc>
        <w:tc>
          <w:tcPr>
            <w:tcW w:w="740" w:type="dxa"/>
            <w:vAlign w:val="bottom"/>
            <w:tcBorders>
              <w:bottom w:val="single" w:sz="8" w:color="FCD3C3"/>
            </w:tcBorders>
            <w:gridSpan w:val="2"/>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37,333</w:t>
            </w:r>
          </w:p>
        </w:tc>
        <w:tc>
          <w:tcPr>
            <w:tcW w:w="40" w:type="dxa"/>
            <w:vAlign w:val="bottom"/>
            <w:tcBorders>
              <w:bottom w:val="single" w:sz="8" w:color="FCD3C3"/>
            </w:tcBorders>
            <w:shd w:val="clear" w:color="auto" w:fill="FCD3C3"/>
          </w:tcPr>
          <w:p>
            <w:pPr>
              <w:spacing w:after="0"/>
              <w:rPr>
                <w:sz w:val="24"/>
                <w:szCs w:val="24"/>
                <w:color w:val="auto"/>
              </w:rPr>
            </w:pPr>
          </w:p>
        </w:tc>
      </w:tr>
      <w:tr>
        <w:trPr>
          <w:trHeight w:val="288"/>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Tax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711,549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1,014,725</w:t>
            </w:r>
          </w:p>
        </w:tc>
        <w:tc>
          <w:tcPr>
            <w:tcW w:w="40" w:type="dxa"/>
            <w:vAlign w:val="bottom"/>
          </w:tcPr>
          <w:p>
            <w:pPr>
              <w:spacing w:after="0"/>
              <w:rPr>
                <w:sz w:val="24"/>
                <w:szCs w:val="24"/>
                <w:color w:val="auto"/>
              </w:rPr>
            </w:pPr>
          </w:p>
        </w:tc>
      </w:tr>
      <w:tr>
        <w:trPr>
          <w:trHeight w:val="50"/>
        </w:trPr>
        <w:tc>
          <w:tcPr>
            <w:tcW w:w="6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88"/>
        </w:trPr>
        <w:tc>
          <w:tcPr>
            <w:tcW w:w="6780" w:type="dxa"/>
            <w:vAlign w:val="bottom"/>
            <w:gridSpan w:val="2"/>
            <w:shd w:val="clear" w:color="auto" w:fill="FCD3C3"/>
          </w:tcPr>
          <w:p>
            <w:pPr>
              <w:ind w:left="80"/>
              <w:spacing w:after="0"/>
              <w:rPr>
                <w:sz w:val="20"/>
                <w:szCs w:val="20"/>
                <w:color w:val="auto"/>
              </w:rPr>
            </w:pPr>
            <w:r>
              <w:rPr>
                <w:rFonts w:ascii="Arial" w:cs="Arial" w:eastAsia="Arial" w:hAnsi="Arial"/>
                <w:sz w:val="18"/>
                <w:szCs w:val="18"/>
                <w:color w:val="auto"/>
              </w:rPr>
              <w:t>All Other Fees</w:t>
            </w:r>
          </w:p>
        </w:tc>
        <w:tc>
          <w:tcPr>
            <w:tcW w:w="100" w:type="dxa"/>
            <w:vAlign w:val="bottom"/>
            <w:shd w:val="clear" w:color="auto" w:fill="FCD3C3"/>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FCD3C3"/>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CD3C3"/>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FCD3C3"/>
          </w:tcPr>
          <w:p>
            <w:pPr>
              <w:spacing w:after="0"/>
              <w:rPr>
                <w:sz w:val="24"/>
                <w:szCs w:val="24"/>
                <w:color w:val="auto"/>
              </w:rPr>
            </w:pPr>
          </w:p>
        </w:tc>
      </w:tr>
      <w:tr>
        <w:trPr>
          <w:trHeight w:val="64"/>
        </w:trPr>
        <w:tc>
          <w:tcPr>
            <w:tcW w:w="6460" w:type="dxa"/>
            <w:vAlign w:val="bottom"/>
            <w:shd w:val="clear" w:color="auto" w:fill="FCD3C3"/>
          </w:tcPr>
          <w:p>
            <w:pPr>
              <w:spacing w:after="0"/>
              <w:rPr>
                <w:sz w:val="5"/>
                <w:szCs w:val="5"/>
                <w:color w:val="auto"/>
              </w:rPr>
            </w:pPr>
          </w:p>
        </w:tc>
        <w:tc>
          <w:tcPr>
            <w:tcW w:w="320" w:type="dxa"/>
            <w:vAlign w:val="bottom"/>
            <w:tcBorders>
              <w:bottom w:val="single" w:sz="8" w:color="FCD3C3"/>
            </w:tcBorders>
            <w:shd w:val="clear" w:color="auto" w:fill="FCD3C3"/>
          </w:tcPr>
          <w:p>
            <w:pPr>
              <w:spacing w:after="0"/>
              <w:rPr>
                <w:sz w:val="5"/>
                <w:szCs w:val="5"/>
                <w:color w:val="auto"/>
              </w:rPr>
            </w:pPr>
          </w:p>
        </w:tc>
        <w:tc>
          <w:tcPr>
            <w:tcW w:w="100" w:type="dxa"/>
            <w:vAlign w:val="bottom"/>
            <w:tcBorders>
              <w:bottom w:val="single" w:sz="8" w:color="auto"/>
            </w:tcBorders>
            <w:shd w:val="clear" w:color="auto" w:fill="FCD3C3"/>
          </w:tcPr>
          <w:p>
            <w:pPr>
              <w:spacing w:after="0"/>
              <w:rPr>
                <w:sz w:val="5"/>
                <w:szCs w:val="5"/>
                <w:color w:val="auto"/>
              </w:rPr>
            </w:pPr>
          </w:p>
        </w:tc>
        <w:tc>
          <w:tcPr>
            <w:tcW w:w="800" w:type="dxa"/>
            <w:vAlign w:val="bottom"/>
            <w:tcBorders>
              <w:bottom w:val="single" w:sz="8" w:color="auto"/>
            </w:tcBorders>
            <w:shd w:val="clear" w:color="auto" w:fill="FCD3C3"/>
          </w:tcPr>
          <w:p>
            <w:pPr>
              <w:spacing w:after="0"/>
              <w:rPr>
                <w:sz w:val="5"/>
                <w:szCs w:val="5"/>
                <w:color w:val="auto"/>
              </w:rPr>
            </w:pPr>
          </w:p>
        </w:tc>
        <w:tc>
          <w:tcPr>
            <w:tcW w:w="640" w:type="dxa"/>
            <w:vAlign w:val="bottom"/>
            <w:tcBorders>
              <w:bottom w:val="single" w:sz="8" w:color="FCD3C3"/>
            </w:tcBorders>
            <w:shd w:val="clear" w:color="auto" w:fill="FCD3C3"/>
          </w:tcPr>
          <w:p>
            <w:pPr>
              <w:spacing w:after="0"/>
              <w:rPr>
                <w:sz w:val="5"/>
                <w:szCs w:val="5"/>
                <w:color w:val="auto"/>
              </w:rPr>
            </w:pPr>
          </w:p>
        </w:tc>
        <w:tc>
          <w:tcPr>
            <w:tcW w:w="100" w:type="dxa"/>
            <w:vAlign w:val="bottom"/>
            <w:tcBorders>
              <w:bottom w:val="single" w:sz="8" w:color="auto"/>
            </w:tcBorders>
            <w:shd w:val="clear" w:color="auto" w:fill="FCD3C3"/>
          </w:tcPr>
          <w:p>
            <w:pPr>
              <w:spacing w:after="0"/>
              <w:rPr>
                <w:sz w:val="5"/>
                <w:szCs w:val="5"/>
                <w:color w:val="auto"/>
              </w:rPr>
            </w:pPr>
          </w:p>
        </w:tc>
        <w:tc>
          <w:tcPr>
            <w:tcW w:w="820" w:type="dxa"/>
            <w:vAlign w:val="bottom"/>
            <w:tcBorders>
              <w:bottom w:val="single" w:sz="8" w:color="auto"/>
            </w:tcBorders>
            <w:shd w:val="clear" w:color="auto" w:fill="FCD3C3"/>
          </w:tcPr>
          <w:p>
            <w:pPr>
              <w:spacing w:after="0"/>
              <w:rPr>
                <w:sz w:val="5"/>
                <w:szCs w:val="5"/>
                <w:color w:val="auto"/>
              </w:rPr>
            </w:pPr>
          </w:p>
        </w:tc>
        <w:tc>
          <w:tcPr>
            <w:tcW w:w="40" w:type="dxa"/>
            <w:vAlign w:val="bottom"/>
            <w:shd w:val="clear" w:color="auto" w:fill="FCD3C3"/>
          </w:tcPr>
          <w:p>
            <w:pPr>
              <w:spacing w:after="0"/>
              <w:rPr>
                <w:sz w:val="5"/>
                <w:szCs w:val="5"/>
                <w:color w:val="auto"/>
              </w:rPr>
            </w:pPr>
          </w:p>
        </w:tc>
      </w:tr>
      <w:tr>
        <w:trPr>
          <w:trHeight w:val="294"/>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Total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8,741,536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8,599,268</w:t>
            </w:r>
          </w:p>
        </w:tc>
        <w:tc>
          <w:tcPr>
            <w:tcW w:w="40" w:type="dxa"/>
            <w:vAlign w:val="bottom"/>
          </w:tcPr>
          <w:p>
            <w:pPr>
              <w:spacing w:after="0"/>
              <w:rPr>
                <w:sz w:val="24"/>
                <w:szCs w:val="24"/>
                <w:color w:val="auto"/>
              </w:rPr>
            </w:pPr>
          </w:p>
        </w:tc>
      </w:tr>
      <w:tr>
        <w:trPr>
          <w:trHeight w:val="37"/>
        </w:trPr>
        <w:tc>
          <w:tcPr>
            <w:tcW w:w="6460" w:type="dxa"/>
            <w:vAlign w:val="bottom"/>
            <w:tcBorders>
              <w:bottom w:val="single" w:sz="8" w:color="EC252A"/>
            </w:tcBorders>
          </w:tcPr>
          <w:p>
            <w:pPr>
              <w:spacing w:after="0"/>
              <w:rPr>
                <w:sz w:val="3"/>
                <w:szCs w:val="3"/>
                <w:color w:val="auto"/>
              </w:rPr>
            </w:pPr>
          </w:p>
        </w:tc>
        <w:tc>
          <w:tcPr>
            <w:tcW w:w="320" w:type="dxa"/>
            <w:vAlign w:val="bottom"/>
            <w:tcBorders>
              <w:bottom w:val="single" w:sz="8" w:color="EC252A"/>
            </w:tcBorders>
          </w:tcPr>
          <w:p>
            <w:pPr>
              <w:spacing w:after="0"/>
              <w:rPr>
                <w:sz w:val="3"/>
                <w:szCs w:val="3"/>
                <w:color w:val="auto"/>
              </w:rPr>
            </w:pPr>
          </w:p>
        </w:tc>
        <w:tc>
          <w:tcPr>
            <w:tcW w:w="100" w:type="dxa"/>
            <w:vAlign w:val="bottom"/>
            <w:tcBorders>
              <w:bottom w:val="single" w:sz="8" w:color="EC252A"/>
            </w:tcBorders>
          </w:tcPr>
          <w:p>
            <w:pPr>
              <w:spacing w:after="0"/>
              <w:rPr>
                <w:sz w:val="3"/>
                <w:szCs w:val="3"/>
                <w:color w:val="auto"/>
              </w:rPr>
            </w:pPr>
          </w:p>
        </w:tc>
        <w:tc>
          <w:tcPr>
            <w:tcW w:w="800" w:type="dxa"/>
            <w:vAlign w:val="bottom"/>
            <w:tcBorders>
              <w:bottom w:val="single" w:sz="8" w:color="EC252A"/>
            </w:tcBorders>
          </w:tcPr>
          <w:p>
            <w:pPr>
              <w:spacing w:after="0"/>
              <w:rPr>
                <w:sz w:val="3"/>
                <w:szCs w:val="3"/>
                <w:color w:val="auto"/>
              </w:rPr>
            </w:pPr>
          </w:p>
        </w:tc>
        <w:tc>
          <w:tcPr>
            <w:tcW w:w="640" w:type="dxa"/>
            <w:vAlign w:val="bottom"/>
            <w:tcBorders>
              <w:bottom w:val="single" w:sz="8" w:color="EC252A"/>
            </w:tcBorders>
          </w:tcPr>
          <w:p>
            <w:pPr>
              <w:spacing w:after="0"/>
              <w:rPr>
                <w:sz w:val="3"/>
                <w:szCs w:val="3"/>
                <w:color w:val="auto"/>
              </w:rPr>
            </w:pPr>
          </w:p>
        </w:tc>
        <w:tc>
          <w:tcPr>
            <w:tcW w:w="100" w:type="dxa"/>
            <w:vAlign w:val="bottom"/>
            <w:tcBorders>
              <w:bottom w:val="single" w:sz="8" w:color="EC252A"/>
            </w:tcBorders>
          </w:tcPr>
          <w:p>
            <w:pPr>
              <w:spacing w:after="0"/>
              <w:rPr>
                <w:sz w:val="3"/>
                <w:szCs w:val="3"/>
                <w:color w:val="auto"/>
              </w:rPr>
            </w:pPr>
          </w:p>
        </w:tc>
        <w:tc>
          <w:tcPr>
            <w:tcW w:w="820" w:type="dxa"/>
            <w:vAlign w:val="bottom"/>
            <w:tcBorders>
              <w:bottom w:val="single" w:sz="8" w:color="EC252A"/>
            </w:tcBorders>
          </w:tcPr>
          <w:p>
            <w:pPr>
              <w:spacing w:after="0"/>
              <w:rPr>
                <w:sz w:val="3"/>
                <w:szCs w:val="3"/>
                <w:color w:val="auto"/>
              </w:rPr>
            </w:pPr>
          </w:p>
        </w:tc>
        <w:tc>
          <w:tcPr>
            <w:tcW w:w="40" w:type="dxa"/>
            <w:vAlign w:val="bottom"/>
            <w:tcBorders>
              <w:bottom w:val="single" w:sz="8" w:color="EC252A"/>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-230505</wp:posOffset>
            </wp:positionV>
            <wp:extent cx="260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Audit Fees</w:t>
      </w:r>
    </w:p>
    <w:p>
      <w:pPr>
        <w:spacing w:after="0" w:line="128" w:lineRule="exact"/>
        <w:rPr>
          <w:sz w:val="20"/>
          <w:szCs w:val="20"/>
          <w:color w:val="auto"/>
        </w:rPr>
      </w:pPr>
    </w:p>
    <w:p>
      <w:pPr>
        <w:ind w:left="860" w:right="900"/>
        <w:spacing w:after="0" w:line="247" w:lineRule="auto"/>
        <w:rPr>
          <w:sz w:val="20"/>
          <w:szCs w:val="20"/>
          <w:color w:val="auto"/>
        </w:rPr>
      </w:pPr>
      <w:r>
        <w:rPr>
          <w:rFonts w:ascii="Arial" w:cs="Arial" w:eastAsia="Arial" w:hAnsi="Arial"/>
          <w:sz w:val="18"/>
          <w:szCs w:val="18"/>
          <w:color w:val="auto"/>
        </w:rPr>
        <w:t>Audit fees include fees for audit services in connection with Wabtec’s annual financial statements, including the audit of internal control over financial reporting, the reviews of Wabtec’s quarterly reports on Form 10-Q, comfort letters, consents, and other services relating to Securities and Exchange Commission filings and statutory audits required internationally.</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Audit-Related Fees</w:t>
      </w:r>
    </w:p>
    <w:p>
      <w:pPr>
        <w:spacing w:after="0" w:line="128" w:lineRule="exact"/>
        <w:rPr>
          <w:sz w:val="20"/>
          <w:szCs w:val="20"/>
          <w:color w:val="auto"/>
        </w:rPr>
      </w:pPr>
    </w:p>
    <w:p>
      <w:pPr>
        <w:ind w:left="860" w:right="980"/>
        <w:spacing w:after="0" w:line="271" w:lineRule="auto"/>
        <w:rPr>
          <w:sz w:val="20"/>
          <w:szCs w:val="20"/>
          <w:color w:val="auto"/>
        </w:rPr>
      </w:pPr>
      <w:r>
        <w:rPr>
          <w:rFonts w:ascii="Arial" w:cs="Arial" w:eastAsia="Arial" w:hAnsi="Arial"/>
          <w:sz w:val="18"/>
          <w:szCs w:val="18"/>
          <w:color w:val="auto"/>
        </w:rPr>
        <w:t>Audit-related fees include fees for services performed within the respective year primarily related to due diligence in connection with mergers and acquisitions and non-financial statement audits.</w:t>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C252A"/>
        </w:rPr>
        <w:t>Tax Fees</w:t>
      </w:r>
    </w:p>
    <w:p>
      <w:pPr>
        <w:spacing w:after="0" w:line="128" w:lineRule="exact"/>
        <w:rPr>
          <w:sz w:val="20"/>
          <w:szCs w:val="20"/>
          <w:color w:val="auto"/>
        </w:rPr>
      </w:pPr>
    </w:p>
    <w:p>
      <w:pPr>
        <w:ind w:left="860" w:right="1320"/>
        <w:spacing w:after="0" w:line="271" w:lineRule="auto"/>
        <w:rPr>
          <w:sz w:val="20"/>
          <w:szCs w:val="20"/>
          <w:color w:val="auto"/>
        </w:rPr>
      </w:pPr>
      <w:r>
        <w:rPr>
          <w:rFonts w:ascii="Arial" w:cs="Arial" w:eastAsia="Arial" w:hAnsi="Arial"/>
          <w:sz w:val="18"/>
          <w:szCs w:val="18"/>
          <w:color w:val="auto"/>
        </w:rPr>
        <w:t>Tax fees include fees for services related to tax compliance, including tax return preparation, tax advice and tax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160655</wp:posOffset>
            </wp:positionV>
            <wp:extent cx="58978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263525</wp:posOffset>
            </wp:positionV>
            <wp:extent cx="471170" cy="1803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53</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3" w:right="439" w:bottom="1440" w:gutter="0" w:footer="0" w:header="0"/>
        </w:sectPr>
      </w:pPr>
    </w:p>
    <w:bookmarkStart w:id="58" w:name="page59"/>
    <w:bookmarkEnd w:id="58"/>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All Other Fees</w:t>
      </w:r>
    </w:p>
    <w:p>
      <w:pPr>
        <w:spacing w:after="0" w:line="12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This category includes the aggregate fees billed for products and services provided by the independent accountants that are not reported above under “Audit Fees,” “Audit-Related Fees,” or “Tax Fees.” The Audit Committee considered the compatibility of the non-audit-related services provided by and fees paid to Ernst &amp; Young LLP in 2020 and 2021 and determined that such services and fees are compatible with the independence of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Audit Committee Pre-Approval Policies and Procedures</w:t>
      </w:r>
    </w:p>
    <w:p>
      <w:pPr>
        <w:spacing w:after="0" w:line="12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Audit Committee is responsible for the appointment, compensation and oversight of the work of the independent registered public accounting firm. As part of this responsibility, the Audit Committee is required to pre-approve the audit and non-audit services performed by the independent registered public accounting firm to assure that the provision of such services does not impair the independent registered public accounting firm’s independence.</w:t>
      </w:r>
    </w:p>
    <w:p>
      <w:pPr>
        <w:spacing w:after="0" w:line="51"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The annual audit services engagement terms and fees are subject to the specific pre-approval of the Audit Committee. All other permitted services are also pre- approved by the Audit Committee.</w:t>
      </w:r>
    </w:p>
    <w:p>
      <w:pPr>
        <w:spacing w:after="0" w:line="4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Audit Committee has delegated its pre-approval authority to its Chair if the fee to be approved does not exceed $100,000 as well as adjustments to any general pre-approval fee threshold up to $50,000.</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All services provided by Ernst &amp; Young LLP for fiscal year 2021 were pre-approved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58978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54</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C252A"/>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2022 </w:t>
            </w:r>
            <w:r>
              <w:rPr>
                <w:rFonts w:ascii="Arial" w:cs="Arial" w:eastAsia="Arial" w:hAnsi="Arial"/>
                <w:sz w:val="14"/>
                <w:szCs w:val="14"/>
                <w:color w:val="EC252A"/>
              </w:rPr>
              <w:t>Annual Meeting</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130175</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-160655</wp:posOffset>
            </wp:positionV>
            <wp:extent cx="471805" cy="1797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bookmarkStart w:id="59" w:name="page60"/>
    <w:bookmarkEnd w:id="59"/>
    <w:p>
      <w:pPr>
        <w:ind w:left="8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299085</wp:posOffset>
            </wp:positionV>
            <wp:extent cx="5897880" cy="3429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FFFFFF"/>
        </w:rPr>
        <w:t>Business Relationships and Related Party Transactions</w:t>
      </w:r>
    </w:p>
    <w:p>
      <w:pPr>
        <w:spacing w:after="0" w:line="195" w:lineRule="exact"/>
        <w:rPr>
          <w:sz w:val="20"/>
          <w:szCs w:val="20"/>
          <w:color w:val="auto"/>
        </w:rPr>
      </w:pPr>
    </w:p>
    <w:p>
      <w:pPr>
        <w:ind w:left="860" w:right="900"/>
        <w:spacing w:after="0" w:line="253" w:lineRule="auto"/>
        <w:rPr>
          <w:sz w:val="20"/>
          <w:szCs w:val="20"/>
          <w:color w:val="auto"/>
        </w:rPr>
      </w:pPr>
      <w:r>
        <w:rPr>
          <w:rFonts w:ascii="Arial" w:cs="Arial" w:eastAsia="Arial" w:hAnsi="Arial"/>
          <w:sz w:val="18"/>
          <w:szCs w:val="18"/>
          <w:color w:val="auto"/>
        </w:rPr>
        <w:t>Pursuant to the terms of Wabtec’s amended and restated by-laws, William E. Kassling will be nominated to be a member of the Board so long as he is able and willing to serve and beneficially owns a certain percentage of Wabtec common stock.</w:t>
      </w:r>
    </w:p>
    <w:p>
      <w:pPr>
        <w:spacing w:after="0" w:line="61" w:lineRule="exact"/>
        <w:rPr>
          <w:sz w:val="20"/>
          <w:szCs w:val="20"/>
          <w:color w:val="auto"/>
        </w:rPr>
      </w:pPr>
    </w:p>
    <w:p>
      <w:pPr>
        <w:ind w:left="860" w:right="1320"/>
        <w:spacing w:after="0" w:line="247" w:lineRule="auto"/>
        <w:rPr>
          <w:sz w:val="20"/>
          <w:szCs w:val="20"/>
          <w:color w:val="auto"/>
        </w:rPr>
      </w:pPr>
      <w:r>
        <w:rPr>
          <w:rFonts w:ascii="Arial" w:cs="Arial" w:eastAsia="Arial" w:hAnsi="Arial"/>
          <w:sz w:val="18"/>
          <w:szCs w:val="18"/>
          <w:color w:val="auto"/>
        </w:rPr>
        <w:t>Ann Klee and Rafael Santana joined the Board in 2019 in connection with the acquisition of GE’s transportation business. Pursuant to the Severance Agreement between the Company and Mr. Santana, the failure of the Company to nominate Mr. Santana to the board of directors may constitute “Good Reason” for Mr. Santana to terminate his employment and be entitled to compensation as set forth therein.</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 xml:space="preserve">Related Party Transaction Approval Policy. </w:t>
      </w:r>
      <w:r>
        <w:rPr>
          <w:rFonts w:ascii="Arial" w:cs="Arial" w:eastAsia="Arial" w:hAnsi="Arial"/>
          <w:sz w:val="18"/>
          <w:szCs w:val="18"/>
          <w:color w:val="auto"/>
        </w:rPr>
        <w:t>Our board of directors has adopted written Related Party Transaction</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Policies and Procedures, a copy of which is available on Wabtec’s website at </w:t>
      </w:r>
      <w:r>
        <w:rPr>
          <w:rFonts w:ascii="Arial" w:cs="Arial" w:eastAsia="Arial" w:hAnsi="Arial"/>
          <w:sz w:val="18"/>
          <w:szCs w:val="18"/>
          <w:i w:val="1"/>
          <w:iCs w:val="1"/>
          <w:color w:val="auto"/>
        </w:rPr>
        <w:t>http://www.wabteccorp.com</w:t>
      </w:r>
      <w:r>
        <w:rPr>
          <w:rFonts w:ascii="Arial" w:cs="Arial" w:eastAsia="Arial" w:hAnsi="Arial"/>
          <w:sz w:val="18"/>
          <w:szCs w:val="18"/>
          <w:color w:val="auto"/>
        </w:rPr>
        <w:t>. Under this</w:t>
      </w:r>
    </w:p>
    <w:p>
      <w:pPr>
        <w:ind w:left="860"/>
        <w:spacing w:after="0" w:line="234" w:lineRule="auto"/>
        <w:rPr>
          <w:sz w:val="20"/>
          <w:szCs w:val="20"/>
          <w:color w:val="auto"/>
        </w:rPr>
      </w:pPr>
      <w:r>
        <w:rPr>
          <w:rFonts w:ascii="Arial" w:cs="Arial" w:eastAsia="Arial" w:hAnsi="Arial"/>
          <w:sz w:val="18"/>
          <w:szCs w:val="18"/>
          <w:color w:val="auto"/>
        </w:rPr>
        <w:t>policy the Nominating and Corporate Governance Committee must review and approve in advance all related party</w:t>
      </w:r>
    </w:p>
    <w:p>
      <w:pPr>
        <w:ind w:left="860"/>
        <w:spacing w:after="0" w:line="235" w:lineRule="auto"/>
        <w:rPr>
          <w:sz w:val="20"/>
          <w:szCs w:val="20"/>
          <w:color w:val="auto"/>
        </w:rPr>
      </w:pPr>
      <w:r>
        <w:rPr>
          <w:rFonts w:ascii="Arial" w:cs="Arial" w:eastAsia="Arial" w:hAnsi="Arial"/>
          <w:sz w:val="18"/>
          <w:szCs w:val="18"/>
          <w:color w:val="auto"/>
        </w:rPr>
        <w:t>transactions that are required to be disclosed pursuant to Item 404 of Regulation S-K promulgated by the SEC. If</w:t>
      </w:r>
    </w:p>
    <w:p>
      <w:pPr>
        <w:ind w:left="860"/>
        <w:spacing w:after="0" w:line="235" w:lineRule="auto"/>
        <w:rPr>
          <w:sz w:val="20"/>
          <w:szCs w:val="20"/>
          <w:color w:val="auto"/>
        </w:rPr>
      </w:pPr>
      <w:r>
        <w:rPr>
          <w:rFonts w:ascii="Arial" w:cs="Arial" w:eastAsia="Arial" w:hAnsi="Arial"/>
          <w:sz w:val="18"/>
          <w:szCs w:val="18"/>
          <w:color w:val="auto"/>
        </w:rPr>
        <w:t>advance approval is not feasible, the Nominating and Corporate Governance Committee must approve or ratify the</w:t>
      </w:r>
    </w:p>
    <w:p>
      <w:pPr>
        <w:ind w:left="860"/>
        <w:spacing w:after="0" w:line="235" w:lineRule="auto"/>
        <w:rPr>
          <w:sz w:val="20"/>
          <w:szCs w:val="20"/>
          <w:color w:val="auto"/>
        </w:rPr>
      </w:pPr>
      <w:r>
        <w:rPr>
          <w:rFonts w:ascii="Arial" w:cs="Arial" w:eastAsia="Arial" w:hAnsi="Arial"/>
          <w:sz w:val="18"/>
          <w:szCs w:val="18"/>
          <w:color w:val="auto"/>
        </w:rPr>
        <w:t>transaction at its next scheduled meeting. Transactions required to be disclosed pursuant to Item 404 include any</w:t>
      </w:r>
    </w:p>
    <w:p>
      <w:pPr>
        <w:ind w:left="860"/>
        <w:spacing w:after="0" w:line="235" w:lineRule="auto"/>
        <w:rPr>
          <w:sz w:val="20"/>
          <w:szCs w:val="20"/>
          <w:color w:val="auto"/>
        </w:rPr>
      </w:pPr>
      <w:r>
        <w:rPr>
          <w:rFonts w:ascii="Arial" w:cs="Arial" w:eastAsia="Arial" w:hAnsi="Arial"/>
          <w:sz w:val="18"/>
          <w:szCs w:val="18"/>
          <w:color w:val="auto"/>
        </w:rPr>
        <w:t>transaction between Wabtec and any officer, director or certain affiliates of Wabtec that has a value in excess of</w:t>
      </w:r>
    </w:p>
    <w:p>
      <w:pPr>
        <w:ind w:left="860"/>
        <w:spacing w:after="0" w:line="234" w:lineRule="auto"/>
        <w:rPr>
          <w:sz w:val="20"/>
          <w:szCs w:val="20"/>
          <w:color w:val="auto"/>
        </w:rPr>
      </w:pPr>
      <w:r>
        <w:rPr>
          <w:rFonts w:ascii="Arial" w:cs="Arial" w:eastAsia="Arial" w:hAnsi="Arial"/>
          <w:sz w:val="18"/>
          <w:szCs w:val="18"/>
          <w:color w:val="auto"/>
        </w:rPr>
        <w:t>$120,000. In reviewing related party transactions, the Nominating and Corporate Governance Committee evaluates</w:t>
      </w:r>
    </w:p>
    <w:p>
      <w:pPr>
        <w:ind w:left="860"/>
        <w:spacing w:after="0" w:line="235" w:lineRule="auto"/>
        <w:rPr>
          <w:sz w:val="20"/>
          <w:szCs w:val="20"/>
          <w:color w:val="auto"/>
        </w:rPr>
      </w:pPr>
      <w:r>
        <w:rPr>
          <w:rFonts w:ascii="Arial" w:cs="Arial" w:eastAsia="Arial" w:hAnsi="Arial"/>
          <w:sz w:val="18"/>
          <w:szCs w:val="18"/>
          <w:color w:val="auto"/>
        </w:rPr>
        <w:t>all material facts about the transaction, including the nature of the transaction, the benefit provided to Wabtec,</w:t>
      </w:r>
    </w:p>
    <w:p>
      <w:pPr>
        <w:ind w:left="860"/>
        <w:spacing w:after="0" w:line="235" w:lineRule="auto"/>
        <w:rPr>
          <w:sz w:val="20"/>
          <w:szCs w:val="20"/>
          <w:color w:val="auto"/>
        </w:rPr>
      </w:pPr>
      <w:r>
        <w:rPr>
          <w:rFonts w:ascii="Arial" w:cs="Arial" w:eastAsia="Arial" w:hAnsi="Arial"/>
          <w:sz w:val="18"/>
          <w:szCs w:val="18"/>
          <w:color w:val="auto"/>
        </w:rPr>
        <w:t>whether the transaction is on commercially reasonable terms that would have been available from an unrelated third-</w:t>
      </w:r>
    </w:p>
    <w:p>
      <w:pPr>
        <w:ind w:left="860"/>
        <w:spacing w:after="0"/>
        <w:rPr>
          <w:sz w:val="20"/>
          <w:szCs w:val="20"/>
          <w:color w:val="auto"/>
        </w:rPr>
      </w:pPr>
      <w:r>
        <w:rPr>
          <w:rFonts w:ascii="Arial" w:cs="Arial" w:eastAsia="Arial" w:hAnsi="Arial"/>
          <w:sz w:val="18"/>
          <w:szCs w:val="18"/>
          <w:color w:val="auto"/>
        </w:rPr>
        <w:t>party and any other factors necessary to its determination that the transaction is fair to Wabtec.</w:t>
      </w:r>
    </w:p>
    <w:p>
      <w:pPr>
        <w:spacing w:after="0" w:line="86" w:lineRule="exact"/>
        <w:rPr>
          <w:sz w:val="20"/>
          <w:szCs w:val="20"/>
          <w:color w:val="auto"/>
        </w:rPr>
      </w:pPr>
    </w:p>
    <w:p>
      <w:pPr>
        <w:ind w:left="860" w:right="1000"/>
        <w:spacing w:after="0" w:line="247" w:lineRule="auto"/>
        <w:rPr>
          <w:sz w:val="20"/>
          <w:szCs w:val="20"/>
          <w:color w:val="auto"/>
        </w:rPr>
      </w:pPr>
      <w:r>
        <w:rPr>
          <w:rFonts w:ascii="Arial" w:cs="Arial" w:eastAsia="Arial" w:hAnsi="Arial"/>
          <w:sz w:val="18"/>
          <w:szCs w:val="18"/>
          <w:color w:val="auto"/>
        </w:rPr>
        <w:t>During 2021, the Company’s GE Transportation business sourced items from Mecco Partners LLC in the amount of $141,278. Mr. Lee Foster, a director of Wabtec, and his immediate family members hold a one-third ownership interest in Mecco in the aggregate. Mr. Lee Foster’s interest in this transaction is solely in his capacity as an owner of Mecco.</w:t>
      </w:r>
    </w:p>
    <w:p>
      <w:pPr>
        <w:spacing w:after="0" w:line="66" w:lineRule="exact"/>
        <w:rPr>
          <w:sz w:val="20"/>
          <w:szCs w:val="20"/>
          <w:color w:val="auto"/>
        </w:rPr>
      </w:pPr>
    </w:p>
    <w:p>
      <w:pPr>
        <w:jc w:val="both"/>
        <w:ind w:left="860" w:right="1100"/>
        <w:spacing w:after="0" w:line="253" w:lineRule="auto"/>
        <w:rPr>
          <w:sz w:val="20"/>
          <w:szCs w:val="20"/>
          <w:color w:val="auto"/>
        </w:rPr>
      </w:pPr>
      <w:r>
        <w:rPr>
          <w:rFonts w:ascii="Arial" w:cs="Arial" w:eastAsia="Arial" w:hAnsi="Arial"/>
          <w:sz w:val="18"/>
          <w:szCs w:val="18"/>
          <w:color w:val="auto"/>
        </w:rPr>
        <w:t>During 2021, Wabtec sourced approximately $8.4 million worth of goods from Parker-Hannifin and purchased less than $120,000 of goods from Parker Hannifin. Mr. Banks’ interest in this transaction is solely in his capacity as an executive officer of Parker-Hannifin.</w:t>
      </w:r>
    </w:p>
    <w:p>
      <w:pPr>
        <w:spacing w:after="0" w:line="61" w:lineRule="exact"/>
        <w:rPr>
          <w:sz w:val="20"/>
          <w:szCs w:val="20"/>
          <w:color w:val="auto"/>
        </w:rPr>
      </w:pPr>
    </w:p>
    <w:p>
      <w:pPr>
        <w:ind w:left="860" w:right="920"/>
        <w:spacing w:after="0" w:line="253" w:lineRule="auto"/>
        <w:rPr>
          <w:sz w:val="20"/>
          <w:szCs w:val="20"/>
          <w:color w:val="auto"/>
        </w:rPr>
      </w:pPr>
      <w:r>
        <w:rPr>
          <w:rFonts w:ascii="Arial" w:cs="Arial" w:eastAsia="Arial" w:hAnsi="Arial"/>
          <w:sz w:val="18"/>
          <w:szCs w:val="18"/>
          <w:color w:val="auto"/>
        </w:rPr>
        <w:t>During 2021, Mr. Byron Foster, the Chief Commercial Officer of Dana Incorporated, joined the Wabtec Board. During 2021, Wabtec sourced approximately $19.3 million worth of goods from Dana Incorporated. Mr. Byron Foster’s interest in this transaction is solely in his capacity as an executive officer of Dana Incorporated.</w:t>
      </w:r>
    </w:p>
    <w:p>
      <w:pPr>
        <w:spacing w:after="0" w:line="61" w:lineRule="exact"/>
        <w:rPr>
          <w:sz w:val="20"/>
          <w:szCs w:val="20"/>
          <w:color w:val="auto"/>
        </w:rPr>
      </w:pPr>
    </w:p>
    <w:p>
      <w:pPr>
        <w:ind w:left="860" w:right="1180"/>
        <w:spacing w:after="0" w:line="271" w:lineRule="auto"/>
        <w:rPr>
          <w:sz w:val="20"/>
          <w:szCs w:val="20"/>
          <w:color w:val="auto"/>
        </w:rPr>
      </w:pPr>
      <w:r>
        <w:rPr>
          <w:rFonts w:ascii="Arial" w:cs="Arial" w:eastAsia="Arial" w:hAnsi="Arial"/>
          <w:sz w:val="18"/>
          <w:szCs w:val="18"/>
          <w:color w:val="auto"/>
        </w:rPr>
        <w:t>For each of the aforementioned transactions, the Board’s Nominating and Corporate Governance Committee has reviewed and approved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152400</wp:posOffset>
            </wp:positionV>
            <wp:extent cx="58978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ind w:left="168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55</w:t>
            </w:r>
          </w:p>
        </w:tc>
      </w:tr>
      <w:tr>
        <w:trPr>
          <w:trHeight w:val="212"/>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79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0" w:name="page61"/>
    <w:bookmarkEnd w:id="6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897880" cy="3429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Other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Corporate Governance Guidelines and Code of Business Conduct and Ethics</w:t>
      </w:r>
    </w:p>
    <w:p>
      <w:pPr>
        <w:spacing w:after="0" w:line="128"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 xml:space="preserve">Wabtec has adopted Corporate Governance Guidelines and a Code of Business Conduct and Ethics that are applicable to all directors, officers and employees, each of which includes the provisions required under applicable SEC and NYSE regulations. Copies of our Corporate Governance Guidelines and Code of Conduct are posted on our website at </w:t>
      </w:r>
      <w:r>
        <w:rPr>
          <w:rFonts w:ascii="Arial" w:cs="Arial" w:eastAsia="Arial" w:hAnsi="Arial"/>
          <w:sz w:val="18"/>
          <w:szCs w:val="18"/>
          <w:i w:val="1"/>
          <w:iCs w:val="1"/>
          <w:color w:val="auto"/>
        </w:rPr>
        <w:t>http://www.wabteccorp.com</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Other Business</w:t>
      </w:r>
    </w:p>
    <w:p>
      <w:pPr>
        <w:spacing w:after="0" w:line="12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do not expect any business to come before the Annual Meeting other than the proposals described in this proxy statement. If other business is properly raised, your proxy authorizes its holder to vote according to their best judgment.</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Communication with the Board</w:t>
      </w:r>
    </w:p>
    <w:p>
      <w:pPr>
        <w:spacing w:after="0" w:line="12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The Board provides a process for interested parties to send communications to the Board or any of the directors of Wabtec. Communications to the Board or any director should be sent c/o the Secretary of Wabtec, 30 Isabella Street, Pittsburgh, PA 15212. All such communications will be compiled by the Secretary of Wabtec and submitted to the Board or the individual director at the next regularly scheduled meeting of the Board. Interested parties may also communicate directly with the Lead Independent Director at the email address </w:t>
      </w:r>
      <w:r>
        <w:rPr>
          <w:rFonts w:ascii="Arial" w:cs="Arial" w:eastAsia="Arial" w:hAnsi="Arial"/>
          <w:sz w:val="18"/>
          <w:szCs w:val="18"/>
          <w:i w:val="1"/>
          <w:iCs w:val="1"/>
          <w:color w:val="auto"/>
        </w:rPr>
        <w:t>nonmanagementdirectors@wabtec.com.</w:t>
      </w:r>
    </w:p>
    <w:p>
      <w:pPr>
        <w:spacing w:after="0" w:line="178"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Expenses of Solicitation</w:t>
      </w:r>
    </w:p>
    <w:p>
      <w:pPr>
        <w:spacing w:after="0" w:line="12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Officers and employees may solicit proxies in person by telephone or facsimile. Wabtec pays no costs for proxy solicitation to any third party. Wabtec will pay approximately $50,000 to Broadridge Financial Solutions, Inc. (exclusive of printing and mailing fees) for sending the Notice, providing the Internet site for our proxy materials and providing proxy materials to any stockholder who requests them. We will also reimburse other nominees, custodians or fiduciaries who forward these materials to stockholders for their reasonable expenses in doing so.</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b w:val="1"/>
          <w:bCs w:val="1"/>
          <w:color w:val="EC252A"/>
        </w:rPr>
        <w:t>Stockholder Proposals and Nominations for Next Year</w:t>
      </w:r>
    </w:p>
    <w:p>
      <w:pPr>
        <w:spacing w:after="0" w:line="12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To be included in the proxy for the 2023 annual meeting, stockholder proposals must be submitted by December 6, 2022. Only proposals submitted on time may be eligible for inclusion in our proxy statement.</w:t>
      </w:r>
    </w:p>
    <w:p>
      <w:pPr>
        <w:spacing w:after="0" w:line="4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Our amended and restated bylaws require that notice of business to be properly brought before the 2023 Annual Meeting of stockholders must be submitted to us between January 5, 2023 and February 4, 2023. Only matters for which we receive timely notice and in accordance with our amended and restated bylaws may be brought before the 2023 Annual Meeting.</w:t>
      </w:r>
    </w:p>
    <w:p>
      <w:pPr>
        <w:spacing w:after="0" w:line="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An eligible stockholder, or eligible group of stockholders, that wants to nominate a candidate for election to the Board pursuant to the proxy access provisions of our amended and restated bylaws must follow the procedures stated in Article II, Section 10 of our amended and restated bylaws. These procedures include the requirement that your nomination must be delivered to Wabtec’s Secretary not later than the close of business on the 120th day or earlier than the close of business on the 150th day prior to the first anniversary of the preceding year’s annual meeting. If the date of the annual meeting is more than 30 days before or more than 60 days after such anniversary date, your notice must be delivered not later than the 120th day prior to such annual meeting or, if later, the 10th day following the day we publicly announce the date of the 2023 annual meeting of stockholders. Stockholders are urged to review all applicable rules and consult legal counsel before submitting a nomination or proposal to Wabtec.</w:t>
      </w:r>
    </w:p>
    <w:p>
      <w:pPr>
        <w:spacing w:after="0" w:line="7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Stockholder proposals to be brought before the 2023 annual meeting should be sent c/o the Secretary of Wabtec, 30 Isabella Street, Pittsburgh, PA 15212.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David L. DeNinno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58978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sectPr>
      </w:pPr>
    </w:p>
    <w:p>
      <w:pPr>
        <w:spacing w:after="0" w:line="343" w:lineRule="exact"/>
        <w:rPr>
          <w:sz w:val="20"/>
          <w:szCs w:val="20"/>
          <w:color w:val="auto"/>
        </w:rPr>
      </w:pPr>
    </w:p>
    <w:p>
      <w:pPr>
        <w:ind w:left="140"/>
        <w:spacing w:after="0"/>
        <w:tabs>
          <w:tab w:leader="none" w:pos="5690" w:val="left"/>
        </w:tabs>
        <w:rPr>
          <w:sz w:val="20"/>
          <w:szCs w:val="20"/>
          <w:color w:val="auto"/>
        </w:rPr>
      </w:pPr>
      <w:r>
        <w:rPr>
          <w:rFonts w:ascii="Arial" w:cs="Arial" w:eastAsia="Arial" w:hAnsi="Arial"/>
          <w:sz w:val="32"/>
          <w:szCs w:val="32"/>
          <w:b w:val="1"/>
          <w:bCs w:val="1"/>
          <w:color w:val="auto"/>
          <w:vertAlign w:val="superscript"/>
        </w:rPr>
        <w:t>56</w:t>
      </w:r>
      <w:r>
        <w:rPr>
          <w:sz w:val="20"/>
          <w:szCs w:val="20"/>
          <w:color w:val="auto"/>
        </w:rPr>
        <w:tab/>
      </w:r>
      <w:r>
        <w:rPr>
          <w:sz w:val="1"/>
          <w:szCs w:val="1"/>
          <w:color w:val="auto"/>
        </w:rPr>
        <w:drawing>
          <wp:inline distT="0" distB="0" distL="0" distR="0">
            <wp:extent cx="471805" cy="17970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71805" cy="179705"/>
                    </a:xfrm>
                    <a:prstGeom prst="rect">
                      <a:avLst/>
                    </a:prstGeom>
                    <a:noFill/>
                    <a:ln>
                      <a:noFill/>
                    </a:ln>
                  </pic:spPr>
                </pic:pic>
              </a:graphicData>
            </a:graphic>
          </wp:inline>
        </w:drawing>
      </w:r>
      <w:r>
        <w:rPr>
          <w:rFonts w:ascii="Arial" w:cs="Arial" w:eastAsia="Arial" w:hAnsi="Arial"/>
          <w:sz w:val="12"/>
          <w:szCs w:val="12"/>
          <w:color w:val="EC252A"/>
        </w:rPr>
        <w:t xml:space="preserve"> 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137795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3" w:right="1319" w:bottom="1440" w:gutter="0" w:footer="0" w:header="0"/>
          <w:type w:val="continuous"/>
        </w:sectPr>
      </w:pPr>
    </w:p>
    <w:bookmarkStart w:id="61" w:name="page62"/>
    <w:bookmarkEnd w:id="61"/>
    <w:p>
      <w:pPr>
        <w:ind w:left="76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239395</wp:posOffset>
            </wp:positionV>
            <wp:extent cx="58978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860" w:right="1040"/>
        <w:spacing w:after="0" w:line="247" w:lineRule="auto"/>
        <w:rPr>
          <w:sz w:val="20"/>
          <w:szCs w:val="20"/>
          <w:color w:val="auto"/>
        </w:rPr>
      </w:pPr>
      <w:r>
        <w:rPr>
          <w:rFonts w:ascii="Arial" w:cs="Arial" w:eastAsia="Arial" w:hAnsi="Arial"/>
          <w:sz w:val="18"/>
          <w:szCs w:val="18"/>
          <w:color w:val="auto"/>
        </w:rPr>
        <w:t>Set forth below is the calculation of the non-GAAP performance measures included in this document.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w:t>
      </w:r>
    </w:p>
    <w:p>
      <w:pPr>
        <w:spacing w:after="0" w:line="15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EC252A"/>
        </w:rPr>
        <w:t>Wabtec Corporation</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EC252A"/>
        </w:rPr>
        <w:t>Reconciliation of Reported Results to Adjusted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 w:type="dxa"/>
            <w:vAlign w:val="bottom"/>
          </w:tcPr>
          <w:p>
            <w:pPr>
              <w:spacing w:after="0"/>
              <w:rPr>
                <w:sz w:val="19"/>
                <w:szCs w:val="19"/>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EC252A"/>
              </w:rPr>
              <w:t>(in millions)</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20" w:type="dxa"/>
            <w:vAlign w:val="bottom"/>
            <w:gridSpan w:val="3"/>
          </w:tcPr>
          <w:p>
            <w:pPr>
              <w:ind w:left="300"/>
              <w:spacing w:after="0"/>
              <w:rPr>
                <w:sz w:val="20"/>
                <w:szCs w:val="20"/>
                <w:color w:val="auto"/>
              </w:rPr>
            </w:pPr>
            <w:r>
              <w:rPr>
                <w:rFonts w:ascii="Arial" w:cs="Arial" w:eastAsia="Arial" w:hAnsi="Arial"/>
                <w:sz w:val="16"/>
                <w:szCs w:val="16"/>
                <w:b w:val="1"/>
                <w:bCs w:val="1"/>
                <w:color w:val="EC252A"/>
              </w:rPr>
              <w:t>2021 Actual Results</w:t>
            </w: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760" w:type="dxa"/>
            <w:vAlign w:val="bottom"/>
          </w:tcPr>
          <w:p>
            <w:pPr>
              <w:spacing w:after="0"/>
              <w:rPr>
                <w:sz w:val="5"/>
                <w:szCs w:val="5"/>
                <w:color w:val="auto"/>
              </w:rPr>
            </w:pPr>
          </w:p>
        </w:tc>
        <w:tc>
          <w:tcPr>
            <w:tcW w:w="100" w:type="dxa"/>
            <w:vAlign w:val="bottom"/>
            <w:tcBorders>
              <w:bottom w:val="single" w:sz="8" w:color="EC252A"/>
            </w:tcBorders>
          </w:tcPr>
          <w:p>
            <w:pPr>
              <w:spacing w:after="0"/>
              <w:rPr>
                <w:sz w:val="5"/>
                <w:szCs w:val="5"/>
                <w:color w:val="auto"/>
              </w:rPr>
            </w:pPr>
          </w:p>
        </w:tc>
        <w:tc>
          <w:tcPr>
            <w:tcW w:w="1680" w:type="dxa"/>
            <w:vAlign w:val="bottom"/>
            <w:tcBorders>
              <w:bottom w:val="single" w:sz="8" w:color="EC252A"/>
            </w:tcBorders>
          </w:tcPr>
          <w:p>
            <w:pPr>
              <w:spacing w:after="0"/>
              <w:rPr>
                <w:sz w:val="5"/>
                <w:szCs w:val="5"/>
                <w:color w:val="auto"/>
              </w:rPr>
            </w:pPr>
          </w:p>
        </w:tc>
        <w:tc>
          <w:tcPr>
            <w:tcW w:w="520" w:type="dxa"/>
            <w:vAlign w:val="bottom"/>
            <w:tcBorders>
              <w:bottom w:val="single" w:sz="8" w:color="EC252A"/>
            </w:tcBorders>
          </w:tcPr>
          <w:p>
            <w:pPr>
              <w:spacing w:after="0"/>
              <w:rPr>
                <w:sz w:val="5"/>
                <w:szCs w:val="5"/>
                <w:color w:val="auto"/>
              </w:rPr>
            </w:pPr>
          </w:p>
        </w:tc>
        <w:tc>
          <w:tcPr>
            <w:tcW w:w="580" w:type="dxa"/>
            <w:vAlign w:val="bottom"/>
            <w:tcBorders>
              <w:bottom w:val="single" w:sz="8" w:color="EC252A"/>
            </w:tcBorders>
          </w:tcPr>
          <w:p>
            <w:pPr>
              <w:spacing w:after="0"/>
              <w:rPr>
                <w:sz w:val="5"/>
                <w:szCs w:val="5"/>
                <w:color w:val="auto"/>
              </w:rPr>
            </w:pPr>
          </w:p>
        </w:tc>
        <w:tc>
          <w:tcPr>
            <w:tcW w:w="880" w:type="dxa"/>
            <w:vAlign w:val="bottom"/>
            <w:tcBorders>
              <w:bottom w:val="single" w:sz="8" w:color="EC252A"/>
            </w:tcBorders>
          </w:tcPr>
          <w:p>
            <w:pPr>
              <w:spacing w:after="0"/>
              <w:rPr>
                <w:sz w:val="5"/>
                <w:szCs w:val="5"/>
                <w:color w:val="auto"/>
              </w:rPr>
            </w:pPr>
          </w:p>
        </w:tc>
        <w:tc>
          <w:tcPr>
            <w:tcW w:w="800" w:type="dxa"/>
            <w:vAlign w:val="bottom"/>
            <w:tcBorders>
              <w:bottom w:val="single" w:sz="8" w:color="EC252A"/>
            </w:tcBorders>
            <w:gridSpan w:val="2"/>
          </w:tcPr>
          <w:p>
            <w:pPr>
              <w:spacing w:after="0"/>
              <w:rPr>
                <w:sz w:val="5"/>
                <w:szCs w:val="5"/>
                <w:color w:val="auto"/>
              </w:rPr>
            </w:pPr>
          </w:p>
        </w:tc>
        <w:tc>
          <w:tcPr>
            <w:tcW w:w="980" w:type="dxa"/>
            <w:vAlign w:val="bottom"/>
            <w:tcBorders>
              <w:bottom w:val="single" w:sz="8" w:color="EC252A"/>
            </w:tcBorders>
          </w:tcPr>
          <w:p>
            <w:pPr>
              <w:spacing w:after="0"/>
              <w:rPr>
                <w:sz w:val="5"/>
                <w:szCs w:val="5"/>
                <w:color w:val="auto"/>
              </w:rPr>
            </w:pPr>
          </w:p>
        </w:tc>
        <w:tc>
          <w:tcPr>
            <w:tcW w:w="500" w:type="dxa"/>
            <w:vAlign w:val="bottom"/>
            <w:tcBorders>
              <w:bottom w:val="single" w:sz="8" w:color="EC252A"/>
            </w:tcBorders>
          </w:tcPr>
          <w:p>
            <w:pPr>
              <w:spacing w:after="0"/>
              <w:rPr>
                <w:sz w:val="5"/>
                <w:szCs w:val="5"/>
                <w:color w:val="auto"/>
              </w:rPr>
            </w:pPr>
          </w:p>
        </w:tc>
        <w:tc>
          <w:tcPr>
            <w:tcW w:w="640" w:type="dxa"/>
            <w:vAlign w:val="bottom"/>
            <w:tcBorders>
              <w:bottom w:val="single" w:sz="8" w:color="EC252A"/>
            </w:tcBorders>
          </w:tcPr>
          <w:p>
            <w:pPr>
              <w:spacing w:after="0"/>
              <w:rPr>
                <w:sz w:val="5"/>
                <w:szCs w:val="5"/>
                <w:color w:val="auto"/>
              </w:rPr>
            </w:pPr>
          </w:p>
        </w:tc>
        <w:tc>
          <w:tcPr>
            <w:tcW w:w="1280" w:type="dxa"/>
            <w:vAlign w:val="bottom"/>
            <w:tcBorders>
              <w:bottom w:val="single" w:sz="8" w:color="EC252A"/>
            </w:tcBorders>
          </w:tcPr>
          <w:p>
            <w:pPr>
              <w:spacing w:after="0"/>
              <w:rPr>
                <w:sz w:val="5"/>
                <w:szCs w:val="5"/>
                <w:color w:val="auto"/>
              </w:rPr>
            </w:pPr>
          </w:p>
        </w:tc>
        <w:tc>
          <w:tcPr>
            <w:tcW w:w="780" w:type="dxa"/>
            <w:vAlign w:val="bottom"/>
            <w:tcBorders>
              <w:bottom w:val="single" w:sz="8" w:color="EC252A"/>
            </w:tcBorders>
          </w:tcPr>
          <w:p>
            <w:pPr>
              <w:spacing w:after="0"/>
              <w:rPr>
                <w:sz w:val="5"/>
                <w:szCs w:val="5"/>
                <w:color w:val="auto"/>
              </w:rPr>
            </w:pPr>
          </w:p>
        </w:tc>
        <w:tc>
          <w:tcPr>
            <w:tcW w:w="180" w:type="dxa"/>
            <w:vAlign w:val="bottom"/>
            <w:tcBorders>
              <w:bottom w:val="single" w:sz="8" w:color="EC252A"/>
            </w:tcBorders>
          </w:tcPr>
          <w:p>
            <w:pPr>
              <w:spacing w:after="0"/>
              <w:rPr>
                <w:sz w:val="5"/>
                <w:szCs w:val="5"/>
                <w:color w:val="auto"/>
              </w:rPr>
            </w:pPr>
          </w:p>
        </w:tc>
        <w:tc>
          <w:tcPr>
            <w:tcW w:w="460" w:type="dxa"/>
            <w:vAlign w:val="bottom"/>
            <w:tcBorders>
              <w:bottom w:val="single" w:sz="8" w:color="EC252A"/>
            </w:tcBorders>
          </w:tcPr>
          <w:p>
            <w:pPr>
              <w:spacing w:after="0"/>
              <w:rPr>
                <w:sz w:val="5"/>
                <w:szCs w:val="5"/>
                <w:color w:val="auto"/>
              </w:rPr>
            </w:pPr>
          </w:p>
        </w:tc>
        <w:tc>
          <w:tcPr>
            <w:tcW w:w="120" w:type="dxa"/>
            <w:vAlign w:val="bottom"/>
            <w:tcBorders>
              <w:bottom w:val="single" w:sz="8" w:color="EC252A"/>
            </w:tcBorders>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gridSpan w:val="2"/>
          </w:tcPr>
          <w:p>
            <w:pPr>
              <w:jc w:val="right"/>
              <w:ind w:right="84"/>
              <w:spacing w:after="0"/>
              <w:rPr>
                <w:sz w:val="20"/>
                <w:szCs w:val="20"/>
                <w:color w:val="auto"/>
              </w:rPr>
            </w:pPr>
            <w:r>
              <w:rPr>
                <w:rFonts w:ascii="Arial" w:cs="Arial" w:eastAsia="Arial" w:hAnsi="Arial"/>
                <w:sz w:val="16"/>
                <w:szCs w:val="16"/>
                <w:b w:val="1"/>
                <w:bCs w:val="1"/>
                <w:color w:val="EC252A"/>
              </w:rPr>
              <w:t>Income</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EC252A"/>
              </w:rPr>
              <w:t>Wabtec</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20" w:type="dxa"/>
            <w:vAlign w:val="bottom"/>
          </w:tcPr>
          <w:p>
            <w:pPr>
              <w:jc w:val="right"/>
              <w:ind w:right="62"/>
              <w:spacing w:after="0"/>
              <w:rPr>
                <w:sz w:val="20"/>
                <w:szCs w:val="20"/>
                <w:color w:val="auto"/>
              </w:rPr>
            </w:pPr>
            <w:r>
              <w:rPr>
                <w:rFonts w:ascii="Arial" w:cs="Arial" w:eastAsia="Arial" w:hAnsi="Arial"/>
                <w:sz w:val="16"/>
                <w:szCs w:val="16"/>
                <w:b w:val="1"/>
                <w:bCs w:val="1"/>
                <w:color w:val="EC252A"/>
              </w:rPr>
              <w:t>Net</w:t>
            </w:r>
          </w:p>
        </w:tc>
        <w:tc>
          <w:tcPr>
            <w:tcW w:w="1460" w:type="dxa"/>
            <w:vAlign w:val="bottom"/>
            <w:gridSpan w:val="2"/>
          </w:tcPr>
          <w:p>
            <w:pPr>
              <w:jc w:val="right"/>
              <w:ind w:right="64"/>
              <w:spacing w:after="0"/>
              <w:rPr>
                <w:sz w:val="20"/>
                <w:szCs w:val="20"/>
                <w:color w:val="auto"/>
              </w:rPr>
            </w:pPr>
            <w:r>
              <w:rPr>
                <w:rFonts w:ascii="Arial" w:cs="Arial" w:eastAsia="Arial" w:hAnsi="Arial"/>
                <w:sz w:val="16"/>
                <w:szCs w:val="16"/>
                <w:b w:val="1"/>
                <w:bCs w:val="1"/>
                <w:color w:val="EC252A"/>
              </w:rPr>
              <w:t>Gross Operating</w:t>
            </w:r>
          </w:p>
        </w:tc>
        <w:tc>
          <w:tcPr>
            <w:tcW w:w="800" w:type="dxa"/>
            <w:vAlign w:val="bottom"/>
            <w:gridSpan w:val="2"/>
          </w:tcPr>
          <w:p>
            <w:pPr>
              <w:jc w:val="right"/>
              <w:ind w:right="204"/>
              <w:spacing w:after="0"/>
              <w:rPr>
                <w:sz w:val="20"/>
                <w:szCs w:val="20"/>
                <w:color w:val="auto"/>
              </w:rPr>
            </w:pPr>
            <w:r>
              <w:rPr>
                <w:rFonts w:ascii="Arial" w:cs="Arial" w:eastAsia="Arial" w:hAnsi="Arial"/>
                <w:sz w:val="16"/>
                <w:szCs w:val="16"/>
                <w:b w:val="1"/>
                <w:bCs w:val="1"/>
                <w:color w:val="EC252A"/>
              </w:rPr>
              <w:t>from</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EC252A"/>
              </w:rPr>
              <w:t>Interest and</w:t>
            </w:r>
          </w:p>
        </w:tc>
        <w:tc>
          <w:tcPr>
            <w:tcW w:w="500" w:type="dxa"/>
            <w:vAlign w:val="bottom"/>
          </w:tcPr>
          <w:p>
            <w:pPr>
              <w:spacing w:after="0"/>
              <w:rPr>
                <w:sz w:val="16"/>
                <w:szCs w:val="16"/>
                <w:color w:val="auto"/>
              </w:rPr>
            </w:pPr>
          </w:p>
        </w:tc>
        <w:tc>
          <w:tcPr>
            <w:tcW w:w="640" w:type="dxa"/>
            <w:vAlign w:val="bottom"/>
          </w:tcPr>
          <w:p>
            <w:pPr>
              <w:jc w:val="right"/>
              <w:ind w:right="122"/>
              <w:spacing w:after="0"/>
              <w:rPr>
                <w:sz w:val="20"/>
                <w:szCs w:val="20"/>
                <w:color w:val="auto"/>
              </w:rPr>
            </w:pPr>
            <w:r>
              <w:rPr>
                <w:rFonts w:ascii="Arial" w:cs="Arial" w:eastAsia="Arial" w:hAnsi="Arial"/>
                <w:sz w:val="16"/>
                <w:szCs w:val="16"/>
                <w:b w:val="1"/>
                <w:bCs w:val="1"/>
                <w:color w:val="EC252A"/>
              </w:rPr>
              <w:t>Net</w:t>
            </w:r>
          </w:p>
        </w:tc>
        <w:tc>
          <w:tcPr>
            <w:tcW w:w="1280" w:type="dxa"/>
            <w:vAlign w:val="bottom"/>
          </w:tcPr>
          <w:p>
            <w:pPr>
              <w:jc w:val="right"/>
              <w:ind w:right="22"/>
              <w:spacing w:after="0"/>
              <w:rPr>
                <w:sz w:val="20"/>
                <w:szCs w:val="20"/>
                <w:color w:val="auto"/>
              </w:rPr>
            </w:pPr>
            <w:r>
              <w:rPr>
                <w:rFonts w:ascii="Arial" w:cs="Arial" w:eastAsia="Arial" w:hAnsi="Arial"/>
                <w:sz w:val="16"/>
                <w:szCs w:val="16"/>
                <w:b w:val="1"/>
                <w:bCs w:val="1"/>
                <w:color w:val="EC252A"/>
              </w:rPr>
              <w:t>Noncontrolling</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EC252A"/>
              </w:rPr>
              <w:t>Net</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EC252A"/>
              </w:rPr>
              <w:t>Sales</w:t>
            </w:r>
          </w:p>
        </w:tc>
        <w:tc>
          <w:tcPr>
            <w:tcW w:w="2260" w:type="dxa"/>
            <w:vAlign w:val="bottom"/>
            <w:gridSpan w:val="4"/>
          </w:tcPr>
          <w:p>
            <w:pPr>
              <w:jc w:val="right"/>
              <w:spacing w:after="0"/>
              <w:rPr>
                <w:sz w:val="20"/>
                <w:szCs w:val="20"/>
                <w:color w:val="auto"/>
              </w:rPr>
            </w:pPr>
            <w:r>
              <w:rPr>
                <w:rFonts w:ascii="Arial" w:cs="Arial" w:eastAsia="Arial" w:hAnsi="Arial"/>
                <w:sz w:val="16"/>
                <w:szCs w:val="16"/>
                <w:b w:val="1"/>
                <w:bCs w:val="1"/>
                <w:color w:val="EC252A"/>
              </w:rPr>
              <w:t>Profit Expenses Operations</w:t>
            </w: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EC252A"/>
              </w:rPr>
              <w:t>Other Exp</w:t>
            </w:r>
          </w:p>
        </w:tc>
        <w:tc>
          <w:tcPr>
            <w:tcW w:w="500" w:type="dxa"/>
            <w:vAlign w:val="bottom"/>
          </w:tcPr>
          <w:p>
            <w:pPr>
              <w:jc w:val="right"/>
              <w:ind w:right="43"/>
              <w:spacing w:after="0"/>
              <w:rPr>
                <w:sz w:val="20"/>
                <w:szCs w:val="20"/>
                <w:color w:val="auto"/>
              </w:rPr>
            </w:pPr>
            <w:r>
              <w:rPr>
                <w:rFonts w:ascii="Arial" w:cs="Arial" w:eastAsia="Arial" w:hAnsi="Arial"/>
                <w:sz w:val="16"/>
                <w:szCs w:val="16"/>
                <w:b w:val="1"/>
                <w:bCs w:val="1"/>
                <w:color w:val="EC252A"/>
              </w:rPr>
              <w:t>Tax</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EC252A"/>
              </w:rPr>
              <w:t>Income</w:t>
            </w:r>
          </w:p>
        </w:tc>
        <w:tc>
          <w:tcPr>
            <w:tcW w:w="1280" w:type="dxa"/>
            <w:vAlign w:val="bottom"/>
          </w:tcPr>
          <w:p>
            <w:pPr>
              <w:jc w:val="right"/>
              <w:ind w:right="302"/>
              <w:spacing w:after="0"/>
              <w:rPr>
                <w:sz w:val="20"/>
                <w:szCs w:val="20"/>
                <w:color w:val="auto"/>
              </w:rPr>
            </w:pPr>
            <w:r>
              <w:rPr>
                <w:rFonts w:ascii="Arial" w:cs="Arial" w:eastAsia="Arial" w:hAnsi="Arial"/>
                <w:sz w:val="16"/>
                <w:szCs w:val="16"/>
                <w:b w:val="1"/>
                <w:bCs w:val="1"/>
                <w:color w:val="EC252A"/>
              </w:rPr>
              <w:t>Interest</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EC252A"/>
              </w:rPr>
              <w:t>Income</w:t>
            </w:r>
          </w:p>
        </w:tc>
        <w:tc>
          <w:tcPr>
            <w:tcW w:w="18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Arial" w:cs="Arial" w:eastAsia="Arial" w:hAnsi="Arial"/>
                <w:sz w:val="16"/>
                <w:szCs w:val="16"/>
                <w:b w:val="1"/>
                <w:bCs w:val="1"/>
                <w:color w:val="EC252A"/>
              </w:rPr>
              <w:t>EPS</w:t>
            </w:r>
          </w:p>
        </w:tc>
        <w:tc>
          <w:tcPr>
            <w:tcW w:w="0" w:type="dxa"/>
            <w:vAlign w:val="bottom"/>
          </w:tcPr>
          <w:p>
            <w:pPr>
              <w:spacing w:after="0"/>
              <w:rPr>
                <w:sz w:val="1"/>
                <w:szCs w:val="1"/>
                <w:color w:val="auto"/>
              </w:rPr>
            </w:pPr>
          </w:p>
        </w:tc>
      </w:tr>
      <w:tr>
        <w:trPr>
          <w:trHeight w:val="62"/>
        </w:trPr>
        <w:tc>
          <w:tcPr>
            <w:tcW w:w="760" w:type="dxa"/>
            <w:vAlign w:val="bottom"/>
          </w:tcPr>
          <w:p>
            <w:pPr>
              <w:spacing w:after="0"/>
              <w:rPr>
                <w:sz w:val="5"/>
                <w:szCs w:val="5"/>
                <w:color w:val="auto"/>
              </w:rPr>
            </w:pPr>
          </w:p>
        </w:tc>
        <w:tc>
          <w:tcPr>
            <w:tcW w:w="100" w:type="dxa"/>
            <w:vAlign w:val="bottom"/>
            <w:tcBorders>
              <w:bottom w:val="single" w:sz="8" w:color="EC252A"/>
            </w:tcBorders>
          </w:tcPr>
          <w:p>
            <w:pPr>
              <w:spacing w:after="0"/>
              <w:rPr>
                <w:sz w:val="5"/>
                <w:szCs w:val="5"/>
                <w:color w:val="auto"/>
              </w:rPr>
            </w:pPr>
          </w:p>
        </w:tc>
        <w:tc>
          <w:tcPr>
            <w:tcW w:w="1680" w:type="dxa"/>
            <w:vAlign w:val="bottom"/>
            <w:tcBorders>
              <w:bottom w:val="single" w:sz="8" w:color="EC252A"/>
            </w:tcBorders>
          </w:tcPr>
          <w:p>
            <w:pPr>
              <w:spacing w:after="0"/>
              <w:rPr>
                <w:sz w:val="5"/>
                <w:szCs w:val="5"/>
                <w:color w:val="auto"/>
              </w:rPr>
            </w:pPr>
          </w:p>
        </w:tc>
        <w:tc>
          <w:tcPr>
            <w:tcW w:w="520" w:type="dxa"/>
            <w:vAlign w:val="bottom"/>
            <w:tcBorders>
              <w:bottom w:val="single" w:sz="8" w:color="EC252A"/>
            </w:tcBorders>
          </w:tcPr>
          <w:p>
            <w:pPr>
              <w:spacing w:after="0"/>
              <w:rPr>
                <w:sz w:val="5"/>
                <w:szCs w:val="5"/>
                <w:color w:val="auto"/>
              </w:rPr>
            </w:pPr>
          </w:p>
        </w:tc>
        <w:tc>
          <w:tcPr>
            <w:tcW w:w="580" w:type="dxa"/>
            <w:vAlign w:val="bottom"/>
            <w:tcBorders>
              <w:bottom w:val="single" w:sz="8" w:color="EC252A"/>
            </w:tcBorders>
          </w:tcPr>
          <w:p>
            <w:pPr>
              <w:spacing w:after="0"/>
              <w:rPr>
                <w:sz w:val="5"/>
                <w:szCs w:val="5"/>
                <w:color w:val="auto"/>
              </w:rPr>
            </w:pPr>
          </w:p>
        </w:tc>
        <w:tc>
          <w:tcPr>
            <w:tcW w:w="880" w:type="dxa"/>
            <w:vAlign w:val="bottom"/>
            <w:tcBorders>
              <w:bottom w:val="single" w:sz="8" w:color="EC252A"/>
            </w:tcBorders>
          </w:tcPr>
          <w:p>
            <w:pPr>
              <w:spacing w:after="0"/>
              <w:rPr>
                <w:sz w:val="5"/>
                <w:szCs w:val="5"/>
                <w:color w:val="auto"/>
              </w:rPr>
            </w:pPr>
          </w:p>
        </w:tc>
        <w:tc>
          <w:tcPr>
            <w:tcW w:w="200" w:type="dxa"/>
            <w:vAlign w:val="bottom"/>
            <w:tcBorders>
              <w:bottom w:val="single" w:sz="8" w:color="EC252A"/>
            </w:tcBorders>
          </w:tcPr>
          <w:p>
            <w:pPr>
              <w:spacing w:after="0"/>
              <w:rPr>
                <w:sz w:val="5"/>
                <w:szCs w:val="5"/>
                <w:color w:val="auto"/>
              </w:rPr>
            </w:pPr>
          </w:p>
        </w:tc>
        <w:tc>
          <w:tcPr>
            <w:tcW w:w="600" w:type="dxa"/>
            <w:vAlign w:val="bottom"/>
            <w:tcBorders>
              <w:bottom w:val="single" w:sz="8" w:color="EC252A"/>
            </w:tcBorders>
          </w:tcPr>
          <w:p>
            <w:pPr>
              <w:spacing w:after="0"/>
              <w:rPr>
                <w:sz w:val="5"/>
                <w:szCs w:val="5"/>
                <w:color w:val="auto"/>
              </w:rPr>
            </w:pPr>
          </w:p>
        </w:tc>
        <w:tc>
          <w:tcPr>
            <w:tcW w:w="980" w:type="dxa"/>
            <w:vAlign w:val="bottom"/>
            <w:tcBorders>
              <w:bottom w:val="single" w:sz="8" w:color="EC252A"/>
            </w:tcBorders>
          </w:tcPr>
          <w:p>
            <w:pPr>
              <w:spacing w:after="0"/>
              <w:rPr>
                <w:sz w:val="5"/>
                <w:szCs w:val="5"/>
                <w:color w:val="auto"/>
              </w:rPr>
            </w:pPr>
          </w:p>
        </w:tc>
        <w:tc>
          <w:tcPr>
            <w:tcW w:w="500" w:type="dxa"/>
            <w:vAlign w:val="bottom"/>
            <w:tcBorders>
              <w:bottom w:val="single" w:sz="8" w:color="EC252A"/>
            </w:tcBorders>
          </w:tcPr>
          <w:p>
            <w:pPr>
              <w:spacing w:after="0"/>
              <w:rPr>
                <w:sz w:val="5"/>
                <w:szCs w:val="5"/>
                <w:color w:val="auto"/>
              </w:rPr>
            </w:pPr>
          </w:p>
        </w:tc>
        <w:tc>
          <w:tcPr>
            <w:tcW w:w="640" w:type="dxa"/>
            <w:vAlign w:val="bottom"/>
            <w:tcBorders>
              <w:bottom w:val="single" w:sz="8" w:color="EC252A"/>
            </w:tcBorders>
          </w:tcPr>
          <w:p>
            <w:pPr>
              <w:spacing w:after="0"/>
              <w:rPr>
                <w:sz w:val="5"/>
                <w:szCs w:val="5"/>
                <w:color w:val="auto"/>
              </w:rPr>
            </w:pPr>
          </w:p>
        </w:tc>
        <w:tc>
          <w:tcPr>
            <w:tcW w:w="1280" w:type="dxa"/>
            <w:vAlign w:val="bottom"/>
            <w:tcBorders>
              <w:bottom w:val="single" w:sz="8" w:color="EC252A"/>
            </w:tcBorders>
          </w:tcPr>
          <w:p>
            <w:pPr>
              <w:spacing w:after="0"/>
              <w:rPr>
                <w:sz w:val="5"/>
                <w:szCs w:val="5"/>
                <w:color w:val="auto"/>
              </w:rPr>
            </w:pPr>
          </w:p>
        </w:tc>
        <w:tc>
          <w:tcPr>
            <w:tcW w:w="780" w:type="dxa"/>
            <w:vAlign w:val="bottom"/>
            <w:tcBorders>
              <w:bottom w:val="single" w:sz="8" w:color="EC252A"/>
            </w:tcBorders>
          </w:tcPr>
          <w:p>
            <w:pPr>
              <w:spacing w:after="0"/>
              <w:rPr>
                <w:sz w:val="5"/>
                <w:szCs w:val="5"/>
                <w:color w:val="auto"/>
              </w:rPr>
            </w:pPr>
          </w:p>
        </w:tc>
        <w:tc>
          <w:tcPr>
            <w:tcW w:w="180" w:type="dxa"/>
            <w:vAlign w:val="bottom"/>
            <w:tcBorders>
              <w:bottom w:val="single" w:sz="8" w:color="EC252A"/>
            </w:tcBorders>
          </w:tcPr>
          <w:p>
            <w:pPr>
              <w:spacing w:after="0"/>
              <w:rPr>
                <w:sz w:val="5"/>
                <w:szCs w:val="5"/>
                <w:color w:val="auto"/>
              </w:rPr>
            </w:pPr>
          </w:p>
        </w:tc>
        <w:tc>
          <w:tcPr>
            <w:tcW w:w="460" w:type="dxa"/>
            <w:vAlign w:val="bottom"/>
            <w:tcBorders>
              <w:bottom w:val="single" w:sz="8" w:color="EC252A"/>
            </w:tcBorders>
          </w:tcPr>
          <w:p>
            <w:pPr>
              <w:spacing w:after="0"/>
              <w:rPr>
                <w:sz w:val="5"/>
                <w:szCs w:val="5"/>
                <w:color w:val="auto"/>
              </w:rPr>
            </w:pPr>
          </w:p>
        </w:tc>
        <w:tc>
          <w:tcPr>
            <w:tcW w:w="120" w:type="dxa"/>
            <w:vAlign w:val="bottom"/>
            <w:tcBorders>
              <w:bottom w:val="single" w:sz="8" w:color="EC252A"/>
            </w:tcBorders>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760" w:type="dxa"/>
            <w:vAlign w:val="bottom"/>
          </w:tcPr>
          <w:p>
            <w:pPr>
              <w:spacing w:after="0"/>
              <w:rPr>
                <w:sz w:val="23"/>
                <w:szCs w:val="23"/>
                <w:color w:val="auto"/>
              </w:rPr>
            </w:pPr>
          </w:p>
        </w:tc>
        <w:tc>
          <w:tcPr>
            <w:tcW w:w="1780" w:type="dxa"/>
            <w:vAlign w:val="bottom"/>
            <w:gridSpan w:val="2"/>
          </w:tcPr>
          <w:p>
            <w:pPr>
              <w:ind w:left="60"/>
              <w:spacing w:after="0"/>
              <w:rPr>
                <w:sz w:val="20"/>
                <w:szCs w:val="20"/>
                <w:color w:val="auto"/>
              </w:rPr>
            </w:pPr>
            <w:r>
              <w:rPr>
                <w:rFonts w:ascii="Arial" w:cs="Arial" w:eastAsia="Arial" w:hAnsi="Arial"/>
                <w:sz w:val="15"/>
                <w:szCs w:val="15"/>
                <w:b w:val="1"/>
                <w:bCs w:val="1"/>
                <w:color w:val="auto"/>
              </w:rPr>
              <w:t>Reported Results</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$7,822</w:t>
            </w:r>
          </w:p>
        </w:tc>
        <w:tc>
          <w:tcPr>
            <w:tcW w:w="580" w:type="dxa"/>
            <w:vAlign w:val="bottom"/>
          </w:tcPr>
          <w:p>
            <w:pPr>
              <w:jc w:val="right"/>
              <w:ind w:right="2"/>
              <w:spacing w:after="0"/>
              <w:rPr>
                <w:sz w:val="20"/>
                <w:szCs w:val="20"/>
                <w:color w:val="auto"/>
              </w:rPr>
            </w:pPr>
            <w:r>
              <w:rPr>
                <w:rFonts w:ascii="Arial" w:cs="Arial" w:eastAsia="Arial" w:hAnsi="Arial"/>
                <w:sz w:val="15"/>
                <w:szCs w:val="15"/>
                <w:b w:val="1"/>
                <w:bCs w:val="1"/>
                <w:color w:val="auto"/>
              </w:rPr>
              <w:t>$2,369</w:t>
            </w:r>
          </w:p>
        </w:tc>
        <w:tc>
          <w:tcPr>
            <w:tcW w:w="880" w:type="dxa"/>
            <w:vAlign w:val="bottom"/>
          </w:tcPr>
          <w:p>
            <w:pPr>
              <w:jc w:val="right"/>
              <w:ind w:right="144"/>
              <w:spacing w:after="0"/>
              <w:rPr>
                <w:sz w:val="20"/>
                <w:szCs w:val="20"/>
                <w:color w:val="auto"/>
              </w:rPr>
            </w:pPr>
            <w:r>
              <w:rPr>
                <w:rFonts w:ascii="Arial" w:cs="Arial" w:eastAsia="Arial" w:hAnsi="Arial"/>
                <w:sz w:val="15"/>
                <w:szCs w:val="15"/>
                <w:b w:val="1"/>
                <w:bCs w:val="1"/>
                <w:color w:val="auto"/>
              </w:rPr>
              <w:t>$(1,493)</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144"/>
              <w:spacing w:after="0"/>
              <w:rPr>
                <w:sz w:val="20"/>
                <w:szCs w:val="20"/>
                <w:color w:val="auto"/>
              </w:rPr>
            </w:pPr>
            <w:r>
              <w:rPr>
                <w:rFonts w:ascii="Arial" w:cs="Arial" w:eastAsia="Arial" w:hAnsi="Arial"/>
                <w:sz w:val="15"/>
                <w:szCs w:val="15"/>
                <w:b w:val="1"/>
                <w:bCs w:val="1"/>
                <w:color w:val="auto"/>
              </w:rPr>
              <w:t>876</w:t>
            </w:r>
          </w:p>
        </w:tc>
        <w:tc>
          <w:tcPr>
            <w:tcW w:w="980" w:type="dxa"/>
            <w:vAlign w:val="bottom"/>
          </w:tcPr>
          <w:p>
            <w:pPr>
              <w:ind w:left="300"/>
              <w:spacing w:after="0"/>
              <w:rPr>
                <w:sz w:val="20"/>
                <w:szCs w:val="20"/>
                <w:color w:val="auto"/>
              </w:rPr>
            </w:pPr>
            <w:r>
              <w:rPr>
                <w:rFonts w:ascii="Arial" w:cs="Arial" w:eastAsia="Arial" w:hAnsi="Arial"/>
                <w:sz w:val="15"/>
                <w:szCs w:val="15"/>
                <w:b w:val="1"/>
                <w:bCs w:val="1"/>
                <w:color w:val="auto"/>
              </w:rPr>
              <w:t>$(139)</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$(172)</w:t>
            </w:r>
          </w:p>
        </w:tc>
        <w:tc>
          <w:tcPr>
            <w:tcW w:w="640" w:type="dxa"/>
            <w:vAlign w:val="bottom"/>
          </w:tcPr>
          <w:p>
            <w:pPr>
              <w:jc w:val="right"/>
              <w:ind w:right="82"/>
              <w:spacing w:after="0"/>
              <w:rPr>
                <w:sz w:val="20"/>
                <w:szCs w:val="20"/>
                <w:color w:val="auto"/>
              </w:rPr>
            </w:pPr>
            <w:r>
              <w:rPr>
                <w:rFonts w:ascii="Arial" w:cs="Arial" w:eastAsia="Arial" w:hAnsi="Arial"/>
                <w:sz w:val="15"/>
                <w:szCs w:val="15"/>
                <w:b w:val="1"/>
                <w:bCs w:val="1"/>
                <w:color w:val="auto"/>
              </w:rPr>
              <w:t>$565</w:t>
            </w:r>
          </w:p>
        </w:tc>
        <w:tc>
          <w:tcPr>
            <w:tcW w:w="1280" w:type="dxa"/>
            <w:vAlign w:val="bottom"/>
          </w:tcPr>
          <w:p>
            <w:pPr>
              <w:jc w:val="right"/>
              <w:ind w:right="442"/>
              <w:spacing w:after="0"/>
              <w:rPr>
                <w:sz w:val="20"/>
                <w:szCs w:val="20"/>
                <w:color w:val="auto"/>
              </w:rPr>
            </w:pPr>
            <w:r>
              <w:rPr>
                <w:rFonts w:ascii="Arial" w:cs="Arial" w:eastAsia="Arial" w:hAnsi="Arial"/>
                <w:sz w:val="15"/>
                <w:szCs w:val="15"/>
                <w:b w:val="1"/>
                <w:bCs w:val="1"/>
                <w:color w:val="auto"/>
              </w:rPr>
              <w:t>$(7)</w:t>
            </w:r>
          </w:p>
        </w:tc>
        <w:tc>
          <w:tcPr>
            <w:tcW w:w="780" w:type="dxa"/>
            <w:vAlign w:val="bottom"/>
          </w:tcPr>
          <w:p>
            <w:pPr>
              <w:jc w:val="right"/>
              <w:ind w:right="142"/>
              <w:spacing w:after="0"/>
              <w:rPr>
                <w:sz w:val="20"/>
                <w:szCs w:val="20"/>
                <w:color w:val="auto"/>
              </w:rPr>
            </w:pPr>
            <w:r>
              <w:rPr>
                <w:rFonts w:ascii="Arial" w:cs="Arial" w:eastAsia="Arial" w:hAnsi="Arial"/>
                <w:sz w:val="15"/>
                <w:szCs w:val="15"/>
                <w:b w:val="1"/>
                <w:bCs w:val="1"/>
                <w:color w:val="auto"/>
              </w:rPr>
              <w:t>$558</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jc w:val="right"/>
              <w:ind w:right="3"/>
              <w:spacing w:after="0"/>
              <w:rPr>
                <w:sz w:val="20"/>
                <w:szCs w:val="20"/>
                <w:color w:val="auto"/>
              </w:rPr>
            </w:pPr>
            <w:r>
              <w:rPr>
                <w:rFonts w:ascii="Arial" w:cs="Arial" w:eastAsia="Arial" w:hAnsi="Arial"/>
                <w:sz w:val="15"/>
                <w:szCs w:val="15"/>
                <w:b w:val="1"/>
                <w:bCs w:val="1"/>
                <w:color w:val="auto"/>
              </w:rPr>
              <w:t>2.96</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760" w:type="dxa"/>
            <w:vAlign w:val="bottom"/>
          </w:tcPr>
          <w:p>
            <w:pPr>
              <w:spacing w:after="0"/>
              <w:rPr>
                <w:sz w:val="18"/>
                <w:szCs w:val="18"/>
                <w:color w:val="auto"/>
              </w:rPr>
            </w:pPr>
          </w:p>
        </w:tc>
        <w:tc>
          <w:tcPr>
            <w:tcW w:w="1780" w:type="dxa"/>
            <w:vAlign w:val="bottom"/>
            <w:gridSpan w:val="2"/>
            <w:shd w:val="clear" w:color="auto" w:fill="FCD3C3"/>
          </w:tcPr>
          <w:p>
            <w:pPr>
              <w:ind w:left="60"/>
              <w:spacing w:after="0"/>
              <w:rPr>
                <w:sz w:val="20"/>
                <w:szCs w:val="20"/>
                <w:color w:val="auto"/>
              </w:rPr>
            </w:pPr>
            <w:r>
              <w:rPr>
                <w:rFonts w:ascii="Arial" w:cs="Arial" w:eastAsia="Arial" w:hAnsi="Arial"/>
                <w:sz w:val="15"/>
                <w:szCs w:val="15"/>
                <w:color w:val="auto"/>
              </w:rPr>
              <w:t>Restructuring and</w:t>
            </w:r>
          </w:p>
        </w:tc>
        <w:tc>
          <w:tcPr>
            <w:tcW w:w="520" w:type="dxa"/>
            <w:vAlign w:val="bottom"/>
            <w:shd w:val="clear" w:color="auto" w:fill="FCD3C3"/>
          </w:tcPr>
          <w:p>
            <w:pPr>
              <w:spacing w:after="0"/>
              <w:rPr>
                <w:sz w:val="18"/>
                <w:szCs w:val="18"/>
                <w:color w:val="auto"/>
              </w:rPr>
            </w:pPr>
          </w:p>
        </w:tc>
        <w:tc>
          <w:tcPr>
            <w:tcW w:w="580" w:type="dxa"/>
            <w:vAlign w:val="bottom"/>
            <w:shd w:val="clear" w:color="auto" w:fill="FCD3C3"/>
          </w:tcPr>
          <w:p>
            <w:pPr>
              <w:spacing w:after="0"/>
              <w:rPr>
                <w:sz w:val="18"/>
                <w:szCs w:val="18"/>
                <w:color w:val="auto"/>
              </w:rPr>
            </w:pPr>
          </w:p>
        </w:tc>
        <w:tc>
          <w:tcPr>
            <w:tcW w:w="880" w:type="dxa"/>
            <w:vAlign w:val="bottom"/>
            <w:shd w:val="clear" w:color="auto" w:fill="FCD3C3"/>
          </w:tcPr>
          <w:p>
            <w:pPr>
              <w:spacing w:after="0"/>
              <w:rPr>
                <w:sz w:val="18"/>
                <w:szCs w:val="18"/>
                <w:color w:val="auto"/>
              </w:rPr>
            </w:pPr>
          </w:p>
        </w:tc>
        <w:tc>
          <w:tcPr>
            <w:tcW w:w="200" w:type="dxa"/>
            <w:vAlign w:val="bottom"/>
            <w:shd w:val="clear" w:color="auto" w:fill="FCD3C3"/>
          </w:tcPr>
          <w:p>
            <w:pPr>
              <w:spacing w:after="0"/>
              <w:rPr>
                <w:sz w:val="18"/>
                <w:szCs w:val="18"/>
                <w:color w:val="auto"/>
              </w:rPr>
            </w:pPr>
          </w:p>
        </w:tc>
        <w:tc>
          <w:tcPr>
            <w:tcW w:w="600" w:type="dxa"/>
            <w:vAlign w:val="bottom"/>
            <w:shd w:val="clear" w:color="auto" w:fill="FCD3C3"/>
          </w:tcPr>
          <w:p>
            <w:pPr>
              <w:spacing w:after="0"/>
              <w:rPr>
                <w:sz w:val="18"/>
                <w:szCs w:val="18"/>
                <w:color w:val="auto"/>
              </w:rPr>
            </w:pPr>
          </w:p>
        </w:tc>
        <w:tc>
          <w:tcPr>
            <w:tcW w:w="980" w:type="dxa"/>
            <w:vAlign w:val="bottom"/>
            <w:shd w:val="clear" w:color="auto" w:fill="FCD3C3"/>
          </w:tcPr>
          <w:p>
            <w:pPr>
              <w:spacing w:after="0"/>
              <w:rPr>
                <w:sz w:val="18"/>
                <w:szCs w:val="18"/>
                <w:color w:val="auto"/>
              </w:rPr>
            </w:pPr>
          </w:p>
        </w:tc>
        <w:tc>
          <w:tcPr>
            <w:tcW w:w="500" w:type="dxa"/>
            <w:vAlign w:val="bottom"/>
            <w:shd w:val="clear" w:color="auto" w:fill="FCD3C3"/>
          </w:tcPr>
          <w:p>
            <w:pPr>
              <w:spacing w:after="0"/>
              <w:rPr>
                <w:sz w:val="18"/>
                <w:szCs w:val="18"/>
                <w:color w:val="auto"/>
              </w:rPr>
            </w:pPr>
          </w:p>
        </w:tc>
        <w:tc>
          <w:tcPr>
            <w:tcW w:w="640" w:type="dxa"/>
            <w:vAlign w:val="bottom"/>
            <w:shd w:val="clear" w:color="auto" w:fill="FCD3C3"/>
          </w:tcPr>
          <w:p>
            <w:pPr>
              <w:spacing w:after="0"/>
              <w:rPr>
                <w:sz w:val="18"/>
                <w:szCs w:val="18"/>
                <w:color w:val="auto"/>
              </w:rPr>
            </w:pPr>
          </w:p>
        </w:tc>
        <w:tc>
          <w:tcPr>
            <w:tcW w:w="1280" w:type="dxa"/>
            <w:vAlign w:val="bottom"/>
            <w:shd w:val="clear" w:color="auto" w:fill="FCD3C3"/>
          </w:tcPr>
          <w:p>
            <w:pPr>
              <w:spacing w:after="0"/>
              <w:rPr>
                <w:sz w:val="18"/>
                <w:szCs w:val="18"/>
                <w:color w:val="auto"/>
              </w:rPr>
            </w:pPr>
          </w:p>
        </w:tc>
        <w:tc>
          <w:tcPr>
            <w:tcW w:w="780" w:type="dxa"/>
            <w:vAlign w:val="bottom"/>
            <w:shd w:val="clear" w:color="auto" w:fill="FCD3C3"/>
          </w:tcPr>
          <w:p>
            <w:pPr>
              <w:spacing w:after="0"/>
              <w:rPr>
                <w:sz w:val="18"/>
                <w:szCs w:val="18"/>
                <w:color w:val="auto"/>
              </w:rPr>
            </w:pPr>
          </w:p>
        </w:tc>
        <w:tc>
          <w:tcPr>
            <w:tcW w:w="180" w:type="dxa"/>
            <w:vAlign w:val="bottom"/>
            <w:shd w:val="clear" w:color="auto" w:fill="FCD3C3"/>
          </w:tcPr>
          <w:p>
            <w:pPr>
              <w:spacing w:after="0"/>
              <w:rPr>
                <w:sz w:val="18"/>
                <w:szCs w:val="18"/>
                <w:color w:val="auto"/>
              </w:rPr>
            </w:pPr>
          </w:p>
        </w:tc>
        <w:tc>
          <w:tcPr>
            <w:tcW w:w="460" w:type="dxa"/>
            <w:vAlign w:val="bottom"/>
            <w:shd w:val="clear" w:color="auto" w:fill="FCD3C3"/>
          </w:tcPr>
          <w:p>
            <w:pPr>
              <w:spacing w:after="0"/>
              <w:rPr>
                <w:sz w:val="18"/>
                <w:szCs w:val="18"/>
                <w:color w:val="auto"/>
              </w:rPr>
            </w:pPr>
          </w:p>
        </w:tc>
        <w:tc>
          <w:tcPr>
            <w:tcW w:w="120" w:type="dxa"/>
            <w:vAlign w:val="bottom"/>
            <w:shd w:val="clear" w:color="auto" w:fill="FCD3C3"/>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100" w:type="dxa"/>
            <w:vAlign w:val="bottom"/>
            <w:tcBorders>
              <w:bottom w:val="single" w:sz="8" w:color="FCD3C3"/>
            </w:tcBorders>
            <w:shd w:val="clear" w:color="auto" w:fill="FCD3C3"/>
          </w:tcPr>
          <w:p>
            <w:pPr>
              <w:spacing w:after="0"/>
              <w:rPr>
                <w:sz w:val="19"/>
                <w:szCs w:val="19"/>
                <w:color w:val="auto"/>
              </w:rPr>
            </w:pPr>
          </w:p>
        </w:tc>
        <w:tc>
          <w:tcPr>
            <w:tcW w:w="1680" w:type="dxa"/>
            <w:vAlign w:val="bottom"/>
            <w:tcBorders>
              <w:bottom w:val="single" w:sz="8" w:color="FCD3C3"/>
            </w:tcBorders>
            <w:shd w:val="clear" w:color="auto" w:fill="FCD3C3"/>
          </w:tcPr>
          <w:p>
            <w:pPr>
              <w:ind w:left="140"/>
              <w:spacing w:after="0"/>
              <w:rPr>
                <w:sz w:val="20"/>
                <w:szCs w:val="20"/>
                <w:color w:val="auto"/>
              </w:rPr>
            </w:pPr>
            <w:r>
              <w:rPr>
                <w:rFonts w:ascii="Arial" w:cs="Arial" w:eastAsia="Arial" w:hAnsi="Arial"/>
                <w:sz w:val="15"/>
                <w:szCs w:val="15"/>
                <w:color w:val="auto"/>
              </w:rPr>
              <w:t>Transaction costs</w:t>
            </w:r>
          </w:p>
        </w:tc>
        <w:tc>
          <w:tcPr>
            <w:tcW w:w="52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FCD3C3"/>
            </w:tcBorders>
            <w:shd w:val="clear" w:color="auto" w:fill="FCD3C3"/>
          </w:tcPr>
          <w:p>
            <w:pPr>
              <w:jc w:val="right"/>
              <w:ind w:right="2"/>
              <w:spacing w:after="0"/>
              <w:rPr>
                <w:sz w:val="20"/>
                <w:szCs w:val="20"/>
                <w:color w:val="auto"/>
              </w:rPr>
            </w:pPr>
            <w:r>
              <w:rPr>
                <w:rFonts w:ascii="Arial" w:cs="Arial" w:eastAsia="Arial" w:hAnsi="Arial"/>
                <w:sz w:val="15"/>
                <w:szCs w:val="15"/>
                <w:color w:val="auto"/>
              </w:rPr>
              <w:t>53</w:t>
            </w:r>
          </w:p>
        </w:tc>
        <w:tc>
          <w:tcPr>
            <w:tcW w:w="880" w:type="dxa"/>
            <w:vAlign w:val="bottom"/>
            <w:tcBorders>
              <w:bottom w:val="single" w:sz="8" w:color="FCD3C3"/>
            </w:tcBorders>
            <w:shd w:val="clear" w:color="auto" w:fill="FCD3C3"/>
          </w:tcPr>
          <w:p>
            <w:pPr>
              <w:jc w:val="right"/>
              <w:ind w:right="204"/>
              <w:spacing w:after="0"/>
              <w:rPr>
                <w:sz w:val="20"/>
                <w:szCs w:val="20"/>
                <w:color w:val="auto"/>
              </w:rPr>
            </w:pPr>
            <w:r>
              <w:rPr>
                <w:rFonts w:ascii="Arial" w:cs="Arial" w:eastAsia="Arial" w:hAnsi="Arial"/>
                <w:sz w:val="15"/>
                <w:szCs w:val="15"/>
                <w:color w:val="auto"/>
              </w:rPr>
              <w:t>25</w:t>
            </w:r>
          </w:p>
        </w:tc>
        <w:tc>
          <w:tcPr>
            <w:tcW w:w="200" w:type="dxa"/>
            <w:vAlign w:val="bottom"/>
            <w:tcBorders>
              <w:bottom w:val="single" w:sz="8" w:color="FCD3C3"/>
            </w:tcBorders>
            <w:shd w:val="clear" w:color="auto" w:fill="FCD3C3"/>
          </w:tcPr>
          <w:p>
            <w:pPr>
              <w:spacing w:after="0"/>
              <w:rPr>
                <w:sz w:val="19"/>
                <w:szCs w:val="19"/>
                <w:color w:val="auto"/>
              </w:rPr>
            </w:pPr>
          </w:p>
        </w:tc>
        <w:tc>
          <w:tcPr>
            <w:tcW w:w="600" w:type="dxa"/>
            <w:vAlign w:val="bottom"/>
            <w:tcBorders>
              <w:bottom w:val="single" w:sz="8" w:color="FCD3C3"/>
            </w:tcBorders>
            <w:shd w:val="clear" w:color="auto" w:fill="FCD3C3"/>
          </w:tcPr>
          <w:p>
            <w:pPr>
              <w:jc w:val="right"/>
              <w:ind w:right="144"/>
              <w:spacing w:after="0"/>
              <w:rPr>
                <w:sz w:val="20"/>
                <w:szCs w:val="20"/>
                <w:color w:val="auto"/>
              </w:rPr>
            </w:pPr>
            <w:r>
              <w:rPr>
                <w:rFonts w:ascii="Arial" w:cs="Arial" w:eastAsia="Arial" w:hAnsi="Arial"/>
                <w:sz w:val="15"/>
                <w:szCs w:val="15"/>
                <w:color w:val="auto"/>
              </w:rPr>
              <w:t>78</w:t>
            </w:r>
          </w:p>
        </w:tc>
        <w:tc>
          <w:tcPr>
            <w:tcW w:w="980" w:type="dxa"/>
            <w:vAlign w:val="bottom"/>
            <w:tcBorders>
              <w:bottom w:val="single" w:sz="8" w:color="FCD3C3"/>
            </w:tcBorders>
            <w:shd w:val="clear" w:color="auto" w:fill="FCD3C3"/>
          </w:tcPr>
          <w:p>
            <w:pPr>
              <w:jc w:val="right"/>
              <w:ind w:right="222"/>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5"/>
                <w:szCs w:val="15"/>
                <w:color w:val="auto"/>
              </w:rPr>
              <w:t>(15)</w:t>
            </w:r>
          </w:p>
        </w:tc>
        <w:tc>
          <w:tcPr>
            <w:tcW w:w="640" w:type="dxa"/>
            <w:vAlign w:val="bottom"/>
            <w:tcBorders>
              <w:bottom w:val="single" w:sz="8" w:color="FCD3C3"/>
            </w:tcBorders>
            <w:shd w:val="clear" w:color="auto" w:fill="FCD3C3"/>
          </w:tcPr>
          <w:p>
            <w:pPr>
              <w:jc w:val="right"/>
              <w:ind w:right="82"/>
              <w:spacing w:after="0"/>
              <w:rPr>
                <w:sz w:val="20"/>
                <w:szCs w:val="20"/>
                <w:color w:val="auto"/>
              </w:rPr>
            </w:pPr>
            <w:r>
              <w:rPr>
                <w:rFonts w:ascii="Arial" w:cs="Arial" w:eastAsia="Arial" w:hAnsi="Arial"/>
                <w:sz w:val="15"/>
                <w:szCs w:val="15"/>
                <w:color w:val="auto"/>
              </w:rPr>
              <w:t>63</w:t>
            </w:r>
          </w:p>
        </w:tc>
        <w:tc>
          <w:tcPr>
            <w:tcW w:w="1280" w:type="dxa"/>
            <w:vAlign w:val="bottom"/>
            <w:tcBorders>
              <w:bottom w:val="single" w:sz="8" w:color="FCD3C3"/>
            </w:tcBorders>
            <w:shd w:val="clear" w:color="auto" w:fill="FCD3C3"/>
          </w:tcPr>
          <w:p>
            <w:pPr>
              <w:jc w:val="right"/>
              <w:ind w:right="482"/>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FCD3C3"/>
            </w:tcBorders>
            <w:shd w:val="clear" w:color="auto" w:fill="FCD3C3"/>
          </w:tcPr>
          <w:p>
            <w:pPr>
              <w:jc w:val="right"/>
              <w:ind w:right="142"/>
              <w:spacing w:after="0"/>
              <w:rPr>
                <w:sz w:val="20"/>
                <w:szCs w:val="20"/>
                <w:color w:val="auto"/>
              </w:rPr>
            </w:pPr>
            <w:r>
              <w:rPr>
                <w:rFonts w:ascii="Arial" w:cs="Arial" w:eastAsia="Arial" w:hAnsi="Arial"/>
                <w:sz w:val="15"/>
                <w:szCs w:val="15"/>
                <w:color w:val="auto"/>
              </w:rPr>
              <w:t>63</w:t>
            </w:r>
          </w:p>
        </w:tc>
        <w:tc>
          <w:tcPr>
            <w:tcW w:w="18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FCD3C3"/>
            </w:tcBorders>
            <w:shd w:val="clear" w:color="auto" w:fill="FCD3C3"/>
          </w:tcPr>
          <w:p>
            <w:pPr>
              <w:jc w:val="right"/>
              <w:ind w:right="3"/>
              <w:spacing w:after="0"/>
              <w:rPr>
                <w:sz w:val="20"/>
                <w:szCs w:val="20"/>
                <w:color w:val="auto"/>
              </w:rPr>
            </w:pPr>
            <w:r>
              <w:rPr>
                <w:rFonts w:ascii="Arial" w:cs="Arial" w:eastAsia="Arial" w:hAnsi="Arial"/>
                <w:sz w:val="15"/>
                <w:szCs w:val="15"/>
                <w:color w:val="auto"/>
              </w:rPr>
              <w:t>0.33</w:t>
            </w:r>
          </w:p>
        </w:tc>
        <w:tc>
          <w:tcPr>
            <w:tcW w:w="120" w:type="dxa"/>
            <w:vAlign w:val="bottom"/>
            <w:tcBorders>
              <w:bottom w:val="single" w:sz="8" w:color="FCD3C3"/>
            </w:tcBorders>
            <w:shd w:val="clear" w:color="auto" w:fill="FCD3C3"/>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5"/>
                <w:szCs w:val="15"/>
                <w:color w:val="auto"/>
              </w:rPr>
              <w:t>Non-cash Amortization</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ind w:left="140"/>
              <w:spacing w:after="0"/>
              <w:rPr>
                <w:sz w:val="20"/>
                <w:szCs w:val="20"/>
                <w:color w:val="auto"/>
              </w:rPr>
            </w:pPr>
            <w:r>
              <w:rPr>
                <w:rFonts w:ascii="Arial" w:cs="Arial" w:eastAsia="Arial" w:hAnsi="Arial"/>
                <w:sz w:val="15"/>
                <w:szCs w:val="15"/>
                <w:color w:val="auto"/>
              </w:rPr>
              <w:t>expense</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2"/>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287</w:t>
            </w:r>
          </w:p>
        </w:tc>
        <w:tc>
          <w:tcPr>
            <w:tcW w:w="200" w:type="dxa"/>
            <w:vAlign w:val="bottom"/>
          </w:tcPr>
          <w:p>
            <w:pPr>
              <w:spacing w:after="0"/>
              <w:rPr>
                <w:sz w:val="17"/>
                <w:szCs w:val="17"/>
                <w:color w:val="auto"/>
              </w:rPr>
            </w:pPr>
          </w:p>
        </w:tc>
        <w:tc>
          <w:tcPr>
            <w:tcW w:w="600" w:type="dxa"/>
            <w:vAlign w:val="bottom"/>
          </w:tcPr>
          <w:p>
            <w:pPr>
              <w:jc w:val="right"/>
              <w:ind w:right="164"/>
              <w:spacing w:after="0"/>
              <w:rPr>
                <w:sz w:val="20"/>
                <w:szCs w:val="20"/>
                <w:color w:val="auto"/>
              </w:rPr>
            </w:pPr>
            <w:r>
              <w:rPr>
                <w:rFonts w:ascii="Arial" w:cs="Arial" w:eastAsia="Arial" w:hAnsi="Arial"/>
                <w:sz w:val="15"/>
                <w:szCs w:val="15"/>
                <w:color w:val="auto"/>
              </w:rPr>
              <w:t>287</w:t>
            </w:r>
          </w:p>
        </w:tc>
        <w:tc>
          <w:tcPr>
            <w:tcW w:w="980" w:type="dxa"/>
            <w:vAlign w:val="bottom"/>
          </w:tcPr>
          <w:p>
            <w:pPr>
              <w:jc w:val="right"/>
              <w:ind w:right="222"/>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(74)</w:t>
            </w:r>
          </w:p>
        </w:tc>
        <w:tc>
          <w:tcPr>
            <w:tcW w:w="640" w:type="dxa"/>
            <w:vAlign w:val="bottom"/>
          </w:tcPr>
          <w:p>
            <w:pPr>
              <w:jc w:val="right"/>
              <w:ind w:right="82"/>
              <w:spacing w:after="0"/>
              <w:rPr>
                <w:sz w:val="20"/>
                <w:szCs w:val="20"/>
                <w:color w:val="auto"/>
              </w:rPr>
            </w:pPr>
            <w:r>
              <w:rPr>
                <w:rFonts w:ascii="Arial" w:cs="Arial" w:eastAsia="Arial" w:hAnsi="Arial"/>
                <w:sz w:val="15"/>
                <w:szCs w:val="15"/>
                <w:color w:val="auto"/>
              </w:rPr>
              <w:t>213</w:t>
            </w:r>
          </w:p>
        </w:tc>
        <w:tc>
          <w:tcPr>
            <w:tcW w:w="1280" w:type="dxa"/>
            <w:vAlign w:val="bottom"/>
          </w:tcPr>
          <w:p>
            <w:pPr>
              <w:jc w:val="right"/>
              <w:ind w:right="482"/>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142"/>
              <w:spacing w:after="0"/>
              <w:rPr>
                <w:sz w:val="20"/>
                <w:szCs w:val="20"/>
                <w:color w:val="auto"/>
              </w:rPr>
            </w:pPr>
            <w:r>
              <w:rPr>
                <w:rFonts w:ascii="Arial" w:cs="Arial" w:eastAsia="Arial" w:hAnsi="Arial"/>
                <w:sz w:val="15"/>
                <w:szCs w:val="15"/>
                <w:color w:val="auto"/>
              </w:rPr>
              <w:t>213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1.13</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760" w:type="dxa"/>
            <w:vAlign w:val="bottom"/>
          </w:tcPr>
          <w:p>
            <w:pPr>
              <w:spacing w:after="0"/>
              <w:rPr>
                <w:sz w:val="24"/>
                <w:szCs w:val="24"/>
                <w:color w:val="auto"/>
              </w:rPr>
            </w:pPr>
          </w:p>
        </w:tc>
        <w:tc>
          <w:tcPr>
            <w:tcW w:w="1780" w:type="dxa"/>
            <w:vAlign w:val="bottom"/>
            <w:tcBorders>
              <w:bottom w:val="single" w:sz="8" w:color="FCD3C3"/>
            </w:tcBorders>
            <w:gridSpan w:val="2"/>
            <w:shd w:val="clear" w:color="auto" w:fill="FCD3C3"/>
          </w:tcPr>
          <w:p>
            <w:pPr>
              <w:ind w:left="60"/>
              <w:spacing w:after="0"/>
              <w:rPr>
                <w:sz w:val="20"/>
                <w:szCs w:val="20"/>
                <w:color w:val="auto"/>
              </w:rPr>
            </w:pPr>
            <w:r>
              <w:rPr>
                <w:rFonts w:ascii="Arial" w:cs="Arial" w:eastAsia="Arial" w:hAnsi="Arial"/>
                <w:sz w:val="15"/>
                <w:szCs w:val="15"/>
                <w:color w:val="auto"/>
              </w:rPr>
              <w:t>Foreign Exchange Gain</w:t>
            </w:r>
          </w:p>
        </w:tc>
        <w:tc>
          <w:tcPr>
            <w:tcW w:w="52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FCD3C3"/>
            </w:tcBorders>
            <w:shd w:val="clear" w:color="auto" w:fill="FCD3C3"/>
          </w:tcPr>
          <w:p>
            <w:pPr>
              <w:jc w:val="right"/>
              <w:ind w:right="2"/>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FCD3C3"/>
            </w:tcBorders>
            <w:shd w:val="clear" w:color="auto" w:fill="FCD3C3"/>
          </w:tcPr>
          <w:p>
            <w:pPr>
              <w:jc w:val="right"/>
              <w:ind w:right="18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FCD3C3"/>
            </w:tcBorders>
            <w:shd w:val="clear" w:color="auto" w:fill="FCD3C3"/>
          </w:tcPr>
          <w:p>
            <w:pPr>
              <w:spacing w:after="0"/>
              <w:rPr>
                <w:sz w:val="24"/>
                <w:szCs w:val="24"/>
                <w:color w:val="auto"/>
              </w:rPr>
            </w:pPr>
          </w:p>
        </w:tc>
        <w:tc>
          <w:tcPr>
            <w:tcW w:w="600" w:type="dxa"/>
            <w:vAlign w:val="bottom"/>
            <w:tcBorders>
              <w:bottom w:val="single" w:sz="8" w:color="FCD3C3"/>
            </w:tcBorders>
            <w:shd w:val="clear" w:color="auto" w:fill="FCD3C3"/>
          </w:tcPr>
          <w:p>
            <w:pPr>
              <w:jc w:val="right"/>
              <w:ind w:right="14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FCD3C3"/>
            </w:tcBorders>
            <w:shd w:val="clear" w:color="auto" w:fill="FCD3C3"/>
          </w:tcPr>
          <w:p>
            <w:pPr>
              <w:jc w:val="right"/>
              <w:ind w:right="182"/>
              <w:spacing w:after="0"/>
              <w:rPr>
                <w:sz w:val="20"/>
                <w:szCs w:val="20"/>
                <w:color w:val="auto"/>
              </w:rPr>
            </w:pPr>
            <w:r>
              <w:rPr>
                <w:rFonts w:ascii="Arial" w:cs="Arial" w:eastAsia="Arial" w:hAnsi="Arial"/>
                <w:sz w:val="15"/>
                <w:szCs w:val="15"/>
                <w:color w:val="auto"/>
              </w:rPr>
              <w:t>(8)</w:t>
            </w:r>
          </w:p>
        </w:tc>
        <w:tc>
          <w:tcPr>
            <w:tcW w:w="500" w:type="dxa"/>
            <w:vAlign w:val="bottom"/>
            <w:tcBorders>
              <w:bottom w:val="single" w:sz="8" w:color="FCD3C3"/>
            </w:tcBorders>
            <w:shd w:val="clear" w:color="auto" w:fill="FCD3C3"/>
          </w:tcPr>
          <w:p>
            <w:pPr>
              <w:jc w:val="right"/>
              <w:ind w:right="23"/>
              <w:spacing w:after="0"/>
              <w:rPr>
                <w:sz w:val="20"/>
                <w:szCs w:val="20"/>
                <w:color w:val="auto"/>
              </w:rPr>
            </w:pPr>
            <w:r>
              <w:rPr>
                <w:rFonts w:ascii="Arial" w:cs="Arial" w:eastAsia="Arial" w:hAnsi="Arial"/>
                <w:sz w:val="15"/>
                <w:szCs w:val="15"/>
                <w:color w:val="auto"/>
              </w:rPr>
              <w:t>2</w:t>
            </w:r>
          </w:p>
        </w:tc>
        <w:tc>
          <w:tcPr>
            <w:tcW w:w="640" w:type="dxa"/>
            <w:vAlign w:val="bottom"/>
            <w:tcBorders>
              <w:bottom w:val="single" w:sz="8" w:color="FCD3C3"/>
            </w:tcBorders>
            <w:shd w:val="clear" w:color="auto" w:fill="FCD3C3"/>
          </w:tcPr>
          <w:p>
            <w:pPr>
              <w:jc w:val="right"/>
              <w:ind w:right="42"/>
              <w:spacing w:after="0"/>
              <w:rPr>
                <w:sz w:val="20"/>
                <w:szCs w:val="20"/>
                <w:color w:val="auto"/>
              </w:rPr>
            </w:pPr>
            <w:r>
              <w:rPr>
                <w:rFonts w:ascii="Arial" w:cs="Arial" w:eastAsia="Arial" w:hAnsi="Arial"/>
                <w:sz w:val="15"/>
                <w:szCs w:val="15"/>
                <w:color w:val="auto"/>
              </w:rPr>
              <w:t>(6)</w:t>
            </w:r>
          </w:p>
        </w:tc>
        <w:tc>
          <w:tcPr>
            <w:tcW w:w="1280" w:type="dxa"/>
            <w:vAlign w:val="bottom"/>
            <w:tcBorders>
              <w:bottom w:val="single" w:sz="8" w:color="FCD3C3"/>
            </w:tcBorders>
            <w:shd w:val="clear" w:color="auto" w:fill="FCD3C3"/>
          </w:tcPr>
          <w:p>
            <w:pPr>
              <w:jc w:val="right"/>
              <w:ind w:right="482"/>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FCD3C3"/>
            </w:tcBorders>
            <w:shd w:val="clear" w:color="auto" w:fill="FCD3C3"/>
          </w:tcPr>
          <w:p>
            <w:pPr>
              <w:jc w:val="right"/>
              <w:ind w:right="82"/>
              <w:spacing w:after="0"/>
              <w:rPr>
                <w:sz w:val="20"/>
                <w:szCs w:val="20"/>
                <w:color w:val="auto"/>
              </w:rPr>
            </w:pPr>
            <w:r>
              <w:rPr>
                <w:rFonts w:ascii="Arial" w:cs="Arial" w:eastAsia="Arial" w:hAnsi="Arial"/>
                <w:sz w:val="15"/>
                <w:szCs w:val="15"/>
                <w:color w:val="auto"/>
              </w:rPr>
              <w:t>(6)</w:t>
            </w:r>
          </w:p>
        </w:tc>
        <w:tc>
          <w:tcPr>
            <w:tcW w:w="18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5"/>
                <w:szCs w:val="15"/>
                <w:color w:val="auto"/>
              </w:rPr>
              <w:t>(0.03)</w:t>
            </w:r>
          </w:p>
        </w:tc>
        <w:tc>
          <w:tcPr>
            <w:tcW w:w="120" w:type="dxa"/>
            <w:vAlign w:val="bottom"/>
            <w:tcBorders>
              <w:bottom w:val="single" w:sz="8" w:color="FCD3C3"/>
            </w:tcBorders>
            <w:shd w:val="clear" w:color="auto" w:fill="FCD3C3"/>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60" w:type="dxa"/>
            <w:vAlign w:val="bottom"/>
          </w:tcPr>
          <w:p>
            <w:pPr>
              <w:spacing w:after="0"/>
              <w:rPr>
                <w:sz w:val="21"/>
                <w:szCs w:val="21"/>
                <w:color w:val="auto"/>
              </w:rPr>
            </w:pPr>
          </w:p>
        </w:tc>
        <w:tc>
          <w:tcPr>
            <w:tcW w:w="1780" w:type="dxa"/>
            <w:vAlign w:val="bottom"/>
            <w:gridSpan w:val="2"/>
          </w:tcPr>
          <w:p>
            <w:pPr>
              <w:ind w:left="60"/>
              <w:spacing w:after="0"/>
              <w:rPr>
                <w:sz w:val="20"/>
                <w:szCs w:val="20"/>
                <w:color w:val="auto"/>
              </w:rPr>
            </w:pPr>
            <w:r>
              <w:rPr>
                <w:rFonts w:ascii="Arial" w:cs="Arial" w:eastAsia="Arial" w:hAnsi="Arial"/>
                <w:sz w:val="15"/>
                <w:szCs w:val="15"/>
                <w:color w:val="auto"/>
              </w:rPr>
              <w:t>Amended Return, net</w:t>
            </w: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2"/>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60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2"/>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(25)</w:t>
            </w:r>
          </w:p>
        </w:tc>
        <w:tc>
          <w:tcPr>
            <w:tcW w:w="640" w:type="dxa"/>
            <w:vAlign w:val="bottom"/>
          </w:tcPr>
          <w:p>
            <w:pPr>
              <w:jc w:val="right"/>
              <w:ind w:right="42"/>
              <w:spacing w:after="0"/>
              <w:rPr>
                <w:sz w:val="20"/>
                <w:szCs w:val="20"/>
                <w:color w:val="auto"/>
              </w:rPr>
            </w:pPr>
            <w:r>
              <w:rPr>
                <w:rFonts w:ascii="Arial" w:cs="Arial" w:eastAsia="Arial" w:hAnsi="Arial"/>
                <w:sz w:val="15"/>
                <w:szCs w:val="15"/>
                <w:color w:val="auto"/>
              </w:rPr>
              <w:t>(25)</w:t>
            </w:r>
          </w:p>
        </w:tc>
        <w:tc>
          <w:tcPr>
            <w:tcW w:w="1280" w:type="dxa"/>
            <w:vAlign w:val="bottom"/>
          </w:tcPr>
          <w:p>
            <w:pPr>
              <w:jc w:val="right"/>
              <w:ind w:right="482"/>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102"/>
              <w:spacing w:after="0"/>
              <w:rPr>
                <w:sz w:val="20"/>
                <w:szCs w:val="20"/>
                <w:color w:val="auto"/>
              </w:rPr>
            </w:pPr>
            <w:r>
              <w:rPr>
                <w:rFonts w:ascii="Arial" w:cs="Arial" w:eastAsia="Arial" w:hAnsi="Arial"/>
                <w:sz w:val="15"/>
                <w:szCs w:val="15"/>
                <w:color w:val="auto"/>
              </w:rPr>
              <w:t>(25)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(0.13)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760" w:type="dxa"/>
            <w:vAlign w:val="bottom"/>
          </w:tcPr>
          <w:p>
            <w:pPr>
              <w:spacing w:after="0"/>
              <w:rPr>
                <w:sz w:val="5"/>
                <w:szCs w:val="5"/>
                <w:color w:val="auto"/>
              </w:rPr>
            </w:pPr>
          </w:p>
        </w:tc>
        <w:tc>
          <w:tcPr>
            <w:tcW w:w="100" w:type="dxa"/>
            <w:vAlign w:val="bottom"/>
            <w:tcBorders>
              <w:bottom w:val="single" w:sz="8" w:color="FCD3C3"/>
            </w:tcBorders>
          </w:tcPr>
          <w:p>
            <w:pPr>
              <w:spacing w:after="0"/>
              <w:rPr>
                <w:sz w:val="5"/>
                <w:szCs w:val="5"/>
                <w:color w:val="auto"/>
              </w:rPr>
            </w:pPr>
          </w:p>
        </w:tc>
        <w:tc>
          <w:tcPr>
            <w:tcW w:w="1680" w:type="dxa"/>
            <w:vAlign w:val="bottom"/>
            <w:tcBorders>
              <w:bottom w:val="single" w:sz="8" w:color="FCD3C3"/>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0"/>
        </w:trPr>
        <w:tc>
          <w:tcPr>
            <w:tcW w:w="760" w:type="dxa"/>
            <w:vAlign w:val="bottom"/>
          </w:tcPr>
          <w:p>
            <w:pPr>
              <w:spacing w:after="0"/>
              <w:rPr>
                <w:sz w:val="24"/>
                <w:szCs w:val="24"/>
                <w:color w:val="auto"/>
              </w:rPr>
            </w:pPr>
          </w:p>
        </w:tc>
        <w:tc>
          <w:tcPr>
            <w:tcW w:w="1780" w:type="dxa"/>
            <w:vAlign w:val="bottom"/>
            <w:tcBorders>
              <w:bottom w:val="single" w:sz="8" w:color="FCD3C3"/>
            </w:tcBorders>
            <w:gridSpan w:val="2"/>
            <w:shd w:val="clear" w:color="auto" w:fill="FCD3C3"/>
          </w:tcPr>
          <w:p>
            <w:pPr>
              <w:ind w:left="60"/>
              <w:spacing w:after="0"/>
              <w:rPr>
                <w:sz w:val="20"/>
                <w:szCs w:val="20"/>
                <w:color w:val="auto"/>
              </w:rPr>
            </w:pPr>
            <w:r>
              <w:rPr>
                <w:rFonts w:ascii="Arial" w:cs="Arial" w:eastAsia="Arial" w:hAnsi="Arial"/>
                <w:sz w:val="15"/>
                <w:szCs w:val="15"/>
                <w:b w:val="1"/>
                <w:bCs w:val="1"/>
                <w:color w:val="auto"/>
              </w:rPr>
              <w:t>Adjusted Results</w:t>
            </w:r>
          </w:p>
        </w:tc>
        <w:tc>
          <w:tcPr>
            <w:tcW w:w="52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5"/>
                <w:szCs w:val="15"/>
                <w:b w:val="1"/>
                <w:bCs w:val="1"/>
                <w:color w:val="auto"/>
              </w:rPr>
              <w:t>$7,822</w:t>
            </w:r>
          </w:p>
        </w:tc>
        <w:tc>
          <w:tcPr>
            <w:tcW w:w="580" w:type="dxa"/>
            <w:vAlign w:val="bottom"/>
            <w:tcBorders>
              <w:bottom w:val="single" w:sz="8" w:color="FCD3C3"/>
            </w:tcBorders>
            <w:shd w:val="clear" w:color="auto" w:fill="FCD3C3"/>
          </w:tcPr>
          <w:p>
            <w:pPr>
              <w:jc w:val="right"/>
              <w:ind w:right="2"/>
              <w:spacing w:after="0"/>
              <w:rPr>
                <w:sz w:val="20"/>
                <w:szCs w:val="20"/>
                <w:color w:val="auto"/>
              </w:rPr>
            </w:pPr>
            <w:r>
              <w:rPr>
                <w:rFonts w:ascii="Arial" w:cs="Arial" w:eastAsia="Arial" w:hAnsi="Arial"/>
                <w:sz w:val="15"/>
                <w:szCs w:val="15"/>
                <w:b w:val="1"/>
                <w:bCs w:val="1"/>
                <w:color w:val="auto"/>
              </w:rPr>
              <w:t>$2,422</w:t>
            </w:r>
          </w:p>
        </w:tc>
        <w:tc>
          <w:tcPr>
            <w:tcW w:w="880" w:type="dxa"/>
            <w:vAlign w:val="bottom"/>
            <w:tcBorders>
              <w:bottom w:val="single" w:sz="8" w:color="FCD3C3"/>
            </w:tcBorders>
            <w:shd w:val="clear" w:color="auto" w:fill="FCD3C3"/>
          </w:tcPr>
          <w:p>
            <w:pPr>
              <w:jc w:val="right"/>
              <w:ind w:right="144"/>
              <w:spacing w:after="0"/>
              <w:rPr>
                <w:sz w:val="20"/>
                <w:szCs w:val="20"/>
                <w:color w:val="auto"/>
              </w:rPr>
            </w:pPr>
            <w:r>
              <w:rPr>
                <w:rFonts w:ascii="Arial" w:cs="Arial" w:eastAsia="Arial" w:hAnsi="Arial"/>
                <w:sz w:val="15"/>
                <w:szCs w:val="15"/>
                <w:b w:val="1"/>
                <w:bCs w:val="1"/>
                <w:color w:val="auto"/>
              </w:rPr>
              <w:t>$(1,181)</w:t>
            </w:r>
          </w:p>
        </w:tc>
        <w:tc>
          <w:tcPr>
            <w:tcW w:w="20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5"/>
                <w:szCs w:val="15"/>
                <w:b w:val="1"/>
                <w:bCs w:val="1"/>
                <w:color w:val="auto"/>
              </w:rPr>
              <w:t>$</w:t>
            </w:r>
          </w:p>
        </w:tc>
        <w:tc>
          <w:tcPr>
            <w:tcW w:w="600" w:type="dxa"/>
            <w:vAlign w:val="bottom"/>
            <w:tcBorders>
              <w:bottom w:val="single" w:sz="8" w:color="FCD3C3"/>
            </w:tcBorders>
            <w:shd w:val="clear" w:color="auto" w:fill="FCD3C3"/>
          </w:tcPr>
          <w:p>
            <w:pPr>
              <w:jc w:val="right"/>
              <w:ind w:right="144"/>
              <w:spacing w:after="0"/>
              <w:rPr>
                <w:sz w:val="20"/>
                <w:szCs w:val="20"/>
                <w:color w:val="auto"/>
              </w:rPr>
            </w:pPr>
            <w:r>
              <w:rPr>
                <w:rFonts w:ascii="Arial" w:cs="Arial" w:eastAsia="Arial" w:hAnsi="Arial"/>
                <w:sz w:val="15"/>
                <w:szCs w:val="15"/>
                <w:b w:val="1"/>
                <w:bCs w:val="1"/>
                <w:color w:val="auto"/>
                <w:w w:val="95"/>
              </w:rPr>
              <w:t>1,241</w:t>
            </w:r>
          </w:p>
        </w:tc>
        <w:tc>
          <w:tcPr>
            <w:tcW w:w="980" w:type="dxa"/>
            <w:vAlign w:val="bottom"/>
            <w:tcBorders>
              <w:bottom w:val="single" w:sz="8" w:color="FCD3C3"/>
            </w:tcBorders>
            <w:shd w:val="clear" w:color="auto" w:fill="FCD3C3"/>
          </w:tcPr>
          <w:p>
            <w:pPr>
              <w:ind w:left="300"/>
              <w:spacing w:after="0"/>
              <w:rPr>
                <w:sz w:val="20"/>
                <w:szCs w:val="20"/>
                <w:color w:val="auto"/>
              </w:rPr>
            </w:pPr>
            <w:r>
              <w:rPr>
                <w:rFonts w:ascii="Arial" w:cs="Arial" w:eastAsia="Arial" w:hAnsi="Arial"/>
                <w:sz w:val="15"/>
                <w:szCs w:val="15"/>
                <w:b w:val="1"/>
                <w:bCs w:val="1"/>
                <w:color w:val="auto"/>
              </w:rPr>
              <w:t>$(147)</w:t>
            </w:r>
          </w:p>
        </w:tc>
        <w:tc>
          <w:tcPr>
            <w:tcW w:w="50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5"/>
                <w:szCs w:val="15"/>
                <w:b w:val="1"/>
                <w:bCs w:val="1"/>
                <w:color w:val="auto"/>
              </w:rPr>
              <w:t>$(284)</w:t>
            </w:r>
          </w:p>
        </w:tc>
        <w:tc>
          <w:tcPr>
            <w:tcW w:w="640" w:type="dxa"/>
            <w:vAlign w:val="bottom"/>
            <w:tcBorders>
              <w:bottom w:val="single" w:sz="8" w:color="FCD3C3"/>
            </w:tcBorders>
            <w:shd w:val="clear" w:color="auto" w:fill="FCD3C3"/>
          </w:tcPr>
          <w:p>
            <w:pPr>
              <w:jc w:val="right"/>
              <w:ind w:right="82"/>
              <w:spacing w:after="0"/>
              <w:rPr>
                <w:sz w:val="20"/>
                <w:szCs w:val="20"/>
                <w:color w:val="auto"/>
              </w:rPr>
            </w:pPr>
            <w:r>
              <w:rPr>
                <w:rFonts w:ascii="Arial" w:cs="Arial" w:eastAsia="Arial" w:hAnsi="Arial"/>
                <w:sz w:val="15"/>
                <w:szCs w:val="15"/>
                <w:b w:val="1"/>
                <w:bCs w:val="1"/>
                <w:color w:val="auto"/>
              </w:rPr>
              <w:t>$810</w:t>
            </w:r>
          </w:p>
        </w:tc>
        <w:tc>
          <w:tcPr>
            <w:tcW w:w="1280" w:type="dxa"/>
            <w:vAlign w:val="bottom"/>
            <w:tcBorders>
              <w:bottom w:val="single" w:sz="8" w:color="FCD3C3"/>
            </w:tcBorders>
            <w:shd w:val="clear" w:color="auto" w:fill="FCD3C3"/>
          </w:tcPr>
          <w:p>
            <w:pPr>
              <w:jc w:val="right"/>
              <w:ind w:right="442"/>
              <w:spacing w:after="0"/>
              <w:rPr>
                <w:sz w:val="20"/>
                <w:szCs w:val="20"/>
                <w:color w:val="auto"/>
              </w:rPr>
            </w:pPr>
            <w:r>
              <w:rPr>
                <w:rFonts w:ascii="Arial" w:cs="Arial" w:eastAsia="Arial" w:hAnsi="Arial"/>
                <w:sz w:val="15"/>
                <w:szCs w:val="15"/>
                <w:b w:val="1"/>
                <w:bCs w:val="1"/>
                <w:color w:val="auto"/>
              </w:rPr>
              <w:t>$(7)</w:t>
            </w:r>
          </w:p>
        </w:tc>
        <w:tc>
          <w:tcPr>
            <w:tcW w:w="780" w:type="dxa"/>
            <w:vAlign w:val="bottom"/>
            <w:tcBorders>
              <w:bottom w:val="single" w:sz="8" w:color="FCD3C3"/>
            </w:tcBorders>
            <w:shd w:val="clear" w:color="auto" w:fill="FCD3C3"/>
          </w:tcPr>
          <w:p>
            <w:pPr>
              <w:jc w:val="right"/>
              <w:ind w:right="142"/>
              <w:spacing w:after="0"/>
              <w:rPr>
                <w:sz w:val="20"/>
                <w:szCs w:val="20"/>
                <w:color w:val="auto"/>
              </w:rPr>
            </w:pPr>
            <w:r>
              <w:rPr>
                <w:rFonts w:ascii="Arial" w:cs="Arial" w:eastAsia="Arial" w:hAnsi="Arial"/>
                <w:sz w:val="15"/>
                <w:szCs w:val="15"/>
                <w:b w:val="1"/>
                <w:bCs w:val="1"/>
                <w:color w:val="auto"/>
              </w:rPr>
              <w:t>$803</w:t>
            </w:r>
          </w:p>
        </w:tc>
        <w:tc>
          <w:tcPr>
            <w:tcW w:w="18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5"/>
                <w:szCs w:val="15"/>
                <w:b w:val="1"/>
                <w:bCs w:val="1"/>
                <w:color w:val="auto"/>
              </w:rPr>
              <w:t>$</w:t>
            </w:r>
          </w:p>
        </w:tc>
        <w:tc>
          <w:tcPr>
            <w:tcW w:w="460" w:type="dxa"/>
            <w:vAlign w:val="bottom"/>
            <w:tcBorders>
              <w:bottom w:val="single" w:sz="8" w:color="FCD3C3"/>
            </w:tcBorders>
            <w:shd w:val="clear" w:color="auto" w:fill="FCD3C3"/>
          </w:tcPr>
          <w:p>
            <w:pPr>
              <w:jc w:val="right"/>
              <w:ind w:right="3"/>
              <w:spacing w:after="0"/>
              <w:rPr>
                <w:sz w:val="20"/>
                <w:szCs w:val="20"/>
                <w:color w:val="auto"/>
              </w:rPr>
            </w:pPr>
            <w:r>
              <w:rPr>
                <w:rFonts w:ascii="Arial" w:cs="Arial" w:eastAsia="Arial" w:hAnsi="Arial"/>
                <w:sz w:val="15"/>
                <w:szCs w:val="15"/>
                <w:b w:val="1"/>
                <w:bCs w:val="1"/>
                <w:color w:val="auto"/>
              </w:rPr>
              <w:t>4.26</w:t>
            </w:r>
          </w:p>
        </w:tc>
        <w:tc>
          <w:tcPr>
            <w:tcW w:w="120" w:type="dxa"/>
            <w:vAlign w:val="bottom"/>
            <w:tcBorders>
              <w:bottom w:val="single" w:sz="8" w:color="FCD3C3"/>
            </w:tcBorders>
            <w:shd w:val="clear" w:color="auto" w:fill="FCD3C3"/>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780" w:type="dxa"/>
            <w:vAlign w:val="bottom"/>
            <w:tcBorders>
              <w:top w:val="single" w:sz="8" w:color="FCD3C3"/>
              <w:bottom w:val="single" w:sz="8" w:color="FCD3C3"/>
            </w:tcBorders>
            <w:gridSpan w:val="2"/>
            <w:vMerge w:val="restart"/>
          </w:tcPr>
          <w:p>
            <w:pPr>
              <w:ind w:left="60"/>
              <w:spacing w:after="0"/>
              <w:rPr>
                <w:sz w:val="20"/>
                <w:szCs w:val="20"/>
                <w:color w:val="auto"/>
              </w:rPr>
            </w:pPr>
            <w:r>
              <w:rPr>
                <w:rFonts w:ascii="Arial" w:cs="Arial" w:eastAsia="Arial" w:hAnsi="Arial"/>
                <w:sz w:val="15"/>
                <w:szCs w:val="15"/>
                <w:b w:val="1"/>
                <w:bCs w:val="1"/>
                <w:color w:val="auto"/>
              </w:rPr>
              <w:t>Fully Diluted Shares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6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gridSpan w:val="2"/>
            <w:vMerge w:val="restart"/>
          </w:tcPr>
          <w:p>
            <w:pPr>
              <w:jc w:val="right"/>
              <w:ind w:right="3"/>
              <w:spacing w:after="0"/>
              <w:rPr>
                <w:sz w:val="20"/>
                <w:szCs w:val="20"/>
                <w:color w:val="auto"/>
              </w:rPr>
            </w:pPr>
            <w:r>
              <w:rPr>
                <w:rFonts w:ascii="Arial" w:cs="Arial" w:eastAsia="Arial" w:hAnsi="Arial"/>
                <w:sz w:val="15"/>
                <w:szCs w:val="15"/>
                <w:b w:val="1"/>
                <w:bCs w:val="1"/>
                <w:color w:val="auto"/>
              </w:rPr>
              <w:t>188.1</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ind w:left="140"/>
              <w:spacing w:after="0"/>
              <w:rPr>
                <w:sz w:val="20"/>
                <w:szCs w:val="20"/>
                <w:color w:val="auto"/>
              </w:rPr>
            </w:pPr>
            <w:r>
              <w:rPr>
                <w:rFonts w:ascii="Arial" w:cs="Arial" w:eastAsia="Arial" w:hAnsi="Arial"/>
                <w:sz w:val="15"/>
                <w:szCs w:val="15"/>
                <w:b w:val="1"/>
                <w:bCs w:val="1"/>
                <w:color w:val="auto"/>
              </w:rPr>
              <w:t>Outstanding</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760" w:type="dxa"/>
            <w:vAlign w:val="bottom"/>
          </w:tcPr>
          <w:p>
            <w:pPr>
              <w:spacing w:after="0"/>
              <w:rPr>
                <w:sz w:val="18"/>
                <w:szCs w:val="18"/>
                <w:color w:val="auto"/>
              </w:rPr>
            </w:pPr>
          </w:p>
        </w:tc>
        <w:tc>
          <w:tcPr>
            <w:tcW w:w="1780" w:type="dxa"/>
            <w:vAlign w:val="bottom"/>
            <w:gridSpan w:val="2"/>
            <w:shd w:val="clear" w:color="auto" w:fill="FCD3C3"/>
          </w:tcPr>
          <w:p>
            <w:pPr>
              <w:ind w:left="60"/>
              <w:spacing w:after="0"/>
              <w:rPr>
                <w:sz w:val="20"/>
                <w:szCs w:val="20"/>
                <w:color w:val="auto"/>
              </w:rPr>
            </w:pPr>
            <w:r>
              <w:rPr>
                <w:rFonts w:ascii="Arial" w:cs="Arial" w:eastAsia="Arial" w:hAnsi="Arial"/>
                <w:sz w:val="15"/>
                <w:szCs w:val="15"/>
                <w:color w:val="auto"/>
              </w:rPr>
              <w:t>Reported Income from</w:t>
            </w:r>
          </w:p>
        </w:tc>
        <w:tc>
          <w:tcPr>
            <w:tcW w:w="520" w:type="dxa"/>
            <w:vAlign w:val="bottom"/>
            <w:shd w:val="clear" w:color="auto" w:fill="FCD3C3"/>
          </w:tcPr>
          <w:p>
            <w:pPr>
              <w:spacing w:after="0"/>
              <w:rPr>
                <w:sz w:val="18"/>
                <w:szCs w:val="18"/>
                <w:color w:val="auto"/>
              </w:rPr>
            </w:pPr>
          </w:p>
        </w:tc>
        <w:tc>
          <w:tcPr>
            <w:tcW w:w="580" w:type="dxa"/>
            <w:vAlign w:val="bottom"/>
            <w:shd w:val="clear" w:color="auto" w:fill="FCD3C3"/>
          </w:tcPr>
          <w:p>
            <w:pPr>
              <w:spacing w:after="0"/>
              <w:rPr>
                <w:sz w:val="18"/>
                <w:szCs w:val="18"/>
                <w:color w:val="auto"/>
              </w:rPr>
            </w:pPr>
          </w:p>
        </w:tc>
        <w:tc>
          <w:tcPr>
            <w:tcW w:w="880" w:type="dxa"/>
            <w:vAlign w:val="bottom"/>
            <w:shd w:val="clear" w:color="auto" w:fill="FCD3C3"/>
          </w:tcPr>
          <w:p>
            <w:pPr>
              <w:spacing w:after="0"/>
              <w:rPr>
                <w:sz w:val="18"/>
                <w:szCs w:val="18"/>
                <w:color w:val="auto"/>
              </w:rPr>
            </w:pPr>
          </w:p>
        </w:tc>
        <w:tc>
          <w:tcPr>
            <w:tcW w:w="200" w:type="dxa"/>
            <w:vAlign w:val="bottom"/>
            <w:shd w:val="clear" w:color="auto" w:fill="FCD3C3"/>
          </w:tcPr>
          <w:p>
            <w:pPr>
              <w:spacing w:after="0"/>
              <w:rPr>
                <w:sz w:val="18"/>
                <w:szCs w:val="18"/>
                <w:color w:val="auto"/>
              </w:rPr>
            </w:pPr>
          </w:p>
        </w:tc>
        <w:tc>
          <w:tcPr>
            <w:tcW w:w="600" w:type="dxa"/>
            <w:vAlign w:val="bottom"/>
            <w:shd w:val="clear" w:color="auto" w:fill="FCD3C3"/>
          </w:tcPr>
          <w:p>
            <w:pPr>
              <w:spacing w:after="0"/>
              <w:rPr>
                <w:sz w:val="18"/>
                <w:szCs w:val="18"/>
                <w:color w:val="auto"/>
              </w:rPr>
            </w:pPr>
          </w:p>
        </w:tc>
        <w:tc>
          <w:tcPr>
            <w:tcW w:w="980" w:type="dxa"/>
            <w:vAlign w:val="bottom"/>
            <w:shd w:val="clear" w:color="auto" w:fill="FCD3C3"/>
          </w:tcPr>
          <w:p>
            <w:pPr>
              <w:spacing w:after="0"/>
              <w:rPr>
                <w:sz w:val="18"/>
                <w:szCs w:val="18"/>
                <w:color w:val="auto"/>
              </w:rPr>
            </w:pPr>
          </w:p>
        </w:tc>
        <w:tc>
          <w:tcPr>
            <w:tcW w:w="500" w:type="dxa"/>
            <w:vAlign w:val="bottom"/>
            <w:shd w:val="clear" w:color="auto" w:fill="FCD3C3"/>
          </w:tcPr>
          <w:p>
            <w:pPr>
              <w:spacing w:after="0"/>
              <w:rPr>
                <w:sz w:val="18"/>
                <w:szCs w:val="18"/>
                <w:color w:val="auto"/>
              </w:rPr>
            </w:pPr>
          </w:p>
        </w:tc>
        <w:tc>
          <w:tcPr>
            <w:tcW w:w="640" w:type="dxa"/>
            <w:vAlign w:val="bottom"/>
            <w:shd w:val="clear" w:color="auto" w:fill="FCD3C3"/>
          </w:tcPr>
          <w:p>
            <w:pPr>
              <w:spacing w:after="0"/>
              <w:rPr>
                <w:sz w:val="18"/>
                <w:szCs w:val="18"/>
                <w:color w:val="auto"/>
              </w:rPr>
            </w:pPr>
          </w:p>
        </w:tc>
        <w:tc>
          <w:tcPr>
            <w:tcW w:w="1280" w:type="dxa"/>
            <w:vAlign w:val="bottom"/>
            <w:shd w:val="clear" w:color="auto" w:fill="FCD3C3"/>
          </w:tcPr>
          <w:p>
            <w:pPr>
              <w:spacing w:after="0"/>
              <w:rPr>
                <w:sz w:val="18"/>
                <w:szCs w:val="18"/>
                <w:color w:val="auto"/>
              </w:rPr>
            </w:pPr>
          </w:p>
        </w:tc>
        <w:tc>
          <w:tcPr>
            <w:tcW w:w="780" w:type="dxa"/>
            <w:vAlign w:val="bottom"/>
            <w:shd w:val="clear" w:color="auto" w:fill="FCD3C3"/>
          </w:tcPr>
          <w:p>
            <w:pPr>
              <w:spacing w:after="0"/>
              <w:rPr>
                <w:sz w:val="18"/>
                <w:szCs w:val="18"/>
                <w:color w:val="auto"/>
              </w:rPr>
            </w:pPr>
          </w:p>
        </w:tc>
        <w:tc>
          <w:tcPr>
            <w:tcW w:w="180" w:type="dxa"/>
            <w:vAlign w:val="bottom"/>
            <w:shd w:val="clear" w:color="auto" w:fill="FCD3C3"/>
          </w:tcPr>
          <w:p>
            <w:pPr>
              <w:spacing w:after="0"/>
              <w:rPr>
                <w:sz w:val="18"/>
                <w:szCs w:val="18"/>
                <w:color w:val="auto"/>
              </w:rPr>
            </w:pPr>
          </w:p>
        </w:tc>
        <w:tc>
          <w:tcPr>
            <w:tcW w:w="460" w:type="dxa"/>
            <w:vAlign w:val="bottom"/>
            <w:shd w:val="clear" w:color="auto" w:fill="FCD3C3"/>
          </w:tcPr>
          <w:p>
            <w:pPr>
              <w:spacing w:after="0"/>
              <w:rPr>
                <w:sz w:val="18"/>
                <w:szCs w:val="18"/>
                <w:color w:val="auto"/>
              </w:rPr>
            </w:pPr>
          </w:p>
        </w:tc>
        <w:tc>
          <w:tcPr>
            <w:tcW w:w="120" w:type="dxa"/>
            <w:vAlign w:val="bottom"/>
            <w:shd w:val="clear" w:color="auto" w:fill="FCD3C3"/>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100" w:type="dxa"/>
            <w:vAlign w:val="bottom"/>
            <w:tcBorders>
              <w:bottom w:val="single" w:sz="8" w:color="FCD3C3"/>
            </w:tcBorders>
            <w:shd w:val="clear" w:color="auto" w:fill="FCD3C3"/>
          </w:tcPr>
          <w:p>
            <w:pPr>
              <w:spacing w:after="0"/>
              <w:rPr>
                <w:sz w:val="19"/>
                <w:szCs w:val="19"/>
                <w:color w:val="auto"/>
              </w:rPr>
            </w:pPr>
          </w:p>
        </w:tc>
        <w:tc>
          <w:tcPr>
            <w:tcW w:w="1680" w:type="dxa"/>
            <w:vAlign w:val="bottom"/>
            <w:tcBorders>
              <w:bottom w:val="single" w:sz="8" w:color="FCD3C3"/>
            </w:tcBorders>
            <w:shd w:val="clear" w:color="auto" w:fill="FCD3C3"/>
          </w:tcPr>
          <w:p>
            <w:pPr>
              <w:ind w:left="140"/>
              <w:spacing w:after="0"/>
              <w:rPr>
                <w:sz w:val="20"/>
                <w:szCs w:val="20"/>
                <w:color w:val="auto"/>
              </w:rPr>
            </w:pPr>
            <w:r>
              <w:rPr>
                <w:rFonts w:ascii="Arial" w:cs="Arial" w:eastAsia="Arial" w:hAnsi="Arial"/>
                <w:sz w:val="15"/>
                <w:szCs w:val="15"/>
                <w:color w:val="auto"/>
              </w:rPr>
              <w:t>Operations</w:t>
            </w:r>
          </w:p>
        </w:tc>
        <w:tc>
          <w:tcPr>
            <w:tcW w:w="520" w:type="dxa"/>
            <w:vAlign w:val="bottom"/>
            <w:tcBorders>
              <w:bottom w:val="single" w:sz="8" w:color="FCD3C3"/>
            </w:tcBorders>
            <w:shd w:val="clear" w:color="auto" w:fill="FCD3C3"/>
          </w:tcPr>
          <w:p>
            <w:pPr>
              <w:spacing w:after="0"/>
              <w:rPr>
                <w:sz w:val="19"/>
                <w:szCs w:val="19"/>
                <w:color w:val="auto"/>
              </w:rPr>
            </w:pPr>
          </w:p>
        </w:tc>
        <w:tc>
          <w:tcPr>
            <w:tcW w:w="580" w:type="dxa"/>
            <w:vAlign w:val="bottom"/>
            <w:tcBorders>
              <w:bottom w:val="single" w:sz="8" w:color="FCD3C3"/>
            </w:tcBorders>
            <w:shd w:val="clear" w:color="auto" w:fill="FCD3C3"/>
          </w:tcPr>
          <w:p>
            <w:pPr>
              <w:spacing w:after="0"/>
              <w:rPr>
                <w:sz w:val="19"/>
                <w:szCs w:val="19"/>
                <w:color w:val="auto"/>
              </w:rPr>
            </w:pPr>
          </w:p>
        </w:tc>
        <w:tc>
          <w:tcPr>
            <w:tcW w:w="880" w:type="dxa"/>
            <w:vAlign w:val="bottom"/>
            <w:tcBorders>
              <w:bottom w:val="single" w:sz="8" w:color="FCD3C3"/>
            </w:tcBorders>
            <w:shd w:val="clear" w:color="auto" w:fill="FCD3C3"/>
          </w:tcPr>
          <w:p>
            <w:pPr>
              <w:spacing w:after="0"/>
              <w:rPr>
                <w:sz w:val="19"/>
                <w:szCs w:val="19"/>
                <w:color w:val="auto"/>
              </w:rPr>
            </w:pPr>
          </w:p>
        </w:tc>
        <w:tc>
          <w:tcPr>
            <w:tcW w:w="200" w:type="dxa"/>
            <w:vAlign w:val="bottom"/>
            <w:tcBorders>
              <w:bottom w:val="single" w:sz="8" w:color="FCD3C3"/>
            </w:tcBorders>
            <w:shd w:val="clear" w:color="auto" w:fill="FCD3C3"/>
          </w:tcPr>
          <w:p>
            <w:pPr>
              <w:spacing w:after="0"/>
              <w:rPr>
                <w:sz w:val="19"/>
                <w:szCs w:val="19"/>
                <w:color w:val="auto"/>
              </w:rPr>
            </w:pPr>
          </w:p>
        </w:tc>
        <w:tc>
          <w:tcPr>
            <w:tcW w:w="600" w:type="dxa"/>
            <w:vAlign w:val="bottom"/>
            <w:tcBorders>
              <w:bottom w:val="single" w:sz="8" w:color="FCD3C3"/>
            </w:tcBorders>
            <w:shd w:val="clear" w:color="auto" w:fill="FCD3C3"/>
          </w:tcPr>
          <w:p>
            <w:pPr>
              <w:spacing w:after="0"/>
              <w:rPr>
                <w:sz w:val="19"/>
                <w:szCs w:val="19"/>
                <w:color w:val="auto"/>
              </w:rPr>
            </w:pPr>
          </w:p>
        </w:tc>
        <w:tc>
          <w:tcPr>
            <w:tcW w:w="980" w:type="dxa"/>
            <w:vAlign w:val="bottom"/>
            <w:tcBorders>
              <w:bottom w:val="single" w:sz="8" w:color="FCD3C3"/>
            </w:tcBorders>
            <w:shd w:val="clear" w:color="auto" w:fill="FCD3C3"/>
          </w:tcPr>
          <w:p>
            <w:pPr>
              <w:spacing w:after="0"/>
              <w:rPr>
                <w:sz w:val="19"/>
                <w:szCs w:val="19"/>
                <w:color w:val="auto"/>
              </w:rPr>
            </w:pPr>
          </w:p>
        </w:tc>
        <w:tc>
          <w:tcPr>
            <w:tcW w:w="500" w:type="dxa"/>
            <w:vAlign w:val="bottom"/>
            <w:tcBorders>
              <w:bottom w:val="single" w:sz="8" w:color="FCD3C3"/>
            </w:tcBorders>
            <w:shd w:val="clear" w:color="auto" w:fill="FCD3C3"/>
          </w:tcPr>
          <w:p>
            <w:pPr>
              <w:spacing w:after="0"/>
              <w:rPr>
                <w:sz w:val="19"/>
                <w:szCs w:val="19"/>
                <w:color w:val="auto"/>
              </w:rPr>
            </w:pPr>
          </w:p>
        </w:tc>
        <w:tc>
          <w:tcPr>
            <w:tcW w:w="640" w:type="dxa"/>
            <w:vAlign w:val="bottom"/>
            <w:tcBorders>
              <w:bottom w:val="single" w:sz="8" w:color="FCD3C3"/>
            </w:tcBorders>
            <w:shd w:val="clear" w:color="auto" w:fill="FCD3C3"/>
          </w:tcPr>
          <w:p>
            <w:pPr>
              <w:spacing w:after="0"/>
              <w:rPr>
                <w:sz w:val="19"/>
                <w:szCs w:val="19"/>
                <w:color w:val="auto"/>
              </w:rPr>
            </w:pPr>
          </w:p>
        </w:tc>
        <w:tc>
          <w:tcPr>
            <w:tcW w:w="1280" w:type="dxa"/>
            <w:vAlign w:val="bottom"/>
            <w:tcBorders>
              <w:bottom w:val="single" w:sz="8" w:color="FCD3C3"/>
            </w:tcBorders>
            <w:shd w:val="clear" w:color="auto" w:fill="FCD3C3"/>
          </w:tcPr>
          <w:p>
            <w:pPr>
              <w:spacing w:after="0"/>
              <w:rPr>
                <w:sz w:val="19"/>
                <w:szCs w:val="19"/>
                <w:color w:val="auto"/>
              </w:rPr>
            </w:pPr>
          </w:p>
        </w:tc>
        <w:tc>
          <w:tcPr>
            <w:tcW w:w="780" w:type="dxa"/>
            <w:vAlign w:val="bottom"/>
            <w:tcBorders>
              <w:bottom w:val="single" w:sz="8" w:color="FCD3C3"/>
            </w:tcBorders>
            <w:shd w:val="clear" w:color="auto" w:fill="FCD3C3"/>
          </w:tcPr>
          <w:p>
            <w:pPr>
              <w:spacing w:after="0"/>
              <w:rPr>
                <w:sz w:val="19"/>
                <w:szCs w:val="19"/>
                <w:color w:val="auto"/>
              </w:rPr>
            </w:pPr>
          </w:p>
        </w:tc>
        <w:tc>
          <w:tcPr>
            <w:tcW w:w="18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FCD3C3"/>
            </w:tcBorders>
            <w:shd w:val="clear" w:color="auto" w:fill="FCD3C3"/>
          </w:tcPr>
          <w:p>
            <w:pPr>
              <w:jc w:val="right"/>
              <w:ind w:right="3"/>
              <w:spacing w:after="0"/>
              <w:rPr>
                <w:sz w:val="20"/>
                <w:szCs w:val="20"/>
                <w:color w:val="auto"/>
              </w:rPr>
            </w:pPr>
            <w:r>
              <w:rPr>
                <w:rFonts w:ascii="Arial" w:cs="Arial" w:eastAsia="Arial" w:hAnsi="Arial"/>
                <w:sz w:val="15"/>
                <w:szCs w:val="15"/>
                <w:color w:val="auto"/>
              </w:rPr>
              <w:t>876</w:t>
            </w:r>
          </w:p>
        </w:tc>
        <w:tc>
          <w:tcPr>
            <w:tcW w:w="120" w:type="dxa"/>
            <w:vAlign w:val="bottom"/>
            <w:tcBorders>
              <w:bottom w:val="single" w:sz="8" w:color="FCD3C3"/>
            </w:tcBorders>
            <w:shd w:val="clear" w:color="auto" w:fill="FCD3C3"/>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ind w:left="140"/>
              <w:spacing w:after="0"/>
              <w:rPr>
                <w:sz w:val="20"/>
                <w:szCs w:val="20"/>
                <w:color w:val="auto"/>
              </w:rPr>
            </w:pPr>
            <w:r>
              <w:rPr>
                <w:rFonts w:ascii="Arial" w:cs="Arial" w:eastAsia="Arial" w:hAnsi="Arial"/>
                <w:sz w:val="15"/>
                <w:szCs w:val="15"/>
                <w:color w:val="auto"/>
              </w:rPr>
              <w:t>Reported EBIT</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ind w:left="140"/>
              <w:spacing w:after="0"/>
              <w:rPr>
                <w:sz w:val="20"/>
                <w:szCs w:val="20"/>
                <w:color w:val="auto"/>
              </w:rPr>
            </w:pPr>
            <w:r>
              <w:rPr>
                <w:rFonts w:ascii="Arial" w:cs="Arial" w:eastAsia="Arial" w:hAnsi="Arial"/>
                <w:sz w:val="15"/>
                <w:szCs w:val="15"/>
                <w:color w:val="auto"/>
              </w:rPr>
              <w:t>Margin</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11.2%</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1780" w:type="dxa"/>
            <w:vAlign w:val="bottom"/>
            <w:gridSpan w:val="2"/>
            <w:shd w:val="clear" w:color="auto" w:fill="FCD3C3"/>
          </w:tcPr>
          <w:p>
            <w:pPr>
              <w:ind w:left="60"/>
              <w:spacing w:after="0"/>
              <w:rPr>
                <w:sz w:val="20"/>
                <w:szCs w:val="20"/>
                <w:color w:val="auto"/>
              </w:rPr>
            </w:pPr>
            <w:r>
              <w:rPr>
                <w:rFonts w:ascii="Arial" w:cs="Arial" w:eastAsia="Arial" w:hAnsi="Arial"/>
                <w:sz w:val="15"/>
                <w:szCs w:val="15"/>
                <w:color w:val="auto"/>
              </w:rPr>
              <w:t>Restructuring and</w:t>
            </w:r>
          </w:p>
        </w:tc>
        <w:tc>
          <w:tcPr>
            <w:tcW w:w="520" w:type="dxa"/>
            <w:vAlign w:val="bottom"/>
            <w:shd w:val="clear" w:color="auto" w:fill="FCD3C3"/>
          </w:tcPr>
          <w:p>
            <w:pPr>
              <w:spacing w:after="0"/>
              <w:rPr>
                <w:sz w:val="18"/>
                <w:szCs w:val="18"/>
                <w:color w:val="auto"/>
              </w:rPr>
            </w:pPr>
          </w:p>
        </w:tc>
        <w:tc>
          <w:tcPr>
            <w:tcW w:w="580" w:type="dxa"/>
            <w:vAlign w:val="bottom"/>
            <w:shd w:val="clear" w:color="auto" w:fill="FCD3C3"/>
          </w:tcPr>
          <w:p>
            <w:pPr>
              <w:spacing w:after="0"/>
              <w:rPr>
                <w:sz w:val="18"/>
                <w:szCs w:val="18"/>
                <w:color w:val="auto"/>
              </w:rPr>
            </w:pPr>
          </w:p>
        </w:tc>
        <w:tc>
          <w:tcPr>
            <w:tcW w:w="880" w:type="dxa"/>
            <w:vAlign w:val="bottom"/>
            <w:shd w:val="clear" w:color="auto" w:fill="FCD3C3"/>
          </w:tcPr>
          <w:p>
            <w:pPr>
              <w:spacing w:after="0"/>
              <w:rPr>
                <w:sz w:val="18"/>
                <w:szCs w:val="18"/>
                <w:color w:val="auto"/>
              </w:rPr>
            </w:pPr>
          </w:p>
        </w:tc>
        <w:tc>
          <w:tcPr>
            <w:tcW w:w="200" w:type="dxa"/>
            <w:vAlign w:val="bottom"/>
            <w:shd w:val="clear" w:color="auto" w:fill="FCD3C3"/>
          </w:tcPr>
          <w:p>
            <w:pPr>
              <w:spacing w:after="0"/>
              <w:rPr>
                <w:sz w:val="18"/>
                <w:szCs w:val="18"/>
                <w:color w:val="auto"/>
              </w:rPr>
            </w:pPr>
          </w:p>
        </w:tc>
        <w:tc>
          <w:tcPr>
            <w:tcW w:w="600" w:type="dxa"/>
            <w:vAlign w:val="bottom"/>
            <w:shd w:val="clear" w:color="auto" w:fill="FCD3C3"/>
          </w:tcPr>
          <w:p>
            <w:pPr>
              <w:spacing w:after="0"/>
              <w:rPr>
                <w:sz w:val="18"/>
                <w:szCs w:val="18"/>
                <w:color w:val="auto"/>
              </w:rPr>
            </w:pPr>
          </w:p>
        </w:tc>
        <w:tc>
          <w:tcPr>
            <w:tcW w:w="980" w:type="dxa"/>
            <w:vAlign w:val="bottom"/>
            <w:shd w:val="clear" w:color="auto" w:fill="FCD3C3"/>
          </w:tcPr>
          <w:p>
            <w:pPr>
              <w:spacing w:after="0"/>
              <w:rPr>
                <w:sz w:val="18"/>
                <w:szCs w:val="18"/>
                <w:color w:val="auto"/>
              </w:rPr>
            </w:pPr>
          </w:p>
        </w:tc>
        <w:tc>
          <w:tcPr>
            <w:tcW w:w="500" w:type="dxa"/>
            <w:vAlign w:val="bottom"/>
            <w:shd w:val="clear" w:color="auto" w:fill="FCD3C3"/>
          </w:tcPr>
          <w:p>
            <w:pPr>
              <w:spacing w:after="0"/>
              <w:rPr>
                <w:sz w:val="18"/>
                <w:szCs w:val="18"/>
                <w:color w:val="auto"/>
              </w:rPr>
            </w:pPr>
          </w:p>
        </w:tc>
        <w:tc>
          <w:tcPr>
            <w:tcW w:w="640" w:type="dxa"/>
            <w:vAlign w:val="bottom"/>
            <w:shd w:val="clear" w:color="auto" w:fill="FCD3C3"/>
          </w:tcPr>
          <w:p>
            <w:pPr>
              <w:spacing w:after="0"/>
              <w:rPr>
                <w:sz w:val="18"/>
                <w:szCs w:val="18"/>
                <w:color w:val="auto"/>
              </w:rPr>
            </w:pPr>
          </w:p>
        </w:tc>
        <w:tc>
          <w:tcPr>
            <w:tcW w:w="1280" w:type="dxa"/>
            <w:vAlign w:val="bottom"/>
            <w:shd w:val="clear" w:color="auto" w:fill="FCD3C3"/>
          </w:tcPr>
          <w:p>
            <w:pPr>
              <w:spacing w:after="0"/>
              <w:rPr>
                <w:sz w:val="18"/>
                <w:szCs w:val="18"/>
                <w:color w:val="auto"/>
              </w:rPr>
            </w:pPr>
          </w:p>
        </w:tc>
        <w:tc>
          <w:tcPr>
            <w:tcW w:w="780" w:type="dxa"/>
            <w:vAlign w:val="bottom"/>
            <w:shd w:val="clear" w:color="auto" w:fill="FCD3C3"/>
          </w:tcPr>
          <w:p>
            <w:pPr>
              <w:spacing w:after="0"/>
              <w:rPr>
                <w:sz w:val="18"/>
                <w:szCs w:val="18"/>
                <w:color w:val="auto"/>
              </w:rPr>
            </w:pPr>
          </w:p>
        </w:tc>
        <w:tc>
          <w:tcPr>
            <w:tcW w:w="180" w:type="dxa"/>
            <w:vAlign w:val="bottom"/>
            <w:shd w:val="clear" w:color="auto" w:fill="FCD3C3"/>
          </w:tcPr>
          <w:p>
            <w:pPr>
              <w:spacing w:after="0"/>
              <w:rPr>
                <w:sz w:val="18"/>
                <w:szCs w:val="18"/>
                <w:color w:val="auto"/>
              </w:rPr>
            </w:pPr>
          </w:p>
        </w:tc>
        <w:tc>
          <w:tcPr>
            <w:tcW w:w="460" w:type="dxa"/>
            <w:vAlign w:val="bottom"/>
            <w:shd w:val="clear" w:color="auto" w:fill="FCD3C3"/>
          </w:tcPr>
          <w:p>
            <w:pPr>
              <w:spacing w:after="0"/>
              <w:rPr>
                <w:sz w:val="18"/>
                <w:szCs w:val="18"/>
                <w:color w:val="auto"/>
              </w:rPr>
            </w:pPr>
          </w:p>
        </w:tc>
        <w:tc>
          <w:tcPr>
            <w:tcW w:w="120" w:type="dxa"/>
            <w:vAlign w:val="bottom"/>
            <w:shd w:val="clear" w:color="auto" w:fill="FCD3C3"/>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100" w:type="dxa"/>
            <w:vAlign w:val="bottom"/>
            <w:tcBorders>
              <w:bottom w:val="single" w:sz="8" w:color="FCD3C3"/>
            </w:tcBorders>
            <w:shd w:val="clear" w:color="auto" w:fill="FCD3C3"/>
          </w:tcPr>
          <w:p>
            <w:pPr>
              <w:spacing w:after="0"/>
              <w:rPr>
                <w:sz w:val="19"/>
                <w:szCs w:val="19"/>
                <w:color w:val="auto"/>
              </w:rPr>
            </w:pPr>
          </w:p>
        </w:tc>
        <w:tc>
          <w:tcPr>
            <w:tcW w:w="1680" w:type="dxa"/>
            <w:vAlign w:val="bottom"/>
            <w:tcBorders>
              <w:bottom w:val="single" w:sz="8" w:color="FCD3C3"/>
            </w:tcBorders>
            <w:shd w:val="clear" w:color="auto" w:fill="FCD3C3"/>
          </w:tcPr>
          <w:p>
            <w:pPr>
              <w:ind w:left="140"/>
              <w:spacing w:after="0"/>
              <w:rPr>
                <w:sz w:val="20"/>
                <w:szCs w:val="20"/>
                <w:color w:val="auto"/>
              </w:rPr>
            </w:pPr>
            <w:r>
              <w:rPr>
                <w:rFonts w:ascii="Arial" w:cs="Arial" w:eastAsia="Arial" w:hAnsi="Arial"/>
                <w:sz w:val="15"/>
                <w:szCs w:val="15"/>
                <w:color w:val="auto"/>
              </w:rPr>
              <w:t>Transaction Costs</w:t>
            </w:r>
          </w:p>
        </w:tc>
        <w:tc>
          <w:tcPr>
            <w:tcW w:w="520" w:type="dxa"/>
            <w:vAlign w:val="bottom"/>
            <w:tcBorders>
              <w:bottom w:val="single" w:sz="8" w:color="FCD3C3"/>
            </w:tcBorders>
            <w:shd w:val="clear" w:color="auto" w:fill="FCD3C3"/>
          </w:tcPr>
          <w:p>
            <w:pPr>
              <w:spacing w:after="0"/>
              <w:rPr>
                <w:sz w:val="19"/>
                <w:szCs w:val="19"/>
                <w:color w:val="auto"/>
              </w:rPr>
            </w:pPr>
          </w:p>
        </w:tc>
        <w:tc>
          <w:tcPr>
            <w:tcW w:w="580" w:type="dxa"/>
            <w:vAlign w:val="bottom"/>
            <w:tcBorders>
              <w:bottom w:val="single" w:sz="8" w:color="FCD3C3"/>
            </w:tcBorders>
            <w:shd w:val="clear" w:color="auto" w:fill="FCD3C3"/>
          </w:tcPr>
          <w:p>
            <w:pPr>
              <w:spacing w:after="0"/>
              <w:rPr>
                <w:sz w:val="19"/>
                <w:szCs w:val="19"/>
                <w:color w:val="auto"/>
              </w:rPr>
            </w:pPr>
          </w:p>
        </w:tc>
        <w:tc>
          <w:tcPr>
            <w:tcW w:w="880" w:type="dxa"/>
            <w:vAlign w:val="bottom"/>
            <w:tcBorders>
              <w:bottom w:val="single" w:sz="8" w:color="FCD3C3"/>
            </w:tcBorders>
            <w:shd w:val="clear" w:color="auto" w:fill="FCD3C3"/>
          </w:tcPr>
          <w:p>
            <w:pPr>
              <w:spacing w:after="0"/>
              <w:rPr>
                <w:sz w:val="19"/>
                <w:szCs w:val="19"/>
                <w:color w:val="auto"/>
              </w:rPr>
            </w:pPr>
          </w:p>
        </w:tc>
        <w:tc>
          <w:tcPr>
            <w:tcW w:w="200" w:type="dxa"/>
            <w:vAlign w:val="bottom"/>
            <w:tcBorders>
              <w:bottom w:val="single" w:sz="8" w:color="FCD3C3"/>
            </w:tcBorders>
            <w:shd w:val="clear" w:color="auto" w:fill="FCD3C3"/>
          </w:tcPr>
          <w:p>
            <w:pPr>
              <w:spacing w:after="0"/>
              <w:rPr>
                <w:sz w:val="19"/>
                <w:szCs w:val="19"/>
                <w:color w:val="auto"/>
              </w:rPr>
            </w:pPr>
          </w:p>
        </w:tc>
        <w:tc>
          <w:tcPr>
            <w:tcW w:w="600" w:type="dxa"/>
            <w:vAlign w:val="bottom"/>
            <w:tcBorders>
              <w:bottom w:val="single" w:sz="8" w:color="FCD3C3"/>
            </w:tcBorders>
            <w:shd w:val="clear" w:color="auto" w:fill="FCD3C3"/>
          </w:tcPr>
          <w:p>
            <w:pPr>
              <w:spacing w:after="0"/>
              <w:rPr>
                <w:sz w:val="19"/>
                <w:szCs w:val="19"/>
                <w:color w:val="auto"/>
              </w:rPr>
            </w:pPr>
          </w:p>
        </w:tc>
        <w:tc>
          <w:tcPr>
            <w:tcW w:w="980" w:type="dxa"/>
            <w:vAlign w:val="bottom"/>
            <w:tcBorders>
              <w:bottom w:val="single" w:sz="8" w:color="FCD3C3"/>
            </w:tcBorders>
            <w:shd w:val="clear" w:color="auto" w:fill="FCD3C3"/>
          </w:tcPr>
          <w:p>
            <w:pPr>
              <w:spacing w:after="0"/>
              <w:rPr>
                <w:sz w:val="19"/>
                <w:szCs w:val="19"/>
                <w:color w:val="auto"/>
              </w:rPr>
            </w:pPr>
          </w:p>
        </w:tc>
        <w:tc>
          <w:tcPr>
            <w:tcW w:w="500" w:type="dxa"/>
            <w:vAlign w:val="bottom"/>
            <w:tcBorders>
              <w:bottom w:val="single" w:sz="8" w:color="FCD3C3"/>
            </w:tcBorders>
            <w:shd w:val="clear" w:color="auto" w:fill="FCD3C3"/>
          </w:tcPr>
          <w:p>
            <w:pPr>
              <w:spacing w:after="0"/>
              <w:rPr>
                <w:sz w:val="19"/>
                <w:szCs w:val="19"/>
                <w:color w:val="auto"/>
              </w:rPr>
            </w:pPr>
          </w:p>
        </w:tc>
        <w:tc>
          <w:tcPr>
            <w:tcW w:w="640" w:type="dxa"/>
            <w:vAlign w:val="bottom"/>
            <w:tcBorders>
              <w:bottom w:val="single" w:sz="8" w:color="FCD3C3"/>
            </w:tcBorders>
            <w:shd w:val="clear" w:color="auto" w:fill="FCD3C3"/>
          </w:tcPr>
          <w:p>
            <w:pPr>
              <w:spacing w:after="0"/>
              <w:rPr>
                <w:sz w:val="19"/>
                <w:szCs w:val="19"/>
                <w:color w:val="auto"/>
              </w:rPr>
            </w:pPr>
          </w:p>
        </w:tc>
        <w:tc>
          <w:tcPr>
            <w:tcW w:w="1280" w:type="dxa"/>
            <w:vAlign w:val="bottom"/>
            <w:tcBorders>
              <w:bottom w:val="single" w:sz="8" w:color="FCD3C3"/>
            </w:tcBorders>
            <w:shd w:val="clear" w:color="auto" w:fill="FCD3C3"/>
          </w:tcPr>
          <w:p>
            <w:pPr>
              <w:spacing w:after="0"/>
              <w:rPr>
                <w:sz w:val="19"/>
                <w:szCs w:val="19"/>
                <w:color w:val="auto"/>
              </w:rPr>
            </w:pPr>
          </w:p>
        </w:tc>
        <w:tc>
          <w:tcPr>
            <w:tcW w:w="780" w:type="dxa"/>
            <w:vAlign w:val="bottom"/>
            <w:tcBorders>
              <w:bottom w:val="single" w:sz="8" w:color="FCD3C3"/>
            </w:tcBorders>
            <w:shd w:val="clear" w:color="auto" w:fill="FCD3C3"/>
          </w:tcPr>
          <w:p>
            <w:pPr>
              <w:spacing w:after="0"/>
              <w:rPr>
                <w:sz w:val="19"/>
                <w:szCs w:val="19"/>
                <w:color w:val="auto"/>
              </w:rPr>
            </w:pPr>
          </w:p>
        </w:tc>
        <w:tc>
          <w:tcPr>
            <w:tcW w:w="18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FCD3C3"/>
            </w:tcBorders>
            <w:shd w:val="clear" w:color="auto" w:fill="FCD3C3"/>
          </w:tcPr>
          <w:p>
            <w:pPr>
              <w:jc w:val="right"/>
              <w:ind w:right="3"/>
              <w:spacing w:after="0"/>
              <w:rPr>
                <w:sz w:val="20"/>
                <w:szCs w:val="20"/>
                <w:color w:val="auto"/>
              </w:rPr>
            </w:pPr>
            <w:r>
              <w:rPr>
                <w:rFonts w:ascii="Arial" w:cs="Arial" w:eastAsia="Arial" w:hAnsi="Arial"/>
                <w:sz w:val="15"/>
                <w:szCs w:val="15"/>
                <w:color w:val="auto"/>
              </w:rPr>
              <w:t>78</w:t>
            </w:r>
          </w:p>
        </w:tc>
        <w:tc>
          <w:tcPr>
            <w:tcW w:w="120" w:type="dxa"/>
            <w:vAlign w:val="bottom"/>
            <w:tcBorders>
              <w:bottom w:val="single" w:sz="8" w:color="FCD3C3"/>
            </w:tcBorders>
            <w:shd w:val="clear" w:color="auto" w:fill="FCD3C3"/>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5"/>
                <w:szCs w:val="15"/>
                <w:color w:val="auto"/>
              </w:rPr>
              <w:t>Non-cash Amortization</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ind w:left="140"/>
              <w:spacing w:after="0"/>
              <w:rPr>
                <w:sz w:val="20"/>
                <w:szCs w:val="20"/>
                <w:color w:val="auto"/>
              </w:rPr>
            </w:pPr>
            <w:r>
              <w:rPr>
                <w:rFonts w:ascii="Arial" w:cs="Arial" w:eastAsia="Arial" w:hAnsi="Arial"/>
                <w:sz w:val="15"/>
                <w:szCs w:val="15"/>
                <w:color w:val="auto"/>
              </w:rPr>
              <w:t>expense</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287</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1780" w:type="dxa"/>
            <w:vAlign w:val="bottom"/>
            <w:gridSpan w:val="2"/>
            <w:shd w:val="clear" w:color="auto" w:fill="FCD3C3"/>
          </w:tcPr>
          <w:p>
            <w:pPr>
              <w:ind w:left="60"/>
              <w:spacing w:after="0"/>
              <w:rPr>
                <w:sz w:val="20"/>
                <w:szCs w:val="20"/>
                <w:color w:val="auto"/>
              </w:rPr>
            </w:pPr>
            <w:r>
              <w:rPr>
                <w:rFonts w:ascii="Arial" w:cs="Arial" w:eastAsia="Arial" w:hAnsi="Arial"/>
                <w:sz w:val="15"/>
                <w:szCs w:val="15"/>
                <w:color w:val="auto"/>
              </w:rPr>
              <w:t>Adjusted Income from</w:t>
            </w:r>
          </w:p>
        </w:tc>
        <w:tc>
          <w:tcPr>
            <w:tcW w:w="520" w:type="dxa"/>
            <w:vAlign w:val="bottom"/>
            <w:shd w:val="clear" w:color="auto" w:fill="FCD3C3"/>
          </w:tcPr>
          <w:p>
            <w:pPr>
              <w:spacing w:after="0"/>
              <w:rPr>
                <w:sz w:val="18"/>
                <w:szCs w:val="18"/>
                <w:color w:val="auto"/>
              </w:rPr>
            </w:pPr>
          </w:p>
        </w:tc>
        <w:tc>
          <w:tcPr>
            <w:tcW w:w="580" w:type="dxa"/>
            <w:vAlign w:val="bottom"/>
            <w:shd w:val="clear" w:color="auto" w:fill="FCD3C3"/>
          </w:tcPr>
          <w:p>
            <w:pPr>
              <w:spacing w:after="0"/>
              <w:rPr>
                <w:sz w:val="18"/>
                <w:szCs w:val="18"/>
                <w:color w:val="auto"/>
              </w:rPr>
            </w:pPr>
          </w:p>
        </w:tc>
        <w:tc>
          <w:tcPr>
            <w:tcW w:w="880" w:type="dxa"/>
            <w:vAlign w:val="bottom"/>
            <w:shd w:val="clear" w:color="auto" w:fill="FCD3C3"/>
          </w:tcPr>
          <w:p>
            <w:pPr>
              <w:spacing w:after="0"/>
              <w:rPr>
                <w:sz w:val="18"/>
                <w:szCs w:val="18"/>
                <w:color w:val="auto"/>
              </w:rPr>
            </w:pPr>
          </w:p>
        </w:tc>
        <w:tc>
          <w:tcPr>
            <w:tcW w:w="200" w:type="dxa"/>
            <w:vAlign w:val="bottom"/>
            <w:shd w:val="clear" w:color="auto" w:fill="FCD3C3"/>
          </w:tcPr>
          <w:p>
            <w:pPr>
              <w:spacing w:after="0"/>
              <w:rPr>
                <w:sz w:val="18"/>
                <w:szCs w:val="18"/>
                <w:color w:val="auto"/>
              </w:rPr>
            </w:pPr>
          </w:p>
        </w:tc>
        <w:tc>
          <w:tcPr>
            <w:tcW w:w="600" w:type="dxa"/>
            <w:vAlign w:val="bottom"/>
            <w:shd w:val="clear" w:color="auto" w:fill="FCD3C3"/>
          </w:tcPr>
          <w:p>
            <w:pPr>
              <w:spacing w:after="0"/>
              <w:rPr>
                <w:sz w:val="18"/>
                <w:szCs w:val="18"/>
                <w:color w:val="auto"/>
              </w:rPr>
            </w:pPr>
          </w:p>
        </w:tc>
        <w:tc>
          <w:tcPr>
            <w:tcW w:w="980" w:type="dxa"/>
            <w:vAlign w:val="bottom"/>
            <w:shd w:val="clear" w:color="auto" w:fill="FCD3C3"/>
          </w:tcPr>
          <w:p>
            <w:pPr>
              <w:spacing w:after="0"/>
              <w:rPr>
                <w:sz w:val="18"/>
                <w:szCs w:val="18"/>
                <w:color w:val="auto"/>
              </w:rPr>
            </w:pPr>
          </w:p>
        </w:tc>
        <w:tc>
          <w:tcPr>
            <w:tcW w:w="500" w:type="dxa"/>
            <w:vAlign w:val="bottom"/>
            <w:shd w:val="clear" w:color="auto" w:fill="FCD3C3"/>
          </w:tcPr>
          <w:p>
            <w:pPr>
              <w:spacing w:after="0"/>
              <w:rPr>
                <w:sz w:val="18"/>
                <w:szCs w:val="18"/>
                <w:color w:val="auto"/>
              </w:rPr>
            </w:pPr>
          </w:p>
        </w:tc>
        <w:tc>
          <w:tcPr>
            <w:tcW w:w="640" w:type="dxa"/>
            <w:vAlign w:val="bottom"/>
            <w:shd w:val="clear" w:color="auto" w:fill="FCD3C3"/>
          </w:tcPr>
          <w:p>
            <w:pPr>
              <w:spacing w:after="0"/>
              <w:rPr>
                <w:sz w:val="18"/>
                <w:szCs w:val="18"/>
                <w:color w:val="auto"/>
              </w:rPr>
            </w:pPr>
          </w:p>
        </w:tc>
        <w:tc>
          <w:tcPr>
            <w:tcW w:w="1280" w:type="dxa"/>
            <w:vAlign w:val="bottom"/>
            <w:shd w:val="clear" w:color="auto" w:fill="FCD3C3"/>
          </w:tcPr>
          <w:p>
            <w:pPr>
              <w:spacing w:after="0"/>
              <w:rPr>
                <w:sz w:val="18"/>
                <w:szCs w:val="18"/>
                <w:color w:val="auto"/>
              </w:rPr>
            </w:pPr>
          </w:p>
        </w:tc>
        <w:tc>
          <w:tcPr>
            <w:tcW w:w="780" w:type="dxa"/>
            <w:vAlign w:val="bottom"/>
            <w:shd w:val="clear" w:color="auto" w:fill="FCD3C3"/>
          </w:tcPr>
          <w:p>
            <w:pPr>
              <w:spacing w:after="0"/>
              <w:rPr>
                <w:sz w:val="18"/>
                <w:szCs w:val="18"/>
                <w:color w:val="auto"/>
              </w:rPr>
            </w:pPr>
          </w:p>
        </w:tc>
        <w:tc>
          <w:tcPr>
            <w:tcW w:w="180" w:type="dxa"/>
            <w:vAlign w:val="bottom"/>
            <w:shd w:val="clear" w:color="auto" w:fill="FCD3C3"/>
          </w:tcPr>
          <w:p>
            <w:pPr>
              <w:spacing w:after="0"/>
              <w:rPr>
                <w:sz w:val="18"/>
                <w:szCs w:val="18"/>
                <w:color w:val="auto"/>
              </w:rPr>
            </w:pPr>
          </w:p>
        </w:tc>
        <w:tc>
          <w:tcPr>
            <w:tcW w:w="460" w:type="dxa"/>
            <w:vAlign w:val="bottom"/>
            <w:shd w:val="clear" w:color="auto" w:fill="FCD3C3"/>
          </w:tcPr>
          <w:p>
            <w:pPr>
              <w:spacing w:after="0"/>
              <w:rPr>
                <w:sz w:val="18"/>
                <w:szCs w:val="18"/>
                <w:color w:val="auto"/>
              </w:rPr>
            </w:pPr>
          </w:p>
        </w:tc>
        <w:tc>
          <w:tcPr>
            <w:tcW w:w="120" w:type="dxa"/>
            <w:vAlign w:val="bottom"/>
            <w:shd w:val="clear" w:color="auto" w:fill="FCD3C3"/>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100" w:type="dxa"/>
            <w:vAlign w:val="bottom"/>
            <w:tcBorders>
              <w:bottom w:val="single" w:sz="8" w:color="FCD3C3"/>
            </w:tcBorders>
            <w:shd w:val="clear" w:color="auto" w:fill="FCD3C3"/>
          </w:tcPr>
          <w:p>
            <w:pPr>
              <w:spacing w:after="0"/>
              <w:rPr>
                <w:sz w:val="19"/>
                <w:szCs w:val="19"/>
                <w:color w:val="auto"/>
              </w:rPr>
            </w:pPr>
          </w:p>
        </w:tc>
        <w:tc>
          <w:tcPr>
            <w:tcW w:w="1680" w:type="dxa"/>
            <w:vAlign w:val="bottom"/>
            <w:tcBorders>
              <w:bottom w:val="single" w:sz="8" w:color="FCD3C3"/>
            </w:tcBorders>
            <w:shd w:val="clear" w:color="auto" w:fill="FCD3C3"/>
          </w:tcPr>
          <w:p>
            <w:pPr>
              <w:ind w:left="140"/>
              <w:spacing w:after="0"/>
              <w:rPr>
                <w:sz w:val="20"/>
                <w:szCs w:val="20"/>
                <w:color w:val="auto"/>
              </w:rPr>
            </w:pPr>
            <w:r>
              <w:rPr>
                <w:rFonts w:ascii="Arial" w:cs="Arial" w:eastAsia="Arial" w:hAnsi="Arial"/>
                <w:sz w:val="15"/>
                <w:szCs w:val="15"/>
                <w:color w:val="auto"/>
              </w:rPr>
              <w:t>Operations</w:t>
            </w:r>
          </w:p>
        </w:tc>
        <w:tc>
          <w:tcPr>
            <w:tcW w:w="520" w:type="dxa"/>
            <w:vAlign w:val="bottom"/>
            <w:tcBorders>
              <w:bottom w:val="single" w:sz="8" w:color="FCD3C3"/>
            </w:tcBorders>
            <w:shd w:val="clear" w:color="auto" w:fill="FCD3C3"/>
          </w:tcPr>
          <w:p>
            <w:pPr>
              <w:spacing w:after="0"/>
              <w:rPr>
                <w:sz w:val="19"/>
                <w:szCs w:val="19"/>
                <w:color w:val="auto"/>
              </w:rPr>
            </w:pPr>
          </w:p>
        </w:tc>
        <w:tc>
          <w:tcPr>
            <w:tcW w:w="580" w:type="dxa"/>
            <w:vAlign w:val="bottom"/>
            <w:tcBorders>
              <w:bottom w:val="single" w:sz="8" w:color="FCD3C3"/>
            </w:tcBorders>
            <w:shd w:val="clear" w:color="auto" w:fill="FCD3C3"/>
          </w:tcPr>
          <w:p>
            <w:pPr>
              <w:spacing w:after="0"/>
              <w:rPr>
                <w:sz w:val="19"/>
                <w:szCs w:val="19"/>
                <w:color w:val="auto"/>
              </w:rPr>
            </w:pPr>
          </w:p>
        </w:tc>
        <w:tc>
          <w:tcPr>
            <w:tcW w:w="880" w:type="dxa"/>
            <w:vAlign w:val="bottom"/>
            <w:tcBorders>
              <w:bottom w:val="single" w:sz="8" w:color="FCD3C3"/>
            </w:tcBorders>
            <w:shd w:val="clear" w:color="auto" w:fill="FCD3C3"/>
          </w:tcPr>
          <w:p>
            <w:pPr>
              <w:spacing w:after="0"/>
              <w:rPr>
                <w:sz w:val="19"/>
                <w:szCs w:val="19"/>
                <w:color w:val="auto"/>
              </w:rPr>
            </w:pPr>
          </w:p>
        </w:tc>
        <w:tc>
          <w:tcPr>
            <w:tcW w:w="200" w:type="dxa"/>
            <w:vAlign w:val="bottom"/>
            <w:tcBorders>
              <w:bottom w:val="single" w:sz="8" w:color="FCD3C3"/>
            </w:tcBorders>
            <w:shd w:val="clear" w:color="auto" w:fill="FCD3C3"/>
          </w:tcPr>
          <w:p>
            <w:pPr>
              <w:spacing w:after="0"/>
              <w:rPr>
                <w:sz w:val="19"/>
                <w:szCs w:val="19"/>
                <w:color w:val="auto"/>
              </w:rPr>
            </w:pPr>
          </w:p>
        </w:tc>
        <w:tc>
          <w:tcPr>
            <w:tcW w:w="600" w:type="dxa"/>
            <w:vAlign w:val="bottom"/>
            <w:tcBorders>
              <w:bottom w:val="single" w:sz="8" w:color="FCD3C3"/>
            </w:tcBorders>
            <w:shd w:val="clear" w:color="auto" w:fill="FCD3C3"/>
          </w:tcPr>
          <w:p>
            <w:pPr>
              <w:spacing w:after="0"/>
              <w:rPr>
                <w:sz w:val="19"/>
                <w:szCs w:val="19"/>
                <w:color w:val="auto"/>
              </w:rPr>
            </w:pPr>
          </w:p>
        </w:tc>
        <w:tc>
          <w:tcPr>
            <w:tcW w:w="980" w:type="dxa"/>
            <w:vAlign w:val="bottom"/>
            <w:tcBorders>
              <w:bottom w:val="single" w:sz="8" w:color="FCD3C3"/>
            </w:tcBorders>
            <w:shd w:val="clear" w:color="auto" w:fill="FCD3C3"/>
          </w:tcPr>
          <w:p>
            <w:pPr>
              <w:spacing w:after="0"/>
              <w:rPr>
                <w:sz w:val="19"/>
                <w:szCs w:val="19"/>
                <w:color w:val="auto"/>
              </w:rPr>
            </w:pPr>
          </w:p>
        </w:tc>
        <w:tc>
          <w:tcPr>
            <w:tcW w:w="500" w:type="dxa"/>
            <w:vAlign w:val="bottom"/>
            <w:tcBorders>
              <w:bottom w:val="single" w:sz="8" w:color="FCD3C3"/>
            </w:tcBorders>
            <w:shd w:val="clear" w:color="auto" w:fill="FCD3C3"/>
          </w:tcPr>
          <w:p>
            <w:pPr>
              <w:spacing w:after="0"/>
              <w:rPr>
                <w:sz w:val="19"/>
                <w:szCs w:val="19"/>
                <w:color w:val="auto"/>
              </w:rPr>
            </w:pPr>
          </w:p>
        </w:tc>
        <w:tc>
          <w:tcPr>
            <w:tcW w:w="640" w:type="dxa"/>
            <w:vAlign w:val="bottom"/>
            <w:tcBorders>
              <w:bottom w:val="single" w:sz="8" w:color="FCD3C3"/>
            </w:tcBorders>
            <w:shd w:val="clear" w:color="auto" w:fill="FCD3C3"/>
          </w:tcPr>
          <w:p>
            <w:pPr>
              <w:spacing w:after="0"/>
              <w:rPr>
                <w:sz w:val="19"/>
                <w:szCs w:val="19"/>
                <w:color w:val="auto"/>
              </w:rPr>
            </w:pPr>
          </w:p>
        </w:tc>
        <w:tc>
          <w:tcPr>
            <w:tcW w:w="1280" w:type="dxa"/>
            <w:vAlign w:val="bottom"/>
            <w:tcBorders>
              <w:bottom w:val="single" w:sz="8" w:color="FCD3C3"/>
            </w:tcBorders>
            <w:shd w:val="clear" w:color="auto" w:fill="FCD3C3"/>
          </w:tcPr>
          <w:p>
            <w:pPr>
              <w:spacing w:after="0"/>
              <w:rPr>
                <w:sz w:val="19"/>
                <w:szCs w:val="19"/>
                <w:color w:val="auto"/>
              </w:rPr>
            </w:pPr>
          </w:p>
        </w:tc>
        <w:tc>
          <w:tcPr>
            <w:tcW w:w="780" w:type="dxa"/>
            <w:vAlign w:val="bottom"/>
            <w:tcBorders>
              <w:bottom w:val="single" w:sz="8" w:color="FCD3C3"/>
            </w:tcBorders>
            <w:shd w:val="clear" w:color="auto" w:fill="FCD3C3"/>
          </w:tcPr>
          <w:p>
            <w:pPr>
              <w:spacing w:after="0"/>
              <w:rPr>
                <w:sz w:val="19"/>
                <w:szCs w:val="19"/>
                <w:color w:val="auto"/>
              </w:rPr>
            </w:pPr>
          </w:p>
        </w:tc>
        <w:tc>
          <w:tcPr>
            <w:tcW w:w="18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FCD3C3"/>
            </w:tcBorders>
            <w:shd w:val="clear" w:color="auto" w:fill="FCD3C3"/>
          </w:tcPr>
          <w:p>
            <w:pPr>
              <w:jc w:val="right"/>
              <w:ind w:right="3"/>
              <w:spacing w:after="0"/>
              <w:rPr>
                <w:sz w:val="20"/>
                <w:szCs w:val="20"/>
                <w:color w:val="auto"/>
              </w:rPr>
            </w:pPr>
            <w:r>
              <w:rPr>
                <w:rFonts w:ascii="Arial" w:cs="Arial" w:eastAsia="Arial" w:hAnsi="Arial"/>
                <w:sz w:val="15"/>
                <w:szCs w:val="15"/>
                <w:color w:val="auto"/>
                <w:w w:val="95"/>
              </w:rPr>
              <w:t>1,241</w:t>
            </w:r>
          </w:p>
        </w:tc>
        <w:tc>
          <w:tcPr>
            <w:tcW w:w="120" w:type="dxa"/>
            <w:vAlign w:val="bottom"/>
            <w:tcBorders>
              <w:bottom w:val="single" w:sz="8" w:color="FCD3C3"/>
            </w:tcBorders>
            <w:shd w:val="clear" w:color="auto" w:fill="FCD3C3"/>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ind w:left="140"/>
              <w:spacing w:after="0"/>
              <w:rPr>
                <w:sz w:val="20"/>
                <w:szCs w:val="20"/>
                <w:color w:val="auto"/>
              </w:rPr>
            </w:pPr>
            <w:r>
              <w:rPr>
                <w:rFonts w:ascii="Arial" w:cs="Arial" w:eastAsia="Arial" w:hAnsi="Arial"/>
                <w:sz w:val="15"/>
                <w:szCs w:val="15"/>
                <w:color w:val="auto"/>
              </w:rPr>
              <w:t>Adjusted EBIT Margin</w:t>
            </w: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15.9%</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Borders>
              <w:bottom w:val="single" w:sz="8" w:color="auto"/>
            </w:tcBorders>
            <w:gridSpan w:val="4"/>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ind w:left="820"/>
              <w:spacing w:after="0"/>
              <w:rPr>
                <w:sz w:val="20"/>
                <w:szCs w:val="20"/>
                <w:color w:val="auto"/>
              </w:rPr>
            </w:pPr>
            <w:r>
              <w:rPr>
                <w:rFonts w:ascii="Arial" w:cs="Arial" w:eastAsia="Arial" w:hAnsi="Arial"/>
                <w:sz w:val="12"/>
                <w:szCs w:val="12"/>
                <w:color w:val="EC252A"/>
              </w:rPr>
              <w:t xml:space="preserve">l </w:t>
            </w:r>
            <w:r>
              <w:rPr>
                <w:rFonts w:ascii="Arial" w:cs="Arial" w:eastAsia="Arial" w:hAnsi="Arial"/>
                <w:sz w:val="14"/>
                <w:szCs w:val="14"/>
                <w:color w:val="000000"/>
              </w:rPr>
              <w:t>Proxy Statement for 2022</w:t>
            </w:r>
            <w:r>
              <w:rPr>
                <w:rFonts w:ascii="Arial" w:cs="Arial" w:eastAsia="Arial" w:hAnsi="Arial"/>
                <w:sz w:val="12"/>
                <w:szCs w:val="12"/>
                <w:color w:val="EC252A"/>
              </w:rPr>
              <w:t xml:space="preserve"> </w:t>
            </w:r>
            <w:r>
              <w:rPr>
                <w:rFonts w:ascii="Arial" w:cs="Arial" w:eastAsia="Arial" w:hAnsi="Arial"/>
                <w:sz w:val="14"/>
                <w:szCs w:val="14"/>
                <w:color w:val="EC252A"/>
              </w:rPr>
              <w:t>Annual Meeting</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ind w:right="23"/>
              <w:spacing w:after="0"/>
              <w:rPr>
                <w:sz w:val="20"/>
                <w:szCs w:val="20"/>
                <w:color w:val="auto"/>
              </w:rPr>
            </w:pPr>
            <w:r>
              <w:rPr>
                <w:rFonts w:ascii="Arial" w:cs="Arial" w:eastAsia="Arial" w:hAnsi="Arial"/>
                <w:sz w:val="16"/>
                <w:szCs w:val="16"/>
                <w:b w:val="1"/>
                <w:bCs w:val="1"/>
                <w:color w:val="auto"/>
              </w:rPr>
              <w:t>57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797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2" w:name="page63"/>
    <w:bookmarkEnd w:id="62"/>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409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840994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63" w:name="page64"/>
    <w:bookmarkEnd w:id="6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lvl w:ilvl="1">
      <w:lvlJc w:val="left"/>
      <w:lvlText w:val="☐"/>
      <w:numFmt w:val="bullet"/>
      <w:start w:val="1"/>
    </w:lvl>
  </w:abstractNum>
  <w:abstractNum w:abstractNumId="1">
    <w:nsid w:val="7C3DBD3D"/>
    <w:multiLevelType w:val="hybridMultilevel"/>
    <w:lvl w:ilvl="0">
      <w:lvlJc w:val="left"/>
      <w:lvlText w:val="☒"/>
      <w:numFmt w:val="bullet"/>
      <w:start w:val="1"/>
    </w:lvl>
    <w:lvl w:ilvl="1">
      <w:lvlJc w:val="left"/>
      <w:lvlText w:val="☐"/>
      <w:numFmt w:val="bullet"/>
      <w:start w:val="1"/>
    </w:lvl>
  </w:abstractNum>
  <w:abstractNum w:abstractNumId="2">
    <w:nsid w:val="737B8DDC"/>
    <w:multiLevelType w:val="hybridMultilevel"/>
    <w:lvl w:ilvl="0">
      <w:lvlJc w:val="left"/>
      <w:lvlText w:val="1"/>
      <w:numFmt w:val="bullet"/>
      <w:start w:val="1"/>
    </w:lvl>
  </w:abstractNum>
  <w:abstractNum w:abstractNumId="3">
    <w:nsid w:val="6CEAF087"/>
    <w:multiLevelType w:val="hybridMultilevel"/>
    <w:lvl w:ilvl="0">
      <w:lvlJc w:val="left"/>
      <w:lvlText w:val="5"/>
      <w:numFmt w:val="bullet"/>
      <w:start w:val="1"/>
    </w:lvl>
  </w:abstractNum>
  <w:abstractNum w:abstractNumId="4">
    <w:nsid w:val="22221A70"/>
    <w:multiLevelType w:val="hybridMultilevel"/>
    <w:lvl w:ilvl="0">
      <w:lvlJc w:val="left"/>
      <w:lvlText w:val="8"/>
      <w:numFmt w:val="bullet"/>
      <w:start w:val="1"/>
    </w:lvl>
  </w:abstractNum>
  <w:abstractNum w:abstractNumId="5">
    <w:nsid w:val="4516DDE9"/>
    <w:multiLevelType w:val="hybridMultilevel"/>
    <w:lvl w:ilvl="0">
      <w:lvlJc w:val="left"/>
      <w:lvlText w:val="%1"/>
      <w:numFmt w:val="decimal"/>
      <w:start w:val="19"/>
    </w:lvl>
  </w:abstractNum>
  <w:abstractNum w:abstractNumId="6">
    <w:nsid w:val="3006C83E"/>
    <w:multiLevelType w:val="hybridMultilevel"/>
    <w:lvl w:ilvl="0">
      <w:lvlJc w:val="left"/>
      <w:lvlText w:val="%1"/>
      <w:numFmt w:val="decimal"/>
      <w:start w:val="27"/>
    </w:lvl>
  </w:abstractNum>
  <w:abstractNum w:abstractNumId="7">
    <w:nsid w:val="614FD4A1"/>
    <w:multiLevelType w:val="hybridMultilevel"/>
    <w:lvl w:ilvl="0">
      <w:lvlJc w:val="left"/>
      <w:lvlText w:val="%1"/>
      <w:numFmt w:val="decimal"/>
      <w:start w:val="29"/>
    </w:lvl>
  </w:abstractNum>
  <w:abstractNum w:abstractNumId="8">
    <w:nsid w:val="419AC241"/>
    <w:multiLevelType w:val="hybridMultilevel"/>
    <w:lvl w:ilvl="0">
      <w:lvlJc w:val="left"/>
      <w:lvlText w:val="%1"/>
      <w:numFmt w:val="decimal"/>
      <w:start w:val="53"/>
    </w:lvl>
  </w:abstractNum>
  <w:abstractNum w:abstractNumId="9">
    <w:nsid w:val="5577F8E1"/>
    <w:multiLevelType w:val="hybridMultilevel"/>
    <w:lvl w:ilvl="0">
      <w:lvlJc w:val="left"/>
      <w:lvlText w:val="%1"/>
      <w:numFmt w:val="decimal"/>
      <w:start w:val="55"/>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lowerRoman"/>
      <w:start w:val="1"/>
    </w:lvl>
  </w:abstractNum>
  <w:abstractNum w:abstractNumId="25">
    <w:nsid w:val="2A487CB0"/>
    <w:multiLevelType w:val="hybridMultilevel"/>
    <w:lvl w:ilvl="0">
      <w:lvlJc w:val="left"/>
      <w:lvlText w:val="(%1)"/>
      <w:numFmt w:val="lowerRoman"/>
      <w:start w:val="6"/>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lvl w:ilvl="1">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lowerRoman"/>
      <w:start w:val="4"/>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2"/>
    </w:lvl>
    <w:lvl w:ilvl="1">
      <w:lvlJc w:val="left"/>
      <w:lvlText w:val="%2)"/>
      <w:numFmt w:val="decimal"/>
      <w:start w:val="1"/>
    </w:lvl>
  </w:abstractNum>
  <w:abstractNum w:abstractNumId="39">
    <w:nsid w:val="749ABB43"/>
    <w:multiLevelType w:val="hybridMultilevel"/>
    <w:lvl w:ilvl="0">
      <w:lvlJc w:val="left"/>
      <w:lvlText w:val="(%1)"/>
      <w:numFmt w:val="lowerRoman"/>
      <w:start w:val="1"/>
    </w:lvl>
  </w:abstractNum>
  <w:abstractNum w:abstractNumId="40">
    <w:nsid w:val="3DC240FB"/>
    <w:multiLevelType w:val="hybridMultilevel"/>
    <w:lvl w:ilvl="0">
      <w:lvlJc w:val="left"/>
      <w:lvlText w:val="(%1)"/>
      <w:numFmt w:val="lowerRoman"/>
      <w:start w:val="2"/>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6"/>
    </w:lvl>
  </w:abstractNum>
  <w:abstractNum w:abstractNumId="46">
    <w:nsid w:val="520EEDD1"/>
    <w:multiLevelType w:val="hybridMultilevel"/>
    <w:lvl w:ilvl="0">
      <w:lvlJc w:val="left"/>
      <w:lvlText w:val="(%1)"/>
      <w:numFmt w:val="decimal"/>
      <w:start w:val="7"/>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4"/>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5"/>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lowerRoman"/>
      <w:start w:val="2"/>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Roman"/>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2022-04-05T05:18:51Z</dcterms:created>
  <dcterms:modified xsi:type="dcterms:W3CDTF">2022-04-05T05:18:51Z</dcterms:modified>
</cp:coreProperties>
</file>