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0" w:lineRule="exact"/>
        <w:rPr>
          <w:sz w:val="24"/>
          <w:szCs w:val="24"/>
          <w:color w:val="auto"/>
        </w:rPr>
      </w:pPr>
    </w:p>
    <w:p>
      <w:pPr>
        <w:ind w:left="46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WESTINGHOUSE AIR BRAKE TECHNOLOGIES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CORPORATION</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3"/>
              </w:rPr>
              <w:t>Delaware</w:t>
            </w:r>
          </w:p>
        </w:tc>
        <w:tc>
          <w:tcPr>
            <w:tcW w:w="3480" w:type="dxa"/>
            <w:vAlign w:val="bottom"/>
          </w:tcPr>
          <w:p>
            <w:pPr>
              <w:jc w:val="right"/>
              <w:ind w:right="544"/>
              <w:spacing w:after="0"/>
              <w:rPr>
                <w:sz w:val="20"/>
                <w:szCs w:val="20"/>
                <w:color w:val="auto"/>
              </w:rPr>
            </w:pPr>
            <w:r>
              <w:rPr>
                <w:rFonts w:ascii="Arial" w:cs="Arial" w:eastAsia="Arial" w:hAnsi="Arial"/>
                <w:sz w:val="17"/>
                <w:szCs w:val="17"/>
                <w:b w:val="1"/>
                <w:bCs w:val="1"/>
                <w:color w:val="auto"/>
              </w:rPr>
              <w:t>25-1615902</w:t>
            </w:r>
          </w:p>
        </w:tc>
      </w:tr>
      <w:tr>
        <w:trPr>
          <w:trHeight w:val="179"/>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5"/>
              </w:rPr>
              <w:t>(State or other jurisdiction of incorporation or organization)</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28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0"/>
              </w:rPr>
              <w:t>30 Isabella Street Pittsburgh, Pennsylvania</w:t>
            </w:r>
          </w:p>
        </w:tc>
        <w:tc>
          <w:tcPr>
            <w:tcW w:w="3480" w:type="dxa"/>
            <w:vAlign w:val="bottom"/>
          </w:tcPr>
          <w:p>
            <w:pPr>
              <w:jc w:val="right"/>
              <w:ind w:right="744"/>
              <w:spacing w:after="0"/>
              <w:rPr>
                <w:sz w:val="20"/>
                <w:szCs w:val="20"/>
                <w:color w:val="auto"/>
              </w:rPr>
            </w:pPr>
            <w:r>
              <w:rPr>
                <w:rFonts w:ascii="Arial" w:cs="Arial" w:eastAsia="Arial" w:hAnsi="Arial"/>
                <w:sz w:val="17"/>
                <w:szCs w:val="17"/>
                <w:b w:val="1"/>
                <w:bCs w:val="1"/>
                <w:color w:val="auto"/>
              </w:rPr>
              <w:t>15212</w:t>
            </w:r>
          </w:p>
        </w:tc>
      </w:tr>
      <w:tr>
        <w:trPr>
          <w:trHeight w:val="179"/>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3"/>
              </w:rPr>
              <w:t>(Zip code)</w:t>
            </w:r>
          </w:p>
        </w:tc>
      </w:tr>
    </w:tbl>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412-825-1000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26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Class</w:t>
            </w:r>
          </w:p>
        </w:tc>
        <w:tc>
          <w:tcPr>
            <w:tcW w:w="25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Trading Symbol(s)</w:t>
            </w:r>
          </w:p>
        </w:tc>
        <w:tc>
          <w:tcPr>
            <w:tcW w:w="4420" w:type="dxa"/>
            <w:vAlign w:val="bottom"/>
            <w:tcBorders>
              <w:bottom w:val="single" w:sz="8" w:color="auto"/>
            </w:tcBorders>
          </w:tcPr>
          <w:p>
            <w:pPr>
              <w:jc w:val="center"/>
              <w:ind w:right="38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4"/>
        </w:trPr>
        <w:tc>
          <w:tcPr>
            <w:tcW w:w="4260" w:type="dxa"/>
            <w:vAlign w:val="bottom"/>
          </w:tcPr>
          <w:p>
            <w:pPr>
              <w:ind w:left="1060"/>
              <w:spacing w:after="0"/>
              <w:rPr>
                <w:sz w:val="20"/>
                <w:szCs w:val="20"/>
                <w:color w:val="auto"/>
              </w:rPr>
            </w:pPr>
            <w:r>
              <w:rPr>
                <w:rFonts w:ascii="Arial" w:cs="Arial" w:eastAsia="Arial" w:hAnsi="Arial"/>
                <w:sz w:val="15"/>
                <w:szCs w:val="15"/>
                <w:color w:val="auto"/>
              </w:rPr>
              <w:t>Common Stock, $.01 par value per share</w:t>
            </w:r>
          </w:p>
        </w:tc>
        <w:tc>
          <w:tcPr>
            <w:tcW w:w="2500" w:type="dxa"/>
            <w:vAlign w:val="bottom"/>
          </w:tcPr>
          <w:p>
            <w:pPr>
              <w:ind w:left="1040"/>
              <w:spacing w:after="0"/>
              <w:rPr>
                <w:sz w:val="20"/>
                <w:szCs w:val="20"/>
                <w:color w:val="auto"/>
              </w:rPr>
            </w:pPr>
            <w:r>
              <w:rPr>
                <w:rFonts w:ascii="Arial" w:cs="Arial" w:eastAsia="Arial" w:hAnsi="Arial"/>
                <w:sz w:val="15"/>
                <w:szCs w:val="15"/>
                <w:color w:val="auto"/>
              </w:rPr>
              <w:t>WAB</w:t>
            </w:r>
          </w:p>
        </w:tc>
        <w:tc>
          <w:tcPr>
            <w:tcW w:w="4420" w:type="dxa"/>
            <w:vAlign w:val="bottom"/>
          </w:tcPr>
          <w:p>
            <w:pPr>
              <w:jc w:val="center"/>
              <w:ind w:right="386"/>
              <w:spacing w:after="0"/>
              <w:rPr>
                <w:sz w:val="20"/>
                <w:szCs w:val="20"/>
                <w:color w:val="auto"/>
              </w:rPr>
            </w:pPr>
            <w:r>
              <w:rPr>
                <w:rFonts w:ascii="Arial" w:cs="Arial" w:eastAsia="Arial" w:hAnsi="Arial"/>
                <w:sz w:val="15"/>
                <w:szCs w:val="15"/>
                <w:color w:val="auto"/>
                <w:w w:val="92"/>
              </w:rPr>
              <w:t>New York Stock Exchange</w:t>
            </w:r>
          </w:p>
        </w:tc>
      </w:tr>
    </w:tbl>
    <w:p>
      <w:pPr>
        <w:spacing w:after="0" w:line="97" w:lineRule="exact"/>
        <w:rPr>
          <w:sz w:val="24"/>
          <w:szCs w:val="24"/>
          <w:color w:val="auto"/>
        </w:rPr>
      </w:pPr>
    </w:p>
    <w:p>
      <w:pPr>
        <w:ind w:right="120" w:firstLine="486"/>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00" w:firstLine="486"/>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486"/>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394" w:right="359" w:bottom="1440" w:gutter="0" w:footer="0" w:header="0"/>
        </w:sectPr>
      </w:pPr>
    </w:p>
    <w:p>
      <w:pPr>
        <w:spacing w:after="0" w:line="27" w:lineRule="exact"/>
        <w:rPr>
          <w:sz w:val="24"/>
          <w:szCs w:val="24"/>
          <w:color w:val="auto"/>
        </w:rPr>
      </w:pPr>
    </w:p>
    <w:p>
      <w:pPr>
        <w:ind w:left="1580"/>
        <w:spacing w:after="0"/>
        <w:rPr>
          <w:sz w:val="20"/>
          <w:szCs w:val="20"/>
          <w:color w:val="auto"/>
        </w:rPr>
      </w:pPr>
      <w:r>
        <w:rPr>
          <w:rFonts w:ascii="Arial" w:cs="Arial" w:eastAsia="Arial" w:hAnsi="Arial"/>
          <w:sz w:val="15"/>
          <w:szCs w:val="15"/>
          <w:color w:val="auto"/>
        </w:rPr>
        <w:t>Large accelerated filer</w:t>
      </w:r>
    </w:p>
    <w:p>
      <w:pPr>
        <w:spacing w:after="0" w:line="30" w:lineRule="exact"/>
        <w:rPr>
          <w:sz w:val="24"/>
          <w:szCs w:val="24"/>
          <w:color w:val="auto"/>
        </w:rPr>
      </w:pPr>
    </w:p>
    <w:p>
      <w:pPr>
        <w:ind w:left="15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80" w:lineRule="exact"/>
        <w:rPr>
          <w:sz w:val="24"/>
          <w:szCs w:val="24"/>
          <w:color w:val="auto"/>
        </w:rPr>
      </w:pPr>
    </w:p>
    <w:p>
      <w:pPr>
        <w:sectPr>
          <w:pgSz w:w="11900" w:h="16838" w:orient="portrait"/>
          <w:cols w:equalWidth="0" w:num="6">
            <w:col w:w="3280" w:space="720"/>
            <w:col w:w="140" w:space="320"/>
            <w:col w:w="1700" w:space="720"/>
            <w:col w:w="140" w:space="320"/>
            <w:col w:w="1300" w:space="600"/>
            <w:col w:w="1980"/>
          </w:cols>
          <w:pgMar w:left="320" w:top="1394" w:right="359" w:bottom="1440" w:gutter="0" w:footer="0" w:header="0"/>
          <w:type w:val="continuous"/>
        </w:sectPr>
      </w:pPr>
    </w:p>
    <w:p>
      <w:pPr>
        <w:ind w:right="60" w:firstLine="486"/>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8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As of April 22, 2021, there were 188,997,682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94"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00" w:type="dxa"/>
            <w:vAlign w:val="bottom"/>
            <w:gridSpan w:val="16"/>
          </w:tcPr>
          <w:p>
            <w:pPr>
              <w:ind w:left="40"/>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18"/>
                <w:szCs w:val="18"/>
                <w:color w:val="auto"/>
              </w:rPr>
            </w:pPr>
          </w:p>
        </w:tc>
      </w:tr>
      <w:tr>
        <w:trPr>
          <w:trHeight w:val="54"/>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 (Unaudited)</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March 31, 2021 and December 31, </w:t>
              </w:r>
            </w:hyperlink>
            <w:r>
              <w:rPr>
                <w:rFonts w:ascii="Arial" w:cs="Arial" w:eastAsia="Arial" w:hAnsi="Arial"/>
                <w:sz w:val="18"/>
                <w:szCs w:val="18"/>
                <w:color w:val="0000FF"/>
              </w:rPr>
              <w:t>2020</w:t>
            </w:r>
          </w:p>
        </w:tc>
        <w:tc>
          <w:tcPr>
            <w:tcW w:w="560" w:type="dxa"/>
            <w:vAlign w:val="bottom"/>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months ended March 31, 2021 and 2020</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Comprehensive Income for the three months ended March 31, 2021 and </w:t>
              </w:r>
            </w:hyperlink>
            <w:r>
              <w:rPr>
                <w:rFonts w:ascii="Arial" w:cs="Arial" w:eastAsia="Arial" w:hAnsi="Arial"/>
                <w:sz w:val="18"/>
                <w:szCs w:val="18"/>
                <w:color w:val="0000FF"/>
              </w:rPr>
              <w:t>2020</w:t>
            </w:r>
          </w:p>
        </w:tc>
        <w:tc>
          <w:tcPr>
            <w:tcW w:w="560" w:type="dxa"/>
            <w:vAlign w:val="bottom"/>
          </w:tcPr>
          <w:p>
            <w:pPr>
              <w:jc w:val="right"/>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three months ended </w:t>
              </w:r>
            </w:hyperlink>
            <w:r>
              <w:rPr>
                <w:rFonts w:ascii="Arial" w:cs="Arial" w:eastAsia="Arial" w:hAnsi="Arial"/>
                <w:sz w:val="18"/>
                <w:szCs w:val="18"/>
                <w:color w:val="0000FF"/>
              </w:rPr>
              <w:t xml:space="preserve">March </w:t>
            </w:r>
            <w:hyperlink w:anchor="page5">
              <w:r>
                <w:rPr>
                  <w:rFonts w:ascii="Arial" w:cs="Arial" w:eastAsia="Arial" w:hAnsi="Arial"/>
                  <w:sz w:val="18"/>
                  <w:szCs w:val="18"/>
                  <w:color w:val="0000FF"/>
                </w:rPr>
                <w:t>31, 2021 and 2020</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Shareholders' Equity for the three months ended March 31, 2021 and 2020</w:t>
              </w:r>
            </w:hyperlink>
          </w:p>
        </w:tc>
        <w:tc>
          <w:tcPr>
            <w:tcW w:w="560" w:type="dxa"/>
            <w:vAlign w:val="bottom"/>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5700" w:type="dxa"/>
            <w:vAlign w:val="bottom"/>
            <w:tcBorders>
              <w:bottom w:val="single" w:sz="8" w:color="CCEEFF"/>
            </w:tcBorders>
            <w:gridSpan w:val="9"/>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3.</w:t>
            </w:r>
          </w:p>
        </w:tc>
        <w:tc>
          <w:tcPr>
            <w:tcW w:w="1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1"/>
              </w:rPr>
            </w:pPr>
            <w:hyperlink w:anchor="page34">
              <w:r>
                <w:rPr>
                  <w:rFonts w:ascii="Arial" w:cs="Arial" w:eastAsia="Arial" w:hAnsi="Arial"/>
                  <w:sz w:val="18"/>
                  <w:szCs w:val="18"/>
                  <w:color w:val="0000FF"/>
                  <w:w w:val="91"/>
                </w:rPr>
                <w:t>Quantitative and Qualitative Disclosures about Market Risk</w:t>
              </w:r>
            </w:hyperlink>
          </w:p>
        </w:tc>
        <w:tc>
          <w:tcPr>
            <w:tcW w:w="5380" w:type="dxa"/>
            <w:vAlign w:val="bottom"/>
            <w:tcBorders>
              <w:bottom w:val="single" w:sz="8" w:color="CCEEFF"/>
            </w:tcBorders>
            <w:gridSpan w:val="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60" w:type="dxa"/>
            <w:vAlign w:val="bottom"/>
          </w:tcPr>
          <w:p>
            <w:pPr>
              <w:jc w:val="right"/>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shd w:val="clear" w:color="auto" w:fill="CCEEFF"/>
          </w:tcPr>
          <w:p>
            <w:pPr>
              <w:spacing w:after="0"/>
              <w:rPr>
                <w:sz w:val="19"/>
                <w:szCs w:val="19"/>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560" w:type="dxa"/>
            <w:vAlign w:val="bottom"/>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1A.</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560" w:type="dxa"/>
            <w:vAlign w:val="bottom"/>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4.</w:t>
            </w: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5"/>
            <w:shd w:val="clear" w:color="auto" w:fill="CCEEFF"/>
          </w:tcPr>
          <w:p>
            <w:pPr>
              <w:spacing w:after="0" w:line="189"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Mine Safety Disclosures</w:t>
              </w:r>
            </w:hyperlink>
          </w:p>
        </w:tc>
        <w:tc>
          <w:tcPr>
            <w:tcW w:w="7920" w:type="dxa"/>
            <w:vAlign w:val="bottom"/>
            <w:tcBorders>
              <w:bottom w:val="single" w:sz="8" w:color="CCEEFF"/>
            </w:tcBorders>
            <w:gridSpan w:val="11"/>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6.</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560" w:type="dxa"/>
            <w:vAlign w:val="bottom"/>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984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par value</w:t>
            </w: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00"/>
              <w:spacing w:after="0" w:line="149" w:lineRule="exact"/>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99"/>
              <w:spacing w:after="0" w:line="149" w:lineRule="exact"/>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6360" w:type="dxa"/>
            <w:vAlign w:val="bottom"/>
            <w:shd w:val="clear" w:color="auto" w:fill="CCEEFF"/>
          </w:tcPr>
          <w:p>
            <w:pPr>
              <w:jc w:val="center"/>
              <w:ind w:right="1628"/>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60" w:type="dxa"/>
            <w:vAlign w:val="bottom"/>
            <w:gridSpan w:val="2"/>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3,779.0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8,485.2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18,543.2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360" w:type="dxa"/>
            <w:vAlign w:val="bottom"/>
            <w:shd w:val="clear" w:color="auto" w:fill="CCEEFF"/>
          </w:tcPr>
          <w:p>
            <w:pPr>
              <w:jc w:val="center"/>
              <w:ind w:right="1648"/>
              <w:spacing w:after="0" w:line="156" w:lineRule="exact"/>
              <w:rPr>
                <w:sz w:val="20"/>
                <w:szCs w:val="20"/>
                <w:color w:val="auto"/>
              </w:rPr>
            </w:pPr>
            <w:r>
              <w:rPr>
                <w:rFonts w:ascii="Arial" w:cs="Arial" w:eastAsia="Arial" w:hAnsi="Arial"/>
                <w:sz w:val="14"/>
                <w:szCs w:val="14"/>
                <w:b w:val="1"/>
                <w:bCs w:val="1"/>
                <w:color w:val="auto"/>
                <w:w w:val="94"/>
              </w:rPr>
              <w:t>Liabilities and Shareholders’ Equity</w:t>
            </w: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Accrued warranty</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postretirement and pension benefits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 term liabilities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60" w:type="dxa"/>
            <w:vAlign w:val="bottom"/>
            <w:gridSpan w:val="2"/>
          </w:tcPr>
          <w:p>
            <w:pPr>
              <w:spacing w:after="0" w:line="166" w:lineRule="exact"/>
              <w:rPr>
                <w:sz w:val="20"/>
                <w:szCs w:val="20"/>
                <w:color w:val="auto"/>
              </w:rPr>
            </w:pPr>
            <w:r>
              <w:rPr>
                <w:rFonts w:ascii="Arial" w:cs="Arial" w:eastAsia="Arial" w:hAnsi="Arial"/>
                <w:sz w:val="16"/>
                <w:szCs w:val="16"/>
                <w:color w:val="auto"/>
                <w:w w:val="91"/>
              </w:rPr>
              <w:t>Common stock, $.01 par value; 500.0 shares authorized: 226.9 shares issued and 188.9 outstanding at March 31, 2021 and</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Treasury stock, at cost, 38.0 shares, at March 31, 2021 and December 31, 2020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10,177.1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18,543.2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Unaudited</w:t>
            </w: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Three Months Ended March 31,</w:t>
            </w:r>
          </w:p>
        </w:tc>
      </w:tr>
      <w:tr>
        <w:trPr>
          <w:trHeight w:val="182"/>
        </w:trPr>
        <w:tc>
          <w:tcPr>
            <w:tcW w:w="20" w:type="dxa"/>
            <w:vAlign w:val="bottom"/>
          </w:tcPr>
          <w:p>
            <w:pPr>
              <w:spacing w:after="0"/>
              <w:rPr>
                <w:sz w:val="15"/>
                <w:szCs w:val="15"/>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80" w:type="dxa"/>
            <w:vAlign w:val="bottom"/>
          </w:tcPr>
          <w:p>
            <w:pPr>
              <w:spacing w:after="0"/>
              <w:rPr>
                <w:sz w:val="15"/>
                <w:szCs w:val="15"/>
                <w:color w:val="auto"/>
              </w:rPr>
            </w:pPr>
          </w:p>
        </w:tc>
        <w:tc>
          <w:tcPr>
            <w:tcW w:w="1240" w:type="dxa"/>
            <w:vAlign w:val="bottom"/>
          </w:tcPr>
          <w:p>
            <w:pPr>
              <w:jc w:val="right"/>
              <w:ind w:right="511"/>
              <w:spacing w:after="0" w:line="181"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10"/>
              <w:spacing w:after="0" w:line="18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6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of goods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1,929.9</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goods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578.7</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(243.4)</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Engineering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expense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30"/>
        </w:trPr>
        <w:tc>
          <w:tcPr>
            <w:tcW w:w="2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191.4</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Unaudited</w:t>
            </w: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Three Months Ended March 31,</w:t>
            </w:r>
          </w:p>
        </w:tc>
      </w:tr>
      <w:tr>
        <w:trPr>
          <w:trHeight w:val="182"/>
        </w:trPr>
        <w:tc>
          <w:tcPr>
            <w:tcW w:w="20" w:type="dxa"/>
            <w:vAlign w:val="bottom"/>
          </w:tcPr>
          <w:p>
            <w:pPr>
              <w:spacing w:after="0"/>
              <w:rPr>
                <w:sz w:val="15"/>
                <w:szCs w:val="15"/>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1240" w:type="dxa"/>
            <w:vAlign w:val="bottom"/>
          </w:tcPr>
          <w:p>
            <w:pPr>
              <w:jc w:val="right"/>
              <w:ind w:right="512"/>
              <w:spacing w:after="0" w:line="181"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11"/>
              <w:spacing w:after="0" w:line="18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Unrealized (loss) gain on derivative contracts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pension benefit plans and post-retirement benefit plans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 related to components of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income (loss) attributable to Wabtec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Unaudited</w:t>
            </w: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Three Months Ended March 31,</w:t>
            </w:r>
          </w:p>
        </w:tc>
      </w:tr>
      <w:tr>
        <w:trPr>
          <w:trHeight w:val="182"/>
        </w:trPr>
        <w:tc>
          <w:tcPr>
            <w:tcW w:w="20" w:type="dxa"/>
            <w:vAlign w:val="bottom"/>
          </w:tcPr>
          <w:p>
            <w:pPr>
              <w:spacing w:after="0"/>
              <w:rPr>
                <w:sz w:val="15"/>
                <w:szCs w:val="15"/>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1240" w:type="dxa"/>
            <w:vAlign w:val="bottom"/>
          </w:tcPr>
          <w:p>
            <w:pPr>
              <w:jc w:val="right"/>
              <w:ind w:right="511"/>
              <w:spacing w:after="0" w:line="181"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10"/>
              <w:spacing w:after="0" w:line="18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cash provided by (used for) operating activities: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Below market intangible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 net of acquisitions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receivable and unbilled accounts receivable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Accrued liabilities and customer deposits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assets and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provided by (used for) operating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assets and businesses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981.5</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 of debt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Repurchase of stock</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dividends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(Decrease) increase in cash</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Treasury</w:t>
            </w: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4"/>
                <w:szCs w:val="4"/>
                <w:color w:val="auto"/>
              </w:rPr>
            </w:pPr>
          </w:p>
        </w:tc>
        <w:tc>
          <w:tcPr>
            <w:tcW w:w="6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Paid-in Capital</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 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 share data</w:t>
            </w: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Amount</w:t>
            </w:r>
          </w:p>
        </w:tc>
        <w:tc>
          <w:tcPr>
            <w:tcW w:w="100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3,588.9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7,883.9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(1,011.1)</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3,678.3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7,875.0</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3,355.6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line="289" w:lineRule="auto"/>
        <w:rPr>
          <w:sz w:val="20"/>
          <w:szCs w:val="20"/>
          <w:color w:val="auto"/>
        </w:rPr>
      </w:pPr>
      <w:r>
        <w:rPr>
          <w:rFonts w:ascii="Arial" w:cs="Arial" w:eastAsia="Arial" w:hAnsi="Arial"/>
          <w:sz w:val="17"/>
          <w:szCs w:val="17"/>
          <w:b w:val="1"/>
          <w:bCs w:val="1"/>
          <w:color w:val="auto"/>
        </w:rPr>
        <w:t>WESTINGHOUSE AIR BRAKE TECHNOLOGIES CORPORATION NOTES TO CONDENSED CONSOLIDATED FINANCIAL STATEMENTS FOR THE QUARTERLY PERIOD ENDED MARCH 31, 2021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2021, approximately 64% of the Company’s revenues came from customers outside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unaudited condensed consolidated interim financial statements have been prepared in accordance with generally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 particularly in light of the ongoing COVID-19 pandemic that is continuing to impact our sales channels, supply chain, manufacturing operations, workforce, and other key aspects of our operations and the high degree of uncertainty regarding the pandemic's duration and severity, availability and effectiveness of vaccines, impact of variants of the disease, actions to control it, and the potential impact on global economic activity, global supply chain operations and our customers, suppliers, and end-markets.</w:t>
      </w:r>
    </w:p>
    <w:p>
      <w:pPr>
        <w:spacing w:after="0" w:line="58"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6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2020. The December 31, 2020 information has been derived from the Company’s Annual Report on Form 10-K for the year ended December 31, 2020.</w:t>
      </w:r>
    </w:p>
    <w:p>
      <w:pPr>
        <w:spacing w:after="0" w:line="76"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A majority of the Company’s revenues are derived from performance obligations that are satisfied at a point in time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76"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57"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right="60"/>
        <w:spacing w:after="0" w:line="255" w:lineRule="auto"/>
        <w:rPr>
          <w:sz w:val="20"/>
          <w:szCs w:val="20"/>
          <w:color w:val="auto"/>
        </w:rPr>
      </w:pPr>
      <w:r>
        <w:rPr>
          <w:rFonts w:ascii="Arial" w:cs="Arial" w:eastAsia="Arial" w:hAnsi="Arial"/>
          <w:sz w:val="18"/>
          <w:szCs w:val="18"/>
          <w:color w:val="auto"/>
        </w:rPr>
        <w:t>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8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Remaining performance obligations represent the transaction price of firm customer orders subject to standard industry cancellation provisions and substantial scope-of-work adjustments. As of March 31, 2021, the Company's remaining performance obligations were $21.0 billion. The Company expects to recognize revenue of approximately 25% of the remaining performance obligations over the next 12 months, with the remainder recognized thereafter.</w:t>
      </w:r>
    </w:p>
    <w:p>
      <w:pPr>
        <w:spacing w:after="0" w:line="4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SEC regulations require that revenue categories that exceed 10% of total revenue are presented separately on the company's Statement of income. As such, the Company has displayed sales of goods and sales of services, and the related cost, in line with those regulations. Additionally, those regulations also require that goods are to include all sales of tangible products, and services must include all other sales. In Note 16 we refer to sales of both goods, such as spare parts and equipment upgrades, and related services, such as monitoring, maintenance and repairs, as sales in our Services product line.</w:t>
      </w:r>
    </w:p>
    <w:p>
      <w:pPr>
        <w:spacing w:after="0" w:line="49"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b w:val="1"/>
          <w:bCs w:val="1"/>
          <w:i w:val="1"/>
          <w:iCs w:val="1"/>
          <w:color w:val="auto"/>
        </w:rPr>
        <w:t xml:space="preserve">Revolving Receivables Program </w:t>
      </w:r>
      <w:r>
        <w:rPr>
          <w:rFonts w:ascii="Arial" w:cs="Arial" w:eastAsia="Arial" w:hAnsi="Arial"/>
          <w:sz w:val="16"/>
          <w:szCs w:val="16"/>
          <w:color w:val="auto"/>
        </w:rPr>
        <w:t>In May 2020, the Company entered into a revolving agreement to transfer up to $150 million of certain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certain subsidiaries of the Company (the "Originators") through our bankruptcy-remote subsidiary to a financial institution on a recurring basis in exchange for cash equal to the gross receivables transferred. During the first quarter of 2021, the Company amended its revolving agreement to increase the amount of certain receivables that can be transferred from $150 million to $200 million. As customers pay their balances, we transfer additional receivables into the program, resulting in our gross receivables sold exceeding net cash flow impacts (e.g., collect and reinvest). The sold receivables are fully guaranteed by our bankruptcy-remote subsidiary which held additional receivables of $259.7 million at March 31, 2021 that are pledged as collateral under</w:t>
      </w:r>
    </w:p>
    <w:p>
      <w:pPr>
        <w:spacing w:after="0" w:line="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this agreement. The transfers are recorded at the fair value of the proceeds received and obligations assumed less derecognized receivables. No obligation was recorded at March 31, 2021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(except for the bankruptcy-remote consolidated subsidiary referenced above) nor the Originators guarantees the collectability of the receivables under the revolving agreements.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receivables sold: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60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receivables sold/cash proceeds received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Collections reinvested under revolving agreement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proceeds received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b w:val="1"/>
          <w:bCs w:val="1"/>
          <w:i w:val="1"/>
          <w:iCs w:val="1"/>
          <w:color w:val="auto"/>
        </w:rPr>
        <w:t xml:space="preserve">Depreciation Expense </w:t>
      </w:r>
      <w:r>
        <w:rPr>
          <w:rFonts w:ascii="Arial" w:cs="Arial" w:eastAsia="Arial" w:hAnsi="Arial"/>
          <w:sz w:val="16"/>
          <w:szCs w:val="16"/>
          <w:color w:val="auto"/>
        </w:rPr>
        <w:t>Depreciation of property, plant and equipment related to the manufacturing of products or services provided is included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goods or Cost of services. Depreciation of other property, plant and equipment that is not attributable to the manufacturing of products or services provided is included in Selling, general and administrative expenses or Engineering expense depending on how the property, plant and equipment is used.</w:t>
      </w:r>
    </w:p>
    <w:p>
      <w:pPr>
        <w:spacing w:after="0" w:line="4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other intangible assets with indefinite lives are not amortized. Other intangibles (with definite lives)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the carrying value may not be recoverable. Periodically, management of the Company assesses whether or not an indicator of impairment is present would necessitate an impairment analysis be performed.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ind w:right="160" w:firstLine="486"/>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Recently Adopted </w:t>
      </w:r>
      <w:r>
        <w:rPr>
          <w:rFonts w:ascii="Arial" w:cs="Arial" w:eastAsia="Arial" w:hAnsi="Arial"/>
          <w:sz w:val="18"/>
          <w:szCs w:val="18"/>
          <w:color w:val="auto"/>
        </w:rPr>
        <w:t>In December 2019, the Financial Accounting Standards Board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Update ("ASU") 2019-12, “Income Taxes: Simplifying the Accounting for Income Taxes.” The amendments in this update simplify the accounting for certain income tax transactions by removing specific exceptions to the general principles in Accounting Standards Codification ("ASC") 740, "Income Taxes." This guidance is effective for fiscal years beginning after December 15, 2020 with early adoption permitted. The adoption of this standard did not have a material impact on the Company's consolidated financial statements.</w:t>
      </w:r>
    </w:p>
    <w:p>
      <w:pPr>
        <w:spacing w:after="0" w:line="80"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and circumstances from non-owner sources.</w:t>
      </w:r>
    </w:p>
    <w:p>
      <w:pPr>
        <w:spacing w:after="0" w:line="62"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changes in accumulated other comprehensive income (loss) by component, net of tax, for the three months ended March 31, 2021 are as follows: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Foreign currency</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Pension and post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0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 contracts</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retirement benefit</w:t>
            </w:r>
          </w:p>
        </w:tc>
        <w:tc>
          <w:tcPr>
            <w:tcW w:w="300" w:type="dxa"/>
            <w:vAlign w:val="bottom"/>
          </w:tcPr>
          <w:p>
            <w:pPr>
              <w:spacing w:after="0"/>
              <w:rPr>
                <w:sz w:val="11"/>
                <w:szCs w:val="11"/>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plans</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30"/>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current-period other comprehensive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March 31, 2020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Foreign currency</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Pension and post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 contracts</w:t>
            </w:r>
          </w:p>
        </w:tc>
        <w:tc>
          <w:tcPr>
            <w:tcW w:w="10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retirement benefit</w:t>
            </w:r>
          </w:p>
        </w:tc>
        <w:tc>
          <w:tcPr>
            <w:tcW w:w="300" w:type="dxa"/>
            <w:vAlign w:val="bottom"/>
          </w:tcPr>
          <w:p>
            <w:pPr>
              <w:spacing w:after="0"/>
              <w:rPr>
                <w:sz w:val="11"/>
                <w:szCs w:val="11"/>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plans</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Reclassifications out of accumulated other comprehensive income (loss) are recognized in "Other income (expense), net" with the tax impact recognized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Nordco</w:t>
      </w:r>
    </w:p>
    <w:p>
      <w:pPr>
        <w:spacing w:after="0" w:line="17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$407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The following table summarizes the preliminary fair value of the Nordco assets acquired and liabilities assumed: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Other intangible assets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163.5</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rPr>
              <w:t>Total assets acquired</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467.7</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liabilities</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liabilities assumed</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These estimates are preliminary in nature and subject to adjustments, which could be material, as the Company has not completed its valuation of assets acquired and liabilities assumed. Any necessary adjustments will be finalized within one year from the date of acquisition. Substantially all of the accounts receivable acquired are expected to be collectible. Intangible assets acquired include customer relationships and intellectual property that are subject to amortization, and trade names that were assigned an indefinite life and are not subject to amortization. Contingent liabilities assumed as part of the transaction were not material.</w:t>
      </w:r>
    </w:p>
    <w:p>
      <w:pPr>
        <w:spacing w:after="0" w:line="69"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will be reported within the Freight segment and the Services product line. The pro-forma impact on Wabtec’s sales and results of operations, including the pro forma effect of events that are directly attributable to the acquisition, was not significant.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6"/>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36"/>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three months ended March 31, 2021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Freight Segment</w:t>
            </w:r>
          </w:p>
        </w:tc>
        <w:tc>
          <w:tcPr>
            <w:tcW w:w="2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Transit Segment</w:t>
            </w:r>
          </w:p>
        </w:tc>
        <w:tc>
          <w:tcPr>
            <w:tcW w:w="360" w:type="dxa"/>
            <w:vAlign w:val="bottom"/>
          </w:tcPr>
          <w:p>
            <w:pPr>
              <w:spacing w:after="0"/>
              <w:rPr>
                <w:sz w:val="14"/>
                <w:szCs w:val="14"/>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8,485.2</w:t>
            </w: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Additions / opening balance sheet adjustments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8,625.7</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As of March 31, 2021 and December 31, 2020, the Company’s trade names had a net carrying amount of $659.2 million and $650.7 million, respectively. The Company believes these intangibles have indefinite lives, with the exception of the right to use the GE Transportation trade name, to which the Company has assigned a useful life of 5 years.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6"/>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36"/>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5"/>
                <w:szCs w:val="15"/>
                <w:color w:val="auto"/>
              </w:rPr>
              <w:t>Intellectual property, patents, and other intangibles, net of accumulated amortization of $248.6 and $223.7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Backlog, net of accumulated amortization of $231.8 and $206.9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Customer relationships, net of accumulated amortization of $287.4 and $276.3</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weighted average remaining useful life of backlog, intellectual property, customer relationships and other intangible assets were 13 years, 12 years, 17 years and 8 years, respectively. The backlog intangible asset primarily consists of in-place long-term service agreements acquired by the Company in conjunction with the acquisition of GE Transportation in 2019. Amortization expense for intangible assets was $69.5 million and $69.0 million for the three months ended March 31, 2021 and 2020, respectively.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30"/>
        </w:trPr>
        <w:tc>
          <w:tcPr>
            <w:tcW w:w="680" w:type="dxa"/>
            <w:vAlign w:val="bottom"/>
            <w:gridSpan w:val="2"/>
          </w:tcPr>
          <w:p>
            <w:pPr>
              <w:jc w:val="right"/>
              <w:ind w:right="139"/>
              <w:spacing w:after="0"/>
              <w:rPr>
                <w:sz w:val="20"/>
                <w:szCs w:val="20"/>
                <w:color w:val="auto"/>
              </w:rPr>
            </w:pPr>
            <w:r>
              <w:rPr>
                <w:rFonts w:ascii="Arial" w:cs="Arial" w:eastAsia="Arial" w:hAnsi="Arial"/>
                <w:sz w:val="18"/>
                <w:szCs w:val="18"/>
                <w:color w:val="auto"/>
              </w:rPr>
              <w:t>2022</w:t>
            </w:r>
          </w:p>
        </w:tc>
        <w:tc>
          <w:tcPr>
            <w:tcW w:w="49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289.9</w:t>
            </w:r>
          </w:p>
        </w:tc>
      </w:tr>
      <w:tr>
        <w:trPr>
          <w:trHeight w:val="230"/>
        </w:trPr>
        <w:tc>
          <w:tcPr>
            <w:tcW w:w="6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2023</w:t>
            </w:r>
          </w:p>
        </w:tc>
        <w:tc>
          <w:tcPr>
            <w:tcW w:w="490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r>
      <w:tr>
        <w:trPr>
          <w:trHeight w:val="230"/>
        </w:trPr>
        <w:tc>
          <w:tcPr>
            <w:tcW w:w="680" w:type="dxa"/>
            <w:vAlign w:val="bottom"/>
            <w:gridSpan w:val="2"/>
          </w:tcPr>
          <w:p>
            <w:pPr>
              <w:jc w:val="right"/>
              <w:ind w:right="139"/>
              <w:spacing w:after="0"/>
              <w:rPr>
                <w:sz w:val="20"/>
                <w:szCs w:val="20"/>
                <w:color w:val="auto"/>
              </w:rPr>
            </w:pPr>
            <w:r>
              <w:rPr>
                <w:rFonts w:ascii="Arial" w:cs="Arial" w:eastAsia="Arial" w:hAnsi="Arial"/>
                <w:sz w:val="18"/>
                <w:szCs w:val="18"/>
                <w:color w:val="auto"/>
              </w:rPr>
              <w:t>2024</w:t>
            </w:r>
          </w:p>
        </w:tc>
        <w:tc>
          <w:tcPr>
            <w:tcW w:w="49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279.8</w:t>
            </w:r>
          </w:p>
        </w:tc>
      </w:tr>
      <w:tr>
        <w:trPr>
          <w:trHeight w:val="229"/>
        </w:trPr>
        <w:tc>
          <w:tcPr>
            <w:tcW w:w="6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2025</w:t>
            </w:r>
          </w:p>
        </w:tc>
        <w:tc>
          <w:tcPr>
            <w:tcW w:w="490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$112.4 million at March 31, 2021 and $101.0 million at December 31, 2020,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58"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$72.3 million at March 31, 2021 and $79.6 million at December 31, 2020.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right="180"/>
        <w:spacing w:after="0" w:line="277" w:lineRule="auto"/>
        <w:rPr>
          <w:sz w:val="20"/>
          <w:szCs w:val="20"/>
          <w:color w:val="auto"/>
        </w:rPr>
      </w:pPr>
      <w:r>
        <w:rPr>
          <w:rFonts w:ascii="Arial" w:cs="Arial" w:eastAsia="Arial" w:hAnsi="Arial"/>
          <w:sz w:val="18"/>
          <w:szCs w:val="18"/>
          <w:color w:val="auto"/>
        </w:rPr>
        <w:t>$120.2 million and $108.9 million at March 31, 2021 and December 31, 2020, respectively. These provisions for estimated losses are classified as current liabilities and included within the caption “Other accrued liabilities” on the consolidated balance sheet.</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change in the carrying amount of contract assets and contract liabilities for the three months ended March 31, 2021 and 2020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Contract Assets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ind w:right="53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Recognized in 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Reclassified to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jc w:val="right"/>
              <w:ind w:right="53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year</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831.2</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Recognized in current year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Amounts in beginning balance reclassified to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Current year amounts reclassified to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833.2</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w:t>
      </w:r>
    </w:p>
    <w:p>
      <w:pPr>
        <w:spacing w:after="0" w:line="7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1.0% to 12.3%.</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Finance lease expense amortization of leased assets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and variable lease expense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Sublease income</w:t>
            </w:r>
          </w:p>
        </w:tc>
        <w:tc>
          <w:tcPr>
            <w:tcW w:w="3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color w:val="auto"/>
        </w:rPr>
        <w:t>Scheduled payments of lease liabilities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 Leases</w:t>
            </w:r>
          </w:p>
        </w:tc>
        <w:tc>
          <w:tcPr>
            <w:tcW w:w="1100" w:type="dxa"/>
            <w:vAlign w:val="bottom"/>
          </w:tcPr>
          <w:p>
            <w:pPr>
              <w:jc w:val="right"/>
              <w:ind w:right="39"/>
              <w:spacing w:after="0"/>
              <w:rPr>
                <w:sz w:val="20"/>
                <w:szCs w:val="20"/>
                <w:color w:val="auto"/>
              </w:rPr>
            </w:pPr>
            <w:r>
              <w:rPr>
                <w:rFonts w:ascii="Arial" w:cs="Arial" w:eastAsia="Arial" w:hAnsi="Arial"/>
                <w:sz w:val="14"/>
                <w:szCs w:val="14"/>
                <w:b w:val="1"/>
                <w:bCs w:val="1"/>
                <w:color w:val="auto"/>
              </w:rPr>
              <w:t>Finance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0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Less: Present value discount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36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566"/>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8. LONG-TERM DEBT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60" w:type="dxa"/>
            <w:vAlign w:val="bottom"/>
            <w:gridSpan w:val="2"/>
          </w:tcPr>
          <w:p>
            <w:pPr>
              <w:ind w:left="480"/>
              <w:spacing w:after="0"/>
              <w:rPr>
                <w:sz w:val="20"/>
                <w:szCs w:val="20"/>
                <w:color w:val="auto"/>
              </w:rPr>
            </w:pPr>
            <w:r>
              <w:rPr>
                <w:rFonts w:ascii="Arial" w:cs="Arial" w:eastAsia="Arial" w:hAnsi="Arial"/>
                <w:sz w:val="18"/>
                <w:szCs w:val="18"/>
                <w:color w:val="auto"/>
              </w:rPr>
              <w:t>Long-term debt consisted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220" w:type="dxa"/>
            <w:vAlign w:val="bottom"/>
          </w:tcPr>
          <w:p>
            <w:pPr>
              <w:spacing w:after="0"/>
              <w:rPr>
                <w:sz w:val="22"/>
                <w:szCs w:val="22"/>
                <w:color w:val="auto"/>
              </w:rPr>
            </w:pPr>
          </w:p>
        </w:tc>
        <w:tc>
          <w:tcPr>
            <w:tcW w:w="2660" w:type="dxa"/>
            <w:vAlign w:val="bottom"/>
            <w:gridSpan w:val="5"/>
          </w:tcPr>
          <w:p>
            <w:pPr>
              <w:ind w:left="70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22"/>
                <w:szCs w:val="22"/>
                <w:color w:val="auto"/>
              </w:rPr>
            </w:pPr>
          </w:p>
        </w:tc>
        <w:tc>
          <w:tcPr>
            <w:tcW w:w="27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100"/>
              <w:spacing w:after="0" w:line="149" w:lineRule="exact"/>
              <w:rPr>
                <w:sz w:val="20"/>
                <w:szCs w:val="20"/>
                <w:color w:val="auto"/>
              </w:rPr>
            </w:pPr>
            <w:r>
              <w:rPr>
                <w:rFonts w:ascii="Arial" w:cs="Arial" w:eastAsia="Arial" w:hAnsi="Arial"/>
                <w:sz w:val="14"/>
                <w:szCs w:val="14"/>
                <w:b w:val="1"/>
                <w:bCs w:val="1"/>
                <w:color w:val="auto"/>
              </w:rPr>
              <w:t>Book Value</w:t>
            </w: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Book Value</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24"/>
              <w:spacing w:after="0" w:line="14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7"/>
                <w:szCs w:val="17"/>
                <w:b w:val="1"/>
                <w:bCs w:val="1"/>
                <w:color w:val="auto"/>
                <w:vertAlign w:val="superscript"/>
              </w:rPr>
              <w:t>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Credit and 364 Day Facility:</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2"/>
              </w:rPr>
              <w:t>U.S. dollar-denominated Term Loans, net of unamortized debt issuance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625.5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625.5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costs of $0.5 and $0.9</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Multi-Currency Revolving loan facility net of unamortized debt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costs of $0.4 and $0.8</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Senior Notes: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w w:val="94"/>
              </w:rPr>
              <w:t>4.375% Senior Notes, due 2023, net of unamortized discount and debt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costs of $0.6 and $0.7</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3"/>
              </w:rPr>
              <w:t>4.15% Senior Notes, due 2024, net of unamortized debt issuance costs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746.0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810.8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745.7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817.3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of $4.0 and $4.3</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w w:val="96"/>
              </w:rPr>
              <w:t>3.20% Senior Notes, due 2025, net of unamortized debt discount and</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debt issuance costs of $4.1 and $4.4</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3"/>
              </w:rPr>
              <w:t>3.45% Senior Notes, due 2026, net of unamortized debt issuance costs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748.8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803.1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748.7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819.5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of $1.2 and $1.3</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w w:val="93"/>
              </w:rPr>
              <w:t>4.70% Senior Notes, due 2028, net of unamortized debt issuance costs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1,242.1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1,419.1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of $8.0 and $8.2</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Borrowings</w:t>
            </w: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4,667.6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Less - current portion</w:t>
            </w: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Long-term portion</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4,265.3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See Note 14 for information on the fair value measurement of the Company's long-term debt.</w:t>
      </w:r>
    </w:p>
    <w:p>
      <w:pPr>
        <w:spacing w:after="0" w:line="11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March 31, 2021 and December 31, 2020, the Company had total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unamortized debt issuance costs of $18.8 million and $20.5 million, respectively. At March 31, 2021, the weighted average interest rate on the Company's variable rate debt was 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$1,200.0 million in multi-currency revolving loans (inclusive of swingline loans of up to $75.0 million and letters of credit of up to $450.0 million (the "Revolving Credit Facility")). The Revolving Credit Facility will mature on June 8, 2023.</w:t>
      </w:r>
    </w:p>
    <w:p>
      <w:pPr>
        <w:spacing w:after="0" w:line="80"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Under the Senior Credit Facility, we can elect to receive advances bearing interest based on either the Alternate Base Rate ("ABR") or the London Interbank Offered Rate ("LIBOR") (each as defined in the Senior Credit Facility) plus applicable margin that is determined based on our credit ratings or the Company's Leverage (as defined in the Senior Credit Facility).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8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 ended: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Interest Coverage Ratio </w:t>
            </w:r>
            <w:r>
              <w:rPr>
                <w:rFonts w:ascii="Arial" w:cs="Arial" w:eastAsia="Arial" w:hAnsi="Arial"/>
                <w:sz w:val="21"/>
                <w:szCs w:val="21"/>
                <w:color w:val="auto"/>
                <w:vertAlign w:val="superscript"/>
              </w:rPr>
              <w:t>1</w:t>
            </w:r>
          </w:p>
        </w:tc>
        <w:tc>
          <w:tcPr>
            <w:tcW w:w="4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3.0x</w:t>
            </w:r>
          </w:p>
        </w:tc>
      </w:tr>
      <w:tr>
        <w:trPr>
          <w:trHeight w:val="306"/>
        </w:trPr>
        <w:tc>
          <w:tcPr>
            <w:tcW w:w="6260" w:type="dxa"/>
            <w:vAlign w:val="bottom"/>
          </w:tcPr>
          <w:p>
            <w:pPr>
              <w:ind w:left="20"/>
              <w:spacing w:after="0"/>
              <w:rPr>
                <w:sz w:val="20"/>
                <w:szCs w:val="20"/>
                <w:color w:val="auto"/>
              </w:rPr>
            </w:pPr>
            <w:r>
              <w:rPr>
                <w:rFonts w:ascii="Arial" w:cs="Arial" w:eastAsia="Arial" w:hAnsi="Arial"/>
                <w:sz w:val="16"/>
                <w:szCs w:val="16"/>
                <w:color w:val="auto"/>
              </w:rPr>
              <w:t xml:space="preserve">Leverage Ratio </w:t>
            </w:r>
            <w:r>
              <w:rPr>
                <w:rFonts w:ascii="Arial" w:cs="Arial" w:eastAsia="Arial" w:hAnsi="Arial"/>
                <w:sz w:val="21"/>
                <w:szCs w:val="21"/>
                <w:color w:val="auto"/>
                <w:vertAlign w:val="superscript"/>
              </w:rPr>
              <w:t>2</w:t>
            </w:r>
          </w:p>
        </w:tc>
        <w:tc>
          <w:tcPr>
            <w:tcW w:w="4980" w:type="dxa"/>
            <w:vAlign w:val="bottom"/>
          </w:tcPr>
          <w:p>
            <w:pPr>
              <w:jc w:val="right"/>
              <w:spacing w:after="0"/>
              <w:rPr>
                <w:sz w:val="20"/>
                <w:szCs w:val="20"/>
                <w:color w:val="auto"/>
              </w:rPr>
            </w:pPr>
            <w:r>
              <w:rPr>
                <w:rFonts w:ascii="Arial" w:cs="Arial" w:eastAsia="Arial" w:hAnsi="Arial"/>
                <w:sz w:val="16"/>
                <w:szCs w:val="16"/>
                <w:color w:val="auto"/>
              </w:rPr>
              <w:t>3.25x</w:t>
            </w:r>
          </w:p>
        </w:tc>
      </w:tr>
    </w:tbl>
    <w:p>
      <w:pPr>
        <w:spacing w:after="0" w:line="81" w:lineRule="exact"/>
        <w:rPr>
          <w:sz w:val="20"/>
          <w:szCs w:val="20"/>
          <w:color w:val="auto"/>
        </w:rPr>
      </w:pPr>
    </w:p>
    <w:p>
      <w:pPr>
        <w:ind w:right="120" w:firstLine="8"/>
        <w:spacing w:after="0" w:line="250" w:lineRule="auto"/>
        <w:tabs>
          <w:tab w:leader="none" w:pos="14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interest coverage ratio is defined as EBITDA (defined as earnings before interest, taxes, depreciation and amortization), as defined in the Senior Credit Facility, to net interest expense for the four quarters then ended.</w:t>
      </w: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Senior Credit Facility, for the four quarters then ended.</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covenants in the Senior Credit Facility as of March 31,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364-Day Facility</w:t>
      </w:r>
    </w:p>
    <w:p>
      <w:pPr>
        <w:spacing w:after="0" w:line="117"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On April 10, 2020 the Company entered into a new $600 million 364 day credit facility ("364 Day Facility") initially scheduled to mature in April 2021 with a group of banks which includes a $144.0 million revolving credit facility ("364 Day Revolver") and a $456.0 million term loan ("364 Term Loan"), of which $305.9 million was outstanding at March 31, 2021.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our existing Senior Credit Facility. The obligations under the 364 Day Facility are guaranteed by certain of the Company's U.S. subsidiaries, as guarantors. On June 12, 2020 the Company amended the 364 Day Facility maturity to July 9, 2021. The Company was in compliance with all covenants in the 364 Senior Credit Facility as of March 31, 2021.</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availability under the Revolving Credit Facility and the 364 Day Revolver (the "Revolving Facilities"):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Revolving Credit</w:t>
            </w:r>
          </w:p>
        </w:tc>
        <w:tc>
          <w:tcPr>
            <w:tcW w:w="120" w:type="dxa"/>
            <w:vAlign w:val="bottom"/>
          </w:tcPr>
          <w:p>
            <w:pPr>
              <w:spacing w:after="0"/>
              <w:rPr>
                <w:sz w:val="16"/>
                <w:szCs w:val="16"/>
                <w:color w:val="auto"/>
              </w:rPr>
            </w:pPr>
          </w:p>
        </w:tc>
        <w:tc>
          <w:tcPr>
            <w:tcW w:w="14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2"/>
              </w:rPr>
              <w:t>364 Day Revolver</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Facility</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 Availability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13"/>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Outstanding Borrowings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Letters of Credit Under Credit Agreement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Current Availability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1,044.6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The "Senior Notes" comprises our 4.375% Senior Notes due 2023, 4.15% Senior Notes due 2024, 3.20% Senior Notes due 2025, 3.45% Senior Notes due 2026 and 4.70% Senior Notes due 2028. Interest on the Senior Notes is payable semi-annually. The Company may redeem each series of the notes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Senior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ind w:right="380"/>
        <w:spacing w:after="0" w:line="277" w:lineRule="auto"/>
        <w:rPr>
          <w:sz w:val="20"/>
          <w:szCs w:val="20"/>
          <w:color w:val="auto"/>
        </w:rPr>
      </w:pPr>
      <w:r>
        <w:rPr>
          <w:rFonts w:ascii="Arial" w:cs="Arial" w:eastAsia="Arial" w:hAnsi="Arial"/>
          <w:sz w:val="18"/>
          <w:szCs w:val="18"/>
          <w:color w:val="auto"/>
        </w:rPr>
        <w:t>Notes are senior unsecured obligations of the Company and rank pari passu with all existing and future senior debt and senior to all existing and future subordinated indebtedness of the Company.</w:t>
      </w:r>
    </w:p>
    <w:p>
      <w:pPr>
        <w:spacing w:after="0" w:line="6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Senior Notes are fully and unconditionally guaranteed, jointly and severally, on an unsecured basis by each of the Company's subsidiaries that is a guarantor under the Revolving Facilities.</w:t>
      </w:r>
    </w:p>
    <w:p>
      <w:pPr>
        <w:spacing w:after="0" w:line="8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As of March 31, 2021,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provides a maximum of 9.1 million shares for grants or awards, plus any shares which remain available under the 2000 Plan. The amendment and restatement of the 2011 Plan was approved by stockholders of Wabtec on May 15, 2020. The Company also maintains a 1995 Non-Employee Directors’ Fee and Stock Option Plan as amended and restated (“the Directors Plan”).</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Stock-based compensation expense was $8.2 million and $7.3 million for the three months ended March 31, 2021 and 2020, respectively.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2021, unamortized compensation expense related to stock options, non-vested restricted shares and incentive stock units expected to vest totaled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$60.2 million.</w:t>
      </w:r>
    </w:p>
    <w:p>
      <w:pPr>
        <w:spacing w:after="0" w:line="1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and after become exercisable over a three-year vesting period. Both vesting periods expire 10 years from the date of grant.</w:t>
      </w:r>
    </w:p>
    <w:p>
      <w:pPr>
        <w:spacing w:after="0" w:line="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three months ended March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left="424"/>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vMerge w:val="restart"/>
          </w:tcPr>
          <w:p>
            <w:pPr>
              <w:ind w:left="520"/>
              <w:spacing w:after="0" w:line="135"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vMerge w:val="restart"/>
          </w:tcPr>
          <w:p>
            <w:pPr>
              <w:jc w:val="center"/>
              <w:ind w:right="139"/>
              <w:spacing w:after="0" w:line="135"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left="404"/>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ind w:left="40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8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552,669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69.82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20" w:type="dxa"/>
            <w:vAlign w:val="bottom"/>
          </w:tcPr>
          <w:p>
            <w:pPr>
              <w:ind w:left="860"/>
              <w:spacing w:after="0"/>
              <w:rPr>
                <w:sz w:val="20"/>
                <w:szCs w:val="20"/>
                <w:color w:val="auto"/>
              </w:rPr>
            </w:pPr>
            <w:r>
              <w:rPr>
                <w:rFonts w:ascii="Arial" w:cs="Arial" w:eastAsia="Arial" w:hAnsi="Arial"/>
                <w:sz w:val="18"/>
                <w:szCs w:val="18"/>
                <w:color w:val="auto"/>
                <w:w w:val="98"/>
              </w:rPr>
              <w:t>126,794</w:t>
            </w:r>
          </w:p>
        </w:tc>
        <w:tc>
          <w:tcPr>
            <w:tcW w:w="1140" w:type="dxa"/>
            <w:vAlign w:val="bottom"/>
            <w:gridSpan w:val="2"/>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81.21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(10,128)</w:t>
            </w:r>
          </w:p>
        </w:tc>
        <w:tc>
          <w:tcPr>
            <w:tcW w:w="1140" w:type="dxa"/>
            <w:vAlign w:val="bottom"/>
            <w:gridSpan w:val="2"/>
            <w:shd w:val="clear" w:color="auto" w:fill="CCEEFF"/>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2"/>
              </w:rPr>
              <w:t>(12,422)</w:t>
            </w:r>
          </w:p>
        </w:tc>
        <w:tc>
          <w:tcPr>
            <w:tcW w:w="1140" w:type="dxa"/>
            <w:vAlign w:val="bottom"/>
            <w:tcBorders>
              <w:bottom w:val="single" w:sz="8" w:color="CCEEFF"/>
            </w:tcBorders>
            <w:gridSpan w:val="2"/>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4"/>
              </w:rPr>
              <w:t>71.87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656,913</w:t>
            </w:r>
          </w:p>
        </w:tc>
        <w:tc>
          <w:tcPr>
            <w:tcW w:w="1140" w:type="dxa"/>
            <w:vAlign w:val="bottom"/>
            <w:tcBorders>
              <w:bottom w:val="single" w:sz="8" w:color="CCEEFF"/>
            </w:tcBorders>
            <w:gridSpan w:val="2"/>
            <w:shd w:val="clear" w:color="auto" w:fill="CCEEFF"/>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72.15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March 31, 2021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4"/>
              </w:rPr>
              <w:t>57.82</w:t>
            </w: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1520" w:type="dxa"/>
            <w:vAlign w:val="bottom"/>
          </w:tcPr>
          <w:p>
            <w:pPr>
              <w:ind w:left="860"/>
              <w:spacing w:after="0" w:line="204" w:lineRule="exact"/>
              <w:rPr>
                <w:sz w:val="20"/>
                <w:szCs w:val="20"/>
                <w:color w:val="auto"/>
              </w:rPr>
            </w:pPr>
            <w:r>
              <w:rPr>
                <w:rFonts w:ascii="Arial" w:cs="Arial" w:eastAsia="Arial" w:hAnsi="Arial"/>
                <w:sz w:val="18"/>
                <w:szCs w:val="18"/>
                <w:color w:val="auto"/>
                <w:w w:val="98"/>
              </w:rPr>
              <w:t>406,953</w:t>
            </w:r>
          </w:p>
        </w:tc>
        <w:tc>
          <w:tcPr>
            <w:tcW w:w="114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660" w:type="dxa"/>
            <w:vAlign w:val="bottom"/>
          </w:tcPr>
          <w:p>
            <w:pPr>
              <w:jc w:val="right"/>
              <w:ind w:right="96"/>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95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31, 2021</w:t>
            </w:r>
          </w:p>
        </w:tc>
      </w:tr>
      <w:tr>
        <w:trPr>
          <w:trHeight w:val="224"/>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0.60 %</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0.81 %</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 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U.S. Treasury bond rates for the expected life of the option.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2011 Plan and 2000 Plan, eligible employees are granted restricted stock that generally vests over three or four years from the date of grant. Under the Directors Plan, restricted stock awards vest one year from the date of grant.</w:t>
      </w:r>
    </w:p>
    <w:p>
      <w:pPr>
        <w:spacing w:after="0" w:line="76"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March 31, 2021, the Company estimates that it will achieve 0%, 100% and 100% for the incentive stock awards expected to vest based on performance for the three-year periods ending December 31, 2021, 2022, and 2023, respectively, and has recorded incentive compensation expense accordingly. If the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restricted stock activity and incentive stock units activity for the three months ended March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Stock</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and Units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656,006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184,646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241,467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right="80" w:firstLine="486"/>
        <w:spacing w:after="0" w:line="308" w:lineRule="auto"/>
        <w:rPr>
          <w:sz w:val="20"/>
          <w:szCs w:val="20"/>
          <w:color w:val="auto"/>
        </w:rPr>
      </w:pPr>
      <w:r>
        <w:rPr>
          <w:rFonts w:ascii="Arial" w:cs="Arial" w:eastAsia="Arial" w:hAnsi="Arial"/>
          <w:sz w:val="17"/>
          <w:szCs w:val="17"/>
          <w:color w:val="auto"/>
        </w:rPr>
        <w:t>The overall effective tax rate was 27.5% and 25.5% for the three months ended March 31, 2021 and 2020, respectively. The increase in the effective rate is primarily the result of withholding tax expense on intercompany dividends incurred during the three months ended March 31, 2021.</w:t>
      </w:r>
    </w:p>
    <w:p>
      <w:pPr>
        <w:spacing w:after="0" w:line="3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As of March 31, 2021, the liability for income taxes associated with uncertain tax positions was $16.4 million, of which $14.7 million, if recognized, would favorably affect the Company’s effective income tax rate. As of December 31, 2020, the liability for income taxes associated with unrecognized tax benefits was $16.4 million, of which $14.8 million, if recognized, would favorably affect the Company's effective tax rate.</w:t>
      </w:r>
    </w:p>
    <w:p>
      <w:pPr>
        <w:spacing w:after="0" w:line="5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$11.7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Pr>
          <w:p>
            <w:pPr>
              <w:spacing w:after="0"/>
              <w:rPr>
                <w:sz w:val="12"/>
                <w:szCs w:val="12"/>
                <w:color w:val="auto"/>
              </w:rPr>
            </w:pPr>
          </w:p>
        </w:tc>
        <w:tc>
          <w:tcPr>
            <w:tcW w:w="124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591"/>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20" w:type="dxa"/>
            <w:vAlign w:val="bottom"/>
            <w:gridSpan w:val="2"/>
          </w:tcPr>
          <w:p>
            <w:pPr>
              <w:spacing w:after="0" w:line="176" w:lineRule="exact"/>
              <w:rPr>
                <w:sz w:val="20"/>
                <w:szCs w:val="20"/>
                <w:color w:val="auto"/>
              </w:rPr>
            </w:pPr>
            <w:r>
              <w:rPr>
                <w:rFonts w:ascii="Arial" w:cs="Arial" w:eastAsia="Arial" w:hAnsi="Arial"/>
                <w:sz w:val="18"/>
                <w:szCs w:val="18"/>
                <w:color w:val="auto"/>
              </w:rPr>
              <w:t>Numerator for basic and diluted earnings per common share - net income attributable to Wabtec</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132"/>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3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4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 and non-vested restricted stock</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4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Numerator for basic earnings per common share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 common share</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8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20" w:type="dxa"/>
            <w:vAlign w:val="bottom"/>
            <w:gridSpan w:val="2"/>
          </w:tcPr>
          <w:p>
            <w:pPr>
              <w:spacing w:after="0" w:line="156" w:lineRule="exact"/>
              <w:rPr>
                <w:sz w:val="20"/>
                <w:szCs w:val="20"/>
                <w:color w:val="auto"/>
              </w:rPr>
            </w:pPr>
            <w:r>
              <w:rPr>
                <w:rFonts w:ascii="Arial" w:cs="Arial" w:eastAsia="Arial" w:hAnsi="Arial"/>
                <w:sz w:val="18"/>
                <w:szCs w:val="18"/>
                <w:color w:val="auto"/>
              </w:rPr>
              <w:t>Denominator for diluted earnings per common share - adjusted weighted average</w:t>
            </w:r>
          </w:p>
        </w:tc>
        <w:tc>
          <w:tcPr>
            <w:tcW w:w="40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131"/>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shares and assumed conversion</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7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attributable to Wabtec shareholders per common share</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Basic weighted-average common shares outstanding</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w w:val="95"/>
              </w:rPr>
              <w:t>Basic weighted-average common shares outstanding and non-vested restricted stock expected to vest</w:t>
            </w:r>
          </w:p>
        </w:tc>
        <w:tc>
          <w:tcPr>
            <w:tcW w:w="4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 Options to purchase approximately 349,000 shares of Common Stock were outstanding at March 31, 2021, but were not included in the computation of diluted earnings per share because their exercise price exceeded the average market price of the Company's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121"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fluctuations. At times, we mitigate these risk exposures through the use of derivatives such as cross-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currency swaps, foreign currency forward contracts, interest rate swaps, commodity forwards and futures. In accordance with our policy, derivatives are only used for hedging purposes. We do not use derivatives for trading or speculative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 uses forward contracts to mitigate its foreign currency exchange rate exposure due to forecasted sales of 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(loss) and is recognized in earnings at the time the hedged item affects earnings, in the same line item as the underlying hedged item. The contracts are scheduled to mature within two years. For the three months ended March 31, 2021 and 2020, the amounts reclassified into income were not material.</w:t>
      </w:r>
    </w:p>
    <w:p>
      <w:pPr>
        <w:spacing w:after="0" w:line="70"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have certain foreign currency exchange rate risk management programs that use foreign currency forward contracts and cross-currency swaps. These forward contracts and cross-currency swaps are generally used to offset the potential income statement effects from intercompany loans denominated in non-functional currencies. These programs mitigate but do not entirely eliminate foreign currency exchange rate risk.</w:t>
      </w:r>
    </w:p>
    <w:p>
      <w:pPr>
        <w:spacing w:after="0" w:line="73"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(expense), net. The net loss related to these contracts was $1.6 million for the three months ended March 31, 2021. These contracts are scheduled to mature within one year.</w:t>
      </w:r>
    </w:p>
    <w:p>
      <w:pPr>
        <w:spacing w:after="0" w:line="6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March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96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292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2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7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2"/>
              <w:spacing w:after="0" w:line="172" w:lineRule="exact"/>
              <w:rPr>
                <w:sz w:val="20"/>
                <w:szCs w:val="20"/>
                <w:color w:val="auto"/>
              </w:rPr>
            </w:pPr>
            <w:r>
              <w:rPr>
                <w:rFonts w:ascii="Arial" w:cs="Arial" w:eastAsia="Arial" w:hAnsi="Arial"/>
                <w:sz w:val="16"/>
                <w:szCs w:val="16"/>
                <w:b w:val="1"/>
                <w:bCs w:val="1"/>
                <w:color w:val="auto"/>
                <w:w w:val="92"/>
              </w:rPr>
              <w:t>Non-Designated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7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2"/>
              <w:spacing w:after="0" w:line="172" w:lineRule="exact"/>
              <w:rPr>
                <w:sz w:val="20"/>
                <w:szCs w:val="20"/>
                <w:color w:val="auto"/>
              </w:rPr>
            </w:pPr>
            <w:r>
              <w:rPr>
                <w:rFonts w:ascii="Arial" w:cs="Arial" w:eastAsia="Arial" w:hAnsi="Arial"/>
                <w:sz w:val="16"/>
                <w:szCs w:val="16"/>
                <w:b w:val="1"/>
                <w:bCs w:val="1"/>
                <w:color w:val="auto"/>
                <w:w w:val="92"/>
              </w:rPr>
              <w:t>Non-Designated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88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324.9</w:t>
            </w: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Cross-currency Swaps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7"/>
              </w:rPr>
              <w:t>(3.1)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ind w:left="96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292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2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72" w:lineRule="exact"/>
              <w:rPr>
                <w:sz w:val="20"/>
                <w:szCs w:val="20"/>
                <w:color w:val="auto"/>
              </w:rPr>
            </w:pPr>
            <w:r>
              <w:rPr>
                <w:rFonts w:ascii="Arial" w:cs="Arial" w:eastAsia="Arial" w:hAnsi="Arial"/>
                <w:sz w:val="16"/>
                <w:szCs w:val="16"/>
                <w:b w:val="1"/>
                <w:bCs w:val="1"/>
                <w:color w:val="auto"/>
              </w:rPr>
              <w:t>Designated</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2"/>
              <w:spacing w:after="0" w:line="172" w:lineRule="exact"/>
              <w:rPr>
                <w:sz w:val="20"/>
                <w:szCs w:val="20"/>
                <w:color w:val="auto"/>
              </w:rPr>
            </w:pPr>
            <w:r>
              <w:rPr>
                <w:rFonts w:ascii="Arial" w:cs="Arial" w:eastAsia="Arial" w:hAnsi="Arial"/>
                <w:sz w:val="16"/>
                <w:szCs w:val="16"/>
                <w:b w:val="1"/>
                <w:bCs w:val="1"/>
                <w:color w:val="auto"/>
                <w:w w:val="92"/>
              </w:rPr>
              <w:t>Non-Designated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7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2"/>
              <w:spacing w:after="0" w:line="172" w:lineRule="exact"/>
              <w:rPr>
                <w:sz w:val="20"/>
                <w:szCs w:val="20"/>
                <w:color w:val="auto"/>
              </w:rPr>
            </w:pPr>
            <w:r>
              <w:rPr>
                <w:rFonts w:ascii="Arial" w:cs="Arial" w:eastAsia="Arial" w:hAnsi="Arial"/>
                <w:sz w:val="16"/>
                <w:szCs w:val="16"/>
                <w:b w:val="1"/>
                <w:bCs w:val="1"/>
                <w:color w:val="auto"/>
                <w:w w:val="92"/>
              </w:rPr>
              <w:t>Non-Designated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6"/>
          <w:szCs w:val="16"/>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w:t>
      </w:r>
    </w:p>
    <w:p>
      <w:pPr>
        <w:ind w:right="480"/>
        <w:spacing w:after="0" w:line="277" w:lineRule="auto"/>
        <w:rPr>
          <w:sz w:val="20"/>
          <w:szCs w:val="20"/>
          <w:color w:val="auto"/>
        </w:rPr>
      </w:pPr>
      <w:r>
        <w:rPr>
          <w:rFonts w:ascii="Arial" w:cs="Arial" w:eastAsia="Arial" w:hAnsi="Arial"/>
          <w:sz w:val="18"/>
          <w:szCs w:val="18"/>
          <w:color w:val="auto"/>
        </w:rPr>
        <w:t>activities that would put principal capital at risk. For the three months ended March 31, 2021 and 2020 the amounts reclassified into income were not material.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The Company may use commodity forward contracts and futures to mitigate its exposure to commodity price changes and to reduce its overall cost of manufacturing. For the three months ended March 31, 2021 and 2020 the amounts recognized as income or expense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10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March 31, 2021 which are included in other current assets and liabilities on the consolidated balance sheet: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4"/>
              </w:rPr>
              <w:t>Fair Value Measurements at March 31, 2021 Using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Total Carrying</w:t>
            </w:r>
          </w:p>
        </w:tc>
        <w:tc>
          <w:tcPr>
            <w:tcW w:w="140" w:type="dxa"/>
            <w:vAlign w:val="bottom"/>
          </w:tcPr>
          <w:p>
            <w:pPr>
              <w:spacing w:after="0"/>
              <w:rPr>
                <w:sz w:val="11"/>
                <w:szCs w:val="11"/>
                <w:color w:val="auto"/>
              </w:rPr>
            </w:pPr>
          </w:p>
        </w:tc>
        <w:tc>
          <w:tcPr>
            <w:tcW w:w="164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1320" w:type="dxa"/>
            <w:vAlign w:val="bottom"/>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1"/>
                <w:szCs w:val="11"/>
                <w:color w:val="auto"/>
              </w:rPr>
            </w:pPr>
          </w:p>
        </w:tc>
        <w:tc>
          <w:tcPr>
            <w:tcW w:w="16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4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5"/>
                <w:szCs w:val="15"/>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Identical Assets</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Observable Inputs</w:t>
            </w:r>
          </w:p>
        </w:tc>
        <w:tc>
          <w:tcPr>
            <w:tcW w:w="220" w:type="dxa"/>
            <w:vAlign w:val="bottom"/>
          </w:tcPr>
          <w:p>
            <w:pPr>
              <w:spacing w:after="0"/>
              <w:rPr>
                <w:sz w:val="15"/>
                <w:szCs w:val="15"/>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3"/>
                <w:szCs w:val="13"/>
                <w:color w:val="auto"/>
              </w:rPr>
            </w:pPr>
          </w:p>
        </w:tc>
        <w:tc>
          <w:tcPr>
            <w:tcW w:w="1320" w:type="dxa"/>
            <w:vAlign w:val="bottom"/>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(Level 1)</w:t>
            </w: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3"/>
                <w:szCs w:val="13"/>
                <w:color w:val="auto"/>
              </w:rPr>
            </w:pPr>
          </w:p>
        </w:tc>
        <w:tc>
          <w:tcPr>
            <w:tcW w:w="1320" w:type="dxa"/>
            <w:vAlign w:val="bottom"/>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12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Cross-Currency Swap Agreement</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March 31, 2021 and December 31, 2020.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and includes $130.0 million classified as "Other accrued liabilities" on the Company's consolidated balance sheet and $218.6 million in long-term liabilities classified as "Contingent consideration" on the Company's consolidated balance sheet. The fair value approximates the carrying value at March 31,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Additionally, from time to time, the Company is involved in litigation related to claims arising out of the Company's operations in the ordinary course of business, including claims based on product liability, contracts, intellectual property or other causes of action. Further information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jc w:val="both"/>
        <w:ind w:right="160"/>
        <w:spacing w:after="0" w:line="263" w:lineRule="auto"/>
        <w:rPr>
          <w:sz w:val="20"/>
          <w:szCs w:val="20"/>
          <w:color w:val="auto"/>
        </w:rPr>
      </w:pPr>
      <w:r>
        <w:rPr>
          <w:rFonts w:ascii="Arial" w:cs="Arial" w:eastAsia="Arial" w:hAnsi="Arial"/>
          <w:sz w:val="18"/>
          <w:szCs w:val="18"/>
          <w:color w:val="auto"/>
        </w:rPr>
        <w:t>detail on these claims are described in the Company’s Annual Report on Form 10-K for the year ended December 31, 2020. During the first three months of 2021, there were no material changes to the information described in the Form 10-K related to claims arising from asbestos exposure or the Company's ordinary operations.</w:t>
      </w:r>
    </w:p>
    <w:p>
      <w:pPr>
        <w:spacing w:after="0" w:line="7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included post-trial submission. No decision is expected until the second half of 2021.</w:t>
      </w:r>
    </w:p>
    <w:p>
      <w:pPr>
        <w:spacing w:after="0" w:line="7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As of the date hereof, the Company is involved in no litigation that the Company believes will have a material adverse effect on its financial condition,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72"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w:t>
      </w:r>
      <w:r>
        <w:rPr>
          <w:rFonts w:ascii="Arial" w:cs="Arial" w:eastAsia="Arial" w:hAnsi="Arial"/>
          <w:sz w:val="18"/>
          <w:szCs w:val="18"/>
          <w:b w:val="1"/>
          <w:bCs w:val="1"/>
          <w:color w:val="auto"/>
        </w:rPr>
        <w:t xml:space="preserve"> </w:t>
      </w:r>
      <w:r>
        <w:rPr>
          <w:rFonts w:ascii="Arial" w:cs="Arial" w:eastAsia="Arial" w:hAnsi="Arial"/>
          <w:sz w:val="18"/>
          <w:szCs w:val="18"/>
          <w:color w:val="auto"/>
        </w:rPr>
        <w:t>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right="30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builds new commuter locomotives, refurbishes subway cars, heating, ventilation, and air conditioning equipment and doors for buses and subway cars. Customers include public transit authorities and municipalities, leasing companies and manufacturers of subway cars and buses around the world.</w:t>
      </w:r>
    </w:p>
    <w:p>
      <w:pPr>
        <w:spacing w:after="0" w:line="76"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color w:val="auto"/>
        </w:rPr>
        <w:t>Segment financial information for the three months ended March 31, 2021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141.8</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70.1</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(20.3)</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March 31, 2020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right="32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3"/>
              </w:rPr>
              <w:t>(21.6)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3"/>
              </w:rPr>
              <w:t>(21.6)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161.7</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68.6</w:t>
            </w:r>
          </w:p>
        </w:tc>
        <w:tc>
          <w:tcPr>
            <w:tcW w:w="100" w:type="dxa"/>
            <w:vAlign w:val="bottom"/>
          </w:tcPr>
          <w:p>
            <w:pPr>
              <w:spacing w:after="0"/>
              <w:rPr>
                <w:sz w:val="17"/>
                <w:szCs w:val="17"/>
                <w:color w:val="auto"/>
              </w:rPr>
            </w:pPr>
          </w:p>
        </w:tc>
        <w:tc>
          <w:tcPr>
            <w:tcW w:w="22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ind w:left="860"/>
              <w:spacing w:after="0" w:line="203" w:lineRule="exact"/>
              <w:rPr>
                <w:sz w:val="20"/>
                <w:szCs w:val="20"/>
                <w:color w:val="auto"/>
              </w:rPr>
            </w:pPr>
            <w:r>
              <w:rPr>
                <w:rFonts w:ascii="Arial" w:cs="Arial" w:eastAsia="Arial" w:hAnsi="Arial"/>
                <w:sz w:val="18"/>
                <w:szCs w:val="18"/>
                <w:color w:val="auto"/>
                <w:w w:val="93"/>
              </w:rPr>
              <w:t>(13.0)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(68.1)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3"/>
              </w:rPr>
              <w:t>(81.1)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gridSpan w:val="2"/>
            <w:vMerge w:val="restart"/>
          </w:tcPr>
          <w:p>
            <w:pPr>
              <w:ind w:left="480"/>
              <w:spacing w:after="0"/>
              <w:rPr>
                <w:sz w:val="20"/>
                <w:szCs w:val="20"/>
                <w:color w:val="auto"/>
              </w:rPr>
            </w:pPr>
            <w:r>
              <w:rPr>
                <w:rFonts w:ascii="Arial" w:cs="Arial" w:eastAsia="Arial" w:hAnsi="Arial"/>
                <w:sz w:val="18"/>
                <w:szCs w:val="18"/>
                <w:color w:val="auto"/>
                <w:w w:val="92"/>
              </w:rPr>
              <w:t>Sales to external customers by product line are as follows:</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7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12"/>
              <w:spacing w:after="0" w:line="172" w:lineRule="exact"/>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11"/>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Segment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840"/>
              <w:spacing w:after="0"/>
              <w:rPr>
                <w:sz w:val="20"/>
                <w:szCs w:val="20"/>
                <w:color w:val="auto"/>
              </w:rPr>
            </w:pPr>
            <w:r>
              <w:rPr>
                <w:rFonts w:ascii="Arial" w:cs="Arial" w:eastAsia="Arial" w:hAnsi="Arial"/>
                <w:sz w:val="18"/>
                <w:szCs w:val="18"/>
                <w:color w:val="auto"/>
              </w:rPr>
              <w:t>261.8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Components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Arial" w:cs="Arial" w:eastAsia="Arial" w:hAnsi="Arial"/>
                <w:sz w:val="18"/>
                <w:szCs w:val="18"/>
                <w:color w:val="auto"/>
              </w:rPr>
              <w:t>Digital Electronics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562.5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Freight Segment</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6"/>
              </w:rPr>
              <w:t>1,183.3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Original Equipment Manufacturer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286.8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Aftermarket</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360.1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Transit Segment</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646.9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net are as follows:</w:t>
      </w:r>
    </w:p>
    <w:p>
      <w:pPr>
        <w:spacing w:after="0" w:line="104"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2"/>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gain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pension assets/amortization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miscellaneous income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right="20" w:firstLine="486"/>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2020, filed with the Securities and Exchange Commission on February 19, 2021.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2021, approximately 64% of the Company’s revenues came from customers outside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The COVID-19 pandemic has continued to impact our sales channels, supply chain, manufacturing operations, workforce and other key aspects of our operations. The Company continues to monitor the situation and guidance from international and domestic authorities, including federal, state, and local public health authorities; however, there are numerous uncertainties, including the duration and severity of the pandemic, availability and effectiveness of vaccines, impact of variants of the disease, actions that may be taken by governmental authorities and private industry, including preventing or curtailing the operations of our plants, the potential impact on global economic activity, global supply chain operations, our employees, our customers, suppliers and end-markets and other consequences that could negatively impact our business. We also face the possibility that government policies may become more restrictive especially if COVID-19 transmission rates increase in certain areas. As a result of these numerous uncertainties, we are unable to specifically predict the extent and length of time the COVID-19 pandemic will negatively impact our business.</w:t>
      </w:r>
    </w:p>
    <w:p>
      <w:pPr>
        <w:spacing w:after="0" w:line="5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U.S. and other international governments have deemed rail transportation as “critical infrastructure” providing essential services during the COVID-19 pandemic. As a supplier and service provider for the global freight rail and passenger transit industries, Wabtec has an obligation to continue operations to support the safe and efficient operation of these industries; however, the COVID-19 pandemic had a materially adverse impact on our operations and business results for the three months ended March 31, 2021 which is discussed in the Results of Operations section below. We continue to work with our employees, customers, and suppliers to navigate the impacts of COVID-19. We also continue to assess possible implications to our business, customers, supply chain and end-markets and to take actions in an effort to mitigate adverse consequences.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Wabtec’s long-term financial goals are to drive strong cash flow conversion, maintain a strong credit profile while minimizing our overall cost of capital, increase margins through strict attention to cost controls, drive improved efficiencies across the business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49"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increasing urbanization, a focus on sustainability and decarbonization, an aging equipment fleet and growth in global trade flows are expected to drive continued investment in freight and transit rail.</w:t>
      </w:r>
    </w:p>
    <w:p>
      <w:pPr>
        <w:spacing w:after="0" w:line="84" w:lineRule="exact"/>
        <w:rPr>
          <w:sz w:val="20"/>
          <w:szCs w:val="20"/>
          <w:color w:val="auto"/>
        </w:rPr>
      </w:pPr>
    </w:p>
    <w:p>
      <w:pPr>
        <w:jc w:val="both"/>
        <w:ind w:right="400" w:firstLine="486"/>
        <w:spacing w:after="0" w:line="263"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According to the 2020 bi-annual edition of a market study by UNIFE, the Association of the European Rail Industry, the accessible global market for railway products and services is more than $120 billion and is expected to grow at a compounded annual growth rate of 2.3% through 2025. As the long-term effects of COVID-19 are still uncertain, UNIFE included a second, less likely scenario in which the recovery is more moderate. This alternative scenario shows a compounded annual growth rate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of 0.9% through 2025 for the total accessible market. The three largest geographic markets, which represented about 85% of the total accessible market, were Europe, North America and Asia Pacific. UNIFE projected above-average growth rates in Latin America, Eastern Europe, North America and Africa-Middle East, with the more mature markets of Western Europe, North America and Asia Pacific accounting for the largest share of absolute growth. UNIFE said trends such as urbanization, digitalization, legislative action and government support and an increased focus on energy and environmental issues continue to drive investment. The largest product segments of the market were rolling stock, services and infrastructure, which represent almost 90% of the accessible market. UNIFE projected spending growth in all product segments, with turnkey management projects, rolling stock and infrastructure to grow the fastest. UNIFE estimated that the global installed base of diesel and electric locomotives was about 118,200 units, with about 32% in Asia Pacific, about 25% in North America and about 18% in Russia-CIS (Commonwealth of Independent States). Wabtec estimates that about 3,000 new locomotives were delivered worldwide in 2020. UNIFE estimated the global installed base of freight cars was about 5.2 million, with about 35% in North America, about 24% in Russia-CIS and about 24% in Asia Pacific. Wabtec estimates that about 155,000 new freight cars were delivered worldwide in 2020. UNIFE estimated the global installed base of passenger transit vehicles to be about 620,000 units, with about 45% in Asia Pacific, about 31% in Europe and about 10% in Russia-CIS. Wabtec estimates that about 32,000 new passenger transit vehicles were ordered worldwide in 2020.</w:t>
      </w:r>
    </w:p>
    <w:p>
      <w:pPr>
        <w:spacing w:after="0" w:line="60"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policies encourage continued investment in public mass transit and modal shift from car to rail, albeit this growth may be stunted in the near-term as a result of the COVID-19 pandemic. According to UNIFE, Germany, France and the United Kingdom were the largest Western European transit markets, representing about two-thirds of industry spending in the European Union. UNIFE projected the accessible Western European rail market to grow at about 2.0% annually, led by investments in new rolling stock in France and Germany. About 75% of freight traffic in Europe is hauled by truck, while rail accounts for about 19%.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5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600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 Demand for both our freight and passenger transit products and services in North America has been negatively impacted by the COVID-19 pandemic.</w:t>
      </w:r>
    </w:p>
    <w:p>
      <w:pPr>
        <w:spacing w:after="0" w:line="78"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Growth in the Asia Pacific market has been driven mainly by the continued urbanization of China and India, and by continued investments in freight rail rolling stock and infrastructure in Australia to serve its mining and natural resources markets. India is making significant investments in rolling stock and infrastructure to modernize its rail system; for example, Wabtec is delivering on a 1,000-locomotive contract over 10-years with Indian Railways.</w:t>
      </w:r>
    </w:p>
    <w:p>
      <w:pPr>
        <w:spacing w:after="0" w:line="4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Other key geographic markets include Russia-CIS and Africa-Middle East. With about 1.3 million freight cars and about 21,000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It is currently uncertain as to how the COVID-19 pandemic will impact the expected growth in these emerging markets especially in the near-term. As this growth occurs, Wabtec expects to have additional opportunities to provide products and services in these markets.</w:t>
      </w:r>
    </w:p>
    <w:p>
      <w:pPr>
        <w:spacing w:after="0" w:line="56"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In its study, UNIFE also said it expected increased investment in digitalization, automation, and predictive maintenance through artificial intelligence, all of which would improve efficiency in the global rail industry. UNIFE said these trends will increase the overall attractiveness of the rail sector as these trends will lead to significant cost savings, allowing rail to be more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color w:val="auto"/>
        </w:rPr>
        <w:t>competitive in comparison to other modes of transportation. Wabtec offers products and services to help customers make ongoing investments in these initiatives.</w:t>
      </w:r>
    </w:p>
    <w:p>
      <w:pPr>
        <w:spacing w:after="0" w:line="6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2021 and beyond, general global economic and market conditions will have an impact on our sales and operations. The COVID-19 pandemic has increased the uncertainty around global economic and market conditions.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3"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COMPARED TO FIRST QUARTER 2020</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50"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8060" w:type="dxa"/>
            <w:vAlign w:val="bottom"/>
            <w:gridSpan w:val="2"/>
          </w:tcPr>
          <w:p>
            <w:pPr>
              <w:spacing w:after="0" w:line="148" w:lineRule="exact"/>
              <w:rPr>
                <w:sz w:val="20"/>
                <w:szCs w:val="20"/>
                <w:color w:val="auto"/>
              </w:rPr>
            </w:pPr>
            <w:r>
              <w:rPr>
                <w:rFonts w:ascii="Arial" w:cs="Arial" w:eastAsia="Arial" w:hAnsi="Arial"/>
                <w:sz w:val="13"/>
                <w:szCs w:val="13"/>
                <w:b w:val="1"/>
                <w:bCs w:val="1"/>
                <w:i w:val="1"/>
                <w:iCs w:val="1"/>
                <w:color w:val="auto"/>
              </w:rPr>
              <w:t>In millions</w:t>
            </w: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31"/>
              <w:spacing w:after="0" w:line="148"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31"/>
              <w:spacing w:after="0" w:line="148"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Sales of goods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1,485.1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1,590.8</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1,929.9</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(1,155.9)</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(1,351.2)</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Net (income) loss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major components of the change in sales in the three months ended March 31, 2021 from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Freight Segment</w:t>
            </w:r>
          </w:p>
        </w:tc>
        <w:tc>
          <w:tcPr>
            <w:tcW w:w="2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Transit Segment</w:t>
            </w:r>
          </w:p>
        </w:tc>
        <w:tc>
          <w:tcPr>
            <w:tcW w:w="360" w:type="dxa"/>
            <w:vAlign w:val="bottom"/>
          </w:tcPr>
          <w:p>
            <w:pPr>
              <w:spacing w:after="0"/>
              <w:rPr>
                <w:sz w:val="14"/>
                <w:szCs w:val="14"/>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Three Months of 2020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1,929.9</w:t>
            </w:r>
          </w:p>
        </w:tc>
      </w:tr>
      <w:tr>
        <w:trPr>
          <w:trHeight w:val="229"/>
        </w:trPr>
        <w:tc>
          <w:tcPr>
            <w:tcW w:w="20" w:type="dxa"/>
            <w:vAlign w:val="bottom"/>
          </w:tcPr>
          <w:p>
            <w:pPr>
              <w:spacing w:after="0"/>
              <w:rPr>
                <w:sz w:val="19"/>
                <w:szCs w:val="19"/>
                <w:color w:val="auto"/>
              </w:rPr>
            </w:pPr>
          </w:p>
        </w:tc>
        <w:tc>
          <w:tcPr>
            <w:tcW w:w="6420" w:type="dxa"/>
            <w:vAlign w:val="bottom"/>
            <w:gridSpan w:val="2"/>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Organic</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Three Months of 2021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Results of operations were negatively impacted during the three months ended March 31, 2021 as a result of the COVID-19 pandemic. Management’s discussion below includes analysis as to the impact of the COVID-19 pandemic where it could be explicitly identified; however, in many instances it is difficult to quantify with a high level of certainty the negative impact the COVID-19 pandemic had on our net sales, cost of goods, operating expenses, interest expense and income tax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Net sales for the three months ended March 31, 2021 decreased by $100 million, or 5.2%, to $1.8 billion compared to the same period in 2020. The decrease is primarily due to an organic decrease of $115 million in the Freight Segment, due to lower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ind w:right="60"/>
        <w:spacing w:after="0" w:line="263" w:lineRule="auto"/>
        <w:rPr>
          <w:sz w:val="20"/>
          <w:szCs w:val="20"/>
          <w:color w:val="auto"/>
        </w:rPr>
      </w:pPr>
      <w:r>
        <w:rPr>
          <w:rFonts w:ascii="Arial" w:cs="Arial" w:eastAsia="Arial" w:hAnsi="Arial"/>
          <w:sz w:val="18"/>
          <w:szCs w:val="18"/>
          <w:color w:val="auto"/>
        </w:rPr>
        <w:t>locomotive Equipment sales, particularly in North America, partially offset by an increase in Services sales due to a decrease in parking of locomotives. Organic sales in the Transit Segment decreased $31 million, primarily due to COVID-19 related Original Equipment production delays offset by favorable changes in foreign currency exchange rates of $46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Cost of sales for the three months ended March 31, 2021 decreased by $55 million, or 4.1%, to $1.3 billion compared to the same period in 2020. The decrease is primarily due to the sales decreases discussed above. Cost of sales for the three months ended March 31, 2021 includes $4 million of restructuring costs, primarily for headcount reductions and footprint rationalization as part of the ongoing integration actions related to the GE Transportation acquisition and in response to the COVID-19 pandemic. Cost of sales in the first three months of 2020 included $1 million of restructuring costs, primarily for headcount reductions. Excluding these charges in both years, cost of sales as a percentage of sales was 70.6% in 2021 and 69.9% in 2020, representing a 0.7 percentage point increase. The increase can be attributed to lower absorption of overhead costs due to the decrease in sales volumes discussed above, partially offset by increased synergy savings related to the GE Transportation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20" w:firstLine="486"/>
        <w:spacing w:after="0" w:line="301" w:lineRule="auto"/>
        <w:rPr>
          <w:sz w:val="20"/>
          <w:szCs w:val="20"/>
          <w:color w:val="auto"/>
        </w:rPr>
      </w:pPr>
      <w:r>
        <w:rPr>
          <w:rFonts w:ascii="Arial" w:cs="Arial" w:eastAsia="Arial" w:hAnsi="Arial"/>
          <w:sz w:val="16"/>
          <w:szCs w:val="16"/>
          <w:color w:val="auto"/>
        </w:rPr>
        <w:t>Total operating expenses decreased $19 million in the first three months of 2021 compared to the same period in 2020. Operating expenses as a percentage of sales was 18.7% for both 2021 and 2020. Restructuring and transaction costs included in selling, general, and administrative expense ("SG&amp;A") were $11 million and $16 million for the three months ended March 31, 2021 and 2020, respectively. Excluding restructuring and transaction costs, SG&amp;A decreased $3 million and engineering expense decreased $11 million due to cost control measures on research and development projects.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Interest expense, net, decreased $6 million in the first three months of 2021 compared to the same period in 2020 attributable to lower overall average debt balances.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income (expense), net, was $14 million of income in the first three months of 2021 compared to $15 million of expense in the same period of</w:t>
      </w:r>
    </w:p>
    <w:p>
      <w:pPr>
        <w:spacing w:after="0" w:line="46" w:lineRule="exact"/>
        <w:rPr>
          <w:sz w:val="20"/>
          <w:szCs w:val="20"/>
          <w:color w:val="auto"/>
        </w:rPr>
      </w:pPr>
    </w:p>
    <w:p>
      <w:pPr>
        <w:ind w:right="780"/>
        <w:spacing w:after="0" w:line="367" w:lineRule="auto"/>
        <w:rPr>
          <w:sz w:val="20"/>
          <w:szCs w:val="20"/>
          <w:color w:val="auto"/>
        </w:rPr>
      </w:pPr>
      <w:r>
        <w:rPr>
          <w:rFonts w:ascii="Arial" w:cs="Arial" w:eastAsia="Arial" w:hAnsi="Arial"/>
          <w:sz w:val="18"/>
          <w:szCs w:val="18"/>
          <w:color w:val="auto"/>
        </w:rPr>
        <w:t xml:space="preserve">2020. The variance is primarily driven by foreign exchange gains in the current year and an increase in income from equity method investments. </w:t>
      </w:r>
      <w:r>
        <w:rPr>
          <w:rFonts w:ascii="Arial" w:cs="Arial" w:eastAsia="Arial" w:hAnsi="Arial"/>
          <w:sz w:val="18"/>
          <w:szCs w:val="18"/>
          <w:b w:val="1"/>
          <w:bCs w:val="1"/>
          <w:color w:val="auto"/>
        </w:rPr>
        <w:t>Income taxes</w:t>
      </w:r>
    </w:p>
    <w:p>
      <w:pPr>
        <w:spacing w:after="0" w:line="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effective income tax rate was 27.5% and 25.5% for the three months ended March 31, 2021 and 2020, respectively. The increase in the effective rate is primarily the result of withholding tax expense on intercompany dividends incurred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104"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1"/>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1"/>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Sales of goods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844.7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970.6</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330.4</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1,183.3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1,301.0</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Cost of goods</w:t>
            </w: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(643.8)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(711.2)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(188.2)</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(827.1)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(899.4)</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401.6</w:t>
            </w:r>
          </w:p>
        </w:tc>
      </w:tr>
      <w:tr>
        <w:trPr>
          <w:trHeight w:val="108"/>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(239.9)</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12.4%</w:t>
            </w:r>
          </w:p>
        </w:tc>
      </w:tr>
    </w:tbl>
    <w:p>
      <w:pPr>
        <w:spacing w:after="0" w:line="9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first three months of 2021 from the first three months of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Three Months of 2020 Net Sales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Acquisitions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Changes in Sales by Product Line: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rPr>
              <w:t>Equipment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Components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rPr>
              <w:t>Digital Electronics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2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Foreign Exchange</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Three Months of 2021 Net Sales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Freight Segment sales for the three months ended March 31, 2021 decreased by $118 million, or 9.0%, to $1.2 billion, compared to the same period in 2020 primarily due to an organic decrease of $115 million from lower locomotive Equipment sales from a reduction in volumes, particularly in North America, partially offset by an increase in Services sales due to higher modernizations, lower locomotive parkings and higher mining sales.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Freight Segment cost of sales for the three months ended March 31, 2021 decreased by $72 million, or 8.0%, to $827 million, compared to the same period in 2020. The decrease is attributable to the organic sales decrease discussed above. For each of the three months ended March 31, 2021 and 2020, Freight Segment cost of sales included $1 million each of restructuring costs, primarily for footprint rationalization and headcount actions as part of the ongoing integration actions related to the GE Transportation acquisition and in response to the COVID-19 pandemic. Excluding these charges, cost of sales as a percentage of sales was 69.8% in 2021 and 69.0% in 2020, representing a 0.8 percentage point increase. The increase can be attributed to the mix of sales, lower absorption of fixed costs due to the decrease in locomotive deliveries, partially offset by increased synergy savings related to the GE Transportation acquisition and efforts to reduce costs in response to the COVID-19 pandemic.</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Freight Segment operating expenses for the three months ended March 31, 2021 decreased $26 million, or 10.6%, in 2021 to 18.1% of sales, compared to the same period in 2020. The decrease is primarily due to a reduction in SG&amp;A expense of $18 million from increased synergy savings and lower transaction and restructuring charges. Restructuring and transaction costs included in SG&amp;A were $6 million and $14 million for the three months ended March 31, 2021 and 2020, respectively, and were primarily for headcount actions as part of the ongoing integration of GE Transportation. Additionally, engineering expense decreased $8 million due to cost control measures on research and development projects. Amortization expensed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39" w:right="5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104"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71"/>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71"/>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(468.9)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from operations (%)</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4" w:lineRule="exact"/>
              <w:rPr>
                <w:sz w:val="20"/>
                <w:szCs w:val="20"/>
                <w:color w:val="auto"/>
              </w:rPr>
            </w:pPr>
            <w:r>
              <w:rPr>
                <w:rFonts w:ascii="Arial" w:cs="Arial" w:eastAsia="Arial" w:hAnsi="Arial"/>
                <w:sz w:val="18"/>
                <w:szCs w:val="18"/>
                <w:color w:val="auto"/>
              </w:rPr>
              <w:t>10.8 %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4" w:lineRule="exact"/>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first three months of 2021 from the first three months of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Three Months of 2020 Net Sales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Changes in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Original Equipment Manufacturing</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rPr>
              <w:t>Aftermarket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First Three Months of 2021 Net Sales</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Transit Segment sales for the three months ended March 31, 2021 increased by $18 million, or 2.9%, to $647 million compared to the same period in 2020; however, Transit organic sales decreased $31 million, primarily due to disruptions to our operations caused by the COVID-19 pandemic. This impact was felt in both the Original Equipment Manufacturing and Aftermarket product lines as the COVID-19 pandemic has continued to affect factory output and ridership levels. Favorable foreign currency exchange rate changes increased net sales by $49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Transit Segment cost of sales for the three months ended March 31, 2021 increased by $17 million, or 3.8%, to $469 million compared to the same period in 2020, with foreign exchange rate changes being the primary driver of the increase partially offset by improved operational performance. The first three months of 2021 includes $3 million of restructuring costs, primarily for footprint rationalization in the UK. Excluding these costs, cost of sales as a percentage of sales was 72.1%, a 0.3 percentage point increase over the comparable period in 2020, attributable to COVID-19 pandemic related disruption to our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Transit Segment operating expenses remained consistent year over year at $108 million and $109 million for the three months ended March 31, 2021 and 2020, respectively. Operating expenses as a percentage of sales were 16.7% and 17.3% for the three months ended March 31, 2021 and 2020, respectively. The decrease of 0.6 percentage points can be attributed to improvement in operational performance, improved risk management and cost actions taken in the prior year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Senior Notes and unsecured credit facility with a consortium of commercial banks. The following is a summary of selected cash flow information and other relevant data:</w:t>
      </w:r>
    </w:p>
    <w:p>
      <w:pPr>
        <w:spacing w:after="0" w:line="157"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for):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680"/>
              <w:spacing w:after="0"/>
              <w:rPr>
                <w:sz w:val="20"/>
                <w:szCs w:val="20"/>
                <w:color w:val="auto"/>
              </w:rPr>
            </w:pPr>
            <w:r>
              <w:rPr>
                <w:rFonts w:ascii="Arial" w:cs="Arial" w:eastAsia="Arial" w:hAnsi="Arial"/>
                <w:sz w:val="18"/>
                <w:szCs w:val="18"/>
                <w:color w:val="auto"/>
                <w:w w:val="93"/>
              </w:rPr>
              <w:t>(81.9)</w:t>
            </w: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(62.6)</w:t>
            </w:r>
          </w:p>
        </w:tc>
      </w:tr>
      <w:tr>
        <w:trPr>
          <w:trHeight w:val="230"/>
        </w:trPr>
        <w:tc>
          <w:tcPr>
            <w:tcW w:w="20" w:type="dxa"/>
            <w:vAlign w:val="bottom"/>
          </w:tcPr>
          <w:p>
            <w:pPr>
              <w:spacing w:after="0"/>
              <w:rPr>
                <w:sz w:val="20"/>
                <w:szCs w:val="20"/>
                <w:color w:val="auto"/>
              </w:rPr>
            </w:pPr>
          </w:p>
        </w:tc>
        <w:tc>
          <w:tcPr>
            <w:tcW w:w="816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660"/>
              <w:spacing w:after="0"/>
              <w:rPr>
                <w:sz w:val="20"/>
                <w:szCs w:val="20"/>
                <w:color w:val="auto"/>
              </w:rPr>
            </w:pPr>
            <w:r>
              <w:rPr>
                <w:rFonts w:ascii="Arial" w:cs="Arial" w:eastAsia="Arial" w:hAnsi="Arial"/>
                <w:sz w:val="18"/>
                <w:szCs w:val="18"/>
                <w:color w:val="auto"/>
              </w:rPr>
              <w:t>183.5</w:t>
            </w:r>
          </w:p>
        </w:tc>
      </w:tr>
    </w:tbl>
    <w:p>
      <w:pPr>
        <w:spacing w:after="0" w:line="147"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In the first three months of 2021, cash provided by operations was $292 million compared to cash used for operations of $82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first three months of 2020. Significant changes to the sources of cash for the three months periods include the following:</w:t>
      </w:r>
    </w:p>
    <w:p>
      <w:pPr>
        <w:spacing w:after="0" w:line="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$107 million improvement from accounts payable due to the timing of payments to suppliers for the three months ended March 31, 2021;</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$93 million related to cash received from the securitization of accounts receivable for the three months ended March 31, 2021;</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$93 million related to cash payments made in the three months ended March 31, 2020 for costs related to the GE Transportation acquisition and settlement of litigation that did not recur;</w:t>
      </w:r>
    </w:p>
    <w:p>
      <w:pPr>
        <w:spacing w:after="0" w:line="6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remaining change in cash from operating activities is primarily attributable to changes in the related statement of income and other changes in the consolidated balance sheet.</w:t>
      </w:r>
    </w:p>
    <w:p>
      <w:pPr>
        <w:spacing w:after="0" w:line="6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the first three months of 2021 and 2020, cash used for investing activities was $422 million and $63 million, respectively.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components of the cash outflow in 2021 were $27 million in additions to property, plant and equipment for investments in our facilities and manufacturing processes, and $401 million in net cash paid for the acquisition of Nordco. This compares to $33 million in property, plant, and equipment for additions in the first three months of 2020 and $36 million in net cash paid for acquisitions. Additional information with respect to acquisitions is included in Note 3 of the “Notes to Condensed Consolidated Financial Statements” included in Part I, Item 1 of this report.</w:t>
      </w:r>
    </w:p>
    <w:p>
      <w:pPr>
        <w:spacing w:after="0" w:line="68"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three months of 2021, cash from financing activities was $8 million which included $1.4 billion in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$1.4 billion in repayments of debt, $1 million in stock repurchases and $23 million of dividend payments. In the first three months of 2020, cash provided by financing activities was $184 million, which included $1.0 billion in proceeds from debt, $0.7 billion in repayments of debt, $105 million in stock repurchases and $23 million of dividend payments.</w:t>
      </w:r>
    </w:p>
    <w:p>
      <w:pPr>
        <w:spacing w:after="0" w:line="7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of March 31, 2021, the Company held approximately $484 million of cash and cash equivalents. Of this amount, approximately $39 million was held within the United States and approximately $445 million was held outside of the United States, primarily in Europe, India and China. While repatriation of some cash held outside the United States may be restricted by local laws, most of the Company’s foreign cash could be repatriated to the United States.</w:t>
      </w:r>
    </w:p>
    <w:p>
      <w:pPr>
        <w:spacing w:after="0" w:line="79"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Additional information with respect to Senior Notes, credit facilities and long-term debt is included in Note 8 of the "Notes to Condensed Consolidated Financial Statements" included in Part I, Item 1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Receivables Program</w:t>
      </w:r>
    </w:p>
    <w:p>
      <w:pPr>
        <w:spacing w:after="0" w:line="11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May 2020, the Company entered into a revolving agreement to transfer up to $150 million of certain receivables of certain subsidiaries of the Company (the "Originators") through our bankruptcy-remote subsidiary to a financial institution on a recurring basis in exchange for cash equal to the gross receivables transferred. During the first quarter of 2021, the Company amended its revolving agreement to increase the amount of certain receivables that can be transferred from $150 million to $200 million. As customers pay their balances, we transfer additional receivables into the program, resulting in our gross receivables sold exceeding net cash flow impacts (e.g., collect and reinvest). The sold receivables are fully guaranteed by our bankruptcy-remote subsidiary which held additional receivables of $259.7 million at March 31, 2021 that are pledged as collateral under this agreement. The transfers are</w:t>
      </w:r>
    </w:p>
    <w:p>
      <w:pPr>
        <w:spacing w:after="0" w:line="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recorded at the fair value of the proceeds received and obligations assumed less derecognized receivables. No obligation was recorded at March 31, 2021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ind w:right="260"/>
        <w:spacing w:after="0" w:line="277" w:lineRule="auto"/>
        <w:rPr>
          <w:sz w:val="20"/>
          <w:szCs w:val="20"/>
          <w:color w:val="auto"/>
        </w:rPr>
      </w:pPr>
      <w:r>
        <w:rPr>
          <w:rFonts w:ascii="Arial" w:cs="Arial" w:eastAsia="Arial" w:hAnsi="Arial"/>
          <w:sz w:val="18"/>
          <w:szCs w:val="18"/>
          <w:color w:val="auto"/>
        </w:rPr>
        <w:t>revolving agreement. None of the Company (except for the bankruptcy-remote consolidated subsidiary referenced above) nor the Originators guarantees the collectability of the receivables under the revolving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 Program</w:t>
      </w:r>
    </w:p>
    <w:p>
      <w:pPr>
        <w:spacing w:after="0" w:line="117"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Summarized Financial Information</w:t>
      </w:r>
    </w:p>
    <w:p>
      <w:pPr>
        <w:spacing w:after="0" w:line="117"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The obligations under the Company's Senior Notes, Senior Credit Facility, and 364 Day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w:t>
      </w:r>
    </w:p>
    <w:p>
      <w:pPr>
        <w:spacing w:after="0" w:line="4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following tables present summarized financial information of the parent and the guarantor subsidiaries on a combined basis.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Westinghouse Air Brake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Technologies Corp. and Guarantor</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44"/>
        </w:trPr>
        <w:tc>
          <w:tcPr>
            <w:tcW w:w="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49"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888.9</w:t>
            </w: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2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378"/>
        </w:trPr>
        <w:tc>
          <w:tcPr>
            <w:tcW w:w="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Summarized Balance Sheet</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3"/>
          </w:tcPr>
          <w:p>
            <w:pPr>
              <w:jc w:val="center"/>
              <w:ind w:left="1418"/>
              <w:spacing w:after="0"/>
              <w:rPr>
                <w:sz w:val="20"/>
                <w:szCs w:val="20"/>
                <w:color w:val="auto"/>
              </w:rPr>
            </w:pPr>
            <w:r>
              <w:rPr>
                <w:rFonts w:ascii="Arial" w:cs="Arial" w:eastAsia="Arial" w:hAnsi="Arial"/>
                <w:sz w:val="14"/>
                <w:szCs w:val="14"/>
                <w:b w:val="1"/>
                <w:bCs w:val="1"/>
                <w:color w:val="auto"/>
                <w:w w:val="93"/>
              </w:rPr>
              <w:t>Unaudited</w:t>
            </w:r>
          </w:p>
        </w:tc>
        <w:tc>
          <w:tcPr>
            <w:tcW w:w="1760" w:type="dxa"/>
            <w:vAlign w:val="bottom"/>
          </w:tcPr>
          <w:p>
            <w:pPr>
              <w:spacing w:after="0"/>
              <w:rPr>
                <w:sz w:val="17"/>
                <w:szCs w:val="17"/>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20" w:type="dxa"/>
            <w:vAlign w:val="bottom"/>
            <w:gridSpan w:val="4"/>
          </w:tcPr>
          <w:p>
            <w:pPr>
              <w:jc w:val="center"/>
              <w:ind w:right="172"/>
              <w:spacing w:after="0" w:line="147" w:lineRule="exact"/>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3"/>
          </w:tcPr>
          <w:p>
            <w:pPr>
              <w:jc w:val="center"/>
              <w:ind w:left="1438"/>
              <w:spacing w:after="0"/>
              <w:rPr>
                <w:sz w:val="20"/>
                <w:szCs w:val="20"/>
                <w:color w:val="auto"/>
              </w:rPr>
            </w:pPr>
            <w:r>
              <w:rPr>
                <w:rFonts w:ascii="Arial" w:cs="Arial" w:eastAsia="Arial" w:hAnsi="Arial"/>
                <w:sz w:val="14"/>
                <w:szCs w:val="14"/>
                <w:b w:val="1"/>
                <w:bCs w:val="1"/>
                <w:color w:val="auto"/>
                <w:w w:val="88"/>
              </w:rPr>
              <w:t>Subsidiaries</w:t>
            </w:r>
          </w:p>
        </w:tc>
        <w:tc>
          <w:tcPr>
            <w:tcW w:w="176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4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2"/>
          </w:tcPr>
          <w:p>
            <w:pPr>
              <w:ind w:left="360"/>
              <w:spacing w:after="0" w:line="158" w:lineRule="exact"/>
              <w:rPr>
                <w:sz w:val="20"/>
                <w:szCs w:val="20"/>
                <w:color w:val="auto"/>
              </w:rPr>
            </w:pPr>
            <w:r>
              <w:rPr>
                <w:rFonts w:ascii="Arial" w:cs="Arial" w:eastAsia="Arial" w:hAnsi="Arial"/>
                <w:sz w:val="14"/>
                <w:szCs w:val="14"/>
                <w:b w:val="1"/>
                <w:bCs w:val="1"/>
                <w:color w:val="auto"/>
              </w:rPr>
              <w:t>March 31, 2021</w:t>
            </w:r>
          </w:p>
        </w:tc>
        <w:tc>
          <w:tcPr>
            <w:tcW w:w="420" w:type="dxa"/>
            <w:vAlign w:val="bottom"/>
          </w:tcPr>
          <w:p>
            <w:pPr>
              <w:spacing w:after="0"/>
              <w:rPr>
                <w:sz w:val="13"/>
                <w:szCs w:val="13"/>
                <w:color w:val="auto"/>
              </w:rPr>
            </w:pPr>
          </w:p>
        </w:tc>
        <w:tc>
          <w:tcPr>
            <w:tcW w:w="1760" w:type="dxa"/>
            <w:vAlign w:val="bottom"/>
          </w:tcPr>
          <w:p>
            <w:pPr>
              <w:jc w:val="right"/>
              <w:ind w:right="432"/>
              <w:spacing w:after="0" w:line="158" w:lineRule="exact"/>
              <w:rPr>
                <w:sz w:val="20"/>
                <w:szCs w:val="20"/>
                <w:color w:val="auto"/>
              </w:rPr>
            </w:pPr>
            <w:r>
              <w:rPr>
                <w:rFonts w:ascii="Arial" w:cs="Arial" w:eastAsia="Arial" w:hAnsi="Arial"/>
                <w:sz w:val="14"/>
                <w:szCs w:val="14"/>
                <w:b w:val="1"/>
                <w:bCs w:val="1"/>
                <w:color w:val="auto"/>
                <w:w w:val="96"/>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1,835.7</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3,911.3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3,779.6</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91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ind w:firstLine="486"/>
        <w:spacing w:after="0" w:line="269"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guarantor subsidiaries with non-guarantor subsidiaries.</w:t>
      </w: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Westinghouse Air Brake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Technologies Corp. and Guarantor</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44"/>
        </w:trPr>
        <w:tc>
          <w:tcPr>
            <w:tcW w:w="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49"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30"/>
        </w:trPr>
        <w:tc>
          <w:tcPr>
            <w:tcW w:w="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44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96"/>
              </w:rPr>
              <w:t>Unaudited</w:t>
            </w: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Westinghouse Air Brake</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21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Technologies Corp. and Guarantor</w:t>
            </w: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Subsidiaries</w:t>
            </w:r>
          </w:p>
        </w:tc>
      </w:tr>
      <w:tr>
        <w:trPr>
          <w:trHeight w:val="158"/>
        </w:trPr>
        <w:tc>
          <w:tcPr>
            <w:tcW w:w="20" w:type="dxa"/>
            <w:vAlign w:val="bottom"/>
          </w:tcPr>
          <w:p>
            <w:pPr>
              <w:spacing w:after="0"/>
              <w:rPr>
                <w:sz w:val="13"/>
                <w:szCs w:val="13"/>
                <w:color w:val="auto"/>
              </w:rPr>
            </w:pPr>
          </w:p>
        </w:tc>
        <w:tc>
          <w:tcPr>
            <w:tcW w:w="9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3"/>
                <w:szCs w:val="13"/>
                <w:color w:val="auto"/>
              </w:rPr>
            </w:pPr>
          </w:p>
        </w:tc>
        <w:tc>
          <w:tcPr>
            <w:tcW w:w="1960" w:type="dxa"/>
            <w:vAlign w:val="bottom"/>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March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(to) from non-guarantor subsidiaries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On February 11, 2021, the Board of Directors increased its stock repurchase authorization to increase the amount available for stock repurchases to $500 million of the Company’s outstanding shares. This new stock repurchase authorization supersedes the previous authorization of $500 million of which about $292.2 million remained. No time limit was set for the completion of the program which conforms to the requirements under the Senior Credit Facility, the 364 Day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20" w:right="4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Africa;</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20" w:hanging="329"/>
        <w:spacing w:after="0" w:line="298"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the GE Transportation Business;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and state income tax legislation;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factors</w:t>
      </w:r>
    </w:p>
    <w:p>
      <w:pPr>
        <w:spacing w:after="0" w:line="67"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severity and duration of the pandemic;</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deterioration of general economic conditions;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shutdown of one or more of our operating facilities;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chain and sourcing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of our customers to pay timely for goods and services delivered;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of our employees;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retain and recruit talented employees;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obtaining debt or equity financing.</w:t>
      </w:r>
    </w:p>
    <w:p>
      <w:pPr>
        <w:spacing w:after="0" w:line="11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2020. In particular, judgment is used in areas such as accounts receivable and the allowance for doubtful accounts, inventories, goodwill and indefinite-lived intangibles, business combinations, warranty reserves, stock-based compensation, income taxes and revenue recognition. There have been no significant changes in accounting policies since December 31, 2020.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See "Quantitative and Qualitative Disclosures About Market Risk" in Item 7A of Part II of our Annual Report on Form 10-K for the year ended December 31, 2020. Our exposure to market risk has not changed materially since December 31, 2020. Refer to Note 13 - Derivative Financial Instruments and Hedging of "Notes to Condensed Consolidated Financial Statements" included in Part I, Item 1 of this report for additional information regarding interest rate and foreign currency exchange risk.</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March 31, 2021.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222"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March 31, 2021, that has materially affected, or is reasonably likely to materially affect, Wabtec’s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15 of “Notes to Condensed Consolidated Financial Statements” included in Part I, Item 1 of this report.</w:t>
      </w:r>
    </w:p>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March 31, 2021: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Common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color w:val="auto"/>
                <w:w w:val="91"/>
              </w:rPr>
              <w:t>Total Number of</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6"/>
              </w:rPr>
              <w:t>Maximum Dollar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 Purchased as</w:t>
            </w:r>
          </w:p>
        </w:tc>
        <w:tc>
          <w:tcPr>
            <w:tcW w:w="16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2"/>
              </w:rPr>
              <w:t>Value of Shares That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Average Price</w:t>
            </w: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Part of Publicly</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Announced</w:t>
            </w:r>
          </w:p>
        </w:tc>
        <w:tc>
          <w:tcPr>
            <w:tcW w:w="16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1"/>
              </w:rPr>
              <w:t>Purchased Under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 except shares and price per share</w:t>
            </w:r>
          </w:p>
        </w:tc>
        <w:tc>
          <w:tcPr>
            <w:tcW w:w="17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5"/>
              </w:rPr>
              <w:t>Shares Purchased</w:t>
            </w:r>
          </w:p>
        </w:tc>
        <w:tc>
          <w:tcPr>
            <w:tcW w:w="136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Paid per Share</w:t>
            </w:r>
          </w:p>
        </w:tc>
        <w:tc>
          <w:tcPr>
            <w:tcW w:w="16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Programs (1)</w:t>
            </w:r>
          </w:p>
        </w:tc>
        <w:tc>
          <w:tcPr>
            <w:tcW w:w="160" w:type="dxa"/>
            <w:vAlign w:val="bottom"/>
          </w:tcPr>
          <w:p>
            <w:pPr>
              <w:spacing w:after="0"/>
              <w:rPr>
                <w:sz w:val="16"/>
                <w:szCs w:val="16"/>
                <w:color w:val="auto"/>
              </w:rPr>
            </w:pPr>
          </w:p>
        </w:tc>
        <w:tc>
          <w:tcPr>
            <w:tcW w:w="150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Programs (1)</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2021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February 2021</w:t>
            </w:r>
          </w:p>
        </w:tc>
        <w:tc>
          <w:tcPr>
            <w:tcW w:w="1620" w:type="dxa"/>
            <w:vAlign w:val="bottom"/>
          </w:tcPr>
          <w:p>
            <w:pPr>
              <w:jc w:val="right"/>
              <w:spacing w:after="0"/>
              <w:rPr>
                <w:sz w:val="20"/>
                <w:szCs w:val="20"/>
                <w:color w:val="auto"/>
              </w:rPr>
            </w:pPr>
            <w:r>
              <w:rPr>
                <w:rFonts w:ascii="Arial" w:cs="Arial" w:eastAsia="Arial" w:hAnsi="Arial"/>
                <w:sz w:val="18"/>
                <w:szCs w:val="18"/>
                <w:color w:val="auto"/>
              </w:rPr>
              <w:t>7,686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73.30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2021</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Total quarter ended March 31, 2021</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February 11, 2021, the Board of Directors increased its stock repurchase authorization to increase the amount available for stock repurchases to</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$500 million of the Company’s outstanding shares. This new stock repurchase authorization supersedes the previous authorization of $500 million of which about $292.2 million remained. No time limit was set for the completion of the program which conforms to the requirements under the Senior Credit Facility, the 364 Day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10"/>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140" w:type="dxa"/>
            <w:vAlign w:val="bottom"/>
            <w:gridSpan w:val="11"/>
          </w:tcPr>
          <w:p>
            <w:pPr>
              <w:ind w:left="500"/>
              <w:spacing w:after="0"/>
              <w:rPr>
                <w:sz w:val="20"/>
                <w:szCs w:val="20"/>
                <w:color w:val="auto"/>
              </w:rPr>
            </w:pPr>
            <w:r>
              <w:rPr>
                <w:rFonts w:ascii="Arial" w:cs="Arial" w:eastAsia="Arial" w:hAnsi="Arial"/>
                <w:sz w:val="18"/>
                <w:szCs w:val="18"/>
                <w:color w:val="auto"/>
              </w:rPr>
              <w:t>The following exhibits are being filed with this report:</w:t>
            </w:r>
          </w:p>
        </w:tc>
        <w:tc>
          <w:tcPr>
            <w:tcW w:w="0" w:type="dxa"/>
            <w:vAlign w:val="bottom"/>
          </w:tcPr>
          <w:p>
            <w:pPr>
              <w:spacing w:after="0"/>
              <w:rPr>
                <w:sz w:val="1"/>
                <w:szCs w:val="1"/>
                <w:color w:val="auto"/>
              </w:rPr>
            </w:pPr>
          </w:p>
        </w:tc>
      </w:tr>
      <w:tr>
        <w:trPr>
          <w:trHeight w:val="216"/>
        </w:trPr>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18"/>
                <w:szCs w:val="18"/>
                <w:color w:val="auto"/>
              </w:rPr>
            </w:pPr>
          </w:p>
        </w:tc>
        <w:tc>
          <w:tcPr>
            <w:tcW w:w="9700" w:type="dxa"/>
            <w:vAlign w:val="bottom"/>
            <w:gridSpan w:val="9"/>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Amended and Restated By-Laws of the Company, effective February 11, 2021 (incorporated by reference to Exhibit 3.1 to the Current</w:t>
              </w:r>
            </w:hyperlink>
          </w:p>
        </w:tc>
        <w:tc>
          <w:tcPr>
            <w:tcW w:w="0" w:type="dxa"/>
            <w:vAlign w:val="bottom"/>
          </w:tcPr>
          <w:p>
            <w:pPr>
              <w:spacing w:after="0"/>
              <w:rPr>
                <w:sz w:val="1"/>
                <w:szCs w:val="1"/>
                <w:color w:val="auto"/>
              </w:rPr>
            </w:pPr>
          </w:p>
        </w:tc>
      </w:tr>
      <w:tr>
        <w:trPr>
          <w:trHeight w:val="156"/>
        </w:trPr>
        <w:tc>
          <w:tcPr>
            <w:tcW w:w="7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96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Report on Form 8-K filed on February 18,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2"/>
                <w:szCs w:val="22"/>
                <w:color w:val="auto"/>
              </w:rPr>
            </w:pPr>
          </w:p>
        </w:tc>
        <w:tc>
          <w:tcPr>
            <w:tcW w:w="9700" w:type="dxa"/>
            <w:vAlign w:val="bottom"/>
            <w:gridSpan w:val="9"/>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Amended and Restated 2011 Stock Incentive Plan (incorporated by reference to Exhibit 10.1 to the Current Report on Form 8-K filed</w:t>
              </w:r>
            </w:hyperlink>
          </w:p>
        </w:tc>
        <w:tc>
          <w:tcPr>
            <w:tcW w:w="0" w:type="dxa"/>
            <w:vAlign w:val="bottom"/>
          </w:tcPr>
          <w:p>
            <w:pPr>
              <w:spacing w:after="0"/>
              <w:rPr>
                <w:sz w:val="1"/>
                <w:szCs w:val="1"/>
                <w:color w:val="auto"/>
              </w:rPr>
            </w:pPr>
          </w:p>
        </w:tc>
      </w:tr>
      <w:tr>
        <w:trPr>
          <w:trHeight w:val="156"/>
        </w:trPr>
        <w:tc>
          <w:tcPr>
            <w:tcW w:w="7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96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on January 20, 2021)</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20"/>
              <w:spacing w:after="0"/>
              <w:rPr>
                <w:sz w:val="20"/>
                <w:szCs w:val="20"/>
                <w:color w:val="auto"/>
              </w:rPr>
            </w:pPr>
            <w:r>
              <w:rPr>
                <w:rFonts w:ascii="Arial" w:cs="Arial" w:eastAsia="Arial" w:hAnsi="Arial"/>
                <w:sz w:val="18"/>
                <w:szCs w:val="18"/>
                <w:color w:val="auto"/>
              </w:rPr>
              <w:t>22.1</w:t>
            </w:r>
          </w:p>
        </w:tc>
        <w:tc>
          <w:tcPr>
            <w:tcW w:w="720" w:type="dxa"/>
            <w:vAlign w:val="bottom"/>
          </w:tcPr>
          <w:p>
            <w:pPr>
              <w:spacing w:after="0"/>
              <w:rPr>
                <w:sz w:val="22"/>
                <w:szCs w:val="22"/>
                <w:color w:val="auto"/>
              </w:rPr>
            </w:pPr>
          </w:p>
        </w:tc>
        <w:tc>
          <w:tcPr>
            <w:tcW w:w="21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List of Subsidiary Guarantors</w:t>
              </w:r>
            </w:hyperlink>
          </w:p>
        </w:tc>
        <w:tc>
          <w:tcPr>
            <w:tcW w:w="75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2"/>
                <w:szCs w:val="22"/>
                <w:color w:val="auto"/>
              </w:rPr>
            </w:pPr>
          </w:p>
        </w:tc>
        <w:tc>
          <w:tcPr>
            <w:tcW w:w="9700" w:type="dxa"/>
            <w:vAlign w:val="bottom"/>
            <w:gridSpan w:val="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Rule 13a-14(a) Certification of Chief Executive Officer.</w:t>
              </w:r>
            </w:hyperlink>
          </w:p>
        </w:tc>
        <w:tc>
          <w:tcPr>
            <w:tcW w:w="0" w:type="dxa"/>
            <w:vAlign w:val="bottom"/>
          </w:tcPr>
          <w:p>
            <w:pPr>
              <w:spacing w:after="0"/>
              <w:rPr>
                <w:sz w:val="1"/>
                <w:szCs w:val="1"/>
                <w:color w:val="auto"/>
              </w:rPr>
            </w:pPr>
          </w:p>
        </w:tc>
      </w:tr>
      <w:tr>
        <w:trPr>
          <w:trHeight w:val="264"/>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2"/>
                <w:szCs w:val="22"/>
                <w:color w:val="auto"/>
              </w:rPr>
            </w:pPr>
          </w:p>
        </w:tc>
        <w:tc>
          <w:tcPr>
            <w:tcW w:w="40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41">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2"/>
                <w:szCs w:val="22"/>
                <w:color w:val="auto"/>
              </w:rPr>
            </w:pPr>
          </w:p>
        </w:tc>
        <w:tc>
          <w:tcPr>
            <w:tcW w:w="56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2"/>
                <w:szCs w:val="22"/>
                <w:color w:val="auto"/>
              </w:rPr>
            </w:pPr>
          </w:p>
        </w:tc>
        <w:tc>
          <w:tcPr>
            <w:tcW w:w="9700" w:type="dxa"/>
            <w:vAlign w:val="bottom"/>
            <w:gridSpan w:val="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Section 1350 Certification of Chief Executive Officer and Chief Financial Officer.</w:t>
              </w:r>
            </w:hyperlink>
          </w:p>
        </w:tc>
        <w:tc>
          <w:tcPr>
            <w:tcW w:w="0" w:type="dxa"/>
            <w:vAlign w:val="bottom"/>
          </w:tcPr>
          <w:p>
            <w:pPr>
              <w:spacing w:after="0"/>
              <w:rPr>
                <w:sz w:val="1"/>
                <w:szCs w:val="1"/>
                <w:color w:val="auto"/>
              </w:rPr>
            </w:pPr>
          </w:p>
        </w:tc>
      </w:tr>
      <w:tr>
        <w:trPr>
          <w:trHeight w:val="304"/>
        </w:trPr>
        <w:tc>
          <w:tcPr>
            <w:tcW w:w="720" w:type="dxa"/>
            <w:vAlign w:val="bottom"/>
          </w:tcPr>
          <w:p>
            <w:pPr>
              <w:ind w:left="20"/>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59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3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3"/>
              </w:rPr>
              <w:t>101.SCH</w:t>
            </w:r>
          </w:p>
        </w:tc>
        <w:tc>
          <w:tcPr>
            <w:tcW w:w="72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720" w:type="dxa"/>
            <w:vAlign w:val="bottom"/>
          </w:tcPr>
          <w:p>
            <w:pPr>
              <w:ind w:left="20"/>
              <w:spacing w:after="0"/>
              <w:rPr>
                <w:sz w:val="20"/>
                <w:szCs w:val="20"/>
                <w:color w:val="auto"/>
              </w:rPr>
            </w:pPr>
            <w:r>
              <w:rPr>
                <w:rFonts w:ascii="Arial" w:cs="Arial" w:eastAsia="Arial" w:hAnsi="Arial"/>
                <w:sz w:val="18"/>
                <w:szCs w:val="18"/>
                <w:color w:val="auto"/>
                <w:w w:val="97"/>
              </w:rPr>
              <w:t>101.CAL</w:t>
            </w:r>
          </w:p>
        </w:tc>
        <w:tc>
          <w:tcPr>
            <w:tcW w:w="72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5"/>
              </w:rPr>
              <w:t>101.DEF</w:t>
            </w:r>
          </w:p>
        </w:tc>
        <w:tc>
          <w:tcPr>
            <w:tcW w:w="72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8"/>
              </w:rPr>
              <w:t>101.LAB</w:t>
            </w:r>
          </w:p>
        </w:tc>
        <w:tc>
          <w:tcPr>
            <w:tcW w:w="72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4"/>
              </w:rPr>
              <w:t>101.PRE</w:t>
            </w:r>
          </w:p>
        </w:tc>
        <w:tc>
          <w:tcPr>
            <w:tcW w:w="72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40" w:hanging="1414"/>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37" w:name="page38"/>
    <w:bookmarkEnd w:id="3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86"/>
        <w:spacing w:after="0" w:line="273"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WESTINGHOUSE AIR BRAKE TECHNOLOGIES CORPORATION</w:t>
      </w:r>
    </w:p>
    <w:p>
      <w:pPr>
        <w:spacing w:after="0" w:line="88" w:lineRule="exact"/>
        <w:rPr>
          <w:sz w:val="20"/>
          <w:szCs w:val="20"/>
          <w:color w:val="auto"/>
        </w:rPr>
      </w:pPr>
    </w:p>
    <w:p>
      <w:pPr>
        <w:ind w:left="5980"/>
        <w:spacing w:after="0"/>
        <w:tabs>
          <w:tab w:leader="none" w:pos="796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63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8"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Patrick D. Dugan,</w:t>
      </w:r>
    </w:p>
    <w:p>
      <w:pPr>
        <w:spacing w:after="0" w:line="18"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Executive Vice President and</w:t>
      </w:r>
    </w:p>
    <w:p>
      <w:pPr>
        <w:ind w:left="8280"/>
        <w:spacing w:after="0"/>
        <w:rPr>
          <w:sz w:val="20"/>
          <w:szCs w:val="20"/>
          <w:color w:val="auto"/>
        </w:rPr>
      </w:pPr>
      <w:r>
        <w:rPr>
          <w:rFonts w:ascii="Arial" w:cs="Arial" w:eastAsia="Arial" w:hAnsi="Arial"/>
          <w:sz w:val="14"/>
          <w:szCs w:val="14"/>
          <w:b w:val="1"/>
          <w:bCs w:val="1"/>
          <w:color w:val="auto"/>
        </w:rPr>
        <w:t>Chief Financial Officer</w:t>
      </w:r>
    </w:p>
    <w:p>
      <w:pPr>
        <w:spacing w:after="0" w:line="27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7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DATE:</w:t>
        <w:tab/>
        <w:t>April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931" w:right="459" w:bottom="1440" w:gutter="0" w:footer="0" w:header="0"/>
        </w:sectPr>
      </w:pPr>
    </w:p>
    <w:bookmarkStart w:id="38" w:name="page39"/>
    <w:bookmarkEnd w:id="38"/>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22.1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Guarantor Subsidiaries of Westinghouse Air Brake Technologies Corporation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subsidiaries of Westinghouse Air Brake Technologies Corporation (the "Company") were guarantors of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Company's Senior Notes, Senior Credit Facility, 364 Day Facility and 2025 Notes as of June 30,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300" w:type="dxa"/>
            <w:vAlign w:val="bottom"/>
          </w:tcPr>
          <w:p>
            <w:pPr>
              <w:spacing w:after="0"/>
              <w:rPr>
                <w:sz w:val="20"/>
                <w:szCs w:val="20"/>
                <w:color w:val="auto"/>
              </w:rPr>
            </w:pPr>
            <w:r>
              <w:rPr>
                <w:rFonts w:ascii="Arial" w:cs="Arial" w:eastAsia="Arial" w:hAnsi="Arial"/>
                <w:sz w:val="20"/>
                <w:szCs w:val="20"/>
                <w:b w:val="1"/>
                <w:bCs w:val="1"/>
                <w:color w:val="auto"/>
              </w:rPr>
              <w:t>Name of Guarantor Subsidiary</w:t>
            </w:r>
          </w:p>
        </w:tc>
        <w:tc>
          <w:tcPr>
            <w:tcW w:w="3580" w:type="dxa"/>
            <w:vAlign w:val="bottom"/>
            <w:gridSpan w:val="2"/>
          </w:tcPr>
          <w:p>
            <w:pPr>
              <w:spacing w:after="0"/>
              <w:rPr>
                <w:sz w:val="20"/>
                <w:szCs w:val="20"/>
                <w:color w:val="auto"/>
              </w:rPr>
            </w:pPr>
            <w:r>
              <w:rPr>
                <w:rFonts w:ascii="Arial" w:cs="Arial" w:eastAsia="Arial" w:hAnsi="Arial"/>
                <w:sz w:val="20"/>
                <w:szCs w:val="20"/>
                <w:b w:val="1"/>
                <w:bCs w:val="1"/>
                <w:color w:val="auto"/>
              </w:rPr>
              <w:t>Jurisdiction of Formation</w:t>
            </w:r>
          </w:p>
        </w:tc>
        <w:tc>
          <w:tcPr>
            <w:tcW w:w="4160" w:type="dxa"/>
            <w:vAlign w:val="bottom"/>
          </w:tcPr>
          <w:p>
            <w:pPr>
              <w:spacing w:after="0"/>
              <w:rPr>
                <w:sz w:val="22"/>
                <w:szCs w:val="22"/>
                <w:color w:val="auto"/>
              </w:rPr>
            </w:pPr>
          </w:p>
        </w:tc>
      </w:tr>
      <w:tr>
        <w:trPr>
          <w:trHeight w:val="23"/>
        </w:trPr>
        <w:tc>
          <w:tcPr>
            <w:tcW w:w="62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C6D9F1"/>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71"/>
        </w:trPr>
        <w:tc>
          <w:tcPr>
            <w:tcW w:w="6880" w:type="dxa"/>
            <w:vAlign w:val="bottom"/>
            <w:tcBorders>
              <w:bottom w:val="single" w:sz="8" w:color="C6D9F1"/>
            </w:tcBorders>
            <w:gridSpan w:val="3"/>
            <w:shd w:val="clear" w:color="auto" w:fill="C6D9F1"/>
          </w:tcPr>
          <w:p>
            <w:pPr>
              <w:ind w:left="20"/>
              <w:spacing w:after="0"/>
              <w:rPr>
                <w:sz w:val="20"/>
                <w:szCs w:val="20"/>
                <w:color w:val="auto"/>
              </w:rPr>
            </w:pPr>
            <w:r>
              <w:rPr>
                <w:rFonts w:ascii="Arial" w:cs="Arial" w:eastAsia="Arial" w:hAnsi="Arial"/>
                <w:sz w:val="20"/>
                <w:szCs w:val="20"/>
                <w:color w:val="auto"/>
              </w:rPr>
              <w:t>GE Transportation, a Wabtec Company</w:t>
            </w:r>
          </w:p>
        </w:tc>
        <w:tc>
          <w:tcPr>
            <w:tcW w:w="4160" w:type="dxa"/>
            <w:vAlign w:val="bottom"/>
            <w:tcBorders>
              <w:bottom w:val="single" w:sz="8" w:color="C6D9F1"/>
            </w:tcBorders>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74"/>
        </w:trPr>
        <w:tc>
          <w:tcPr>
            <w:tcW w:w="3300" w:type="dxa"/>
            <w:vAlign w:val="bottom"/>
          </w:tcPr>
          <w:p>
            <w:pPr>
              <w:ind w:left="20"/>
              <w:spacing w:after="0"/>
              <w:rPr>
                <w:sz w:val="20"/>
                <w:szCs w:val="20"/>
                <w:color w:val="auto"/>
              </w:rPr>
            </w:pPr>
            <w:r>
              <w:rPr>
                <w:rFonts w:ascii="Arial" w:cs="Arial" w:eastAsia="Arial" w:hAnsi="Arial"/>
                <w:sz w:val="20"/>
                <w:szCs w:val="20"/>
                <w:color w:val="auto"/>
              </w:rPr>
              <w:t>RFPC Holding Corp.</w:t>
            </w:r>
          </w:p>
        </w:tc>
        <w:tc>
          <w:tcPr>
            <w:tcW w:w="2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3"/>
        </w:trPr>
        <w:tc>
          <w:tcPr>
            <w:tcW w:w="3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77"/>
        </w:trPr>
        <w:tc>
          <w:tcPr>
            <w:tcW w:w="330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20"/>
                <w:szCs w:val="20"/>
                <w:color w:val="auto"/>
              </w:rPr>
              <w:t>Schaefer Equipment, Inc.</w:t>
            </w:r>
          </w:p>
        </w:tc>
        <w:tc>
          <w:tcPr>
            <w:tcW w:w="2940" w:type="dxa"/>
            <w:vAlign w:val="bottom"/>
            <w:tcBorders>
              <w:bottom w:val="single" w:sz="8" w:color="C6D9F1"/>
            </w:tcBorders>
            <w:shd w:val="clear" w:color="auto" w:fill="C6D9F1"/>
          </w:tcPr>
          <w:p>
            <w:pPr>
              <w:spacing w:after="0"/>
              <w:rPr>
                <w:sz w:val="24"/>
                <w:szCs w:val="24"/>
                <w:color w:val="auto"/>
              </w:rPr>
            </w:pPr>
          </w:p>
        </w:tc>
        <w:tc>
          <w:tcPr>
            <w:tcW w:w="640" w:type="dxa"/>
            <w:vAlign w:val="bottom"/>
            <w:tcBorders>
              <w:bottom w:val="single" w:sz="8" w:color="C6D9F1"/>
            </w:tcBorders>
            <w:shd w:val="clear" w:color="auto" w:fill="C6D9F1"/>
          </w:tcPr>
          <w:p>
            <w:pPr>
              <w:spacing w:after="0"/>
              <w:rPr>
                <w:sz w:val="24"/>
                <w:szCs w:val="24"/>
                <w:color w:val="auto"/>
              </w:rPr>
            </w:pPr>
          </w:p>
        </w:tc>
        <w:tc>
          <w:tcPr>
            <w:tcW w:w="4160" w:type="dxa"/>
            <w:vAlign w:val="bottom"/>
            <w:tcBorders>
              <w:bottom w:val="single" w:sz="8" w:color="C6D9F1"/>
            </w:tcBorders>
            <w:shd w:val="clear" w:color="auto" w:fill="C6D9F1"/>
          </w:tcPr>
          <w:p>
            <w:pPr>
              <w:jc w:val="center"/>
              <w:spacing w:after="0"/>
              <w:rPr>
                <w:sz w:val="20"/>
                <w:szCs w:val="20"/>
                <w:color w:val="auto"/>
              </w:rPr>
            </w:pPr>
            <w:r>
              <w:rPr>
                <w:rFonts w:ascii="Arial" w:cs="Arial" w:eastAsia="Arial" w:hAnsi="Arial"/>
                <w:sz w:val="20"/>
                <w:szCs w:val="20"/>
                <w:color w:val="auto"/>
                <w:w w:val="99"/>
              </w:rPr>
              <w:t>Ohio</w:t>
            </w:r>
          </w:p>
        </w:tc>
      </w:tr>
      <w:tr>
        <w:trPr>
          <w:trHeight w:val="274"/>
        </w:trPr>
        <w:tc>
          <w:tcPr>
            <w:tcW w:w="3300" w:type="dxa"/>
            <w:vAlign w:val="bottom"/>
          </w:tcPr>
          <w:p>
            <w:pPr>
              <w:ind w:left="20"/>
              <w:spacing w:after="0"/>
              <w:rPr>
                <w:sz w:val="20"/>
                <w:szCs w:val="20"/>
                <w:color w:val="auto"/>
              </w:rPr>
            </w:pPr>
            <w:r>
              <w:rPr>
                <w:rFonts w:ascii="Arial" w:cs="Arial" w:eastAsia="Arial" w:hAnsi="Arial"/>
                <w:sz w:val="20"/>
                <w:szCs w:val="20"/>
                <w:color w:val="auto"/>
              </w:rPr>
              <w:t>Standard Car Truck Company</w:t>
            </w:r>
          </w:p>
        </w:tc>
        <w:tc>
          <w:tcPr>
            <w:tcW w:w="2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3"/>
        </w:trPr>
        <w:tc>
          <w:tcPr>
            <w:tcW w:w="3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77"/>
        </w:trPr>
        <w:tc>
          <w:tcPr>
            <w:tcW w:w="330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20"/>
                <w:szCs w:val="20"/>
                <w:color w:val="auto"/>
              </w:rPr>
              <w:t>Transportation IP Holdings, LLC</w:t>
            </w:r>
          </w:p>
        </w:tc>
        <w:tc>
          <w:tcPr>
            <w:tcW w:w="2940" w:type="dxa"/>
            <w:vAlign w:val="bottom"/>
            <w:tcBorders>
              <w:bottom w:val="single" w:sz="8" w:color="C6D9F1"/>
            </w:tcBorders>
            <w:shd w:val="clear" w:color="auto" w:fill="C6D9F1"/>
          </w:tcPr>
          <w:p>
            <w:pPr>
              <w:spacing w:after="0"/>
              <w:rPr>
                <w:sz w:val="24"/>
                <w:szCs w:val="24"/>
                <w:color w:val="auto"/>
              </w:rPr>
            </w:pPr>
          </w:p>
        </w:tc>
        <w:tc>
          <w:tcPr>
            <w:tcW w:w="640" w:type="dxa"/>
            <w:vAlign w:val="bottom"/>
            <w:tcBorders>
              <w:bottom w:val="single" w:sz="8" w:color="C6D9F1"/>
            </w:tcBorders>
            <w:shd w:val="clear" w:color="auto" w:fill="C6D9F1"/>
          </w:tcPr>
          <w:p>
            <w:pPr>
              <w:spacing w:after="0"/>
              <w:rPr>
                <w:sz w:val="24"/>
                <w:szCs w:val="24"/>
                <w:color w:val="auto"/>
              </w:rPr>
            </w:pPr>
          </w:p>
        </w:tc>
        <w:tc>
          <w:tcPr>
            <w:tcW w:w="4160" w:type="dxa"/>
            <w:vAlign w:val="bottom"/>
            <w:tcBorders>
              <w:bottom w:val="single" w:sz="8" w:color="C6D9F1"/>
            </w:tcBorders>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74"/>
        </w:trPr>
        <w:tc>
          <w:tcPr>
            <w:tcW w:w="6880" w:type="dxa"/>
            <w:vAlign w:val="bottom"/>
            <w:gridSpan w:val="3"/>
          </w:tcPr>
          <w:p>
            <w:pPr>
              <w:ind w:left="20"/>
              <w:spacing w:after="0"/>
              <w:rPr>
                <w:sz w:val="20"/>
                <w:szCs w:val="20"/>
                <w:color w:val="auto"/>
              </w:rPr>
            </w:pPr>
            <w:r>
              <w:rPr>
                <w:rFonts w:ascii="Arial" w:cs="Arial" w:eastAsia="Arial" w:hAnsi="Arial"/>
                <w:sz w:val="20"/>
                <w:szCs w:val="20"/>
                <w:color w:val="auto"/>
              </w:rPr>
              <w:t>Transportation Systems Services Operations Inc.</w:t>
            </w:r>
          </w:p>
        </w:tc>
        <w:tc>
          <w:tcPr>
            <w:tcW w:w="4160" w:type="dxa"/>
            <w:vAlign w:val="bottom"/>
          </w:tcPr>
          <w:p>
            <w:pPr>
              <w:jc w:val="center"/>
              <w:spacing w:after="0"/>
              <w:rPr>
                <w:sz w:val="20"/>
                <w:szCs w:val="20"/>
                <w:color w:val="auto"/>
              </w:rPr>
            </w:pPr>
            <w:r>
              <w:rPr>
                <w:rFonts w:ascii="Arial" w:cs="Arial" w:eastAsia="Arial" w:hAnsi="Arial"/>
                <w:sz w:val="20"/>
                <w:szCs w:val="20"/>
                <w:color w:val="auto"/>
                <w:w w:val="98"/>
              </w:rPr>
              <w:t>Nevada</w:t>
            </w:r>
          </w:p>
        </w:tc>
      </w:tr>
      <w:tr>
        <w:trPr>
          <w:trHeight w:val="23"/>
        </w:trPr>
        <w:tc>
          <w:tcPr>
            <w:tcW w:w="3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77"/>
        </w:trPr>
        <w:tc>
          <w:tcPr>
            <w:tcW w:w="330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20"/>
                <w:szCs w:val="20"/>
                <w:color w:val="auto"/>
              </w:rPr>
              <w:t>Wabtec Holding Corp.</w:t>
            </w:r>
          </w:p>
        </w:tc>
        <w:tc>
          <w:tcPr>
            <w:tcW w:w="2940" w:type="dxa"/>
            <w:vAlign w:val="bottom"/>
            <w:tcBorders>
              <w:bottom w:val="single" w:sz="8" w:color="C6D9F1"/>
            </w:tcBorders>
            <w:shd w:val="clear" w:color="auto" w:fill="C6D9F1"/>
          </w:tcPr>
          <w:p>
            <w:pPr>
              <w:spacing w:after="0"/>
              <w:rPr>
                <w:sz w:val="24"/>
                <w:szCs w:val="24"/>
                <w:color w:val="auto"/>
              </w:rPr>
            </w:pPr>
          </w:p>
        </w:tc>
        <w:tc>
          <w:tcPr>
            <w:tcW w:w="640" w:type="dxa"/>
            <w:vAlign w:val="bottom"/>
            <w:tcBorders>
              <w:bottom w:val="single" w:sz="8" w:color="C6D9F1"/>
            </w:tcBorders>
            <w:shd w:val="clear" w:color="auto" w:fill="C6D9F1"/>
          </w:tcPr>
          <w:p>
            <w:pPr>
              <w:spacing w:after="0"/>
              <w:rPr>
                <w:sz w:val="24"/>
                <w:szCs w:val="24"/>
                <w:color w:val="auto"/>
              </w:rPr>
            </w:pPr>
          </w:p>
        </w:tc>
        <w:tc>
          <w:tcPr>
            <w:tcW w:w="4160" w:type="dxa"/>
            <w:vAlign w:val="bottom"/>
            <w:tcBorders>
              <w:bottom w:val="single" w:sz="8" w:color="C6D9F1"/>
            </w:tcBorders>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74"/>
        </w:trPr>
        <w:tc>
          <w:tcPr>
            <w:tcW w:w="6880" w:type="dxa"/>
            <w:vAlign w:val="bottom"/>
            <w:gridSpan w:val="3"/>
          </w:tcPr>
          <w:p>
            <w:pPr>
              <w:ind w:left="20"/>
              <w:spacing w:after="0"/>
              <w:rPr>
                <w:sz w:val="20"/>
                <w:szCs w:val="20"/>
                <w:color w:val="auto"/>
              </w:rPr>
            </w:pPr>
            <w:r>
              <w:rPr>
                <w:rFonts w:ascii="Arial" w:cs="Arial" w:eastAsia="Arial" w:hAnsi="Arial"/>
                <w:sz w:val="20"/>
                <w:szCs w:val="20"/>
                <w:color w:val="auto"/>
              </w:rPr>
              <w:t>Wabtec Railway Electronics Holdings, LLC</w:t>
            </w:r>
          </w:p>
        </w:tc>
        <w:tc>
          <w:tcPr>
            <w:tcW w:w="416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3"/>
        </w:trPr>
        <w:tc>
          <w:tcPr>
            <w:tcW w:w="3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77"/>
        </w:trPr>
        <w:tc>
          <w:tcPr>
            <w:tcW w:w="330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20"/>
                <w:szCs w:val="20"/>
                <w:color w:val="auto"/>
                <w:w w:val="98"/>
              </w:rPr>
              <w:t>Wabtec Transportation Systems, LLC</w:t>
            </w:r>
          </w:p>
        </w:tc>
        <w:tc>
          <w:tcPr>
            <w:tcW w:w="2940" w:type="dxa"/>
            <w:vAlign w:val="bottom"/>
            <w:tcBorders>
              <w:bottom w:val="single" w:sz="8" w:color="C6D9F1"/>
            </w:tcBorders>
            <w:shd w:val="clear" w:color="auto" w:fill="C6D9F1"/>
          </w:tcPr>
          <w:p>
            <w:pPr>
              <w:spacing w:after="0"/>
              <w:rPr>
                <w:sz w:val="24"/>
                <w:szCs w:val="24"/>
                <w:color w:val="auto"/>
              </w:rPr>
            </w:pPr>
          </w:p>
        </w:tc>
        <w:tc>
          <w:tcPr>
            <w:tcW w:w="640" w:type="dxa"/>
            <w:vAlign w:val="bottom"/>
            <w:tcBorders>
              <w:bottom w:val="single" w:sz="8" w:color="C6D9F1"/>
            </w:tcBorders>
            <w:shd w:val="clear" w:color="auto" w:fill="C6D9F1"/>
          </w:tcPr>
          <w:p>
            <w:pPr>
              <w:spacing w:after="0"/>
              <w:rPr>
                <w:sz w:val="24"/>
                <w:szCs w:val="24"/>
                <w:color w:val="auto"/>
              </w:rPr>
            </w:pPr>
          </w:p>
        </w:tc>
        <w:tc>
          <w:tcPr>
            <w:tcW w:w="4160" w:type="dxa"/>
            <w:vAlign w:val="bottom"/>
            <w:tcBorders>
              <w:bottom w:val="single" w:sz="8" w:color="C6D9F1"/>
            </w:tcBorders>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74"/>
        </w:trPr>
        <w:tc>
          <w:tcPr>
            <w:tcW w:w="3300" w:type="dxa"/>
            <w:vAlign w:val="bottom"/>
          </w:tcPr>
          <w:p>
            <w:pPr>
              <w:ind w:left="20"/>
              <w:spacing w:after="0"/>
              <w:rPr>
                <w:sz w:val="20"/>
                <w:szCs w:val="20"/>
                <w:color w:val="auto"/>
              </w:rPr>
            </w:pPr>
            <w:r>
              <w:rPr>
                <w:rFonts w:ascii="Arial" w:cs="Arial" w:eastAsia="Arial" w:hAnsi="Arial"/>
                <w:sz w:val="20"/>
                <w:szCs w:val="20"/>
                <w:color w:val="auto"/>
              </w:rPr>
              <w:t>Workhorse Rail, LLC</w:t>
            </w:r>
          </w:p>
        </w:tc>
        <w:tc>
          <w:tcPr>
            <w:tcW w:w="2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7"/>
              </w:rPr>
              <w:t>Pennsylvania</w:t>
            </w:r>
          </w:p>
        </w:tc>
      </w:tr>
    </w:tbl>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29,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RAFAEL SANTANA</w:t>
            </w:r>
          </w:p>
        </w:tc>
      </w:tr>
      <w:tr>
        <w:trPr>
          <w:trHeight w:val="225"/>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3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8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29,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March 31, 2021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128"/>
        </w:trPr>
        <w:tc>
          <w:tcPr>
            <w:tcW w:w="1440" w:type="dxa"/>
            <w:vAlign w:val="bottom"/>
          </w:tcPr>
          <w:p>
            <w:pPr>
              <w:spacing w:after="0"/>
              <w:rPr>
                <w:sz w:val="11"/>
                <w:szCs w:val="11"/>
                <w:color w:val="auto"/>
              </w:rPr>
            </w:pPr>
          </w:p>
        </w:tc>
        <w:tc>
          <w:tcPr>
            <w:tcW w:w="9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Rafael Santana</w:t>
            </w:r>
          </w:p>
        </w:tc>
      </w:tr>
      <w:tr>
        <w:trPr>
          <w:trHeight w:val="184"/>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April 29, 2021</w:t>
            </w:r>
          </w:p>
        </w:tc>
      </w:tr>
      <w:tr>
        <w:trPr>
          <w:trHeight w:val="473"/>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128"/>
        </w:trPr>
        <w:tc>
          <w:tcPr>
            <w:tcW w:w="1440" w:type="dxa"/>
            <w:vAlign w:val="bottom"/>
          </w:tcPr>
          <w:p>
            <w:pPr>
              <w:spacing w:after="0"/>
              <w:rPr>
                <w:sz w:val="11"/>
                <w:szCs w:val="11"/>
                <w:color w:val="auto"/>
              </w:rPr>
            </w:pPr>
          </w:p>
        </w:tc>
        <w:tc>
          <w:tcPr>
            <w:tcW w:w="9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Patrick D. Dugan,</w:t>
            </w:r>
          </w:p>
        </w:tc>
      </w:tr>
      <w:tr>
        <w:trPr>
          <w:trHeight w:val="184"/>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April 29,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2" Type="http://schemas.openxmlformats.org/officeDocument/2006/relationships/hyperlink" Target="http://www.sec.gov/Archives/edgar/data/943452/000114036121005371/brhc10020545_ex3-1.htm" TargetMode="External"/><Relationship Id="rId53" Type="http://schemas.openxmlformats.org/officeDocument/2006/relationships/hyperlink" Target="http://www.sec.gov/Archives/edgar/data/943452/000114036121001618/brhc1001913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2021-04-29T11:06:46Z</dcterms:created>
  <dcterms:modified xsi:type="dcterms:W3CDTF">2021-04-29T11:06:46Z</dcterms:modified>
</cp:coreProperties>
</file>