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3847x1_s3asr_100-regcov_pg1"/>
        <w:bookmarkStart w:id="1" w:name="ny20083847x1_s3asr.htm"/>
        <w:bookmarkStart w:id="2" w:name="ksny20083847x1_s3asr"/>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500"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As filed with the Securities and Exchange Commission on October 21, 2026 </w:t>
      </w:r>
    </w:p>
    <w:p>
      <w:pPr>
        <w:pStyle w:val="TextBody"/>
        <w:bidi w:val="0"/>
        <w:spacing w:before="20" w:after="283"/>
        <w:jc w:val="right"/>
        <w:rPr>
          <w:rFonts w:ascii="Times New Roman;Times;serif" w:hAnsi="Times New Roman;Times;serif"/>
          <w:b/>
          <w:color w:val="000000"/>
          <w:sz w:val="20"/>
        </w:rPr>
      </w:pPr>
      <w:r>
        <w:rPr>
          <w:rFonts w:ascii="Times New Roman;Times;serif" w:hAnsi="Times New Roman;Times;serif"/>
          <w:b/>
          <w:color w:val="000000"/>
          <w:sz w:val="20"/>
        </w:rPr>
        <w:t>Registration No. 333-</w:t>
      </w:r>
      <w:r>
        <w:rPr>
          <w:rFonts w:ascii="Times New Roman;Times;serif" w:hAnsi="Times New Roman;Times;serif"/>
          <w:b/>
          <w:color w:val="000000"/>
          <w:sz w:val="20"/>
          <w:u w:val="single"/>
        </w:rPr>
        <w:t>   </w:t>
      </w:r>
      <w:r>
        <w:rPr>
          <w:rFonts w:ascii="Times New Roman;Times;serif" w:hAnsi="Times New Roman;Times;serif"/>
          <w:b/>
          <w:color w:val="000000"/>
          <w:sz w:val="20"/>
        </w:rPr>
        <w:t xml:space="preserve"> </w:t>
      </w:r>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bidi w:val="0"/>
        <w:spacing w:before="23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FORM S-3 </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REGISTRATION STATEMENT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i/>
          <w:color w:val="000000"/>
          <w:sz w:val="24"/>
        </w:rPr>
        <w:t>UNDER</w:t>
      </w:r>
      <w:r>
        <w:rPr>
          <w:rFonts w:ascii="Times New Roman;Times;serif" w:hAnsi="Times New Roman;Times;serif"/>
          <w:b/>
          <w:color w:val="000000"/>
          <w:sz w:val="24"/>
        </w:rPr>
        <w:t xml:space="preserve"> </w:t>
      </w:r>
    </w:p>
    <w:p>
      <w:pPr>
        <w:pStyle w:val="TextBody"/>
        <w:bidi w:val="0"/>
        <w:spacing w:before="0" w:after="283"/>
        <w:jc w:val="center"/>
        <w:rPr>
          <w:rFonts w:ascii="Times New Roman;Times;serif" w:hAnsi="Times New Roman;Times;serif"/>
          <w:b/>
          <w:i/>
          <w:color w:val="000000"/>
          <w:sz w:val="24"/>
        </w:rPr>
      </w:pPr>
      <w:r>
        <w:rPr>
          <w:rFonts w:ascii="Times New Roman;Times;serif" w:hAnsi="Times New Roman;Times;serif"/>
          <w:b/>
          <w:i/>
          <w:color w:val="000000"/>
          <w:sz w:val="24"/>
        </w:rPr>
        <w:t>THE SECURITIES ACT OF 1933</w:t>
      </w:r>
    </w:p>
    <w:p>
      <w:pPr>
        <w:pStyle w:val="TextBody"/>
        <w:bidi w:val="0"/>
        <w:spacing w:before="6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WESTINGHOUSE AIR BRAKE TECHNOLOGIES CORPORATION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(Exact name of registrant as specified in its charter)</w:t>
      </w:r>
    </w:p>
    <w:tbl>
      <w:tblPr>
        <w:tblW w:w="8075" w:type="dxa"/>
        <w:jc w:val="left"/>
        <w:tblInd w:w="0" w:type="dxa"/>
        <w:tblLayout w:type="fixed"/>
        <w:tblCellMar>
          <w:top w:w="0" w:type="dxa"/>
          <w:left w:w="0" w:type="dxa"/>
          <w:bottom w:w="0" w:type="dxa"/>
          <w:right w:w="0" w:type="dxa"/>
        </w:tblCellMar>
      </w:tblPr>
      <w:tblGrid>
        <w:gridCol w:w="4880"/>
        <w:gridCol w:w="140"/>
        <w:gridCol w:w="140"/>
        <w:gridCol w:w="2915"/>
      </w:tblGrid>
      <w:tr>
        <w:trPr/>
        <w:tc>
          <w:tcPr>
            <w:tcW w:w="4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r>
        <w:trPr/>
        <w:tc>
          <w:tcPr>
            <w:tcW w:w="4880" w:type="dxa"/>
            <w:tcBorders/>
            <w:vAlign w:val="center"/>
          </w:tcPr>
          <w:p>
            <w:pPr>
              <w:pStyle w:val="TableContents"/>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Delaware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25-1615902 </w:t>
            </w:r>
          </w:p>
        </w:tc>
      </w:tr>
      <w:tr>
        <w:trPr/>
        <w:tc>
          <w:tcPr>
            <w:tcW w:w="4880"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(State or other jurisdiction of incorporation or organization)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(I.R.S. Employer Identification No.)</w:t>
            </w:r>
          </w:p>
        </w:tc>
      </w:tr>
      <w:tr>
        <w:trPr/>
        <w:tc>
          <w:tcPr>
            <w:tcW w:w="4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bl>
    <w:p>
      <w:pPr>
        <w:pStyle w:val="TextBody"/>
        <w:bidi w:val="0"/>
        <w:spacing w:before="7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30 Isabella Street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Pittsburgh, Pennsylvania 15212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+1 (412) 825-1000 </w:t>
      </w:r>
    </w:p>
    <w:p>
      <w:pPr>
        <w:pStyle w:val="TextBody"/>
        <w:bidi w:val="0"/>
        <w:spacing w:before="0" w:after="283"/>
        <w:jc w:val="center"/>
        <w:rPr>
          <w:rFonts w:ascii="Times New Roman;Times;serif" w:hAnsi="Times New Roman;Times;serif"/>
          <w:b w:val="false"/>
          <w:color w:val="000000"/>
          <w:sz w:val="19"/>
        </w:rPr>
      </w:pPr>
      <w:r>
        <w:rPr>
          <w:rFonts w:ascii="Times New Roman;Times;serif" w:hAnsi="Times New Roman;Times;serif"/>
          <w:b w:val="false"/>
          <w:color w:val="000000"/>
          <w:sz w:val="19"/>
        </w:rPr>
        <w:t xml:space="preserve">(Address, including zip code, and telephone number, including area code, of registrant’s principal executive offices) </w:t>
      </w:r>
    </w:p>
    <w:p>
      <w:pPr>
        <w:pStyle w:val="TextBody"/>
        <w:bidi w:val="0"/>
        <w:spacing w:before="7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David L. DeNinno, Esq.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Executive Vice President, General Counsel and Secretary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Westinghouse Air Brake Technologies Corporation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30 Isabella Street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Pittsburgh, Pennsylvania 15212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+1 (412) 825-1000 </w:t>
      </w:r>
    </w:p>
    <w:p>
      <w:pPr>
        <w:pStyle w:val="TextBody"/>
        <w:bidi w:val="0"/>
        <w:spacing w:before="0" w:after="283"/>
        <w:jc w:val="center"/>
        <w:rPr>
          <w:rFonts w:ascii="Times New Roman;Times;serif" w:hAnsi="Times New Roman;Times;serif"/>
          <w:b w:val="false"/>
          <w:color w:val="000000"/>
          <w:sz w:val="19"/>
        </w:rPr>
      </w:pPr>
      <w:r>
        <w:rPr>
          <w:rFonts w:ascii="Times New Roman;Times;serif" w:hAnsi="Times New Roman;Times;serif"/>
          <w:b w:val="false"/>
          <w:color w:val="000000"/>
          <w:sz w:val="19"/>
        </w:rPr>
        <w:t xml:space="preserve">(Name, address, including zip code, and telephone number, including area code, of agent for service) </w:t>
      </w:r>
    </w:p>
    <w:p>
      <w:pPr>
        <w:pStyle w:val="TextBody"/>
        <w:bidi w:val="0"/>
        <w:spacing w:before="70" w:after="283"/>
        <w:jc w:val="center"/>
        <w:rPr>
          <w:rFonts w:ascii="Times New Roman;Times;serif" w:hAnsi="Times New Roman;Times;serif"/>
          <w:b/>
          <w:i/>
          <w:color w:val="000000"/>
          <w:sz w:val="19"/>
        </w:rPr>
      </w:pPr>
      <w:r>
        <w:rPr>
          <w:rFonts w:ascii="Times New Roman;Times;serif" w:hAnsi="Times New Roman;Times;serif"/>
          <w:b/>
          <w:i/>
          <w:color w:val="000000"/>
          <w:sz w:val="19"/>
        </w:rPr>
        <w:t>With a Copy to:</w:t>
      </w:r>
      <w:r>
        <w:rPr>
          <w:rFonts w:ascii="Times New Roman;Times;serif" w:hAnsi="Times New Roman;Times;serif"/>
          <w:b/>
          <w:i/>
          <w:caps w:val="false"/>
          <w:smallCaps w:val="false"/>
          <w:color w:val="000000"/>
          <w:sz w:val="19"/>
        </w:rPr>
        <w:t xml:space="preserve"> </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 xml:space="preserve">Peter E. Devlin </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 xml:space="preserve">Jones Day </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 xml:space="preserve">250 Vesey Street </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 xml:space="preserve">New York, New York 10281 </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(212) 326-3978</w:t>
      </w:r>
    </w:p>
    <w:p>
      <w:pPr>
        <w:pStyle w:val="TextBody"/>
        <w:bidi w:val="0"/>
        <w:spacing w:before="60"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Approximate date of commencement of proposed sale to the public</w:t>
      </w:r>
      <w:r>
        <w:rPr>
          <w:rFonts w:ascii="Times New Roman;Times;serif" w:hAnsi="Times New Roman;Times;serif"/>
          <w:b w:val="false"/>
          <w:color w:val="000000"/>
          <w:sz w:val="19"/>
        </w:rPr>
        <w:t xml:space="preserve">: From time to time after the effective date of this Registration Statement.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If the only securities being registered on this Form are being offered pursuant to dividend or interest reinvestment plans, please check the following box.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930" w:type="dxa"/>
        <w:jc w:val="left"/>
        <w:tblInd w:w="0" w:type="dxa"/>
        <w:tblLayout w:type="fixed"/>
        <w:tblCellMar>
          <w:top w:w="0" w:type="dxa"/>
          <w:left w:w="0" w:type="dxa"/>
          <w:bottom w:w="0" w:type="dxa"/>
          <w:right w:w="0" w:type="dxa"/>
        </w:tblCellMar>
      </w:tblPr>
      <w:tblGrid>
        <w:gridCol w:w="1835"/>
        <w:gridCol w:w="140"/>
        <w:gridCol w:w="140"/>
        <w:gridCol w:w="275"/>
        <w:gridCol w:w="140"/>
        <w:gridCol w:w="140"/>
        <w:gridCol w:w="140"/>
        <w:gridCol w:w="140"/>
        <w:gridCol w:w="140"/>
        <w:gridCol w:w="2270"/>
        <w:gridCol w:w="140"/>
        <w:gridCol w:w="140"/>
        <w:gridCol w:w="290"/>
      </w:tblGrid>
      <w:tr>
        <w:trPr/>
        <w:tc>
          <w:tcPr>
            <w:tcW w:w="1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Large 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Accelerated filer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color w:val="000000"/>
              </w:rPr>
            </w:pPr>
            <w:r>
              <w:rPr>
                <w:color w:val="000000"/>
              </w:rPr>
              <w:t>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Non-accelerated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Smaller reporting company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color w:val="000000"/>
              </w:rPr>
            </w:pPr>
            <w:r>
              <w:rPr>
                <w:color w:val="000000"/>
              </w:rPr>
              <w:t> ☐</w:t>
            </w:r>
          </w:p>
        </w:tc>
      </w:tr>
      <w:tr>
        <w:trPr/>
        <w:tc>
          <w:tcPr>
            <w:tcW w:w="18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Emerging growth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color w:val="000000"/>
              </w:rPr>
            </w:pPr>
            <w:r>
              <w:rPr>
                <w:color w:val="000000"/>
              </w:rPr>
              <w:t> ☐</w:t>
            </w:r>
          </w:p>
        </w:tc>
      </w:tr>
      <w:tr>
        <w:trPr/>
        <w:tc>
          <w:tcPr>
            <w:tcW w:w="1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r>
    </w:tbl>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83847x1_s3asr_101-registrants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ADDITIONAL REGISTRANTS </w:t>
      </w:r>
    </w:p>
    <w:tbl>
      <w:tblPr>
        <w:tblW w:w="8705" w:type="dxa"/>
        <w:jc w:val="left"/>
        <w:tblInd w:w="0" w:type="dxa"/>
        <w:tblLayout w:type="fixed"/>
        <w:tblCellMar>
          <w:top w:w="0" w:type="dxa"/>
          <w:left w:w="0" w:type="dxa"/>
          <w:bottom w:w="0" w:type="dxa"/>
          <w:right w:w="0" w:type="dxa"/>
        </w:tblCellMar>
      </w:tblPr>
      <w:tblGrid>
        <w:gridCol w:w="3935"/>
        <w:gridCol w:w="140"/>
        <w:gridCol w:w="140"/>
        <w:gridCol w:w="1235"/>
        <w:gridCol w:w="140"/>
        <w:gridCol w:w="140"/>
        <w:gridCol w:w="1220"/>
        <w:gridCol w:w="140"/>
        <w:gridCol w:w="140"/>
        <w:gridCol w:w="1475"/>
      </w:tblGrid>
      <w:tr>
        <w:trPr/>
        <w:tc>
          <w:tcPr>
            <w:tcW w:w="3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3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Exact Name of Registrant as Specified in 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Charter and Address, Including Zip Code,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Telephone Number, Including Area Code,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Registrant’s Principal Executive Offices*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State or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Jurisdiction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Organization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I.R.S. Employer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Identification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Primary Standard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Industrial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Classification Code </w:t>
            </w:r>
          </w:p>
        </w:tc>
      </w:tr>
      <w:tr>
        <w:trPr/>
        <w:tc>
          <w:tcPr>
            <w:tcW w:w="3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 Transportation, a Wabtec Company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83-0543909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3743 </w:t>
            </w:r>
          </w:p>
        </w:tc>
      </w:tr>
      <w:tr>
        <w:trPr/>
        <w:tc>
          <w:tcPr>
            <w:tcW w:w="3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RFPC Holding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51-0345158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3743 </w:t>
            </w:r>
          </w:p>
        </w:tc>
      </w:tr>
      <w:tr>
        <w:trPr/>
        <w:tc>
          <w:tcPr>
            <w:tcW w:w="3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Transportation IP Holdings,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06-1554217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3743 </w:t>
            </w:r>
          </w:p>
        </w:tc>
      </w:tr>
      <w:tr>
        <w:trPr/>
        <w:tc>
          <w:tcPr>
            <w:tcW w:w="3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Transportation Systems Services Operations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Nevada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06-1105824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3743 </w:t>
            </w:r>
          </w:p>
        </w:tc>
      </w:tr>
      <w:tr>
        <w:trPr/>
        <w:tc>
          <w:tcPr>
            <w:tcW w:w="3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Wabtec Components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36-2704499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3743 </w:t>
            </w:r>
          </w:p>
        </w:tc>
      </w:tr>
      <w:tr>
        <w:trPr/>
        <w:tc>
          <w:tcPr>
            <w:tcW w:w="3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Wabtec Holding,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23-2870660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3743 </w:t>
            </w:r>
          </w:p>
        </w:tc>
      </w:tr>
      <w:tr>
        <w:trPr/>
        <w:tc>
          <w:tcPr>
            <w:tcW w:w="3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Wabtec Railway Electronics Holdings,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3743 </w:t>
            </w:r>
          </w:p>
        </w:tc>
      </w:tr>
      <w:tr>
        <w:trPr/>
        <w:tc>
          <w:tcPr>
            <w:tcW w:w="3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Wabtec Transportation Systems,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3743 </w:t>
            </w:r>
          </w:p>
        </w:tc>
      </w:tr>
      <w:tr>
        <w:trPr/>
        <w:tc>
          <w:tcPr>
            <w:tcW w:w="3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Wabtec US Rail,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83-0598308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3743</w:t>
            </w:r>
          </w:p>
        </w:tc>
      </w:tr>
      <w:tr>
        <w:trPr/>
        <w:tc>
          <w:tcPr>
            <w:tcW w:w="3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address, including zip code, and telephone number, including area code, of each additional registrant is c/o David L. DeNinno, Esq., Executive Vice President, General Counsel and Secretary, Westinghouse Air Brake Technologies Corporation, 30 Isabella Street, Pittsburgh, Pennsylvania 15212, telephone number (412) 825-1000. The name, address, including zip code, and telephone number, including area code, of the agent for service for each additional registrant is David L. DeNinno, Esq., Executive Vice President, General Counsel and Secretary, Westinghouse Air Brake Technologies Corporation, 30 Isabella Street, Pittsburgh, Pennsylvania 15212, telephone number (412) 825-1000.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83847x1_s3asr_102-cov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r>
        <w:rPr>
          <w:rFonts w:ascii="Times New Roman;Times;serif" w:hAnsi="Times New Roman;Times;serif"/>
          <w:b/>
          <w:color w:val="000000"/>
          <w:sz w:val="24"/>
        </w:rPr>
        <w:t xml:space="preserve">Prospectus </w:t>
      </w:r>
    </w:p>
    <w:p>
      <w:pPr>
        <w:pStyle w:val="TextBody"/>
        <w:bidi w:val="0"/>
        <w:spacing w:before="625" w:after="283"/>
        <w:jc w:val="center"/>
        <w:rPr>
          <w:color w:val="000000"/>
        </w:rPr>
      </w:pPr>
      <w:r>
        <w:rPr>
          <w:color w:val="000000"/>
        </w:rPr>
        <w:drawing>
          <wp:inline distT="0" distB="0" distL="0" distR="0">
            <wp:extent cx="2581275" cy="885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81275" cy="885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Westinghouse Air Brake Technologies Corporation </w:t>
      </w:r>
    </w:p>
    <w:p>
      <w:pPr>
        <w:pStyle w:val="TextBody"/>
        <w:bidi w:val="0"/>
        <w:spacing w:before="370" w:after="283"/>
        <w:jc w:val="center"/>
        <w:rPr>
          <w:rFonts w:ascii="Times New Roman;Times;serif" w:hAnsi="Times New Roman;Times;serif"/>
          <w:color w:val="000000"/>
          <w:sz w:val="20"/>
        </w:rPr>
      </w:pPr>
      <w:r>
        <w:rPr>
          <w:rFonts w:ascii="Times New Roman;Times;serif" w:hAnsi="Times New Roman;Times;serif"/>
          <w:color w:val="000000"/>
          <w:sz w:val="20"/>
        </w:rPr>
        <w:t xml:space="preserve">Debt Securities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Guarantees of Debt Securities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Common Stock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Preferred Stock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Warrants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Depositary Shares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Purchase Contracts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Units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to sell from time to time, in one or more classes or series, debt securities, common stock, preferred stock, warrants, depositary shares, purchase contracts or units, or any combination of these securities. The debt securities, warrants, purchase contracts and preferred stock may be convertible into or exercisable or exchangeable for our common stock, preferred stock or other securities or debt or equity securities of one or more other entities. Certain of our direct and indirect subsidiaries may guarantee our debt securities and such guarantees of debt securities may be sold in combination with any of the other securities listed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New York Stock Exchange and trades under the ticker symbol “WAB.” If we decide to seek a listing of any securities offered by this prospectus, we will disclose the exchange or market on which the securities will be listed, if any, or where we have made an application for listing, if any, in one or more supplements to this prospectus. </w:t>
      </w:r>
    </w:p>
    <w:p>
      <w:pPr>
        <w:pStyle w:val="TextBody"/>
        <w:bidi w:val="0"/>
        <w:spacing w:before="120" w:after="283"/>
        <w:ind w:left="0" w:right="0" w:firstLine="400"/>
        <w:jc w:val="left"/>
        <w:rPr/>
      </w:pPr>
      <w:r>
        <w:rPr>
          <w:rFonts w:ascii="Times New Roman;Times;serif" w:hAnsi="Times New Roman;Times;serif"/>
          <w:color w:val="000000"/>
          <w:sz w:val="20"/>
        </w:rPr>
        <w:t xml:space="preserve">This prospectus describes some of the general terms that may apply to these securities. The specific terms of any securities to be offered and the manner in which they may be offered will be described in one or more supplements to this prospectus. This prospectus may not be used to sell securities unless it is accompanied by a prospectus supplement that contains a description of those securities. You should consider carefully the “Risk Factors” described on page </w:t>
      </w:r>
      <w:hyperlink w:anchor="tRF">
        <w:r>
          <w:rPr>
            <w:rStyle w:val="InternetLink"/>
            <w:rFonts w:ascii="Times New Roman;Times;serif" w:hAnsi="Times New Roman;Times;serif"/>
            <w:color w:val="000080"/>
            <w:sz w:val="20"/>
          </w:rPr>
          <w:t>2</w:t>
        </w:r>
      </w:hyperlink>
      <w:r>
        <w:rPr>
          <w:rFonts w:ascii="Times New Roman;Times;serif" w:hAnsi="Times New Roman;Times;serif"/>
          <w:color w:val="000000"/>
          <w:sz w:val="20"/>
        </w:rPr>
        <w:t xml:space="preserve"> and in any applicable prospectus supplement before investing in any of our securities offered by this prospectus or any prospectus supplement.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Neither the Securities and Exchange Commission nor any state securities commission has approved or disapproved of these securities or passed upon the accuracy or adequacy of this prospectus or determined if this prospectus is truthful and complete. Any representation to the contrary is a criminal offense. </w:t>
      </w:r>
    </w:p>
    <w:p>
      <w:pPr>
        <w:pStyle w:val="TextBody"/>
        <w:bidi w:val="0"/>
        <w:spacing w:before="3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date of this prospectus is October 21,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83847x1_s3asr_103-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6" w:name="TOC"/>
      <w:bookmarkStart w:id="7" w:name="TOC"/>
      <w:bookmarkEnd w:id="7"/>
    </w:p>
    <w:tbl>
      <w:tblPr>
        <w:tblW w:w="4625" w:type="dxa"/>
        <w:jc w:val="left"/>
        <w:tblInd w:w="0" w:type="dxa"/>
        <w:tblLayout w:type="fixed"/>
        <w:tblCellMar>
          <w:top w:w="0" w:type="dxa"/>
          <w:left w:w="0" w:type="dxa"/>
          <w:bottom w:w="0" w:type="dxa"/>
          <w:right w:w="0" w:type="dxa"/>
        </w:tblCellMar>
      </w:tblPr>
      <w:tblGrid>
        <w:gridCol w:w="4100"/>
        <w:gridCol w:w="140"/>
        <w:gridCol w:w="140"/>
        <w:gridCol w:w="245"/>
      </w:tblGrid>
      <w:tr>
        <w:trPr/>
        <w:tc>
          <w:tcPr>
            <w:tcW w:w="4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left"/>
              <w:rPr/>
            </w:pPr>
            <w:r>
              <w:rPr/>
              <w:t> </w:t>
            </w:r>
          </w:p>
        </w:tc>
      </w:tr>
      <w:tr>
        <w:trPr/>
        <w:tc>
          <w:tcPr>
            <w:tcW w:w="4100" w:type="dxa"/>
            <w:tcBorders/>
            <w:shd w:fill="CCEEFF" w:val="clear"/>
            <w:vAlign w:val="center"/>
          </w:tcPr>
          <w:p>
            <w:pPr>
              <w:pStyle w:val="TableContents"/>
              <w:bidi w:val="0"/>
              <w:spacing w:before="0" w:after="283"/>
              <w:ind w:left="0" w:right="0" w:hanging="0"/>
              <w:jc w:val="left"/>
              <w:rPr/>
            </w:pPr>
            <w:hyperlink w:anchor="tABT">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ABT">
              <w:r>
                <w:rPr>
                  <w:rStyle w:val="InternetLink"/>
                  <w:rFonts w:ascii="Times New Roman;Times;serif" w:hAnsi="Times New Roman;Times;serif"/>
                  <w:color w:val="000000"/>
                  <w:sz w:val="20"/>
                </w:rPr>
                <w:t>ii</w:t>
              </w:r>
            </w:hyperlink>
            <w:hyperlink w:anchor="tABT">
              <w:r>
                <w:rPr>
                  <w:rStyle w:val="InternetLink"/>
                  <w:rFonts w:ascii="Times New Roman;Times;serif" w:hAnsi="Times New Roman;Times;serif"/>
                  <w:color w:val="000000"/>
                  <w:sz w:val="20"/>
                </w:rPr>
                <w:t xml:space="preserve"> </w:t>
              </w:r>
            </w:hyperlink>
          </w:p>
        </w:tc>
      </w:tr>
      <w:tr>
        <w:trPr/>
        <w:tc>
          <w:tcPr>
            <w:tcW w:w="410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iii</w:t>
              </w:r>
            </w:hyperlink>
          </w:p>
        </w:tc>
      </w:tr>
      <w:tr>
        <w:trPr/>
        <w:tc>
          <w:tcPr>
            <w:tcW w:w="4100" w:type="dxa"/>
            <w:tcBorders/>
            <w:shd w:fill="CCEEFF" w:val="clear"/>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1</w:t>
              </w:r>
            </w:hyperlink>
          </w:p>
        </w:tc>
      </w:tr>
      <w:tr>
        <w:trPr/>
        <w:tc>
          <w:tcPr>
            <w:tcW w:w="410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2</w:t>
              </w:r>
            </w:hyperlink>
          </w:p>
        </w:tc>
      </w:tr>
      <w:tr>
        <w:trPr/>
        <w:tc>
          <w:tcPr>
            <w:tcW w:w="4100"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3</w:t>
              </w:r>
            </w:hyperlink>
          </w:p>
        </w:tc>
      </w:tr>
      <w:tr>
        <w:trPr/>
        <w:tc>
          <w:tcPr>
            <w:tcW w:w="4100" w:type="dxa"/>
            <w:tcBorders/>
            <w:vAlign w:val="center"/>
          </w:tcPr>
          <w:p>
            <w:pPr>
              <w:pStyle w:val="TableContents"/>
              <w:bidi w:val="0"/>
              <w:spacing w:before="0" w:after="283"/>
              <w:ind w:left="0" w:right="0" w:hanging="0"/>
              <w:jc w:val="left"/>
              <w:rPr/>
            </w:pPr>
            <w:hyperlink w:anchor="tUSE">
              <w:r>
                <w:rPr>
                  <w:rStyle w:val="InternetLink"/>
                  <w:rFonts w:ascii="Times New Roman;Times;serif" w:hAnsi="Times New Roman;Times;serif"/>
                  <w:color w:val="000000"/>
                  <w:sz w:val="20"/>
                </w:rPr>
                <w:t>USE OF PROCEEDS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USE">
              <w:r>
                <w:rPr>
                  <w:rStyle w:val="InternetLink"/>
                  <w:rFonts w:ascii="Times New Roman;Times;serif" w:hAnsi="Times New Roman;Times;serif"/>
                  <w:color w:val="000000"/>
                  <w:sz w:val="20"/>
                </w:rPr>
                <w:t>5</w:t>
              </w:r>
            </w:hyperlink>
          </w:p>
        </w:tc>
      </w:tr>
      <w:tr>
        <w:trPr/>
        <w:tc>
          <w:tcPr>
            <w:tcW w:w="4100" w:type="dxa"/>
            <w:tcBorders/>
            <w:shd w:fill="CCEEFF" w:val="clear"/>
            <w:vAlign w:val="center"/>
          </w:tcPr>
          <w:p>
            <w:pPr>
              <w:pStyle w:val="TableContents"/>
              <w:bidi w:val="0"/>
              <w:spacing w:before="0" w:after="283"/>
              <w:ind w:left="0" w:right="0" w:hanging="0"/>
              <w:jc w:val="left"/>
              <w:rPr/>
            </w:pPr>
            <w:hyperlink w:anchor="tDBS">
              <w:r>
                <w:rPr>
                  <w:rStyle w:val="InternetLink"/>
                  <w:rFonts w:ascii="Times New Roman;Times;serif" w:hAnsi="Times New Roman;Times;serif"/>
                  <w:color w:val="000000"/>
                  <w:sz w:val="20"/>
                </w:rPr>
                <w:t>DESCRIPTION OF DEBT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BS">
              <w:r>
                <w:rPr>
                  <w:rStyle w:val="InternetLink"/>
                  <w:rFonts w:ascii="Times New Roman;Times;serif" w:hAnsi="Times New Roman;Times;serif"/>
                  <w:color w:val="000000"/>
                  <w:sz w:val="20"/>
                </w:rPr>
                <w:t>6</w:t>
              </w:r>
            </w:hyperlink>
          </w:p>
        </w:tc>
      </w:tr>
      <w:tr>
        <w:trPr/>
        <w:tc>
          <w:tcPr>
            <w:tcW w:w="4100" w:type="dxa"/>
            <w:tcBorders/>
            <w:vAlign w:val="center"/>
          </w:tcPr>
          <w:p>
            <w:pPr>
              <w:pStyle w:val="TableContents"/>
              <w:bidi w:val="0"/>
              <w:spacing w:before="0" w:after="283"/>
              <w:ind w:left="0" w:right="0" w:hanging="0"/>
              <w:jc w:val="left"/>
              <w:rPr/>
            </w:pPr>
            <w:hyperlink w:anchor="tDCS">
              <w:r>
                <w:rPr>
                  <w:rStyle w:val="InternetLink"/>
                  <w:rFonts w:ascii="Times New Roman;Times;serif" w:hAnsi="Times New Roman;Times;serif"/>
                  <w:color w:val="000000"/>
                  <w:sz w:val="20"/>
                </w:rPr>
                <w:t>DESCRIPTION OF CAPITAL SECURITIES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DCS">
              <w:r>
                <w:rPr>
                  <w:rStyle w:val="InternetLink"/>
                  <w:rFonts w:ascii="Times New Roman;Times;serif" w:hAnsi="Times New Roman;Times;serif"/>
                  <w:color w:val="000000"/>
                  <w:sz w:val="20"/>
                </w:rPr>
                <w:t>16</w:t>
              </w:r>
            </w:hyperlink>
          </w:p>
        </w:tc>
      </w:tr>
      <w:tr>
        <w:trPr/>
        <w:tc>
          <w:tcPr>
            <w:tcW w:w="4100" w:type="dxa"/>
            <w:tcBorders/>
            <w:shd w:fill="CCEEFF" w:val="clear"/>
            <w:vAlign w:val="center"/>
          </w:tcPr>
          <w:p>
            <w:pPr>
              <w:pStyle w:val="TableContents"/>
              <w:bidi w:val="0"/>
              <w:spacing w:before="0" w:after="283"/>
              <w:ind w:left="0" w:right="0" w:hanging="0"/>
              <w:jc w:val="left"/>
              <w:rPr/>
            </w:pPr>
            <w:hyperlink w:anchor="tDOS">
              <w:r>
                <w:rPr>
                  <w:rStyle w:val="InternetLink"/>
                  <w:rFonts w:ascii="Times New Roman;Times;serif" w:hAnsi="Times New Roman;Times;serif"/>
                  <w:color w:val="000000"/>
                  <w:sz w:val="20"/>
                </w:rPr>
                <w:t>DESCRIPTION OF OTHER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OS">
              <w:r>
                <w:rPr>
                  <w:rStyle w:val="InternetLink"/>
                  <w:rFonts w:ascii="Times New Roman;Times;serif" w:hAnsi="Times New Roman;Times;serif"/>
                  <w:color w:val="000000"/>
                  <w:sz w:val="20"/>
                </w:rPr>
                <w:t>18</w:t>
              </w:r>
            </w:hyperlink>
          </w:p>
        </w:tc>
      </w:tr>
      <w:tr>
        <w:trPr/>
        <w:tc>
          <w:tcPr>
            <w:tcW w:w="4100"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19</w:t>
              </w:r>
            </w:hyperlink>
          </w:p>
        </w:tc>
      </w:tr>
      <w:tr>
        <w:trPr/>
        <w:tc>
          <w:tcPr>
            <w:tcW w:w="4100"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19</w:t>
              </w:r>
            </w:hyperlink>
          </w:p>
        </w:tc>
      </w:tr>
      <w:tr>
        <w:trPr/>
        <w:tc>
          <w:tcPr>
            <w:tcW w:w="4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83847x1_s3asr_104-about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 w:name="tABT"/>
      <w:bookmarkEnd w:id="9"/>
      <w:r>
        <w:rPr>
          <w:rFonts w:ascii="Times New Roman;Times;serif" w:hAnsi="Times New Roman;Times;serif"/>
          <w:b/>
          <w:color w:val="000000"/>
          <w:sz w:val="20"/>
        </w:rPr>
        <w:t xml:space="preserve">ABOUT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is part of a registration statement that we filed with the Securities and Exchange Commission (the “SEC”) utilizing an automatic “shelf” registration process. Under this shelf registration process, we may sell from time to time any securities described in this prospectus, individually or in any combination, in one or more offerings. This prospectus provides you with a general description of the securities we may offer. You should assume that the information appearing in this prospectus is accurate only as of the date of this prospectus. Our business, financial condition, results of operations and prospects may change after that date. Each time we sell securities under this prospectus, we will provide a prospectus supplement that will contain or incorporate by reference specific information about the terms of that offering. Each prospectus supplement also may add, update or change information contained in this prospectus. We urge you to read both this prospectus and any prospectus supplement, together with the additional information described below under “Where You Can Find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person has been authorized to give any information or to make any representations, other than as contained or incorporated by reference in this prospectus, and, if given or made, we and any underwriter, agent, dealer or remarketing firm take no responsibility for such information or representations. Neither the delivery of this prospectus nor any sale made under this prospectus shall under any circumstances create any implication that there has been no change in our affairs since the date of this prospectus or that the information contained or incorporated by reference in this prospectus is correct as of any time subsequent to the date of such information. This prospectus does not constitute an offer to sell or a solicitation of an offer to buy any securities by anyone in any jurisdiction in which such offer or solicitation is not authorized or in which the person making such offer or solicitation is not qualified to do so or to any person to whom it is unlawful to make such offer or solicitation.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83847x1_s3asr_105-info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 w:name="tWYC"/>
      <w:bookmarkEnd w:id="11"/>
      <w:r>
        <w:rPr>
          <w:rFonts w:ascii="Times New Roman;Times;serif" w:hAnsi="Times New Roman;Times;serif"/>
          <w:b/>
          <w:color w:val="000000"/>
          <w:sz w:val="20"/>
        </w:rPr>
        <w:t xml:space="preserve">WHERE YOU CAN FIND MORE INFORMATION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Available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proxy statements and other information with the SEC. The SEC maintains an Internet site that contains reports, proxy and information statements and other information regarding issuers that file electronically with the SEC, including us. The SEC’s Internet address is http://www.sec.gov. In addition, our common stock is listed on the New York Stock Exchange, and our reports and other information can be inspected at the offices of the New York Stock Exchange, 20 Broad Street, New York, New York 10005. Our Internet address is http://www.wabtec.com. The information on our Internet site is not a part of this prospectus.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Incorporation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information that we file with it. This means that we can disclose important information to you by referring you to other documents. Any information we incorporate in this manner is considered part of this prospectus except to the extent updated and superseded by information contained in this prospectus and any prospectus supplement, including through information subsequently incorporated by reference. Some information that we file with the SEC after the date of this prospectus and until we sell all of the securities covered by this prospectus will automatically update and supersede the information contained in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incorporate by reference the following documents that we have filed with the SEC and any filings that we make with the SEC in the future under Sections 13(a), 13(c), 14 or 15(d) of the Securities Exchange Act of 1934, as amended (the “Exchange Act”), until we sell all of the securities covered by this prospectus, including between the date of this prospectus and the date on which any offering of securities under this prospectus is terminated, except as noted in the paragraph below: </w:t>
      </w:r>
    </w:p>
    <w:tbl>
      <w:tblPr>
        <w:tblW w:w="9880" w:type="dxa"/>
        <w:jc w:val="left"/>
        <w:tblInd w:w="0" w:type="dxa"/>
        <w:tblLayout w:type="fixed"/>
        <w:tblCellMar>
          <w:top w:w="0" w:type="dxa"/>
          <w:left w:w="0" w:type="dxa"/>
          <w:bottom w:w="0" w:type="dxa"/>
          <w:right w:w="0" w:type="dxa"/>
        </w:tblCellMar>
      </w:tblPr>
      <w:tblGrid>
        <w:gridCol w:w="110"/>
        <w:gridCol w:w="9770"/>
      </w:tblGrid>
      <w:tr>
        <w:trPr/>
        <w:tc>
          <w:tcPr>
            <w:tcW w:w="110" w:type="dxa"/>
            <w:tcBorders/>
            <w:vAlign w:val="center"/>
          </w:tcPr>
          <w:p>
            <w:pPr>
              <w:pStyle w:val="TableContents"/>
              <w:bidi w:val="0"/>
              <w:spacing w:before="0" w:after="0"/>
              <w:jc w:val="left"/>
              <w:rPr>
                <w:color w:val="000000"/>
              </w:rPr>
            </w:pPr>
            <w:r>
              <w:rPr>
                <w:color w:val="000000"/>
              </w:rPr>
              <w:t>•</w:t>
            </w:r>
          </w:p>
        </w:tc>
        <w:tc>
          <w:tcPr>
            <w:tcW w:w="9770" w:type="dxa"/>
            <w:tcBorders/>
            <w:vAlign w:val="center"/>
          </w:tcPr>
          <w:p>
            <w:pPr>
              <w:pStyle w:val="TableContents"/>
              <w:bidi w:val="0"/>
              <w:spacing w:before="0" w:after="0"/>
              <w:jc w:val="left"/>
              <w:rPr/>
            </w:pPr>
            <w:r>
              <w:rPr>
                <w:rFonts w:ascii="Times New Roman;Times;serif" w:hAnsi="Times New Roman;Times;serif"/>
                <w:color w:val="000000"/>
                <w:sz w:val="20"/>
              </w:rPr>
              <w:t xml:space="preserve">our Annual Report on Form 10-K for the fiscal year ended December 31, 2025, filed with the SEC on </w:t>
            </w:r>
            <w:hyperlink r:id="rId3">
              <w:r>
                <w:rPr>
                  <w:rStyle w:val="InternetLink"/>
                  <w:rFonts w:ascii="Times New Roman;Times;serif" w:hAnsi="Times New Roman;Times;serif"/>
                  <w:color w:val="000080"/>
                  <w:sz w:val="20"/>
                </w:rPr>
                <w:t>February 13,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Quarterly Reports on Form 10-Q for the quarters ended March 31, 2026, June 30, 2026 and September 30, 2026, filed with the SEC on </w:t>
            </w:r>
            <w:hyperlink r:id="rId4">
              <w:r>
                <w:rPr>
                  <w:rStyle w:val="InternetLink"/>
                  <w:rFonts w:ascii="Times New Roman;Times;serif" w:hAnsi="Times New Roman;Times;serif"/>
                  <w:color w:val="000080"/>
                  <w:sz w:val="20"/>
                </w:rPr>
                <w:t>April 22, 2026</w:t>
              </w:r>
            </w:hyperlink>
            <w:r>
              <w:rPr>
                <w:rFonts w:ascii="Times New Roman;Times;serif" w:hAnsi="Times New Roman;Times;serif"/>
                <w:color w:val="000000"/>
                <w:sz w:val="20"/>
              </w:rPr>
              <w:t xml:space="preserve">, </w:t>
            </w:r>
            <w:hyperlink r:id="rId5">
              <w:r>
                <w:rPr>
                  <w:rStyle w:val="InternetLink"/>
                  <w:rFonts w:ascii="Times New Roman;Times;serif" w:hAnsi="Times New Roman;Times;serif"/>
                  <w:color w:val="000080"/>
                  <w:sz w:val="20"/>
                </w:rPr>
                <w:t>July 22, 2026</w:t>
              </w:r>
            </w:hyperlink>
            <w:r>
              <w:rPr>
                <w:rFonts w:ascii="Times New Roman;Times;serif" w:hAnsi="Times New Roman;Times;serif"/>
                <w:color w:val="000000"/>
                <w:sz w:val="20"/>
              </w:rPr>
              <w:t xml:space="preserve"> and </w:t>
            </w:r>
            <w:hyperlink r:id="rId6">
              <w:r>
                <w:rPr>
                  <w:rStyle w:val="InternetLink"/>
                  <w:rFonts w:ascii="Times New Roman;Times;serif" w:hAnsi="Times New Roman;Times;serif"/>
                  <w:color w:val="000080"/>
                  <w:sz w:val="20"/>
                </w:rPr>
                <w:t>October 21, 2026</w:t>
              </w:r>
            </w:hyperlink>
            <w:r>
              <w:rPr>
                <w:rFonts w:ascii="Times New Roman;Times;serif" w:hAnsi="Times New Roman;Times;serif"/>
                <w:color w:val="000000"/>
                <w:sz w:val="20"/>
              </w:rPr>
              <w:t xml:space="preserve">, respectively; </w:t>
            </w:r>
          </w:p>
        </w:tc>
      </w:tr>
    </w:tbl>
    <w:tbl>
      <w:tblPr>
        <w:tblW w:w="7570" w:type="dxa"/>
        <w:jc w:val="left"/>
        <w:tblInd w:w="0" w:type="dxa"/>
        <w:tblLayout w:type="fixed"/>
        <w:tblCellMar>
          <w:top w:w="0" w:type="dxa"/>
          <w:left w:w="0" w:type="dxa"/>
          <w:bottom w:w="0" w:type="dxa"/>
          <w:right w:w="0" w:type="dxa"/>
        </w:tblCellMar>
      </w:tblPr>
      <w:tblGrid>
        <w:gridCol w:w="110"/>
        <w:gridCol w:w="7460"/>
      </w:tblGrid>
      <w:tr>
        <w:trPr/>
        <w:tc>
          <w:tcPr>
            <w:tcW w:w="110" w:type="dxa"/>
            <w:tcBorders/>
            <w:vAlign w:val="center"/>
          </w:tcPr>
          <w:p>
            <w:pPr>
              <w:pStyle w:val="TableContents"/>
              <w:bidi w:val="0"/>
              <w:spacing w:before="0" w:after="0"/>
              <w:jc w:val="left"/>
              <w:rPr>
                <w:color w:val="000000"/>
              </w:rPr>
            </w:pPr>
            <w:r>
              <w:rPr>
                <w:color w:val="000000"/>
              </w:rPr>
              <w:t>•</w:t>
            </w:r>
          </w:p>
        </w:tc>
        <w:tc>
          <w:tcPr>
            <w:tcW w:w="7460" w:type="dxa"/>
            <w:tcBorders/>
            <w:vAlign w:val="center"/>
          </w:tcPr>
          <w:p>
            <w:pPr>
              <w:pStyle w:val="TableContents"/>
              <w:bidi w:val="0"/>
              <w:spacing w:before="0" w:after="0"/>
              <w:jc w:val="left"/>
              <w:rPr/>
            </w:pPr>
            <w:r>
              <w:rPr>
                <w:rFonts w:ascii="Times New Roman;Times;serif" w:hAnsi="Times New Roman;Times;serif"/>
                <w:color w:val="000000"/>
                <w:sz w:val="20"/>
              </w:rPr>
              <w:t xml:space="preserve">our Current Reports on Form 8-K filed with the SEC on </w:t>
            </w:r>
            <w:hyperlink r:id="rId7">
              <w:r>
                <w:rPr>
                  <w:rStyle w:val="InternetLink"/>
                  <w:rFonts w:ascii="Times New Roman;Times;serif" w:hAnsi="Times New Roman;Times;serif"/>
                  <w:color w:val="000080"/>
                  <w:sz w:val="20"/>
                </w:rPr>
                <w:t>May 15, 2026</w:t>
              </w:r>
            </w:hyperlink>
            <w:r>
              <w:rPr>
                <w:rFonts w:ascii="Times New Roman;Times;serif" w:hAnsi="Times New Roman;Times;serif"/>
                <w:color w:val="000000"/>
                <w:sz w:val="20"/>
              </w:rPr>
              <w:t xml:space="preserve"> and </w:t>
            </w:r>
            <w:hyperlink r:id="rId8">
              <w:r>
                <w:rPr>
                  <w:rStyle w:val="InternetLink"/>
                  <w:rFonts w:ascii="Times New Roman;Times;serif" w:hAnsi="Times New Roman;Times;serif"/>
                  <w:color w:val="000080"/>
                  <w:sz w:val="20"/>
                </w:rPr>
                <w:t>October 1,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portions of our Definitive Proxy Statement on Schedule 14A filed with the SEC on </w:t>
            </w:r>
            <w:hyperlink r:id="rId9">
              <w:r>
                <w:rPr>
                  <w:rStyle w:val="InternetLink"/>
                  <w:rFonts w:ascii="Times New Roman;Times;serif" w:hAnsi="Times New Roman;Times;serif"/>
                  <w:color w:val="000080"/>
                  <w:sz w:val="20"/>
                </w:rPr>
                <w:t>March 31, 2026</w:t>
              </w:r>
            </w:hyperlink>
            <w:r>
              <w:rPr>
                <w:rFonts w:ascii="Times New Roman;Times;serif" w:hAnsi="Times New Roman;Times;serif"/>
                <w:color w:val="000000"/>
                <w:sz w:val="20"/>
              </w:rPr>
              <w:t xml:space="preserve"> that are deemed “filed” with the SEC under the Exchange Act;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description of our Common Stock contained in our Registration Statement on Form 8-A filed pursuant to Section 12(b) of the Exchange Act and any subsequent amendments or reports filed for the purpose of updating such description.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General Instruction B of Form 8-K, any information submitted under Item 2.02, Results of Operations and Financial Condition, or Item 7.01, Regulation FD Disclosure, of Form 8-K is not deemed to be “filed” for the purpose of Section 18 of the Exchange Act, and we are not subject to the liabilities of Section 18 with respect to information submitted under Item 2.02 or Item 7.01 of Form 8-K. We are not incorporating by reference any information submitted under Item 2.02 or Item 7.01 of Form 8-K into any filing under the Securities Act of 1933, as amended (the “Securities Act”), or the Exchange Act or into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Statements contained in this prospectus as to the contents of any contract, agreement or other document referred to in this prospectus do not purport to be complete, and where reference is made to the particular provisions of that contract, agreement or other document, those references are qualified in all respects by reference to all of the provisions contained in that contract, agreement or other document. For a more complete understanding and description of each such contract, agreement or other document, we urge you to read the exhibits to the registration statement of which this prospectus is a part.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statement contained in a document incorporated by reference, or deemed to be incorporated by reference, into this prospectus will be deemed to be modified or superseded for purposes of this prospectus to the extent that a statement contained herein or in any other subsequently filed document which also is incorporated by reference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83847x1_s3asr_105-info_pg2"/>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modifies or supersedes that statement. Any such statement so modified or superseded will not be deemed, except as so modified or superseded, to constitute a part of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will provide without charge, upon written or oral request, a copy of any or all of the documents that are incorporated by reference into this prospectus. Requests should be directed to: Westinghouse Air Brake Technologies Corporation, 30 Isabella Street, Pittsburgh, Pennsylvania 15212, Attention: Corporate Secretary; telephone number: (412) 825-1000.</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also may review a copy of the registration statement and its exhibits through the SEC’s Internet site, http://www.sec.gov.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83847x1_s3asr_106-summary_pg1"/>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4" w:name="tSUM"/>
      <w:bookmarkEnd w:id="14"/>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This summary is a brief discussion of material information contained in, or incorporated by reference into, this prospectus, as further described above under “Where You Can Find More Information.” This summary does not contain all of the information that you should consider before investing in any securities being offered by this prospectus. We urge you to carefully read this entire prospectus, the documents incorporated by reference into this prospectus and any applicable prospectus supplement relating to the securities that you propose to buy, especially any description of investment risks that we may include in any applicable prospectus supplement or in documents incorporated by reference in this prospectus. References to “Wabtec,” the “registrant,” “we,” “our,” “us” and similar terms mean Westinghouse Air Brake Technologies Corporation and its consolidated subsidiaries, unless the context requires otherwise. </w:t>
      </w:r>
    </w:p>
    <w:p>
      <w:pPr>
        <w:pStyle w:val="TextBody"/>
        <w:bidi w:val="0"/>
        <w:spacing w:before="410" w:after="24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Westinghouse Air Brake Technologies Corporation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 global provider of value-added, technology-based locomotives, equipment, systems and services for the freight rail and passenger transit industries, as well as the mining, marine and industrial markets and applications. Our highly engineered rail and transit products, which are designed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 Delaware corporation with our principal executive offices located at 30 Isabella Street, Pittsburgh, Pennsylvania 15212. Our telephone number is (412) 825-1000.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83847x1_s3asr_107-risk_pg1"/>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 w:name="tRF"/>
      <w:bookmarkEnd w:id="16"/>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Investing in our securities involves risks. Before deciding whether to purchase any of our securities, you should carefully consider the risks involved in an investment in our securities, as set forth in Item 1A, Risk Factors, in our Annual Report on Form 10-K for our fiscal year ended December 31, 2025, as updated in our subsequent Annual Reports on Form 10-K and Quarterly Reports on Form 10-Q, and the other risks described in any applicable prospectus supplement or in any of the documents incorporated by reference in this prospectus. The risks and uncertainties that we discuss in any document incorporated by reference in this prospectus are those that we believed as of the date of the document to be risks which may materially affect our company. Additional risks and uncertainties not then known to us or that we then believed to be immaterial also may materially and adversely affect our business, financial condition and results of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83847x1_s3asr_108-fls_pg1"/>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 w:name="tFLS"/>
      <w:bookmarkEnd w:id="18"/>
      <w:r>
        <w:rPr>
          <w:rFonts w:ascii="Times New Roman;Times;serif" w:hAnsi="Times New Roman;Times;serif"/>
          <w:b/>
          <w:color w:val="000000"/>
          <w:sz w:val="20"/>
        </w:rPr>
        <w:t xml:space="preserve">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carefully review the information contained in or incorporated by reference into this prospectus. In this prospectus and the documents incorporated herein by reference, statements that are not reported financial results or other historical information are “forward-looking statements.” Forward-looking statements give current expectations or forecasts of future events and are not guarantees of future performance. They are based on our management’s expectations that involve a number of business risks and uncertainties, any of which could cause actual results to differ materially from those expressed in or implied by the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can identify these forward-looking statements by the fact that they do not relate strictly to historic or current facts. They use words such as “anticipates,” “believes,” “continues,” “could,” “endeavors,” “estimates,” “expects,” “forecast,” “intends,” “may,” “outlook,” “potential,” “predicts,” “projects,” “should,” “targets,” “will,” “will likely result,” “would,” and similar expressions in connection with any discussion of future operating or financial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cannot guarantee that any forward-looking statements will be realized, although we believe that we have been prudent in our plans and assumptions. Achievement of future results is subject to risks, uncertainties and assumptions that may prove to be inaccurate. Among others, the factors discussed in the “Risk Factors” sections of our Annual Report on Form 10-K for our fiscal year ended December 31, 2025 and any of our subsequently filed Annual Reports on Form 10-K, Quarterly Reports on Form 10-Q and Current Reports on Form 8-K could cause actual results to differ from those in forward-looking statements included in or incorporated by reference into this prospectus or that we otherwise make. Important factors that could cause actual results to differ materially from those in the forward-looking statements include, among others: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Economic and industry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general economic and/or industry specific conditions, including the impacts of tax and tariff programs, inflation, supply chain disruptions, foreign currency exchange, and industry consolidation;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impacts of significant recent shifts in trade policies, including the imposition of tariffs, retaliatory tariff measures, and subsequent modifications or suspensions thereof, and market reactions to such policies and resulting trade disputes;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prolonged unfavorable economic and industry conditions in the markets served by us, including North America, South America, Europe, Australia, Asia and Africa; </w:t>
            </w:r>
          </w:p>
        </w:tc>
      </w:tr>
    </w:tbl>
    <w:tbl>
      <w:tblPr>
        <w:tblW w:w="9115" w:type="dxa"/>
        <w:jc w:val="left"/>
        <w:tblInd w:w="0" w:type="dxa"/>
        <w:tblLayout w:type="fixed"/>
        <w:tblCellMar>
          <w:top w:w="0" w:type="dxa"/>
          <w:left w:w="0" w:type="dxa"/>
          <w:bottom w:w="0" w:type="dxa"/>
          <w:right w:w="0" w:type="dxa"/>
        </w:tblCellMar>
      </w:tblPr>
      <w:tblGrid>
        <w:gridCol w:w="110"/>
        <w:gridCol w:w="9005"/>
      </w:tblGrid>
      <w:tr>
        <w:trPr/>
        <w:tc>
          <w:tcPr>
            <w:tcW w:w="110" w:type="dxa"/>
            <w:tcBorders/>
            <w:vAlign w:val="center"/>
          </w:tcPr>
          <w:p>
            <w:pPr>
              <w:pStyle w:val="TableContents"/>
              <w:bidi w:val="0"/>
              <w:spacing w:before="0" w:after="0"/>
              <w:jc w:val="left"/>
              <w:rPr>
                <w:color w:val="000000"/>
              </w:rPr>
            </w:pPr>
            <w:r>
              <w:rPr>
                <w:color w:val="000000"/>
              </w:rPr>
              <w:t>•</w:t>
            </w:r>
          </w:p>
        </w:tc>
        <w:tc>
          <w:tcPr>
            <w:tcW w:w="9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decline in demand for freight cars, locomotives, passenger transit cars, buses and related products and services; </w:t>
            </w:r>
          </w:p>
        </w:tc>
      </w:tr>
    </w:tbl>
    <w:tbl>
      <w:tblPr>
        <w:tblW w:w="5215" w:type="dxa"/>
        <w:jc w:val="left"/>
        <w:tblInd w:w="0" w:type="dxa"/>
        <w:tblLayout w:type="fixed"/>
        <w:tblCellMar>
          <w:top w:w="0" w:type="dxa"/>
          <w:left w:w="0" w:type="dxa"/>
          <w:bottom w:w="0" w:type="dxa"/>
          <w:right w:w="0" w:type="dxa"/>
        </w:tblCellMar>
      </w:tblPr>
      <w:tblGrid>
        <w:gridCol w:w="110"/>
        <w:gridCol w:w="5105"/>
      </w:tblGrid>
      <w:tr>
        <w:trPr/>
        <w:tc>
          <w:tcPr>
            <w:tcW w:w="110" w:type="dxa"/>
            <w:tcBorders/>
            <w:vAlign w:val="center"/>
          </w:tcPr>
          <w:p>
            <w:pPr>
              <w:pStyle w:val="TableContents"/>
              <w:bidi w:val="0"/>
              <w:spacing w:before="0" w:after="0"/>
              <w:jc w:val="left"/>
              <w:rPr>
                <w:color w:val="000000"/>
              </w:rPr>
            </w:pPr>
            <w:r>
              <w:rPr>
                <w:color w:val="000000"/>
              </w:rPr>
              <w:t>•</w:t>
            </w:r>
          </w:p>
        </w:tc>
        <w:tc>
          <w:tcPr>
            <w:tcW w:w="5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reliance on major original equipment manufacturer customers; </w:t>
            </w:r>
          </w:p>
        </w:tc>
      </w:tr>
    </w:tbl>
    <w:tbl>
      <w:tblPr>
        <w:tblW w:w="4330" w:type="dxa"/>
        <w:jc w:val="left"/>
        <w:tblInd w:w="0" w:type="dxa"/>
        <w:tblLayout w:type="fixed"/>
        <w:tblCellMar>
          <w:top w:w="0" w:type="dxa"/>
          <w:left w:w="0" w:type="dxa"/>
          <w:bottom w:w="0" w:type="dxa"/>
          <w:right w:w="0" w:type="dxa"/>
        </w:tblCellMar>
      </w:tblPr>
      <w:tblGrid>
        <w:gridCol w:w="110"/>
        <w:gridCol w:w="4220"/>
      </w:tblGrid>
      <w:tr>
        <w:trPr/>
        <w:tc>
          <w:tcPr>
            <w:tcW w:w="110" w:type="dxa"/>
            <w:tcBorders/>
            <w:vAlign w:val="center"/>
          </w:tcPr>
          <w:p>
            <w:pPr>
              <w:pStyle w:val="TableContents"/>
              <w:bidi w:val="0"/>
              <w:spacing w:before="0" w:after="0"/>
              <w:jc w:val="left"/>
              <w:rPr>
                <w:color w:val="000000"/>
              </w:rPr>
            </w:pPr>
            <w:r>
              <w:rPr>
                <w:color w:val="000000"/>
              </w:rPr>
              <w:t>•</w:t>
            </w:r>
          </w:p>
        </w:tc>
        <w:tc>
          <w:tcPr>
            <w:tcW w:w="4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original equipment manufacturers’ program delays; </w:t>
            </w:r>
          </w:p>
        </w:tc>
      </w:tr>
    </w:tbl>
    <w:tbl>
      <w:tblPr>
        <w:tblW w:w="5995" w:type="dxa"/>
        <w:jc w:val="left"/>
        <w:tblInd w:w="0" w:type="dxa"/>
        <w:tblLayout w:type="fixed"/>
        <w:tblCellMar>
          <w:top w:w="0" w:type="dxa"/>
          <w:left w:w="0" w:type="dxa"/>
          <w:bottom w:w="0" w:type="dxa"/>
          <w:right w:w="0" w:type="dxa"/>
        </w:tblCellMar>
      </w:tblPr>
      <w:tblGrid>
        <w:gridCol w:w="110"/>
        <w:gridCol w:w="5885"/>
      </w:tblGrid>
      <w:tr>
        <w:trPr/>
        <w:tc>
          <w:tcPr>
            <w:tcW w:w="110" w:type="dxa"/>
            <w:tcBorders/>
            <w:vAlign w:val="center"/>
          </w:tcPr>
          <w:p>
            <w:pPr>
              <w:pStyle w:val="TableContents"/>
              <w:bidi w:val="0"/>
              <w:spacing w:before="0" w:after="0"/>
              <w:jc w:val="left"/>
              <w:rPr>
                <w:color w:val="000000"/>
              </w:rPr>
            </w:pPr>
            <w:r>
              <w:rPr>
                <w:color w:val="000000"/>
              </w:rPr>
              <w:t>•</w:t>
            </w:r>
          </w:p>
        </w:tc>
        <w:tc>
          <w:tcPr>
            <w:tcW w:w="5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decreased demand for services in the freight and passenger rail industry; </w:t>
            </w:r>
          </w:p>
        </w:tc>
      </w:tr>
    </w:tbl>
    <w:tbl>
      <w:tblPr>
        <w:tblW w:w="4090" w:type="dxa"/>
        <w:jc w:val="left"/>
        <w:tblInd w:w="0" w:type="dxa"/>
        <w:tblLayout w:type="fixed"/>
        <w:tblCellMar>
          <w:top w:w="0" w:type="dxa"/>
          <w:left w:w="0" w:type="dxa"/>
          <w:bottom w:w="0" w:type="dxa"/>
          <w:right w:w="0" w:type="dxa"/>
        </w:tblCellMar>
      </w:tblPr>
      <w:tblGrid>
        <w:gridCol w:w="110"/>
        <w:gridCol w:w="3980"/>
      </w:tblGrid>
      <w:tr>
        <w:trPr/>
        <w:tc>
          <w:tcPr>
            <w:tcW w:w="110" w:type="dxa"/>
            <w:tcBorders/>
            <w:vAlign w:val="center"/>
          </w:tcPr>
          <w:p>
            <w:pPr>
              <w:pStyle w:val="TableContents"/>
              <w:bidi w:val="0"/>
              <w:spacing w:before="0" w:after="0"/>
              <w:jc w:val="left"/>
              <w:rPr>
                <w:color w:val="000000"/>
              </w:rPr>
            </w:pPr>
            <w:r>
              <w:rPr>
                <w:color w:val="000000"/>
              </w:rPr>
              <w:t>•</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decreased demand for our products and services;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orders either being delayed, canceled, not returning to historical levels or being reduced, and/or economic conditions affecting the ability of our customers to pay timely for goods and services delivered; </w:t>
            </w:r>
          </w:p>
        </w:tc>
      </w:tr>
    </w:tbl>
    <w:tbl>
      <w:tblPr>
        <w:tblW w:w="2980" w:type="dxa"/>
        <w:jc w:val="left"/>
        <w:tblInd w:w="0" w:type="dxa"/>
        <w:tblLayout w:type="fixed"/>
        <w:tblCellMar>
          <w:top w:w="0" w:type="dxa"/>
          <w:left w:w="0" w:type="dxa"/>
          <w:bottom w:w="0" w:type="dxa"/>
          <w:right w:w="0" w:type="dxa"/>
        </w:tblCellMar>
      </w:tblPr>
      <w:tblGrid>
        <w:gridCol w:w="110"/>
        <w:gridCol w:w="2870"/>
      </w:tblGrid>
      <w:tr>
        <w:trPr/>
        <w:tc>
          <w:tcPr>
            <w:tcW w:w="110" w:type="dxa"/>
            <w:tcBorders/>
            <w:vAlign w:val="center"/>
          </w:tcPr>
          <w:p>
            <w:pPr>
              <w:pStyle w:val="TableContents"/>
              <w:bidi w:val="0"/>
              <w:spacing w:before="0" w:after="0"/>
              <w:jc w:val="left"/>
              <w:rPr>
                <w:color w:val="000000"/>
              </w:rPr>
            </w:pPr>
            <w:r>
              <w:rPr>
                <w:color w:val="000000"/>
              </w:rPr>
              <w:t>•</w:t>
            </w:r>
          </w:p>
        </w:tc>
        <w:tc>
          <w:tcPr>
            <w:tcW w:w="2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consolidations in the rail industry; </w:t>
            </w:r>
          </w:p>
        </w:tc>
      </w:tr>
    </w:tbl>
    <w:tbl>
      <w:tblPr>
        <w:tblW w:w="3505" w:type="dxa"/>
        <w:jc w:val="left"/>
        <w:tblInd w:w="0" w:type="dxa"/>
        <w:tblLayout w:type="fixed"/>
        <w:tblCellMar>
          <w:top w:w="0" w:type="dxa"/>
          <w:left w:w="0" w:type="dxa"/>
          <w:bottom w:w="0" w:type="dxa"/>
          <w:right w:w="0" w:type="dxa"/>
        </w:tblCellMar>
      </w:tblPr>
      <w:tblGrid>
        <w:gridCol w:w="110"/>
        <w:gridCol w:w="3395"/>
      </w:tblGrid>
      <w:tr>
        <w:trPr/>
        <w:tc>
          <w:tcPr>
            <w:tcW w:w="110" w:type="dxa"/>
            <w:tcBorders/>
            <w:vAlign w:val="center"/>
          </w:tcPr>
          <w:p>
            <w:pPr>
              <w:pStyle w:val="TableContents"/>
              <w:bidi w:val="0"/>
              <w:spacing w:before="0" w:after="0"/>
              <w:jc w:val="left"/>
              <w:rPr>
                <w:color w:val="000000"/>
              </w:rPr>
            </w:pPr>
            <w:r>
              <w:rPr>
                <w:color w:val="000000"/>
              </w:rPr>
              <w:t>•</w:t>
            </w:r>
          </w:p>
        </w:tc>
        <w:tc>
          <w:tcPr>
            <w:tcW w:w="3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continued outsourcing by our customers; </w:t>
            </w:r>
          </w:p>
        </w:tc>
      </w:tr>
    </w:tbl>
    <w:tbl>
      <w:tblPr>
        <w:tblW w:w="5455" w:type="dxa"/>
        <w:jc w:val="left"/>
        <w:tblInd w:w="0" w:type="dxa"/>
        <w:tblLayout w:type="fixed"/>
        <w:tblCellMar>
          <w:top w:w="0" w:type="dxa"/>
          <w:left w:w="0" w:type="dxa"/>
          <w:bottom w:w="0" w:type="dxa"/>
          <w:right w:w="0" w:type="dxa"/>
        </w:tblCellMar>
      </w:tblPr>
      <w:tblGrid>
        <w:gridCol w:w="110"/>
        <w:gridCol w:w="5345"/>
      </w:tblGrid>
      <w:tr>
        <w:trPr/>
        <w:tc>
          <w:tcPr>
            <w:tcW w:w="110" w:type="dxa"/>
            <w:tcBorders/>
            <w:vAlign w:val="center"/>
          </w:tcPr>
          <w:p>
            <w:pPr>
              <w:pStyle w:val="TableContents"/>
              <w:bidi w:val="0"/>
              <w:spacing w:before="0" w:after="0"/>
              <w:jc w:val="left"/>
              <w:rPr>
                <w:color w:val="000000"/>
              </w:rPr>
            </w:pPr>
            <w:r>
              <w:rPr>
                <w:color w:val="000000"/>
              </w:rPr>
              <w:t>•</w:t>
            </w:r>
          </w:p>
        </w:tc>
        <w:tc>
          <w:tcPr>
            <w:tcW w:w="5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industry demand for faster and more efficient braking equipment; </w:t>
            </w:r>
          </w:p>
        </w:tc>
      </w:tr>
    </w:tbl>
    <w:tbl>
      <w:tblPr>
        <w:tblW w:w="5455" w:type="dxa"/>
        <w:jc w:val="left"/>
        <w:tblInd w:w="0" w:type="dxa"/>
        <w:tblLayout w:type="fixed"/>
        <w:tblCellMar>
          <w:top w:w="0" w:type="dxa"/>
          <w:left w:w="0" w:type="dxa"/>
          <w:bottom w:w="0" w:type="dxa"/>
          <w:right w:w="0" w:type="dxa"/>
        </w:tblCellMar>
      </w:tblPr>
      <w:tblGrid>
        <w:gridCol w:w="110"/>
        <w:gridCol w:w="5345"/>
      </w:tblGrid>
      <w:tr>
        <w:trPr/>
        <w:tc>
          <w:tcPr>
            <w:tcW w:w="110" w:type="dxa"/>
            <w:tcBorders/>
            <w:vAlign w:val="center"/>
          </w:tcPr>
          <w:p>
            <w:pPr>
              <w:pStyle w:val="TableContents"/>
              <w:bidi w:val="0"/>
              <w:spacing w:before="0" w:after="0"/>
              <w:jc w:val="left"/>
              <w:rPr>
                <w:color w:val="000000"/>
              </w:rPr>
            </w:pPr>
            <w:r>
              <w:rPr>
                <w:color w:val="000000"/>
              </w:rPr>
              <w:t>•</w:t>
            </w:r>
          </w:p>
        </w:tc>
        <w:tc>
          <w:tcPr>
            <w:tcW w:w="5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fluctuations in interest rates and foreign currency exchange rates; </w:t>
            </w:r>
          </w:p>
        </w:tc>
      </w:tr>
    </w:tbl>
    <w:tbl>
      <w:tblPr>
        <w:tblW w:w="5980" w:type="dxa"/>
        <w:jc w:val="left"/>
        <w:tblInd w:w="0" w:type="dxa"/>
        <w:tblLayout w:type="fixed"/>
        <w:tblCellMar>
          <w:top w:w="0" w:type="dxa"/>
          <w:left w:w="0" w:type="dxa"/>
          <w:bottom w:w="0" w:type="dxa"/>
          <w:right w:w="0" w:type="dxa"/>
        </w:tblCellMar>
      </w:tblPr>
      <w:tblGrid>
        <w:gridCol w:w="110"/>
        <w:gridCol w:w="5870"/>
      </w:tblGrid>
      <w:tr>
        <w:trPr/>
        <w:tc>
          <w:tcPr>
            <w:tcW w:w="110" w:type="dxa"/>
            <w:tcBorders/>
            <w:vAlign w:val="center"/>
          </w:tcPr>
          <w:p>
            <w:pPr>
              <w:pStyle w:val="TableContents"/>
              <w:bidi w:val="0"/>
              <w:spacing w:before="0" w:after="0"/>
              <w:jc w:val="left"/>
              <w:rPr>
                <w:color w:val="000000"/>
              </w:rPr>
            </w:pPr>
            <w:r>
              <w:rPr>
                <w:color w:val="000000"/>
              </w:rPr>
              <w:t>•</w:t>
            </w:r>
          </w:p>
        </w:tc>
        <w:tc>
          <w:tcPr>
            <w:tcW w:w="5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availability of credit or difficulty in obtaining debt or equity financing;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market consensus as to what attributes are required for projects to be considered “green” or “sustainable” or negative perceptions regarding determinations in such regard with respect to our Green Finance Framework or sustainability strategy; or </w:t>
            </w:r>
          </w:p>
        </w:tc>
      </w:tr>
    </w:tbl>
    <w:tbl>
      <w:tblPr>
        <w:tblW w:w="8515" w:type="dxa"/>
        <w:jc w:val="left"/>
        <w:tblInd w:w="0" w:type="dxa"/>
        <w:tblLayout w:type="fixed"/>
        <w:tblCellMar>
          <w:top w:w="0" w:type="dxa"/>
          <w:left w:w="0" w:type="dxa"/>
          <w:bottom w:w="0" w:type="dxa"/>
          <w:right w:w="0" w:type="dxa"/>
        </w:tblCellMar>
      </w:tblPr>
      <w:tblGrid>
        <w:gridCol w:w="110"/>
        <w:gridCol w:w="8405"/>
      </w:tblGrid>
      <w:tr>
        <w:trPr/>
        <w:tc>
          <w:tcPr>
            <w:tcW w:w="110" w:type="dxa"/>
            <w:tcBorders/>
            <w:vAlign w:val="center"/>
          </w:tcPr>
          <w:p>
            <w:pPr>
              <w:pStyle w:val="TableContents"/>
              <w:bidi w:val="0"/>
              <w:spacing w:before="0" w:after="0"/>
              <w:jc w:val="left"/>
              <w:rPr>
                <w:color w:val="000000"/>
              </w:rPr>
            </w:pPr>
            <w:r>
              <w:rPr>
                <w:color w:val="000000"/>
              </w:rPr>
              <w:t>•</w:t>
            </w:r>
          </w:p>
        </w:tc>
        <w:tc>
          <w:tcPr>
            <w:tcW w:w="8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sustainability topics that have the highest relative priority for our external stakeholders;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83847x1_s3asr_108-fls_pg2"/>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Operating factors </w:t>
      </w:r>
    </w:p>
    <w:tbl>
      <w:tblPr>
        <w:tblW w:w="1750" w:type="dxa"/>
        <w:jc w:val="left"/>
        <w:tblInd w:w="0" w:type="dxa"/>
        <w:tblLayout w:type="fixed"/>
        <w:tblCellMar>
          <w:top w:w="0" w:type="dxa"/>
          <w:left w:w="0" w:type="dxa"/>
          <w:bottom w:w="0" w:type="dxa"/>
          <w:right w:w="0" w:type="dxa"/>
        </w:tblCellMar>
      </w:tblPr>
      <w:tblGrid>
        <w:gridCol w:w="110"/>
        <w:gridCol w:w="1640"/>
      </w:tblGrid>
      <w:tr>
        <w:trPr/>
        <w:tc>
          <w:tcPr>
            <w:tcW w:w="110" w:type="dxa"/>
            <w:tcBorders/>
            <w:vAlign w:val="center"/>
          </w:tcPr>
          <w:p>
            <w:pPr>
              <w:pStyle w:val="TableContents"/>
              <w:bidi w:val="0"/>
              <w:spacing w:before="0" w:after="0"/>
              <w:jc w:val="left"/>
              <w:rPr>
                <w:color w:val="000000"/>
              </w:rPr>
            </w:pPr>
            <w:r>
              <w:rPr>
                <w:color w:val="000000"/>
              </w:rPr>
              <w:t>•</w:t>
            </w:r>
          </w:p>
        </w:tc>
        <w:tc>
          <w:tcPr>
            <w:tcW w:w="1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supply disruptions; </w:t>
            </w:r>
          </w:p>
        </w:tc>
      </w:tr>
    </w:tbl>
    <w:tbl>
      <w:tblPr>
        <w:tblW w:w="1915" w:type="dxa"/>
        <w:jc w:val="left"/>
        <w:tblInd w:w="0" w:type="dxa"/>
        <w:tblLayout w:type="fixed"/>
        <w:tblCellMar>
          <w:top w:w="0" w:type="dxa"/>
          <w:left w:w="0" w:type="dxa"/>
          <w:bottom w:w="0" w:type="dxa"/>
          <w:right w:w="0" w:type="dxa"/>
        </w:tblCellMar>
      </w:tblPr>
      <w:tblGrid>
        <w:gridCol w:w="110"/>
        <w:gridCol w:w="1805"/>
      </w:tblGrid>
      <w:tr>
        <w:trPr/>
        <w:tc>
          <w:tcPr>
            <w:tcW w:w="110" w:type="dxa"/>
            <w:tcBorders/>
            <w:vAlign w:val="center"/>
          </w:tcPr>
          <w:p>
            <w:pPr>
              <w:pStyle w:val="TableContents"/>
              <w:bidi w:val="0"/>
              <w:spacing w:before="0" w:after="0"/>
              <w:jc w:val="left"/>
              <w:rPr>
                <w:color w:val="000000"/>
              </w:rPr>
            </w:pPr>
            <w:r>
              <w:rPr>
                <w:color w:val="000000"/>
              </w:rPr>
              <w:t>•</w:t>
            </w:r>
          </w:p>
        </w:tc>
        <w:tc>
          <w:tcPr>
            <w:tcW w:w="18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technical difficulties; </w:t>
            </w:r>
          </w:p>
        </w:tc>
      </w:tr>
    </w:tbl>
    <w:tbl>
      <w:tblPr>
        <w:tblW w:w="3640" w:type="dxa"/>
        <w:jc w:val="left"/>
        <w:tblInd w:w="0" w:type="dxa"/>
        <w:tblLayout w:type="fixed"/>
        <w:tblCellMar>
          <w:top w:w="0" w:type="dxa"/>
          <w:left w:w="0" w:type="dxa"/>
          <w:bottom w:w="0" w:type="dxa"/>
          <w:right w:w="0" w:type="dxa"/>
        </w:tblCellMar>
      </w:tblPr>
      <w:tblGrid>
        <w:gridCol w:w="110"/>
        <w:gridCol w:w="3530"/>
      </w:tblGrid>
      <w:tr>
        <w:trPr/>
        <w:tc>
          <w:tcPr>
            <w:tcW w:w="110" w:type="dxa"/>
            <w:tcBorders/>
            <w:vAlign w:val="center"/>
          </w:tcPr>
          <w:p>
            <w:pPr>
              <w:pStyle w:val="TableContents"/>
              <w:bidi w:val="0"/>
              <w:spacing w:before="0" w:after="0"/>
              <w:jc w:val="left"/>
              <w:rPr>
                <w:color w:val="000000"/>
              </w:rPr>
            </w:pPr>
            <w:r>
              <w:rPr>
                <w:color w:val="000000"/>
              </w:rPr>
              <w:t>•</w:t>
            </w:r>
          </w:p>
        </w:tc>
        <w:tc>
          <w:tcPr>
            <w:tcW w:w="3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operating conditions and costs; </w:t>
            </w:r>
          </w:p>
        </w:tc>
      </w:tr>
    </w:tbl>
    <w:tbl>
      <w:tblPr>
        <w:tblW w:w="2665" w:type="dxa"/>
        <w:jc w:val="left"/>
        <w:tblInd w:w="0" w:type="dxa"/>
        <w:tblLayout w:type="fixed"/>
        <w:tblCellMar>
          <w:top w:w="0" w:type="dxa"/>
          <w:left w:w="0" w:type="dxa"/>
          <w:bottom w:w="0" w:type="dxa"/>
          <w:right w:w="0" w:type="dxa"/>
        </w:tblCellMar>
      </w:tblPr>
      <w:tblGrid>
        <w:gridCol w:w="110"/>
        <w:gridCol w:w="2555"/>
      </w:tblGrid>
      <w:tr>
        <w:trPr/>
        <w:tc>
          <w:tcPr>
            <w:tcW w:w="110" w:type="dxa"/>
            <w:tcBorders/>
            <w:vAlign w:val="center"/>
          </w:tcPr>
          <w:p>
            <w:pPr>
              <w:pStyle w:val="TableContents"/>
              <w:bidi w:val="0"/>
              <w:spacing w:before="0" w:after="0"/>
              <w:jc w:val="left"/>
              <w:rPr>
                <w:color w:val="000000"/>
              </w:rPr>
            </w:pPr>
            <w:r>
              <w:rPr>
                <w:color w:val="000000"/>
              </w:rPr>
              <w:t>•</w:t>
            </w:r>
          </w:p>
        </w:tc>
        <w:tc>
          <w:tcPr>
            <w:tcW w:w="2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increases in raw material costs; </w:t>
            </w:r>
          </w:p>
        </w:tc>
      </w:tr>
    </w:tbl>
    <w:tbl>
      <w:tblPr>
        <w:tblW w:w="5965" w:type="dxa"/>
        <w:jc w:val="left"/>
        <w:tblInd w:w="0" w:type="dxa"/>
        <w:tblLayout w:type="fixed"/>
        <w:tblCellMar>
          <w:top w:w="0" w:type="dxa"/>
          <w:left w:w="0" w:type="dxa"/>
          <w:bottom w:w="0" w:type="dxa"/>
          <w:right w:w="0" w:type="dxa"/>
        </w:tblCellMar>
      </w:tblPr>
      <w:tblGrid>
        <w:gridCol w:w="110"/>
        <w:gridCol w:w="5855"/>
      </w:tblGrid>
      <w:tr>
        <w:trPr/>
        <w:tc>
          <w:tcPr>
            <w:tcW w:w="110" w:type="dxa"/>
            <w:tcBorders/>
            <w:vAlign w:val="center"/>
          </w:tcPr>
          <w:p>
            <w:pPr>
              <w:pStyle w:val="TableContents"/>
              <w:bidi w:val="0"/>
              <w:spacing w:before="0" w:after="0"/>
              <w:jc w:val="left"/>
              <w:rPr>
                <w:color w:val="000000"/>
              </w:rPr>
            </w:pPr>
            <w:r>
              <w:rPr>
                <w:color w:val="000000"/>
              </w:rPr>
              <w:t>•</w:t>
            </w:r>
          </w:p>
        </w:tc>
        <w:tc>
          <w:tcPr>
            <w:tcW w:w="5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challenges associated with the successful introduction of new products; </w:t>
            </w:r>
          </w:p>
        </w:tc>
      </w:tr>
    </w:tbl>
    <w:tbl>
      <w:tblPr>
        <w:tblW w:w="3265" w:type="dxa"/>
        <w:jc w:val="left"/>
        <w:tblInd w:w="0" w:type="dxa"/>
        <w:tblLayout w:type="fixed"/>
        <w:tblCellMar>
          <w:top w:w="0" w:type="dxa"/>
          <w:left w:w="0" w:type="dxa"/>
          <w:bottom w:w="0" w:type="dxa"/>
          <w:right w:w="0" w:type="dxa"/>
        </w:tblCellMar>
      </w:tblPr>
      <w:tblGrid>
        <w:gridCol w:w="110"/>
        <w:gridCol w:w="3155"/>
      </w:tblGrid>
      <w:tr>
        <w:trPr/>
        <w:tc>
          <w:tcPr>
            <w:tcW w:w="110" w:type="dxa"/>
            <w:tcBorders/>
            <w:vAlign w:val="center"/>
          </w:tcPr>
          <w:p>
            <w:pPr>
              <w:pStyle w:val="TableContents"/>
              <w:bidi w:val="0"/>
              <w:spacing w:before="0" w:after="0"/>
              <w:jc w:val="left"/>
              <w:rPr>
                <w:color w:val="000000"/>
              </w:rPr>
            </w:pPr>
            <w:r>
              <w:rPr>
                <w:color w:val="000000"/>
              </w:rPr>
              <w:t>•</w:t>
            </w:r>
          </w:p>
        </w:tc>
        <w:tc>
          <w:tcPr>
            <w:tcW w:w="3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safety, quality and reliability; </w:t>
            </w:r>
          </w:p>
        </w:tc>
      </w:tr>
    </w:tbl>
    <w:tbl>
      <w:tblPr>
        <w:tblW w:w="4075" w:type="dxa"/>
        <w:jc w:val="left"/>
        <w:tblInd w:w="0" w:type="dxa"/>
        <w:tblLayout w:type="fixed"/>
        <w:tblCellMar>
          <w:top w:w="0" w:type="dxa"/>
          <w:left w:w="0" w:type="dxa"/>
          <w:bottom w:w="0" w:type="dxa"/>
          <w:right w:w="0" w:type="dxa"/>
        </w:tblCellMar>
      </w:tblPr>
      <w:tblGrid>
        <w:gridCol w:w="110"/>
        <w:gridCol w:w="3965"/>
      </w:tblGrid>
      <w:tr>
        <w:trPr/>
        <w:tc>
          <w:tcPr>
            <w:tcW w:w="11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performance under material long-term contracts; </w:t>
            </w:r>
          </w:p>
        </w:tc>
      </w:tr>
    </w:tbl>
    <w:tbl>
      <w:tblPr>
        <w:tblW w:w="5050" w:type="dxa"/>
        <w:jc w:val="left"/>
        <w:tblInd w:w="0" w:type="dxa"/>
        <w:tblLayout w:type="fixed"/>
        <w:tblCellMar>
          <w:top w:w="0" w:type="dxa"/>
          <w:left w:w="0" w:type="dxa"/>
          <w:bottom w:w="0" w:type="dxa"/>
          <w:right w:w="0" w:type="dxa"/>
        </w:tblCellMar>
      </w:tblPr>
      <w:tblGrid>
        <w:gridCol w:w="110"/>
        <w:gridCol w:w="4940"/>
      </w:tblGrid>
      <w:tr>
        <w:trPr/>
        <w:tc>
          <w:tcPr>
            <w:tcW w:w="110" w:type="dxa"/>
            <w:tcBorders/>
            <w:vAlign w:val="center"/>
          </w:tcPr>
          <w:p>
            <w:pPr>
              <w:pStyle w:val="TableContents"/>
              <w:bidi w:val="0"/>
              <w:spacing w:before="0" w:after="0"/>
              <w:jc w:val="left"/>
              <w:rPr>
                <w:color w:val="000000"/>
              </w:rPr>
            </w:pPr>
            <w:r>
              <w:rPr>
                <w:color w:val="000000"/>
              </w:rPr>
              <w:t>•</w:t>
            </w:r>
          </w:p>
        </w:tc>
        <w:tc>
          <w:tcPr>
            <w:tcW w:w="4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labor availability constraints and labor relations challenges;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 </w:t>
            </w:r>
          </w:p>
        </w:tc>
      </w:tr>
    </w:tbl>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complete and integrate acquisitions; </w:t>
            </w:r>
          </w:p>
        </w:tc>
      </w:tr>
    </w:tbl>
    <w:tbl>
      <w:tblPr>
        <w:tblW w:w="5740" w:type="dxa"/>
        <w:jc w:val="left"/>
        <w:tblInd w:w="0" w:type="dxa"/>
        <w:tblLayout w:type="fixed"/>
        <w:tblCellMar>
          <w:top w:w="0" w:type="dxa"/>
          <w:left w:w="0" w:type="dxa"/>
          <w:bottom w:w="0" w:type="dxa"/>
          <w:right w:w="0" w:type="dxa"/>
        </w:tblCellMar>
      </w:tblPr>
      <w:tblGrid>
        <w:gridCol w:w="110"/>
        <w:gridCol w:w="5630"/>
      </w:tblGrid>
      <w:tr>
        <w:trPr/>
        <w:tc>
          <w:tcPr>
            <w:tcW w:w="110" w:type="dxa"/>
            <w:tcBorders/>
            <w:vAlign w:val="center"/>
          </w:tcPr>
          <w:p>
            <w:pPr>
              <w:pStyle w:val="TableContents"/>
              <w:bidi w:val="0"/>
              <w:spacing w:before="0" w:after="0"/>
              <w:jc w:val="left"/>
              <w:rPr>
                <w:color w:val="000000"/>
              </w:rPr>
            </w:pPr>
            <w:r>
              <w:rPr>
                <w:color w:val="000000"/>
              </w:rPr>
              <w:t>•</w:t>
            </w:r>
          </w:p>
        </w:tc>
        <w:tc>
          <w:tcPr>
            <w:tcW w:w="5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associated with the development and use of new technology; or </w:t>
            </w:r>
          </w:p>
        </w:tc>
      </w:tr>
    </w:tbl>
    <w:tbl>
      <w:tblPr>
        <w:tblW w:w="3370" w:type="dxa"/>
        <w:jc w:val="left"/>
        <w:tblInd w:w="0" w:type="dxa"/>
        <w:tblLayout w:type="fixed"/>
        <w:tblCellMar>
          <w:top w:w="0" w:type="dxa"/>
          <w:left w:w="0" w:type="dxa"/>
          <w:bottom w:w="0" w:type="dxa"/>
          <w:right w:w="0" w:type="dxa"/>
        </w:tblCellMar>
      </w:tblPr>
      <w:tblGrid>
        <w:gridCol w:w="110"/>
        <w:gridCol w:w="3260"/>
      </w:tblGrid>
      <w:tr>
        <w:trPr/>
        <w:tc>
          <w:tcPr>
            <w:tcW w:w="110" w:type="dxa"/>
            <w:tcBorders/>
            <w:vAlign w:val="center"/>
          </w:tcPr>
          <w:p>
            <w:pPr>
              <w:pStyle w:val="TableContents"/>
              <w:bidi w:val="0"/>
              <w:spacing w:before="0" w:after="0"/>
              <w:jc w:val="left"/>
              <w:rPr>
                <w:color w:val="000000"/>
              </w:rPr>
            </w:pPr>
            <w:r>
              <w:rPr>
                <w:color w:val="000000"/>
              </w:rPr>
              <w:t>•</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cybersecurity and data protection risks;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Competitive factors </w:t>
      </w:r>
    </w:p>
    <w:tbl>
      <w:tblPr>
        <w:tblW w:w="2545" w:type="dxa"/>
        <w:jc w:val="left"/>
        <w:tblInd w:w="0" w:type="dxa"/>
        <w:tblLayout w:type="fixed"/>
        <w:tblCellMar>
          <w:top w:w="0" w:type="dxa"/>
          <w:left w:w="0" w:type="dxa"/>
          <w:bottom w:w="0" w:type="dxa"/>
          <w:right w:w="0" w:type="dxa"/>
        </w:tblCellMar>
      </w:tblPr>
      <w:tblGrid>
        <w:gridCol w:w="110"/>
        <w:gridCol w:w="2435"/>
      </w:tblGrid>
      <w:tr>
        <w:trPr/>
        <w:tc>
          <w:tcPr>
            <w:tcW w:w="110" w:type="dxa"/>
            <w:tcBorders/>
            <w:vAlign w:val="center"/>
          </w:tcPr>
          <w:p>
            <w:pPr>
              <w:pStyle w:val="TableContents"/>
              <w:bidi w:val="0"/>
              <w:spacing w:before="0" w:after="0"/>
              <w:jc w:val="left"/>
              <w:rPr>
                <w:color w:val="000000"/>
              </w:rPr>
            </w:pPr>
            <w:r>
              <w:rPr>
                <w:color w:val="000000"/>
              </w:rPr>
              <w:t>•</w:t>
            </w:r>
          </w:p>
        </w:tc>
        <w:tc>
          <w:tcPr>
            <w:tcW w:w="2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actions of competitors; or </w:t>
            </w:r>
          </w:p>
        </w:tc>
      </w:tr>
    </w:tbl>
    <w:tbl>
      <w:tblPr>
        <w:tblW w:w="6520" w:type="dxa"/>
        <w:jc w:val="left"/>
        <w:tblInd w:w="0" w:type="dxa"/>
        <w:tblLayout w:type="fixed"/>
        <w:tblCellMar>
          <w:top w:w="0" w:type="dxa"/>
          <w:left w:w="0" w:type="dxa"/>
          <w:bottom w:w="0" w:type="dxa"/>
          <w:right w:w="0" w:type="dxa"/>
        </w:tblCellMar>
      </w:tblPr>
      <w:tblGrid>
        <w:gridCol w:w="110"/>
        <w:gridCol w:w="6410"/>
      </w:tblGrid>
      <w:tr>
        <w:trPr/>
        <w:tc>
          <w:tcPr>
            <w:tcW w:w="11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adverse outcomes of negotiations with partners, suppliers, customers or others;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Political/governmental factors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political instability in relevant areas of the world, including the impacts of war, conflicts, global military action, and acts of terrorism; </w:t>
            </w:r>
          </w:p>
        </w:tc>
      </w:tr>
    </w:tbl>
    <w:tbl>
      <w:tblPr>
        <w:tblW w:w="5980" w:type="dxa"/>
        <w:jc w:val="left"/>
        <w:tblInd w:w="0" w:type="dxa"/>
        <w:tblLayout w:type="fixed"/>
        <w:tblCellMar>
          <w:top w:w="0" w:type="dxa"/>
          <w:left w:w="0" w:type="dxa"/>
          <w:bottom w:w="0" w:type="dxa"/>
          <w:right w:w="0" w:type="dxa"/>
        </w:tblCellMar>
      </w:tblPr>
      <w:tblGrid>
        <w:gridCol w:w="110"/>
        <w:gridCol w:w="5870"/>
      </w:tblGrid>
      <w:tr>
        <w:trPr/>
        <w:tc>
          <w:tcPr>
            <w:tcW w:w="110" w:type="dxa"/>
            <w:tcBorders/>
            <w:vAlign w:val="center"/>
          </w:tcPr>
          <w:p>
            <w:pPr>
              <w:pStyle w:val="TableContents"/>
              <w:bidi w:val="0"/>
              <w:spacing w:before="0" w:after="0"/>
              <w:jc w:val="left"/>
              <w:rPr>
                <w:color w:val="000000"/>
              </w:rPr>
            </w:pPr>
            <w:r>
              <w:rPr>
                <w:color w:val="000000"/>
              </w:rPr>
              <w:t>•</w:t>
            </w:r>
          </w:p>
        </w:tc>
        <w:tc>
          <w:tcPr>
            <w:tcW w:w="5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future regulation/deregulation of our customers and/or the rail industry; </w:t>
            </w:r>
          </w:p>
        </w:tc>
      </w:tr>
    </w:tbl>
    <w:tbl>
      <w:tblPr>
        <w:tblW w:w="8305" w:type="dxa"/>
        <w:jc w:val="left"/>
        <w:tblInd w:w="0" w:type="dxa"/>
        <w:tblLayout w:type="fixed"/>
        <w:tblCellMar>
          <w:top w:w="0" w:type="dxa"/>
          <w:left w:w="0" w:type="dxa"/>
          <w:bottom w:w="0" w:type="dxa"/>
          <w:right w:w="0" w:type="dxa"/>
        </w:tblCellMar>
      </w:tblPr>
      <w:tblGrid>
        <w:gridCol w:w="110"/>
        <w:gridCol w:w="8195"/>
      </w:tblGrid>
      <w:tr>
        <w:trPr/>
        <w:tc>
          <w:tcPr>
            <w:tcW w:w="110" w:type="dxa"/>
            <w:tcBorders/>
            <w:vAlign w:val="center"/>
          </w:tcPr>
          <w:p>
            <w:pPr>
              <w:pStyle w:val="TableContents"/>
              <w:bidi w:val="0"/>
              <w:spacing w:before="0" w:after="0"/>
              <w:jc w:val="left"/>
              <w:rPr>
                <w:color w:val="000000"/>
              </w:rPr>
            </w:pPr>
            <w:r>
              <w:rPr>
                <w:color w:val="000000"/>
              </w:rPr>
              <w:t>•</w:t>
            </w:r>
          </w:p>
        </w:tc>
        <w:tc>
          <w:tcPr>
            <w:tcW w:w="8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decreases in levels of governmental funding on transit projects, including for some of our customers; </w:t>
            </w:r>
          </w:p>
        </w:tc>
      </w:tr>
    </w:tbl>
    <w:tbl>
      <w:tblPr>
        <w:tblW w:w="8200" w:type="dxa"/>
        <w:jc w:val="left"/>
        <w:tblInd w:w="0" w:type="dxa"/>
        <w:tblLayout w:type="fixed"/>
        <w:tblCellMar>
          <w:top w:w="0" w:type="dxa"/>
          <w:left w:w="0" w:type="dxa"/>
          <w:bottom w:w="0" w:type="dxa"/>
          <w:right w:w="0" w:type="dxa"/>
        </w:tblCellMar>
      </w:tblPr>
      <w:tblGrid>
        <w:gridCol w:w="110"/>
        <w:gridCol w:w="8090"/>
      </w:tblGrid>
      <w:tr>
        <w:trPr/>
        <w:tc>
          <w:tcPr>
            <w:tcW w:w="110" w:type="dxa"/>
            <w:tcBorders/>
            <w:vAlign w:val="center"/>
          </w:tcPr>
          <w:p>
            <w:pPr>
              <w:pStyle w:val="TableContents"/>
              <w:bidi w:val="0"/>
              <w:spacing w:before="0" w:after="0"/>
              <w:jc w:val="left"/>
              <w:rPr>
                <w:color w:val="000000"/>
              </w:rPr>
            </w:pPr>
            <w:r>
              <w:rPr>
                <w:color w:val="000000"/>
              </w:rPr>
              <w:t>•</w:t>
            </w:r>
          </w:p>
        </w:tc>
        <w:tc>
          <w:tcPr>
            <w:tcW w:w="8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political developments and laws and regulations, including those related to Positive Train Control; </w:t>
            </w:r>
          </w:p>
        </w:tc>
      </w:tr>
    </w:tbl>
    <w:tbl>
      <w:tblPr>
        <w:tblW w:w="4795" w:type="dxa"/>
        <w:jc w:val="left"/>
        <w:tblInd w:w="0" w:type="dxa"/>
        <w:tblLayout w:type="fixed"/>
        <w:tblCellMar>
          <w:top w:w="0" w:type="dxa"/>
          <w:left w:w="0" w:type="dxa"/>
          <w:bottom w:w="0" w:type="dxa"/>
          <w:right w:w="0" w:type="dxa"/>
        </w:tblCellMar>
      </w:tblPr>
      <w:tblGrid>
        <w:gridCol w:w="110"/>
        <w:gridCol w:w="4685"/>
      </w:tblGrid>
      <w:tr>
        <w:trPr/>
        <w:tc>
          <w:tcPr>
            <w:tcW w:w="110" w:type="dxa"/>
            <w:tcBorders/>
            <w:vAlign w:val="center"/>
          </w:tcPr>
          <w:p>
            <w:pPr>
              <w:pStyle w:val="TableContents"/>
              <w:bidi w:val="0"/>
              <w:spacing w:before="0" w:after="0"/>
              <w:jc w:val="left"/>
              <w:rPr>
                <w:color w:val="000000"/>
              </w:rPr>
            </w:pPr>
            <w:r>
              <w:rPr>
                <w:color w:val="000000"/>
              </w:rPr>
              <w:t>•</w:t>
            </w:r>
          </w:p>
        </w:tc>
        <w:tc>
          <w:tcPr>
            <w:tcW w:w="4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consequences of federal and state income tax legislation; </w:t>
            </w:r>
          </w:p>
        </w:tc>
      </w:tr>
    </w:tbl>
    <w:tbl>
      <w:tblPr>
        <w:tblW w:w="4000" w:type="dxa"/>
        <w:jc w:val="left"/>
        <w:tblInd w:w="0" w:type="dxa"/>
        <w:tblLayout w:type="fixed"/>
        <w:tblCellMar>
          <w:top w:w="0" w:type="dxa"/>
          <w:left w:w="0" w:type="dxa"/>
          <w:bottom w:w="0" w:type="dxa"/>
          <w:right w:w="0" w:type="dxa"/>
        </w:tblCellMar>
      </w:tblPr>
      <w:tblGrid>
        <w:gridCol w:w="110"/>
        <w:gridCol w:w="3890"/>
      </w:tblGrid>
      <w:tr>
        <w:trPr/>
        <w:tc>
          <w:tcPr>
            <w:tcW w:w="110" w:type="dxa"/>
            <w:tcBorders/>
            <w:vAlign w:val="center"/>
          </w:tcPr>
          <w:p>
            <w:pPr>
              <w:pStyle w:val="TableContents"/>
              <w:bidi w:val="0"/>
              <w:spacing w:before="0" w:after="0"/>
              <w:jc w:val="left"/>
              <w:rPr>
                <w:color w:val="000000"/>
              </w:rPr>
            </w:pPr>
            <w:r>
              <w:rPr>
                <w:color w:val="000000"/>
              </w:rPr>
              <w:t>•</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sanctions imposed on countries and persons; or </w:t>
            </w:r>
          </w:p>
        </w:tc>
      </w:tr>
    </w:tbl>
    <w:tbl>
      <w:tblPr>
        <w:tblW w:w="4015" w:type="dxa"/>
        <w:jc w:val="left"/>
        <w:tblInd w:w="0" w:type="dxa"/>
        <w:tblLayout w:type="fixed"/>
        <w:tblCellMar>
          <w:top w:w="0" w:type="dxa"/>
          <w:left w:w="0" w:type="dxa"/>
          <w:bottom w:w="0" w:type="dxa"/>
          <w:right w:w="0" w:type="dxa"/>
        </w:tblCellMar>
      </w:tblPr>
      <w:tblGrid>
        <w:gridCol w:w="110"/>
        <w:gridCol w:w="3905"/>
      </w:tblGrid>
      <w:tr>
        <w:trPr/>
        <w:tc>
          <w:tcPr>
            <w:tcW w:w="110" w:type="dxa"/>
            <w:tcBorders/>
            <w:vAlign w:val="center"/>
          </w:tcPr>
          <w:p>
            <w:pPr>
              <w:pStyle w:val="TableContents"/>
              <w:bidi w:val="0"/>
              <w:spacing w:before="0" w:after="0"/>
              <w:jc w:val="left"/>
              <w:rPr>
                <w:color w:val="000000"/>
              </w:rPr>
            </w:pPr>
            <w:r>
              <w:rPr>
                <w:color w:val="000000"/>
              </w:rPr>
              <w:t>•</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outcome of negotiations with governments;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Natural hazards / health crises </w:t>
      </w:r>
    </w:p>
    <w:tbl>
      <w:tblPr>
        <w:tblW w:w="5860" w:type="dxa"/>
        <w:jc w:val="left"/>
        <w:tblInd w:w="0" w:type="dxa"/>
        <w:tblLayout w:type="fixed"/>
        <w:tblCellMar>
          <w:top w:w="0" w:type="dxa"/>
          <w:left w:w="0" w:type="dxa"/>
          <w:bottom w:w="0" w:type="dxa"/>
          <w:right w:w="0" w:type="dxa"/>
        </w:tblCellMar>
      </w:tblPr>
      <w:tblGrid>
        <w:gridCol w:w="110"/>
        <w:gridCol w:w="5750"/>
      </w:tblGrid>
      <w:tr>
        <w:trPr/>
        <w:tc>
          <w:tcPr>
            <w:tcW w:w="11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impacts of climate change, including evolving climate change policy; </w:t>
            </w:r>
          </w:p>
        </w:tc>
      </w:tr>
    </w:tbl>
    <w:tbl>
      <w:tblPr>
        <w:tblW w:w="9355" w:type="dxa"/>
        <w:jc w:val="left"/>
        <w:tblInd w:w="0" w:type="dxa"/>
        <w:tblLayout w:type="fixed"/>
        <w:tblCellMar>
          <w:top w:w="0" w:type="dxa"/>
          <w:left w:w="0" w:type="dxa"/>
          <w:bottom w:w="0" w:type="dxa"/>
          <w:right w:w="0" w:type="dxa"/>
        </w:tblCellMar>
      </w:tblPr>
      <w:tblGrid>
        <w:gridCol w:w="110"/>
        <w:gridCol w:w="9245"/>
      </w:tblGrid>
      <w:tr>
        <w:trPr/>
        <w:tc>
          <w:tcPr>
            <w:tcW w:w="11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disruptive natural hazards, including earthquakes, fires, floods, tornadoes, hurricanes or other weather conditions; </w:t>
            </w:r>
          </w:p>
        </w:tc>
      </w:tr>
    </w:tbl>
    <w:tbl>
      <w:tblPr>
        <w:tblW w:w="4495" w:type="dxa"/>
        <w:jc w:val="left"/>
        <w:tblInd w:w="0" w:type="dxa"/>
        <w:tblLayout w:type="fixed"/>
        <w:tblCellMar>
          <w:top w:w="0" w:type="dxa"/>
          <w:left w:w="0" w:type="dxa"/>
          <w:bottom w:w="0" w:type="dxa"/>
          <w:right w:w="0" w:type="dxa"/>
        </w:tblCellMar>
      </w:tblPr>
      <w:tblGrid>
        <w:gridCol w:w="110"/>
        <w:gridCol w:w="4385"/>
      </w:tblGrid>
      <w:tr>
        <w:trPr/>
        <w:tc>
          <w:tcPr>
            <w:tcW w:w="110" w:type="dxa"/>
            <w:tcBorders/>
            <w:vAlign w:val="center"/>
          </w:tcPr>
          <w:p>
            <w:pPr>
              <w:pStyle w:val="TableContents"/>
              <w:bidi w:val="0"/>
              <w:spacing w:before="0" w:after="0"/>
              <w:jc w:val="left"/>
              <w:rPr>
                <w:color w:val="000000"/>
              </w:rPr>
            </w:pPr>
            <w:r>
              <w:rPr>
                <w:color w:val="000000"/>
              </w:rPr>
              <w:t>•</w:t>
            </w:r>
          </w:p>
        </w:tc>
        <w:tc>
          <w:tcPr>
            <w:tcW w:w="4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epidemics, pandemics, or similar public health crises; </w:t>
            </w:r>
          </w:p>
        </w:tc>
      </w:tr>
    </w:tbl>
    <w:tbl>
      <w:tblPr>
        <w:tblW w:w="7480" w:type="dxa"/>
        <w:jc w:val="left"/>
        <w:tblInd w:w="0" w:type="dxa"/>
        <w:tblLayout w:type="fixed"/>
        <w:tblCellMar>
          <w:top w:w="0" w:type="dxa"/>
          <w:left w:w="0" w:type="dxa"/>
          <w:bottom w:w="0" w:type="dxa"/>
          <w:right w:w="0" w:type="dxa"/>
        </w:tblCellMar>
      </w:tblPr>
      <w:tblGrid>
        <w:gridCol w:w="110"/>
        <w:gridCol w:w="7370"/>
      </w:tblGrid>
      <w:tr>
        <w:trPr/>
        <w:tc>
          <w:tcPr>
            <w:tcW w:w="110" w:type="dxa"/>
            <w:tcBorders/>
            <w:vAlign w:val="center"/>
          </w:tcPr>
          <w:p>
            <w:pPr>
              <w:pStyle w:val="TableContents"/>
              <w:bidi w:val="0"/>
              <w:spacing w:before="0" w:after="0"/>
              <w:jc w:val="left"/>
              <w:rPr>
                <w:color w:val="000000"/>
              </w:rPr>
            </w:pPr>
            <w:r>
              <w:rPr>
                <w:color w:val="000000"/>
              </w:rPr>
              <w:t>•</w:t>
            </w:r>
          </w:p>
        </w:tc>
        <w:tc>
          <w:tcPr>
            <w:tcW w:w="7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deterioration of general economic conditions as a result of natural hazards or health crises; </w:t>
            </w:r>
          </w:p>
        </w:tc>
      </w:tr>
    </w:tbl>
    <w:tbl>
      <w:tblPr>
        <w:tblW w:w="8275" w:type="dxa"/>
        <w:jc w:val="left"/>
        <w:tblInd w:w="0" w:type="dxa"/>
        <w:tblLayout w:type="fixed"/>
        <w:tblCellMar>
          <w:top w:w="0" w:type="dxa"/>
          <w:left w:w="0" w:type="dxa"/>
          <w:bottom w:w="0" w:type="dxa"/>
          <w:right w:w="0" w:type="dxa"/>
        </w:tblCellMar>
      </w:tblPr>
      <w:tblGrid>
        <w:gridCol w:w="110"/>
        <w:gridCol w:w="8165"/>
      </w:tblGrid>
      <w:tr>
        <w:trPr/>
        <w:tc>
          <w:tcPr>
            <w:tcW w:w="110" w:type="dxa"/>
            <w:tcBorders/>
            <w:vAlign w:val="center"/>
          </w:tcPr>
          <w:p>
            <w:pPr>
              <w:pStyle w:val="TableContents"/>
              <w:bidi w:val="0"/>
              <w:spacing w:before="0" w:after="0"/>
              <w:jc w:val="left"/>
              <w:rPr>
                <w:color w:val="000000"/>
              </w:rPr>
            </w:pPr>
            <w:r>
              <w:rPr>
                <w:color w:val="000000"/>
              </w:rPr>
              <w:t>•</w:t>
            </w:r>
          </w:p>
        </w:tc>
        <w:tc>
          <w:tcPr>
            <w:tcW w:w="8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shutdown of one or more of our operating facilities as a result of natural hazards and health crises; or </w:t>
            </w:r>
          </w:p>
        </w:tc>
      </w:tr>
    </w:tbl>
    <w:tbl>
      <w:tblPr>
        <w:tblW w:w="8710" w:type="dxa"/>
        <w:jc w:val="left"/>
        <w:tblInd w:w="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supply chain and sourcing disruptions as a result of natural hazards, health crises or other external factors.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Should known or unknown risks or uncertainties materialize, or should underlying assumptions prove to be inaccurate, actual results could vary materially from those anticipated, estimated or projected. You should bear this in mind as you consider, and should not place undue reliance on, any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undertake no obligation to publicly update forward-looking statements, whether as a result of new information, future events or otherwise, except as may be required by law. You are advised, however, to consider any additional disclosures that we may make on related subjects in future filings with the SEC. You should understand that it is not possible to predict or identify all factors that could cause our actual results to differ. Consequently, you should not consider any list of factors to be a complete set of all potential risks or uncertainties.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83847x1_s3asr_109-use_pg1"/>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 w:name="tUSE"/>
      <w:bookmarkEnd w:id="21"/>
      <w:r>
        <w:rPr>
          <w:rFonts w:ascii="Times New Roman;Times;serif" w:hAnsi="Times New Roman;Times;serif"/>
          <w:b/>
          <w:color w:val="000000"/>
          <w:sz w:val="20"/>
        </w:rPr>
        <w:t xml:space="preserve">USE OF PROCEEDS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intend to use the net proceeds from the sale of the securities for general corporate purposes, unless otherwise indicated in the applicable prospectus supplement relating to a specific issuance of securities. Our general corporate purposes include, but are not limited to, repayment, redemption or refinancing of debt, capital expenditures, investments in or loans to subsidiaries and joint ventures, funding of acquisitions, working capital, contributions to one or more of our pension plans, satisfaction of other obligations and repurchase of our outstanding debt or equity securities. Pending any such use, the net proceeds from the sale of the securities may be invested in short-term, investment grade, interest-bearing instruments. We will include a more detailed description of the use of proceeds of any specific offering in the applicable prospectus supplement relating to an offering of securities under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83847x1_s3asr_110-description_pg1"/>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 w:name="tDBS"/>
      <w:bookmarkEnd w:id="23"/>
      <w:r>
        <w:rPr>
          <w:rFonts w:ascii="Times New Roman;Times;serif" w:hAnsi="Times New Roman;Times;serif"/>
          <w:b/>
          <w:color w:val="000000"/>
          <w:sz w:val="20"/>
        </w:rPr>
        <w:t xml:space="preserve">DESCRIPTION OF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general description of the debt securities that we may offer from time to time under this prospectus. The financial terms and other specific terms of the debt securities being offered will be described in a prospectus supplement relating to the issuance of those securities. Those terms may vary from the terms described here. Although the debt securities that we may offer include debt securities denominated in U.S. dollars, we also may choose to offer debt securities in any other currency, including the euro. Any debt securities issued by us may be guaranteed by one or more of our direct and indirect subsidiaries named as co-registrants in the registration statement of which this prospectus is a part (collectively, the “Subsidiary Guarantors”).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debt securities are governed by documents called “indentures.” The indentures are contracts between us and a financial institution acting as the trustee. The trustee has two main roles. First, under certain circumstances, the trustee can enforce your rights against us if we default. There are some limitations on the extent to which the trustee may act on your behalf, as described under “—Events of Default—Remedies If an Event of Default Occurs.” Second, the trustee performs certain administrative duties for 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this section is a summary, it does not describe every aspect of the debt securities that we may offer pursuant to this prospectus. This summary also is subject to and qualified by reference to the description of the particular terms of the debt securities, the relevant indenture and any relevant supplemental indenture described in the related prospectus supplement, including definitions used in the relevant indenture and any relevant supplemental indenture. The particular terms of the debt securities that we may offer under this prospectus, the relevant indenture and any relevant supplemental indenture may vary from the terms described below.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debt securities that we may offer under this prospectus will be either senior debt securities or subordinated debt securities. We may issue senior debt securities under one or more senior indentures among us, any applicable Subsidiary Guarantor and U.S. Bank Trust Company, National Association, as series trustee, including an existing Indenture, dated as of August 8, 2013, between us and Computershare Trust Company, National Association (as successor to Wells Fargo Bank, National Association), as original trustee, which we refer to in this prospectus as the existing indenture, and a supplemental indenture thereto as contemplated therein. Unless otherwise specified in the applicable prospectus supplement, U.S. Bank Trust Company, National Association will serve as trustee with respect to the senior debt securities issued pursuant to any such supplemental indenture to the existing indenture. In this prospectus, we refer to any indenture pursuant to which senior debt securities offered under this prospectus may be issued, including the existing indenture, as any such indenture may be supplemented, as a senior indenture. We may issue subordinated debt securities under one or more subordinated indentures among us, any applicable Subsidiary Guarantor and U.S. Bank Trust Company, National Association, as trustee. In this prospectus, we refer to any indenture pursuant to which subordinated debt securities offered under this prospectus may be issued, as any such indenture may be supplemented, as a subordinated indenture. Senior indentures and subordinated indentures are sometimes referred to collectively in this prospectus as indentures.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existing indenture is, and any other indenture will be, governed by New York law. Copies of the existing indenture and forms of a senior indenture and a subordinated indenture pursuant to which we may issue debt securities that are offered under this prospectus have been filed as exhibits to the registration statement of which this prospectus is a part. See “Where You Can Find More Information” for information on how to obtain copies of these indentures.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the debt securities from time to time in as many distinct series as we may choose. All debt securities will be direct, unsecured obligations of ours. Any senior debt securities that we offer under this prospectus will have the same rank as all of our other unsecured and unsubordinated debt. Any subordinated debt securities that we offer under this prospectus will be subordinate in right of payment to our senior indebtedness. The existing indenture does not, and any other indenture may not, limit either the amount of debt that we may issue thereunder or the amount of other unsecured debt or other securities that we or our subsidiaries may issue.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primary sources of payment for our payment obligations under the debt securities will be revenues from our operations and investments and cash distributions from our subsidiaries. Our subsidiaries are separate and distinct legal entities and have no obligation whatsoever to pay any amounts due on debt securities issued by us or to make funds available to us, except to the extent that they have agreed to guarantee such obligations of ours.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83847x1_s3asr_110-description_pg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subsidiaries’ ability to pay dividends or make other payments or advances to us will depend upon their operating results and will be subject to applicable laws and contractual restrictions. The existing indenture does not, and any other indenture may not, restrict our subsidiaries from entering into agreements that prohibit or limit their ability to pay dividends or make other payments or advances to 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extent that we must rely on cash from our subsidiaries to pay amounts due on the debt securities, the debt securities will be effectively subordinated to all liabilities, including their trade payables, of our subsidiaries (other than subsidiaries that guarantee the debt securities). This means that such subsidiaries may be required to pay all of their creditors in full before their assets are available to us. Even if we are recognized as a creditor of such subsidiaries, our claims would be effectively subordinated to any security interests in their assets and also could be subordinated to some or all other claims on their assets and earnings.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than the restrictions described below or any restrictions described in an applicable prospectus supplement, the existing indenture does not, and any other indenture and the debt securities that we may offer under this prospectus will not, contain any covenants or other provisions designed to protect holders of the debt securities if we participate in a highly leveraged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look in the applicable prospectus supplement for the following terms of the debt securities being offered: </w:t>
      </w:r>
    </w:p>
    <w:tbl>
      <w:tblPr>
        <w:tblW w:w="2590" w:type="dxa"/>
        <w:jc w:val="left"/>
        <w:tblInd w:w="0" w:type="dxa"/>
        <w:tblLayout w:type="fixed"/>
        <w:tblCellMar>
          <w:top w:w="0" w:type="dxa"/>
          <w:left w:w="0" w:type="dxa"/>
          <w:bottom w:w="0" w:type="dxa"/>
          <w:right w:w="0" w:type="dxa"/>
        </w:tblCellMar>
      </w:tblPr>
      <w:tblGrid>
        <w:gridCol w:w="110"/>
        <w:gridCol w:w="2480"/>
      </w:tblGrid>
      <w:tr>
        <w:trPr/>
        <w:tc>
          <w:tcPr>
            <w:tcW w:w="110" w:type="dxa"/>
            <w:tcBorders/>
            <w:vAlign w:val="center"/>
          </w:tcPr>
          <w:p>
            <w:pPr>
              <w:pStyle w:val="TableContents"/>
              <w:bidi w:val="0"/>
              <w:spacing w:before="0" w:after="0"/>
              <w:jc w:val="left"/>
              <w:rPr>
                <w:color w:val="000000"/>
              </w:rPr>
            </w:pPr>
            <w:r>
              <w:rPr>
                <w:color w:val="000000"/>
              </w:rPr>
              <w:t>•</w:t>
            </w:r>
          </w:p>
        </w:tc>
        <w:tc>
          <w:tcPr>
            <w:tcW w:w="2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of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other than U.S. currency, the currency in which the debt securities may be purchased and the currency in which principal, premium, if any, and interest will be paid; </w:t>
            </w:r>
          </w:p>
        </w:tc>
      </w:tr>
    </w:tbl>
    <w:tbl>
      <w:tblPr>
        <w:tblW w:w="4075" w:type="dxa"/>
        <w:jc w:val="left"/>
        <w:tblInd w:w="0" w:type="dxa"/>
        <w:tblLayout w:type="fixed"/>
        <w:tblCellMar>
          <w:top w:w="0" w:type="dxa"/>
          <w:left w:w="0" w:type="dxa"/>
          <w:bottom w:w="0" w:type="dxa"/>
          <w:right w:w="0" w:type="dxa"/>
        </w:tblCellMar>
      </w:tblPr>
      <w:tblGrid>
        <w:gridCol w:w="110"/>
        <w:gridCol w:w="3965"/>
      </w:tblGrid>
      <w:tr>
        <w:trPr/>
        <w:tc>
          <w:tcPr>
            <w:tcW w:w="11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total principal amount of the debt securities; </w:t>
            </w:r>
          </w:p>
        </w:tc>
      </w:tr>
    </w:tbl>
    <w:tbl>
      <w:tblPr>
        <w:tblW w:w="4345" w:type="dxa"/>
        <w:jc w:val="left"/>
        <w:tblInd w:w="0" w:type="dxa"/>
        <w:tblLayout w:type="fixed"/>
        <w:tblCellMar>
          <w:top w:w="0" w:type="dxa"/>
          <w:left w:w="0" w:type="dxa"/>
          <w:bottom w:w="0" w:type="dxa"/>
          <w:right w:w="0" w:type="dxa"/>
        </w:tblCellMar>
      </w:tblPr>
      <w:tblGrid>
        <w:gridCol w:w="110"/>
        <w:gridCol w:w="4235"/>
      </w:tblGrid>
      <w:tr>
        <w:trPr/>
        <w:tc>
          <w:tcPr>
            <w:tcW w:w="110" w:type="dxa"/>
            <w:tcBorders/>
            <w:vAlign w:val="center"/>
          </w:tcPr>
          <w:p>
            <w:pPr>
              <w:pStyle w:val="TableContents"/>
              <w:bidi w:val="0"/>
              <w:spacing w:before="0" w:after="0"/>
              <w:jc w:val="left"/>
              <w:rPr>
                <w:color w:val="000000"/>
              </w:rPr>
            </w:pPr>
            <w:r>
              <w:rPr>
                <w:color w:val="000000"/>
              </w:rPr>
              <w:t>•</w:t>
            </w:r>
          </w:p>
        </w:tc>
        <w:tc>
          <w:tcPr>
            <w:tcW w:w="4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 at which the debt securities will be issued; </w:t>
            </w:r>
          </w:p>
        </w:tc>
      </w:tr>
    </w:tbl>
    <w:tbl>
      <w:tblPr>
        <w:tblW w:w="9415" w:type="dxa"/>
        <w:jc w:val="left"/>
        <w:tblInd w:w="0" w:type="dxa"/>
        <w:tblLayout w:type="fixed"/>
        <w:tblCellMar>
          <w:top w:w="0" w:type="dxa"/>
          <w:left w:w="0" w:type="dxa"/>
          <w:bottom w:w="0" w:type="dxa"/>
          <w:right w:w="0" w:type="dxa"/>
        </w:tblCellMar>
      </w:tblPr>
      <w:tblGrid>
        <w:gridCol w:w="110"/>
        <w:gridCol w:w="9305"/>
      </w:tblGrid>
      <w:tr>
        <w:trPr/>
        <w:tc>
          <w:tcPr>
            <w:tcW w:w="110" w:type="dxa"/>
            <w:tcBorders/>
            <w:vAlign w:val="center"/>
          </w:tcPr>
          <w:p>
            <w:pPr>
              <w:pStyle w:val="TableContents"/>
              <w:bidi w:val="0"/>
              <w:spacing w:before="0" w:after="0"/>
              <w:jc w:val="left"/>
              <w:rPr>
                <w:color w:val="000000"/>
              </w:rPr>
            </w:pPr>
            <w:r>
              <w:rPr>
                <w:color w:val="000000"/>
              </w:rPr>
              <w:t>•</w:t>
            </w:r>
          </w:p>
        </w:tc>
        <w:tc>
          <w:tcPr>
            <w:tcW w:w="9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or dates on which the debt securities will mature and the right, if any, to extend the maturity date or 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annual rate or rates, if any, at which the debt securities will bear interest, including the method of calculating interest if a floating rate is used;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or dates from which the interest will accrue, the interest payment dates on which the interest will be payable or the manner of determination of the interest payment dates and the record dates for the determination of holders to whom interest is payable; </w:t>
            </w:r>
          </w:p>
        </w:tc>
      </w:tr>
    </w:tbl>
    <w:tbl>
      <w:tblPr>
        <w:tblW w:w="6730" w:type="dxa"/>
        <w:jc w:val="left"/>
        <w:tblInd w:w="0" w:type="dxa"/>
        <w:tblLayout w:type="fixed"/>
        <w:tblCellMar>
          <w:top w:w="0" w:type="dxa"/>
          <w:left w:w="0" w:type="dxa"/>
          <w:bottom w:w="0" w:type="dxa"/>
          <w:right w:w="0" w:type="dxa"/>
        </w:tblCellMar>
      </w:tblPr>
      <w:tblGrid>
        <w:gridCol w:w="110"/>
        <w:gridCol w:w="6620"/>
      </w:tblGrid>
      <w:tr>
        <w:trPr/>
        <w:tc>
          <w:tcPr>
            <w:tcW w:w="110" w:type="dxa"/>
            <w:tcBorders/>
            <w:vAlign w:val="center"/>
          </w:tcPr>
          <w:p>
            <w:pPr>
              <w:pStyle w:val="TableContents"/>
              <w:bidi w:val="0"/>
              <w:spacing w:before="0" w:after="0"/>
              <w:jc w:val="left"/>
              <w:rPr>
                <w:color w:val="000000"/>
              </w:rPr>
            </w:pPr>
            <w:r>
              <w:rPr>
                <w:color w:val="000000"/>
              </w:rPr>
              <w:t>•</w:t>
            </w:r>
          </w:p>
        </w:tc>
        <w:tc>
          <w:tcPr>
            <w:tcW w:w="6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place or places where principal, premium, if any, and interest will be payable; </w:t>
            </w:r>
          </w:p>
        </w:tc>
      </w:tr>
    </w:tbl>
    <w:tbl>
      <w:tblPr>
        <w:tblW w:w="4570" w:type="dxa"/>
        <w:jc w:val="left"/>
        <w:tblInd w:w="0" w:type="dxa"/>
        <w:tblLayout w:type="fixed"/>
        <w:tblCellMar>
          <w:top w:w="0" w:type="dxa"/>
          <w:left w:w="0" w:type="dxa"/>
          <w:bottom w:w="0" w:type="dxa"/>
          <w:right w:w="0" w:type="dxa"/>
        </w:tblCellMar>
      </w:tblPr>
      <w:tblGrid>
        <w:gridCol w:w="110"/>
        <w:gridCol w:w="4460"/>
      </w:tblGrid>
      <w:tr>
        <w:trPr/>
        <w:tc>
          <w:tcPr>
            <w:tcW w:w="110" w:type="dxa"/>
            <w:tcBorders/>
            <w:vAlign w:val="center"/>
          </w:tcPr>
          <w:p>
            <w:pPr>
              <w:pStyle w:val="TableContents"/>
              <w:bidi w:val="0"/>
              <w:spacing w:before="0" w:after="0"/>
              <w:jc w:val="left"/>
              <w:rPr>
                <w:color w:val="000000"/>
              </w:rPr>
            </w:pPr>
            <w:r>
              <w:rPr>
                <w:color w:val="000000"/>
              </w:rPr>
              <w:t>•</w:t>
            </w:r>
          </w:p>
        </w:tc>
        <w:tc>
          <w:tcPr>
            <w:tcW w:w="4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redemption, repayment or sinking fund provision; </w:t>
            </w:r>
          </w:p>
        </w:tc>
      </w:tr>
    </w:tbl>
    <w:tbl>
      <w:tblPr>
        <w:tblW w:w="5830" w:type="dxa"/>
        <w:jc w:val="left"/>
        <w:tblInd w:w="0" w:type="dxa"/>
        <w:tblLayout w:type="fixed"/>
        <w:tblCellMar>
          <w:top w:w="0" w:type="dxa"/>
          <w:left w:w="0" w:type="dxa"/>
          <w:bottom w:w="0" w:type="dxa"/>
          <w:right w:w="0" w:type="dxa"/>
        </w:tblCellMar>
      </w:tblPr>
      <w:tblGrid>
        <w:gridCol w:w="110"/>
        <w:gridCol w:w="5720"/>
      </w:tblGrid>
      <w:tr>
        <w:trPr/>
        <w:tc>
          <w:tcPr>
            <w:tcW w:w="11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application, if any, of defeasance provisions to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other than the entire principal amount, the portion of the debt securities that would be payable upon acceleration of the maturity of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obligation we may have to redeem, purchase or repay the debt securities at the option of a holder upon the happening of any event and the terms and conditions of redemption, repurchase or repayment;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form of debt securities, including whether we will issue the debt securities in individual certificates to each holder or in the form of temporary or permanent global securities held by a depositary on behalf of 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amount of payments of principal, premium, if any, or interest on the debt securities may be determined by reference to an index, the manner in which that amount will be determined;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debt securities will be guaranteed by one or more of the Subsidiary Guarantors and, if so, the identity of the applicable Subsidiary Guarantors and whether any subordination provisions or other limitations are applicable to any such guarantees; </w:t>
            </w:r>
          </w:p>
        </w:tc>
      </w:tr>
    </w:tbl>
    <w:tbl>
      <w:tblPr>
        <w:tblW w:w="4915" w:type="dxa"/>
        <w:jc w:val="left"/>
        <w:tblInd w:w="0" w:type="dxa"/>
        <w:tblLayout w:type="fixed"/>
        <w:tblCellMar>
          <w:top w:w="0" w:type="dxa"/>
          <w:left w:w="0" w:type="dxa"/>
          <w:bottom w:w="0" w:type="dxa"/>
          <w:right w:w="0" w:type="dxa"/>
        </w:tblCellMar>
      </w:tblPr>
      <w:tblGrid>
        <w:gridCol w:w="110"/>
        <w:gridCol w:w="4805"/>
      </w:tblGrid>
      <w:tr>
        <w:trPr/>
        <w:tc>
          <w:tcPr>
            <w:tcW w:w="110" w:type="dxa"/>
            <w:tcBorders/>
            <w:vAlign w:val="center"/>
          </w:tcPr>
          <w:p>
            <w:pPr>
              <w:pStyle w:val="TableContents"/>
              <w:bidi w:val="0"/>
              <w:spacing w:before="0" w:after="0"/>
              <w:jc w:val="left"/>
              <w:rPr>
                <w:color w:val="000000"/>
              </w:rPr>
            </w:pPr>
            <w:r>
              <w:rPr>
                <w:color w:val="000000"/>
              </w:rPr>
              <w:t>•</w:t>
            </w:r>
          </w:p>
        </w:tc>
        <w:tc>
          <w:tcPr>
            <w:tcW w:w="48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additional covenants applicable to the debt securities; </w:t>
            </w:r>
          </w:p>
        </w:tc>
      </w:tr>
    </w:tbl>
    <w:tbl>
      <w:tblPr>
        <w:tblW w:w="5440" w:type="dxa"/>
        <w:jc w:val="left"/>
        <w:tblInd w:w="0" w:type="dxa"/>
        <w:tblLayout w:type="fixed"/>
        <w:tblCellMar>
          <w:top w:w="0" w:type="dxa"/>
          <w:left w:w="0" w:type="dxa"/>
          <w:bottom w:w="0" w:type="dxa"/>
          <w:right w:w="0" w:type="dxa"/>
        </w:tblCellMar>
      </w:tblPr>
      <w:tblGrid>
        <w:gridCol w:w="110"/>
        <w:gridCol w:w="5330"/>
      </w:tblGrid>
      <w:tr>
        <w:trPr/>
        <w:tc>
          <w:tcPr>
            <w:tcW w:w="110" w:type="dxa"/>
            <w:tcBorders/>
            <w:vAlign w:val="center"/>
          </w:tcPr>
          <w:p>
            <w:pPr>
              <w:pStyle w:val="TableContents"/>
              <w:bidi w:val="0"/>
              <w:spacing w:before="0" w:after="0"/>
              <w:jc w:val="left"/>
              <w:rPr>
                <w:color w:val="000000"/>
              </w:rPr>
            </w:pPr>
            <w:r>
              <w:rPr>
                <w:color w:val="000000"/>
              </w:rPr>
              <w:t>•</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additional events of default applicable to the debt securities;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83847x1_s3asr_110-description_pg3"/>
        <w:bookmarkEnd w:id="25"/>
        <w:r>
          <w:rPr>
            <w:rStyle w:val="InternetLink"/>
            <w:rFonts w:ascii="Times New Roman;Times;Serif" w:hAnsi="Times New Roman;Times;Serif"/>
            <w:b/>
            <w:caps w:val="false"/>
            <w:smallCaps w:val="false"/>
            <w:color w:val="000000"/>
            <w:sz w:val="16"/>
          </w:rPr>
          <w:t>TABLE OF CONTENTS</w:t>
        </w:r>
      </w:hyperlink>
    </w:p>
    <w:tbl>
      <w:tblPr>
        <w:tblW w:w="3235" w:type="dxa"/>
        <w:jc w:val="left"/>
        <w:tblInd w:w="0" w:type="dxa"/>
        <w:tblLayout w:type="fixed"/>
        <w:tblCellMar>
          <w:top w:w="0" w:type="dxa"/>
          <w:left w:w="0" w:type="dxa"/>
          <w:bottom w:w="0" w:type="dxa"/>
          <w:right w:w="0" w:type="dxa"/>
        </w:tblCellMar>
      </w:tblPr>
      <w:tblGrid>
        <w:gridCol w:w="110"/>
        <w:gridCol w:w="3125"/>
      </w:tblGrid>
      <w:tr>
        <w:trPr/>
        <w:tc>
          <w:tcPr>
            <w:tcW w:w="110" w:type="dxa"/>
            <w:tcBorders/>
            <w:vAlign w:val="center"/>
          </w:tcPr>
          <w:p>
            <w:pPr>
              <w:pStyle w:val="TableContents"/>
              <w:bidi w:val="0"/>
              <w:spacing w:before="0" w:after="0"/>
              <w:jc w:val="left"/>
              <w:rPr>
                <w:color w:val="000000"/>
              </w:rPr>
            </w:pPr>
            <w:r>
              <w:rPr>
                <w:color w:val="000000"/>
              </w:rPr>
              <w:t>•</w:t>
            </w:r>
          </w:p>
        </w:tc>
        <w:tc>
          <w:tcPr>
            <w:tcW w:w="3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of conversion, if applicable; </w:t>
            </w:r>
          </w:p>
        </w:tc>
      </w:tr>
    </w:tbl>
    <w:tbl>
      <w:tblPr>
        <w:tblW w:w="5200" w:type="dxa"/>
        <w:jc w:val="left"/>
        <w:tblInd w:w="0" w:type="dxa"/>
        <w:tblLayout w:type="fixed"/>
        <w:tblCellMar>
          <w:top w:w="0" w:type="dxa"/>
          <w:left w:w="0" w:type="dxa"/>
          <w:bottom w:w="0" w:type="dxa"/>
          <w:right w:w="0" w:type="dxa"/>
        </w:tblCellMar>
      </w:tblPr>
      <w:tblGrid>
        <w:gridCol w:w="110"/>
        <w:gridCol w:w="5090"/>
      </w:tblGrid>
      <w:tr>
        <w:trPr/>
        <w:tc>
          <w:tcPr>
            <w:tcW w:w="11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of subordination of the debt securities, if applicable;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material provisions described in this prospectus that do not apply to the debt securities;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material terms of the debt securities, including any additions, deletions or other changes to the terms described in this prospectus, and any terms which may be required by or advisable under applicable laws or regulations.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debt securities that we may offer pursuant to this prospectus, we may issue other debt securities in public or private offerings from time to time. These other debt securities may be issued under documentation that is not described in this prospectus, and those debt securities may contain provisions materially different from the provisions applicable to one or more issues of debt securities offered pursuant to this prospectus.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Debt Guarantees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Debt securities offered by us may be guaranteed by one or more of the Subsidiary Guarantors. The Subsidiary Guarantors are named as co-registrants in the registration statement of which this prospectus is a part. Any guarantee of debt securities offered by us will be set forth in the applicable indenture or a related supplemental indenture and described in an applicable prospectus supplement. The payment obligations of any Subsidiary Guarantor will rank equal in right of payment to all existing and future senior indebtedness of such Subsidiary Guarantor, senior in right of payment to all expressly subordinated indebtedness of such Subsidiary Guarantor, effectively subordinate to all existing and future secured indebtedness of such Subsidiary Guarantor to the extent of the value of the collateral securing such indebtedness, and structurally subordinate to all existing and future indebtedness and other liabilities of our non-guarantor subsidiaries (other than indebtedness and liabilities owed to such Subsidiary Guarantor).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Original Issue Discount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series of debt securities offered under this prospectus may be sold at a substantial discount below its stated principal amount, bearing no interest or bearing interest at a rate that at the time of issuance is below market rates. The federal income tax consequences and special considerations applicable to any series of debt securities generally will be described in the applicable prospectus supplement.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Restrictive Covenants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existing indenture contains, and any other indenture may contain, certain covenants for the benefit only of holders of the debt securities governed by the applicable indenture. The covenants summarized below will apply to each series of debt securities issued pursuant to any of the indentures as long as any of those debt securities are outstanding, unless waived, amended or the applicable prospectus supplement states otherwise.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Payment</w:t>
      </w:r>
      <w:r>
        <w:rPr>
          <w:rFonts w:ascii="Times New Roman;Times;serif" w:hAnsi="Times New Roman;Times;serif"/>
          <w:b w:val="false"/>
          <w:i w:val="false"/>
          <w:caps w:val="false"/>
          <w:smallCaps w:val="false"/>
          <w:color w:val="000000"/>
          <w:sz w:val="20"/>
        </w:rPr>
        <w:t xml:space="preserve">. We will duly and punctually pay the principal of and premium, if any, and interest on the debt securities in accordance with the terms of such debt securities and the applicable indenture. Unless otherwise provided in the applicable prospectus supplement, at or before 10:00 a.m., New York City time, on the applicable payment date, redemption date or repurchase date, the Company shall deposit with the paying agent money sufficient to pay the principal of, and premium, if any, and interest on, the debt securities in accordance with the terms of such securities and the indenture.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requirements of any applicable abandoned property laws, the trustee and the paying agent shall pay to the Company upon written request any money held by them for the payment of principal, premium (if any), or interest on any debt security that remains unclaimed for two years after the date upon which such payment shall have become due. After payment to the Company, the holder of that debt security must look to the Company for payment as general creditors, unless an applicable abandoned property law designates another Person (as defined below), and all liability of the trustee and the paying agent with respect to such money shall cease.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83847x1_s3asr_110-description_pg4"/>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Merger and Consolidation</w:t>
      </w:r>
      <w:r>
        <w:rPr>
          <w:rFonts w:ascii="Times New Roman;Times;serif" w:hAnsi="Times New Roman;Times;serif"/>
          <w:b w:val="false"/>
          <w:i w:val="false"/>
          <w:caps w:val="false"/>
          <w:smallCaps w:val="false"/>
          <w:color w:val="000000"/>
          <w:sz w:val="20"/>
        </w:rPr>
        <w:t xml:space="preserve">. We may not consolidate with or merge into any other person or sell, assign, convey, transfer, lease or otherwise dispose of all or substantially all of our assets to any individual, corporation, partnership, joint venture, association, limited liability company, joint-stock company, trust, unincorporated organization or any other entity, including any government or any agency or political subdivision thereof (each, a “Person”),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either (i) we are the surviving corporation or (ii) the resulting, surviving or transferee entity is a corporation organized under the laws of the United States or, if such Person is not a corporation, a co-obligor of the outstanding debt securities issued under the applicable indenture is a corporation organized under any such laws, and any such resulting, surviving or transferee entity expressly assumes the Company’s obligations under the applicable indenture and the outstanding debt securities issued under the applicable indenture, by a supplemental indenture to which we are a party;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there is no default or event of default that shall have occurred or be continuing under the applicable indenture immediately after giving effect to such consolidation, merger, sale, assignment, conveyance, transfer, lease or other disposal;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resulting or transferee entity shall have delivered to the trustee an officers’ certificate and an opinion of counsel, each stating that such consolidation, merger, sale, assignment, conveyance, transfer, lease or other disposal complies with the applicable indenture.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such a succession described in clause (ii) of the first bullet above and compliance with the second and third bullets above, we will be relieved from any further obligations under the applicable indenture.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Waiver of Certain Covenants</w:t>
      </w:r>
      <w:r>
        <w:rPr>
          <w:rFonts w:ascii="Times New Roman;Times;serif" w:hAnsi="Times New Roman;Times;serif"/>
          <w:b w:val="false"/>
          <w:i w:val="false"/>
          <w:caps w:val="false"/>
          <w:smallCaps w:val="false"/>
          <w:color w:val="000000"/>
          <w:sz w:val="20"/>
        </w:rPr>
        <w:t xml:space="preserve">. Unless otherwise provided in an applicable prospectus supplement, we may, with respect to the debt securities of any series, omit to comply with any covenant provided in the terms of those debt securities if, before the time for such compliance, holders of at least a majority in principal amount of the outstanding debt securities of that series waive such compliance in that instance or generally.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Events of Default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will have special rights if an Event of Default occurs and is not cured, as described later in this subsection. Unless described otherwise in an applicable prospectus supplement, the term “Event of Default” means any of the following with respect to an issue of debt securities offered under this prospectus: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fail to pay any interest on an issue of debt securities within 30 days after such interest becomes due and payable by the terms of that issue of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fail to pay principal of (or premium, if any, on) an issue of debt securities at maturity, or if applicable, the redemption price, when due and payable;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fail to pay any sinking fund installment on an issue of debt securities when it becomes due and payable by the terms of that issue of debt securities, and such default continues for 30 days of such installment becoming due and payable;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or any Subsidiary Guarantor, if applicable, fail to comply with any of the covenants or agreements in the applicable debt securities or indenture (other than a covenant or agreement that we have included in the applicable indenture solely for the benefit of another series of debt securities issued under that indenture) for 90 days after there has been given, by registered or certified mail, to us by the trustee or the holders of at least 25% in principal amount of all outstanding debt securities of a series of debt securities affected by that failure, a written notice specifying the failure and requiring it to be remedied and stating that such notice is a “Notice of Default” under the applicable indenture; </w:t>
            </w:r>
          </w:p>
        </w:tc>
      </w:tr>
    </w:tbl>
    <w:tbl>
      <w:tblPr>
        <w:tblW w:w="5470" w:type="dxa"/>
        <w:jc w:val="left"/>
        <w:tblInd w:w="0" w:type="dxa"/>
        <w:tblLayout w:type="fixed"/>
        <w:tblCellMar>
          <w:top w:w="0" w:type="dxa"/>
          <w:left w:w="0" w:type="dxa"/>
          <w:bottom w:w="0" w:type="dxa"/>
          <w:right w:w="0" w:type="dxa"/>
        </w:tblCellMar>
      </w:tblPr>
      <w:tblGrid>
        <w:gridCol w:w="110"/>
        <w:gridCol w:w="5360"/>
      </w:tblGrid>
      <w:tr>
        <w:trPr/>
        <w:tc>
          <w:tcPr>
            <w:tcW w:w="110" w:type="dxa"/>
            <w:tcBorders/>
            <w:vAlign w:val="center"/>
          </w:tcPr>
          <w:p>
            <w:pPr>
              <w:pStyle w:val="TableContents"/>
              <w:bidi w:val="0"/>
              <w:spacing w:before="0" w:after="0"/>
              <w:jc w:val="left"/>
              <w:rPr>
                <w:color w:val="000000"/>
              </w:rPr>
            </w:pPr>
            <w:r>
              <w:rPr>
                <w:color w:val="000000"/>
              </w:rPr>
              <w:t>•</w:t>
            </w:r>
          </w:p>
        </w:tc>
        <w:tc>
          <w:tcPr>
            <w:tcW w:w="5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events of bankruptcy, insolvency or reorganization occur;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the extent applicable, and except as may otherwise be permitted by the applicable indenture, if any guarantee of the applicable series of debt securities is held in any judicial proceeding to be unenforceable or invalid or ceases for any reason to be in full force and effect, or any Subsidiary Guarantor, or any person acting on behalf of any Subsidiary Guarantor, denies or disaffirms its obligations under the guarantee of the applicable series of debt securities; or </w:t>
            </w:r>
          </w:p>
        </w:tc>
      </w:tr>
    </w:tbl>
    <w:tbl>
      <w:tblPr>
        <w:tblW w:w="7075" w:type="dxa"/>
        <w:jc w:val="left"/>
        <w:tblInd w:w="0" w:type="dxa"/>
        <w:tblLayout w:type="fixed"/>
        <w:tblCellMar>
          <w:top w:w="0" w:type="dxa"/>
          <w:left w:w="0" w:type="dxa"/>
          <w:bottom w:w="0" w:type="dxa"/>
          <w:right w:w="0" w:type="dxa"/>
        </w:tblCellMar>
      </w:tblPr>
      <w:tblGrid>
        <w:gridCol w:w="110"/>
        <w:gridCol w:w="6965"/>
      </w:tblGrid>
      <w:tr>
        <w:trPr/>
        <w:tc>
          <w:tcPr>
            <w:tcW w:w="110" w:type="dxa"/>
            <w:tcBorders/>
            <w:vAlign w:val="center"/>
          </w:tcPr>
          <w:p>
            <w:pPr>
              <w:pStyle w:val="TableContents"/>
              <w:bidi w:val="0"/>
              <w:spacing w:before="0" w:after="0"/>
              <w:jc w:val="left"/>
              <w:rPr>
                <w:color w:val="000000"/>
              </w:rPr>
            </w:pPr>
            <w:r>
              <w:rPr>
                <w:color w:val="000000"/>
              </w:rPr>
              <w:t>•</w:t>
            </w:r>
          </w:p>
        </w:tc>
        <w:tc>
          <w:tcPr>
            <w:tcW w:w="6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Event of Default described in the applicable prospectus supplement occurs. </w:t>
            </w:r>
          </w:p>
        </w:tc>
      </w:tr>
    </w:tbl>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Remedies If an Event of Default Occurs</w:t>
      </w:r>
      <w:r>
        <w:rPr>
          <w:rFonts w:ascii="Times New Roman;Times;serif" w:hAnsi="Times New Roman;Times;serif"/>
          <w:b w:val="false"/>
          <w:i w:val="false"/>
          <w:caps w:val="false"/>
          <w:smallCaps w:val="false"/>
          <w:color w:val="000000"/>
          <w:sz w:val="20"/>
        </w:rPr>
        <w:t xml:space="preserve">. Unless provided otherwise in an applicable prospectus supplement, if an Event of Default, other than an Event of Default relating to certain events of bankruptcy, insolvency or reorganization, has occurred and continues with respect to an issue of debt securities, the trustee or the holders of 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83847x1_s3asr_110-description_pg5"/>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least 25% in principal amount of the debt securities of the affected series may require us to pay immediately the principal amount of all of the debt securities of the affected series plus accrued and unpaid interest on such securities. This is called a “declaration of acceleration of maturity.” If an Event of Default relating to certain events of bankruptcy, insolvency or reorganization has occurred and continues with respect to an issue of debt securities, the principal amount of all of the debt securities of the affected series plus accrued and unpaid interest on such securities will become immediately due and payable without any action on the part of the trustee or the holders of such debt securities. Under some circumstances, a declaration of acceleration of maturity may be rescinded and annulled by the holders of a majority in principal amount of the debt securities of that series.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trustee under the existing indenture generally is not, and the trustee under any other indenture generally will not be, required to take any action under that indenture at the request of any holders unless one or more of the holders has provided to the trustee security or indemnity reasonably satisfactory to 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holders of a majority in principal amount of the outstanding debt securities of the relevant series may direct the time, method and place of conducting any proceeding for any remedy available to the trustee, or exercising any trust or power conferred on the trustee, provided that (i) such direction is not in conflict with any rule of law or with the applicable indenture, (ii) the trustee may take any other action deemed proper by the trustee which is not inconsistent with that direction and (iii) the trustee has the right to decline to follow the direction if the trustee in good faith determines that the proceeding so directed would expose the trustee to personal liability or that it will not be adequately indemnified against the costs, expenses and liabilities which might be incurred by it in complying with such direction.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holders of a majority in principal amount of the outstanding debt securities of the relevant series may, on behalf of the holders of all of the debt securities of that series, waive certain past defaults under the applicable indenture with respect to that series and its consequences.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Event of Default occurs and is continuing regarding a series of debt securities, the applicable trustee may use any sums that it holds under the relevant indenture for its own reasonable compensation and expenses incurred prior to paying the holders of debt securities of that series.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Before any holder of any series of debt securities may pursue any remedy under the applicable indenture, except enforcement of any overdue payment regarding a series of debt securities, the holders of at least 25% in principal amount of the outstanding debt securities of that series must request the trustee to take action by giving the trustee a written notice of a continuing Event of Default for such series of debt securities. Holders must also furnish to the trustee indemnity reasonably satisfactory to it against costs, expenses and liabilities which might be incurred by the trustee for taking such action. The trustee must also fail to act for a period of 60 days after receipt of notice and furnishing of indemnity and, during that 60-day period, the holders of a majority in principal amount of the outstanding debt securities of such series must not give the trustee a direction inconsistent with the request.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Street Name” and other indirect holders should consult their banks or brokers for information on how to give notice or direction to or make a request of the applicable trustee and to make or cancel a declaration of acceleration.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furnish every year to the trustee under each indenture a written statement of certain of our officers certifying, among other things, that, to their knowledge, we are in compliance with that indenture and the debt securities offered pursuant to that indenture, or else specifying any default.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Event of Default regarding one series of debt securities issued under an indenture is not necessarily an Event of Default regarding any other series of debt securities issued under that indenture or otherwise.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Satisfaction and Discharge; Defeasance and Covenant Defeasance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discussion of satisfaction and discharge, defeasance and covenant defeasance will be applicable to a series of debt securities only if we choose to have them apply to that series. If we do so choose, we will state that in the applicable prospectus supplement.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Satisfaction and Discharge</w:t>
      </w:r>
      <w:r>
        <w:rPr>
          <w:rFonts w:ascii="Times New Roman;Times;serif" w:hAnsi="Times New Roman;Times;serif"/>
          <w:b w:val="false"/>
          <w:i w:val="false"/>
          <w:caps w:val="false"/>
          <w:smallCaps w:val="false"/>
          <w:color w:val="000000"/>
          <w:sz w:val="20"/>
        </w:rPr>
        <w:t xml:space="preserve">. Each indenture will be satisfied and discharged with respect to a particular series of debt securities issued under that indenture if: </w:t>
      </w:r>
    </w:p>
    <w:tbl>
      <w:tblPr>
        <w:tblW w:w="7660" w:type="dxa"/>
        <w:jc w:val="left"/>
        <w:tblInd w:w="0" w:type="dxa"/>
        <w:tblLayout w:type="fixed"/>
        <w:tblCellMar>
          <w:top w:w="0" w:type="dxa"/>
          <w:left w:w="0" w:type="dxa"/>
          <w:bottom w:w="0" w:type="dxa"/>
          <w:right w:w="0" w:type="dxa"/>
        </w:tblCellMar>
      </w:tblPr>
      <w:tblGrid>
        <w:gridCol w:w="110"/>
        <w:gridCol w:w="7550"/>
      </w:tblGrid>
      <w:tr>
        <w:trPr/>
        <w:tc>
          <w:tcPr>
            <w:tcW w:w="110" w:type="dxa"/>
            <w:tcBorders/>
            <w:vAlign w:val="center"/>
          </w:tcPr>
          <w:p>
            <w:pPr>
              <w:pStyle w:val="TableContents"/>
              <w:bidi w:val="0"/>
              <w:spacing w:before="0" w:after="0"/>
              <w:jc w:val="left"/>
              <w:rPr>
                <w:color w:val="000000"/>
              </w:rPr>
            </w:pPr>
            <w:r>
              <w:rPr>
                <w:color w:val="000000"/>
              </w:rPr>
              <w:t>•</w:t>
            </w:r>
          </w:p>
        </w:tc>
        <w:tc>
          <w:tcPr>
            <w:tcW w:w="7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deliver to the trustee all debt securities of that series then outstanding for cancellation;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outstanding debt securities of that series not delivered to the trustee for cancellation (i) have become due and payable, (ii) will become due and payable at their stated maturity within one year or (iii) are to be called for redemption within one year under arrangements satisfactory to the trustee for the giving 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83847x1_s3asr_110-description_pg6"/>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notice of redemption by the trustee in our name and at our expense, and, in any such case, we irrevocably deposit with the trustee, as funds in trust for such purpose, cash, certain U.S. government obligations maturing as to principal and interest at such times and in such amounts as will ensure the availability of cash, or a combination of cash and such U.S. government obligations, in an amount sufficient (in the case of U.S. government obligations, in the opinion of a nationally recognized firm of independent public accountants expressed in a written certification) to pay and discharge the entire indebtedness for principal of and interest to the date of such deposit (in the case of debt securities which have become due and payable) or for principal, premium, if any, and interest on such debt securities to the date of maturity or redemption, provided that in either case we have paid all other sums payable under that indenture. In addition, we must deliver an officers’ certificate and an opinion of counsel to the trustee stating that all conditions precedent to satisfaction and discharge of the indenture with respect to such series of debt securities have been satisfied.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Legal Defeasance and Covenant Defeasance</w:t>
      </w:r>
      <w:r>
        <w:rPr>
          <w:rFonts w:ascii="Times New Roman;Times;serif" w:hAnsi="Times New Roman;Times;serif"/>
          <w:b w:val="false"/>
          <w:i w:val="false"/>
          <w:caps w:val="false"/>
          <w:smallCaps w:val="false"/>
          <w:color w:val="000000"/>
          <w:sz w:val="20"/>
        </w:rPr>
        <w:t xml:space="preserve">. The existing indenture provides, and any other indenture will provide, if such provision is made applicable to the debt securities of a series issued under that indenture, that, upon the deposit with the trustee (or other qualifying trustee), as funds in trust for such purpose, of cash or certain U.S. government obligations maturing as to principal and interest at such times and in such amounts as will ensure the availability of cash, or a combination of cash and such U.S. government obligations, in an amount sufficient (in the case of U.S. government obligations, in the opinion of a nationally recognized firm of independent public accountants expressed in a written certification) to pay the principal of and premium (if any) and interest on such debt securities, on the scheduled due dates: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elect to be discharged from our obligations under the applicable indenture with respect to any debt securities of such series and our obligations described under “—Merger and Consolidation” will be terminated with respect to such debt securities; in such case, we will be deemed to have paid and discharged the entire indebtedness represented by such debt securities; however, certain obligations, among others, to register the transfer or exchange of such debt securities, to replace temporary or mutilated, destroyed, lost or stolen debt securities, to maintain an office or agency in respect of the debt securities and to hold moneys for payment in trust will survive until all debt securities of such series are no longer outstanding (“legal defeasance”);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terminate certain of our obligations under the applicable indenture and the applicable debt securities, in which case the applicable indenture will cease to be of further effect, except that our obligations (i) to pay principal of, premium (if any) and interest on, with respect to any debt securities of such series, (ii) as described under “—Merger and Consolidation,” (iii) to register the transfer or exchange of such debt securities, (iv) to replace temporary or mutilated, destroyed, lost or stolen debt securities, (v) to maintain an office or agency in respect of the debt securities, (vi) to hold moneys for payment in trust, (vii) to indemnify the trustee for its services under the applicable indenture, (viii) with respect to any replacement of the trustee, and (ix) the Events of Default described in the third, fourth and sixth bullets under “—Events of Default,” shall not be Events of Default under that indenture with respect to such series, and the trustee, upon our demand, will execute instruments acknowledging satisfaction and discharge under the applicable indenture (“covenant defeasance”).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case of legal defeasance or covenant defeasance, a trust may only be established if, among other things, no default or event of default has occurred and is continuing on the date of deposit and we have delivered to the trustee an opinion of counsel (as specified in the applicable indenture) or, in the case of covenant defeasance, an opinion of counsel or a binding tax ruling, in each case to the effect that the holders of the debt securities affected thereby will not recognize income, gain or loss for federal income tax purposes as a result of such defeasance or covenant defeasance and will be subject to federal income tax on the same amounts, in the same manner and at the same times as would have been the case if such legal defeasance or covenant defeasance had not occurred. Such opinion of counsel, in the case of legal defeasance described above, must refer to and be based upon a ruling of the Internal Revenue Service or a change in applicable federal income tax law (including regulations) occurring after the date of the applicable indenture. We also will deliver to the trustee an officers’ certificate and an opinion of counsel, each stating that all conditions precedent provided for or relating to the legal defeasance or covenant defeasance, as the case may be, have been complied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83847x1_s3asr_110-description_pg7"/>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Modification and Waiver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existing indenture contains, and any other indenture may contain, provisions permitting us and the trustee to modify that indenture or enter into or modify any supplemental indenture without the consent of the holders of the debt securities of a particular series in the following circumstances: </w:t>
      </w:r>
    </w:p>
    <w:tbl>
      <w:tblPr>
        <w:tblW w:w="7915" w:type="dxa"/>
        <w:jc w:val="left"/>
        <w:tblInd w:w="0" w:type="dxa"/>
        <w:tblLayout w:type="fixed"/>
        <w:tblCellMar>
          <w:top w:w="0" w:type="dxa"/>
          <w:left w:w="0" w:type="dxa"/>
          <w:bottom w:w="0" w:type="dxa"/>
          <w:right w:w="0" w:type="dxa"/>
        </w:tblCellMar>
      </w:tblPr>
      <w:tblGrid>
        <w:gridCol w:w="110"/>
        <w:gridCol w:w="7805"/>
      </w:tblGrid>
      <w:tr>
        <w:trPr/>
        <w:tc>
          <w:tcPr>
            <w:tcW w:w="110" w:type="dxa"/>
            <w:tcBorders/>
            <w:vAlign w:val="center"/>
          </w:tcPr>
          <w:p>
            <w:pPr>
              <w:pStyle w:val="TableContents"/>
              <w:bidi w:val="0"/>
              <w:spacing w:before="0" w:after="0"/>
              <w:jc w:val="left"/>
              <w:rPr>
                <w:color w:val="000000"/>
              </w:rPr>
            </w:pPr>
            <w:r>
              <w:rPr>
                <w:color w:val="000000"/>
              </w:rPr>
              <w:t>•</w:t>
            </w:r>
          </w:p>
        </w:tc>
        <w:tc>
          <w:tcPr>
            <w:tcW w:w="78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cure any ambiguity, omission, defect or inconsistency as evidenced in an officers’ certificate;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provide for the assumption of our obligations under the applicable indenture by a successor or transferee upon any permitted merger, consolidation or asset transfer; </w:t>
            </w:r>
          </w:p>
        </w:tc>
      </w:tr>
    </w:tbl>
    <w:tbl>
      <w:tblPr>
        <w:tblW w:w="8170" w:type="dxa"/>
        <w:jc w:val="left"/>
        <w:tblInd w:w="0" w:type="dxa"/>
        <w:tblLayout w:type="fixed"/>
        <w:tblCellMar>
          <w:top w:w="0" w:type="dxa"/>
          <w:left w:w="0" w:type="dxa"/>
          <w:bottom w:w="0" w:type="dxa"/>
          <w:right w:w="0" w:type="dxa"/>
        </w:tblCellMar>
      </w:tblPr>
      <w:tblGrid>
        <w:gridCol w:w="110"/>
        <w:gridCol w:w="8060"/>
      </w:tblGrid>
      <w:tr>
        <w:trPr/>
        <w:tc>
          <w:tcPr>
            <w:tcW w:w="110" w:type="dxa"/>
            <w:tcBorders/>
            <w:vAlign w:val="center"/>
          </w:tcPr>
          <w:p>
            <w:pPr>
              <w:pStyle w:val="TableContents"/>
              <w:bidi w:val="0"/>
              <w:spacing w:before="0" w:after="0"/>
              <w:jc w:val="left"/>
              <w:rPr>
                <w:color w:val="000000"/>
              </w:rPr>
            </w:pPr>
            <w:r>
              <w:rPr>
                <w:color w:val="000000"/>
              </w:rPr>
              <w:t>•</w:t>
            </w:r>
          </w:p>
        </w:tc>
        <w:tc>
          <w:tcPr>
            <w:tcW w:w="8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provide for uncertificated debt securities in addition to or in place of certificated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provide any security for or guarantees of the securities issued under the applicable indenture or for the addition of an additional obligor on the securities issued under the applicable indenture;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comply with any requirement to effect or maintain the qualification of the applicable indenture under the Trust Indenture Act of 1939, as amended, if applicable;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add covenants that would benefit the holders of debt securities of the applicable series or to surrender any rights we have under the applicable indenture;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change or eliminate any of the provisions of the applicable indenture, provided that any such change or elimination is not effective with respect to any outstanding debt securities of any series created prior to the execution of the applicable supplemental indenture which is entitled to the benefit of such provision;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provide for the issuance of and establish forms and terms and conditions of a new series of debt securities to be issued under the applicable indenture;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facilitate the defeasance and discharge of the debt securities of any series otherwise in accordance with the existing terms of the applicable indenture; provided that any such action does not adversely affect the rights of any holder of outstanding debt securities of any series in any material respect;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issue additional debt securities of any series of debt securities issued under the applicable indenture, provided that such additional debt securities have the same terms as, and are deemed part of the same series as, the applicable series to the extent required under the applicable indenture; and provided further that if the additional debt securities are not fungible with such existing series of debt securities for United States federal income tax purposes, the additional debt securities will have a separate CUSIP number;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evidence and provide for the acceptance of and appointment of a successor trustee with respect to the debt securities of one or more series and to add to or change any of the provisions of the applicable indenture as necessary to provide for or facilitate the administration of the trust by more than one trustee; </w:t>
            </w:r>
          </w:p>
        </w:tc>
      </w:tr>
    </w:tbl>
    <w:tbl>
      <w:tblPr>
        <w:tblW w:w="8770" w:type="dxa"/>
        <w:jc w:val="left"/>
        <w:tblInd w:w="0" w:type="dxa"/>
        <w:tblLayout w:type="fixed"/>
        <w:tblCellMar>
          <w:top w:w="0" w:type="dxa"/>
          <w:left w:w="0" w:type="dxa"/>
          <w:bottom w:w="0" w:type="dxa"/>
          <w:right w:w="0" w:type="dxa"/>
        </w:tblCellMar>
      </w:tblPr>
      <w:tblGrid>
        <w:gridCol w:w="110"/>
        <w:gridCol w:w="8660"/>
      </w:tblGrid>
      <w:tr>
        <w:trPr/>
        <w:tc>
          <w:tcPr>
            <w:tcW w:w="11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add additional events of default with respect to any series of debt securities issued under that indenture; </w:t>
            </w:r>
          </w:p>
        </w:tc>
      </w:tr>
    </w:tbl>
    <w:tbl>
      <w:tblPr>
        <w:tblW w:w="9070" w:type="dxa"/>
        <w:jc w:val="left"/>
        <w:tblInd w:w="0" w:type="dxa"/>
        <w:tblLayout w:type="fixed"/>
        <w:tblCellMar>
          <w:top w:w="0" w:type="dxa"/>
          <w:left w:w="0" w:type="dxa"/>
          <w:bottom w:w="0" w:type="dxa"/>
          <w:right w:w="0" w:type="dxa"/>
        </w:tblCellMar>
      </w:tblPr>
      <w:tblGrid>
        <w:gridCol w:w="110"/>
        <w:gridCol w:w="8960"/>
      </w:tblGrid>
      <w:tr>
        <w:trPr/>
        <w:tc>
          <w:tcPr>
            <w:tcW w:w="110" w:type="dxa"/>
            <w:tcBorders/>
            <w:vAlign w:val="center"/>
          </w:tcPr>
          <w:p>
            <w:pPr>
              <w:pStyle w:val="TableContents"/>
              <w:bidi w:val="0"/>
              <w:spacing w:before="0" w:after="0"/>
              <w:jc w:val="left"/>
              <w:rPr>
                <w:color w:val="000000"/>
              </w:rPr>
            </w:pPr>
            <w:r>
              <w:rPr>
                <w:color w:val="000000"/>
              </w:rPr>
              <w:t>•</w:t>
            </w:r>
          </w:p>
        </w:tc>
        <w:tc>
          <w:tcPr>
            <w:tcW w:w="8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make any change that does not adversely affect any outstanding debt securities in any material respect;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add guarantors with respect to any series of debt securities issued under that indenture, to secure any or all of debt securities of any series or any guarantee of the debt securities, to provide for the addition of an additional obligor on the applicable series of debt securities or confirm and evidence the release, termination or discharge of any guarantee with respect to any series of debt securities issued under that indenture to the extent that such release, termination or discharge is permitted under the terms of the applicable indenture and any applicable supplemental indenture.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and the trustee under an indenture may otherwise modify that indenture or any supplemental indenture relating to that indenture with the consent of the holders of at least a majority in aggregate principal amount of each series of debt securities affected thereby at the time outstanding, except that no such modifications shall, without the consent of the holder of each debt security affected thereby: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percentage in principal amount of the debt securities of that series, the consent of whose holders is required for any amendment, supplement or waiver; </w:t>
            </w:r>
          </w:p>
        </w:tc>
      </w:tr>
    </w:tbl>
    <w:tbl>
      <w:tblPr>
        <w:tblW w:w="7585" w:type="dxa"/>
        <w:jc w:val="left"/>
        <w:tblInd w:w="0" w:type="dxa"/>
        <w:tblLayout w:type="fixed"/>
        <w:tblCellMar>
          <w:top w:w="0" w:type="dxa"/>
          <w:left w:w="0" w:type="dxa"/>
          <w:bottom w:w="0" w:type="dxa"/>
          <w:right w:w="0" w:type="dxa"/>
        </w:tblCellMar>
      </w:tblPr>
      <w:tblGrid>
        <w:gridCol w:w="110"/>
        <w:gridCol w:w="7475"/>
      </w:tblGrid>
      <w:tr>
        <w:trPr/>
        <w:tc>
          <w:tcPr>
            <w:tcW w:w="110" w:type="dxa"/>
            <w:tcBorders/>
            <w:vAlign w:val="center"/>
          </w:tcPr>
          <w:p>
            <w:pPr>
              <w:pStyle w:val="TableContents"/>
              <w:bidi w:val="0"/>
              <w:spacing w:before="0" w:after="0"/>
              <w:jc w:val="left"/>
              <w:rPr>
                <w:color w:val="000000"/>
              </w:rPr>
            </w:pPr>
            <w:r>
              <w:rPr>
                <w:color w:val="000000"/>
              </w:rPr>
              <w:t>•</w:t>
            </w:r>
          </w:p>
        </w:tc>
        <w:tc>
          <w:tcPr>
            <w:tcW w:w="7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rate of or change the time for payment of interest on debt securities of that series;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83847x1_s3asr_110-description_pg8"/>
        <w:bookmarkEnd w:id="30"/>
        <w:r>
          <w:rPr>
            <w:rStyle w:val="InternetLink"/>
            <w:rFonts w:ascii="Times New Roman;Times;Serif" w:hAnsi="Times New Roman;Times;Serif"/>
            <w:b/>
            <w:caps w:val="false"/>
            <w:smallCaps w:val="false"/>
            <w:color w:val="000000"/>
            <w:sz w:val="16"/>
          </w:rPr>
          <w:t>TABLE OF CONTENTS</w:t>
        </w:r>
      </w:hyperlink>
    </w:p>
    <w:tbl>
      <w:tblPr>
        <w:tblW w:w="9835" w:type="dxa"/>
        <w:jc w:val="left"/>
        <w:tblInd w:w="0" w:type="dxa"/>
        <w:tblLayout w:type="fixed"/>
        <w:tblCellMar>
          <w:top w:w="0" w:type="dxa"/>
          <w:left w:w="0" w:type="dxa"/>
          <w:bottom w:w="0" w:type="dxa"/>
          <w:right w:w="0" w:type="dxa"/>
        </w:tblCellMar>
      </w:tblPr>
      <w:tblGrid>
        <w:gridCol w:w="110"/>
        <w:gridCol w:w="9725"/>
      </w:tblGrid>
      <w:tr>
        <w:trPr/>
        <w:tc>
          <w:tcPr>
            <w:tcW w:w="110" w:type="dxa"/>
            <w:tcBorders/>
            <w:vAlign w:val="center"/>
          </w:tcPr>
          <w:p>
            <w:pPr>
              <w:pStyle w:val="TableContents"/>
              <w:bidi w:val="0"/>
              <w:spacing w:before="0" w:after="0"/>
              <w:jc w:val="left"/>
              <w:rPr>
                <w:color w:val="000000"/>
              </w:rPr>
            </w:pPr>
            <w:r>
              <w:rPr>
                <w:color w:val="000000"/>
              </w:rPr>
              <w:t>•</w:t>
            </w:r>
          </w:p>
        </w:tc>
        <w:tc>
          <w:tcPr>
            <w:tcW w:w="9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principal of the debt securities of that series or change the stated maturity of the debt securities of that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any premium payable on the redemption of the debt securities of that series or change the time at which the debt securities of that series may or must be redeemed or alter or waive any of the provisions with respect to the redemption of the debt securities of that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payments on the debt securities of that series payable in currency other than as originally stated in such debt securities; </w:t>
            </w:r>
          </w:p>
        </w:tc>
      </w:tr>
    </w:tbl>
    <w:tbl>
      <w:tblPr>
        <w:tblW w:w="9445" w:type="dxa"/>
        <w:jc w:val="left"/>
        <w:tblInd w:w="0" w:type="dxa"/>
        <w:tblLayout w:type="fixed"/>
        <w:tblCellMar>
          <w:top w:w="0" w:type="dxa"/>
          <w:left w:w="0" w:type="dxa"/>
          <w:bottom w:w="0" w:type="dxa"/>
          <w:right w:w="0" w:type="dxa"/>
        </w:tblCellMar>
      </w:tblPr>
      <w:tblGrid>
        <w:gridCol w:w="110"/>
        <w:gridCol w:w="9335"/>
      </w:tblGrid>
      <w:tr>
        <w:trPr/>
        <w:tc>
          <w:tcPr>
            <w:tcW w:w="110" w:type="dxa"/>
            <w:tcBorders/>
            <w:vAlign w:val="center"/>
          </w:tcPr>
          <w:p>
            <w:pPr>
              <w:pStyle w:val="TableContents"/>
              <w:bidi w:val="0"/>
              <w:spacing w:before="0" w:after="0"/>
              <w:jc w:val="left"/>
              <w:rPr>
                <w:color w:val="000000"/>
              </w:rPr>
            </w:pPr>
            <w:r>
              <w:rPr>
                <w:color w:val="000000"/>
              </w:rPr>
              <w:t>•</w:t>
            </w:r>
          </w:p>
        </w:tc>
        <w:tc>
          <w:tcPr>
            <w:tcW w:w="9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impair the holders’ right to institute suit for the enforcement of any payment on the debt securities of that series; or </w:t>
            </w:r>
          </w:p>
        </w:tc>
      </w:tr>
    </w:tbl>
    <w:tbl>
      <w:tblPr>
        <w:tblW w:w="8680" w:type="dxa"/>
        <w:jc w:val="left"/>
        <w:tblInd w:w="0" w:type="dxa"/>
        <w:tblLayout w:type="fixed"/>
        <w:tblCellMar>
          <w:top w:w="0" w:type="dxa"/>
          <w:left w:w="0" w:type="dxa"/>
          <w:bottom w:w="0" w:type="dxa"/>
          <w:right w:w="0" w:type="dxa"/>
        </w:tblCellMar>
      </w:tblPr>
      <w:tblGrid>
        <w:gridCol w:w="110"/>
        <w:gridCol w:w="8570"/>
      </w:tblGrid>
      <w:tr>
        <w:trPr/>
        <w:tc>
          <w:tcPr>
            <w:tcW w:w="110" w:type="dxa"/>
            <w:tcBorders/>
            <w:vAlign w:val="center"/>
          </w:tcPr>
          <w:p>
            <w:pPr>
              <w:pStyle w:val="TableContents"/>
              <w:bidi w:val="0"/>
              <w:spacing w:before="0" w:after="0"/>
              <w:jc w:val="left"/>
              <w:rPr>
                <w:color w:val="000000"/>
              </w:rPr>
            </w:pPr>
            <w:r>
              <w:rPr>
                <w:color w:val="000000"/>
              </w:rPr>
              <w:t>•</w:t>
            </w:r>
          </w:p>
        </w:tc>
        <w:tc>
          <w:tcPr>
            <w:tcW w:w="8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waive a continuing default or event of default regarding any payment on the debt securities of that series.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any vote of holders of a series of debt securities, we will generally be entitled to set any day as a record date for the purpose of determining the holders of outstanding debt securities that are entitled to vote or take other action under the applicable indenture.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Street Name” and other indirect holders should consult their banks or brokers for information on how approval may be granted or denied if we seek to change the indenture or debt securities or request a waiver.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Subordinated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the existing indenture and the forms of senior indenture and subordinated indenture filed as exhibits to the registration statement of which this prospectus is a part are generally similar and many of the provisions discussed above pertain to both senior and subordinated debt securities, there are certain substantive differences between the senior debt securities and subordinated debt securities that we may offer pursuant to this prospectus. This section discusses some of those differences.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Subordination</w:t>
      </w:r>
      <w:r>
        <w:rPr>
          <w:rFonts w:ascii="Times New Roman;Times;serif" w:hAnsi="Times New Roman;Times;serif"/>
          <w:b w:val="false"/>
          <w:i w:val="false"/>
          <w:caps w:val="false"/>
          <w:smallCaps w:val="false"/>
          <w:color w:val="000000"/>
          <w:sz w:val="20"/>
        </w:rPr>
        <w:t xml:space="preserve">. Subordinated debt securities will be subordinate in right of payment to all senior indebtedness. “Senior indebtedness” is defined to mean, among other things, the principal, premium (if any) and unpaid interest on all present and future indebtedness of the Company for borrowed money (including indebtedness of others guaranteed by us), unless, in any case, in the instrument creating or evidencing any such indebtedness or obligation or pursuant to which the same is outstanding it is provided that such indebtedness or obligation is not senior in right of payment to the subordinated debt securities or it is expressly provided that such obligation is subordinated to other of our indebtedness and obligations.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Terms of Subordinated Debt Securities May Contain Conversion or Exchange Provisions</w:t>
      </w:r>
      <w:r>
        <w:rPr>
          <w:rFonts w:ascii="Times New Roman;Times;serif" w:hAnsi="Times New Roman;Times;serif"/>
          <w:b w:val="false"/>
          <w:i w:val="false"/>
          <w:caps w:val="false"/>
          <w:smallCaps w:val="false"/>
          <w:color w:val="000000"/>
          <w:sz w:val="20"/>
        </w:rPr>
        <w:t xml:space="preserve">. The applicable prospectus supplement for a particular series of subordinated debt securities will describe the specific terms discussed above that apply to the subordinated debt securities being offered thereby as well as any applicable conversion or exchange provisions.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Modification of an Indenture Relating to Subordinated Debt Securities</w:t>
      </w:r>
      <w:r>
        <w:rPr>
          <w:rFonts w:ascii="Times New Roman;Times;serif" w:hAnsi="Times New Roman;Times;serif"/>
          <w:b w:val="false"/>
          <w:i w:val="false"/>
          <w:caps w:val="false"/>
          <w:smallCaps w:val="false"/>
          <w:color w:val="000000"/>
          <w:sz w:val="20"/>
        </w:rPr>
        <w:t xml:space="preserve">. Each subordinated indenture may be modified by us and the trustee without the consent of the holders of the subordinated debt securities for one or more of the purposes discussed above under “—Modification and Waiver.” We and the trustee may also modify each subordinated indenture to make provision with respect to any conversion or exchange rights for a given issue of subordinated debt securities. </w:t>
      </w:r>
    </w:p>
    <w:p>
      <w:pPr>
        <w:pStyle w:val="TextBody"/>
        <w:bidi w:val="0"/>
        <w:spacing w:before="290" w:after="283"/>
        <w:ind w:left="0" w:right="0" w:hanging="0"/>
        <w:jc w:val="left"/>
        <w:rPr>
          <w:color w:val="000000"/>
        </w:rPr>
      </w:pPr>
      <w:r>
        <w:rPr>
          <w:color w:val="000000"/>
        </w:rPr>
        <w:t>“</w:t>
      </w:r>
      <w:r>
        <w:rPr>
          <w:rFonts w:ascii="Times New Roman;Times;serif" w:hAnsi="Times New Roman;Times;serif"/>
          <w:b/>
          <w:color w:val="000000"/>
          <w:sz w:val="20"/>
        </w:rPr>
        <w:t xml:space="preserve">Street Name” and Other Indirect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Investors who hold securities in accounts at banks or brokers generally will not be recognized by us as legal holders of debt securities. This is called holding in “Street Name.” Instead, we would recognize only the bank or broker, or the financial institution that the bank or broker uses to hold its securities. These intermediary banks, brokers and other financial institutions pass along principal, interest and other payments on the debt securities, either because they agree to do so in their customer agreements or because they are legally required to. If you hold debt securities in “Street Name,” you should check with your own institution to find out: </w:t>
      </w:r>
    </w:p>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how it handles payments and notices; </w:t>
            </w:r>
          </w:p>
        </w:tc>
      </w:tr>
    </w:tbl>
    <w:tbl>
      <w:tblPr>
        <w:tblW w:w="2980" w:type="dxa"/>
        <w:jc w:val="left"/>
        <w:tblInd w:w="0" w:type="dxa"/>
        <w:tblLayout w:type="fixed"/>
        <w:tblCellMar>
          <w:top w:w="0" w:type="dxa"/>
          <w:left w:w="0" w:type="dxa"/>
          <w:bottom w:w="0" w:type="dxa"/>
          <w:right w:w="0" w:type="dxa"/>
        </w:tblCellMar>
      </w:tblPr>
      <w:tblGrid>
        <w:gridCol w:w="110"/>
        <w:gridCol w:w="2870"/>
      </w:tblGrid>
      <w:tr>
        <w:trPr/>
        <w:tc>
          <w:tcPr>
            <w:tcW w:w="110" w:type="dxa"/>
            <w:tcBorders/>
            <w:vAlign w:val="center"/>
          </w:tcPr>
          <w:p>
            <w:pPr>
              <w:pStyle w:val="TableContents"/>
              <w:bidi w:val="0"/>
              <w:spacing w:before="0" w:after="0"/>
              <w:jc w:val="left"/>
              <w:rPr>
                <w:color w:val="000000"/>
              </w:rPr>
            </w:pPr>
            <w:r>
              <w:rPr>
                <w:color w:val="000000"/>
              </w:rPr>
              <w:t>•</w:t>
            </w:r>
          </w:p>
        </w:tc>
        <w:tc>
          <w:tcPr>
            <w:tcW w:w="2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it imposes fees or charges; </w:t>
            </w:r>
          </w:p>
        </w:tc>
      </w:tr>
    </w:tbl>
    <w:tbl>
      <w:tblPr>
        <w:tblW w:w="3595" w:type="dxa"/>
        <w:jc w:val="left"/>
        <w:tblInd w:w="0" w:type="dxa"/>
        <w:tblLayout w:type="fixed"/>
        <w:tblCellMar>
          <w:top w:w="0" w:type="dxa"/>
          <w:left w:w="0" w:type="dxa"/>
          <w:bottom w:w="0" w:type="dxa"/>
          <w:right w:w="0" w:type="dxa"/>
        </w:tblCellMar>
      </w:tblPr>
      <w:tblGrid>
        <w:gridCol w:w="110"/>
        <w:gridCol w:w="3485"/>
      </w:tblGrid>
      <w:tr>
        <w:trPr/>
        <w:tc>
          <w:tcPr>
            <w:tcW w:w="110" w:type="dxa"/>
            <w:tcBorders/>
            <w:vAlign w:val="center"/>
          </w:tcPr>
          <w:p>
            <w:pPr>
              <w:pStyle w:val="TableContents"/>
              <w:bidi w:val="0"/>
              <w:spacing w:before="0" w:after="0"/>
              <w:jc w:val="left"/>
              <w:rPr>
                <w:color w:val="000000"/>
              </w:rPr>
            </w:pPr>
            <w:r>
              <w:rPr>
                <w:color w:val="000000"/>
              </w:rPr>
              <w:t>•</w:t>
            </w:r>
          </w:p>
        </w:tc>
        <w:tc>
          <w:tcPr>
            <w:tcW w:w="3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how it would handle voting, if applicable;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83847x1_s3asr_110-description_pg9"/>
        <w:bookmarkEnd w:id="3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and how you can instruct it to send you debt securities registered in your own name so you can be a direct holder, as described below;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how it would pursue rights under your debt securities if there were a default or other event triggering the need for holders to act to protect their interests.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obligations, as well as the obligations of each trustee under the indentures and those of any third parties employed by us or the trustee under each of the indentures, run or will run, as the case may be, only to persons who are registered as holders of debt securities issued under the applicable indenture. As noted above, we and the trustee do not have obligations to you if you hold in “Street Name” or other indirect means, either because you choose to hold debt securities in that manner or because the debt securities are issued in the form of global securities, as described below. For example, once we make payment to the registered holder, we and the trustee have no further responsibility for the payment, even if that holder is legally required to pass the payment along to you as a “Street Name” customer but does not do so.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Global Securities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a Global Security? </w:t>
      </w:r>
      <w:r>
        <w:rPr>
          <w:rFonts w:ascii="Times New Roman;Times;serif" w:hAnsi="Times New Roman;Times;serif"/>
          <w:b w:val="false"/>
          <w:i w:val="false"/>
          <w:caps w:val="false"/>
          <w:smallCaps w:val="false"/>
          <w:color w:val="000000"/>
          <w:sz w:val="20"/>
        </w:rPr>
        <w:t xml:space="preserve">A global security is a special type of indirectly held debt security as described above under “—‘Street Name’ and Other Indirect Holders.” If we choose to issue debt securities in the form of global securities, the ultimate beneficial owners can only hold the debt securities in “Street Name.” We would do this by requiring that the global security be registered in the name of a financial institution we select and by requiring that the debt securities included in the global security not be transferred to the name of any other direct holder unless the special circumstances described below occur. The financial institution that acts as the sole direct holder of the global security is called the “depositary.” Any person wishing to own a debt security issued in the form of a global security must do so indirectly by virtue of an account with a broker, bank or other financial institution that in turn has an account with the depositary. The applicable prospectus supplement will indicate whether a series of debt securities will be issued only in the form of global securities and, if so, will describe the specific terms of the arrangement with the depositary.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Special Investor Considerations for Global Securities. </w:t>
      </w:r>
      <w:r>
        <w:rPr>
          <w:rFonts w:ascii="Times New Roman;Times;serif" w:hAnsi="Times New Roman;Times;serif"/>
          <w:b w:val="false"/>
          <w:i w:val="false"/>
          <w:caps w:val="false"/>
          <w:smallCaps w:val="false"/>
          <w:color w:val="000000"/>
          <w:sz w:val="20"/>
        </w:rPr>
        <w:t xml:space="preserve">As an indirect holder, an investor’s rights relating to a global security will be governed by the account rules of the investor’s financial institution and of the depositary, as well as general laws relating to securities transfers. We do not recognize this type of investor as a holder of debt securities and instead deal only with the depositary that holds the global security.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investor should be aware that if a series of debt securities is issued only in the form of global securities: </w:t>
      </w:r>
    </w:p>
    <w:tbl>
      <w:tblPr>
        <w:tblW w:w="7225" w:type="dxa"/>
        <w:jc w:val="left"/>
        <w:tblInd w:w="0" w:type="dxa"/>
        <w:tblLayout w:type="fixed"/>
        <w:tblCellMar>
          <w:top w:w="0" w:type="dxa"/>
          <w:left w:w="0" w:type="dxa"/>
          <w:bottom w:w="0" w:type="dxa"/>
          <w:right w:w="0" w:type="dxa"/>
        </w:tblCellMar>
      </w:tblPr>
      <w:tblGrid>
        <w:gridCol w:w="110"/>
        <w:gridCol w:w="7115"/>
      </w:tblGrid>
      <w:tr>
        <w:trPr/>
        <w:tc>
          <w:tcPr>
            <w:tcW w:w="110" w:type="dxa"/>
            <w:tcBorders/>
            <w:vAlign w:val="center"/>
          </w:tcPr>
          <w:p>
            <w:pPr>
              <w:pStyle w:val="TableContents"/>
              <w:bidi w:val="0"/>
              <w:spacing w:before="0" w:after="0"/>
              <w:jc w:val="left"/>
              <w:rPr>
                <w:color w:val="000000"/>
              </w:rPr>
            </w:pPr>
            <w:r>
              <w:rPr>
                <w:color w:val="000000"/>
              </w:rPr>
              <w:t>•</w:t>
            </w:r>
          </w:p>
        </w:tc>
        <w:tc>
          <w:tcPr>
            <w:tcW w:w="7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investor cannot have debt securities of that series registered in his or her own name; </w:t>
            </w:r>
          </w:p>
        </w:tc>
      </w:tr>
    </w:tbl>
    <w:tbl>
      <w:tblPr>
        <w:tblW w:w="8590" w:type="dxa"/>
        <w:jc w:val="left"/>
        <w:tblInd w:w="0" w:type="dxa"/>
        <w:tblLayout w:type="fixed"/>
        <w:tblCellMar>
          <w:top w:w="0" w:type="dxa"/>
          <w:left w:w="0" w:type="dxa"/>
          <w:bottom w:w="0" w:type="dxa"/>
          <w:right w:w="0" w:type="dxa"/>
        </w:tblCellMar>
      </w:tblPr>
      <w:tblGrid>
        <w:gridCol w:w="110"/>
        <w:gridCol w:w="8480"/>
      </w:tblGrid>
      <w:tr>
        <w:trPr/>
        <w:tc>
          <w:tcPr>
            <w:tcW w:w="110" w:type="dxa"/>
            <w:tcBorders/>
            <w:vAlign w:val="center"/>
          </w:tcPr>
          <w:p>
            <w:pPr>
              <w:pStyle w:val="TableContents"/>
              <w:bidi w:val="0"/>
              <w:spacing w:before="0" w:after="0"/>
              <w:jc w:val="left"/>
              <w:rPr>
                <w:color w:val="000000"/>
              </w:rPr>
            </w:pPr>
            <w:r>
              <w:rPr>
                <w:color w:val="000000"/>
              </w:rPr>
              <w:t>•</w:t>
            </w:r>
          </w:p>
        </w:tc>
        <w:tc>
          <w:tcPr>
            <w:tcW w:w="8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investor cannot receive physical certificates for his or her interest in the debt securities of that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investor will be a “Street Name” holder and must look to his or her own bank or broker for payments on the debt securities of that series and protection of his or her legal rights relating to the debt securities of that series, as described under “—‘Street Name’ and Other Indirect 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investor may not be able to sell interests in the debt securities of that series to some insurance companies and other institutions that are required by law to own their securities in the form of physical certificates;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depositary’s policies will govern payments, transfers, exchange and other matters relating to the investor’s interest in the global security.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we nor the applicable trustee have or will have any responsibility for any aspect of the depositary’s actions or for its records of ownership interests in the global security. Also, neither we nor the applicable trustee do or will supervise the depositary in any way.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Special Situations When the Global Security Will be Terminated</w:t>
      </w:r>
      <w:r>
        <w:rPr>
          <w:rFonts w:ascii="Times New Roman;Times;serif" w:hAnsi="Times New Roman;Times;serif"/>
          <w:b w:val="false"/>
          <w:i w:val="false"/>
          <w:caps w:val="false"/>
          <w:smallCaps w:val="false"/>
          <w:color w:val="000000"/>
          <w:sz w:val="20"/>
        </w:rPr>
        <w:t xml:space="preserve">. In limited special situations, a global security will terminate, and interests in it will be exchanged for physical certificates representing debt securities. After that exchange, the choice of whether to hold debt securities directly or in “Street Name” will be up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83847x1_s3asr_110-description_pg10"/>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investor. Investors must consult their own bank or brokers to find out how to have their interests in debt securities transferred to their own name so that they will be direct holders. The rights of “Street Name” investors and direct holders in debt securities have been previously described in subsections entitled “—‘Street Name’ and Other Indirect Holders” and “—Direct Holders.”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situations for termination of a global security are: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when the depositary notifies us that it is unwilling, unable or no longer qualified to continue as depositary, and we do not appoint a successor depositary; and </w:t>
            </w:r>
          </w:p>
        </w:tc>
      </w:tr>
    </w:tbl>
    <w:tbl>
      <w:tblPr>
        <w:tblW w:w="4555" w:type="dxa"/>
        <w:jc w:val="left"/>
        <w:tblInd w:w="0" w:type="dxa"/>
        <w:tblLayout w:type="fixed"/>
        <w:tblCellMar>
          <w:top w:w="0" w:type="dxa"/>
          <w:left w:w="0" w:type="dxa"/>
          <w:bottom w:w="0" w:type="dxa"/>
          <w:right w:w="0" w:type="dxa"/>
        </w:tblCellMar>
      </w:tblPr>
      <w:tblGrid>
        <w:gridCol w:w="110"/>
        <w:gridCol w:w="4445"/>
      </w:tblGrid>
      <w:tr>
        <w:trPr/>
        <w:tc>
          <w:tcPr>
            <w:tcW w:w="110" w:type="dxa"/>
            <w:tcBorders/>
            <w:vAlign w:val="center"/>
          </w:tcPr>
          <w:p>
            <w:pPr>
              <w:pStyle w:val="TableContents"/>
              <w:bidi w:val="0"/>
              <w:spacing w:before="0" w:after="0"/>
              <w:jc w:val="left"/>
              <w:rPr>
                <w:color w:val="000000"/>
              </w:rPr>
            </w:pPr>
            <w:r>
              <w:rPr>
                <w:color w:val="000000"/>
              </w:rPr>
              <w:t>•</w:t>
            </w:r>
          </w:p>
        </w:tc>
        <w:tc>
          <w:tcPr>
            <w:tcW w:w="4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any time if we decide to terminate a global security.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applicable prospectus supplement may also list additional situations for terminating a global security that would apply only to the particular series of debt securities covered by the prospectus supplement. When a global security terminates, only the depositary is responsible for deciding the names of the institutions that will be the initial direct holders.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Form, Exchange, Registration and Transfer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we inform you otherwise in an applicable prospectus supplement, we will issue the debt securities offered pursuant to this prospectus in registered form, without interest coupons, and only in denominations of $2,000 and integral multiples of $1,000 in excess thereof. We will not charge a service charge for any registration of transfer or exchange of the debt securities offered pursuant to this prospectus. We may, however, require the payment of any tax or other governmental charge payable for that registration.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Debt securities of any series will be exchangeable for other debt securities of the same series, in the same total principal amount and the same terms but in different authorized denominations in accordance with the terms of the applicable indenture. Holders may present debt securities for registration of transfer at the office of the security registrar or any transfer agent we designate. The security registrar or transfer agent will effect the transfer or exchange when it is satisfied with the documents of title and identity of the person making the request.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appoint the trustee under the applicable indenture as security registrar for the debt securities issued under that indenture. If a prospectus supplement refers to any transfer agents initially designated by us, we may at any time rescind that designation or approve a change in the location through which any transfer agent acts. We will be required to maintain an office or agency for transfers and exchanges in each place of payment with respect to debt securities we may offer under any of the indentures. We may at any time designate additional transfer agents for any series of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case of any redemption of debt securities offered under this prospectus, neither the security registrar nor the transfer agent will be required to register the transfer or exchange of any debt security during a period beginning 15 days prior to the mailing of the relevant notice of redemption and ending on the close of business on the day of mailing of the notice, except the unredeemed portion of any debt security being redeemed in part.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Payment and Paying Agents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we inform you otherwise in the applicable prospectus supplement: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payments on a series of debt securities will be made in U.S. dollars by check mailed to the holder’s registered address or, with respect to global securities, by wire transfer;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make interest payments to the person in whose name the debt security is registered at the close of business on the record date for the interest payment;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trustee under the applicable indenture will be designated as our paying agent for payments on debt securities issued under that indenture. We may at any time designate additional paying agents or rescind the designation of any paying agent or approve a change in the office through which any paying agent acts.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requirements of any applicable abandoned property laws, the trustee and paying agent will pay to us upon written request any money held by them for payments on the debt securities under the applicable indenture that remain unclaimed for two years after the date when the payment was due. After payment to us, holders entitled to the money must look to us for payment unless an applicable abandoned property law designates otherwise. In that case, all liability of the trustee or paying agent with respect to that money will cease.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83847x1_s3asr_110-description_pg1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 w:name="tDCS"/>
      <w:bookmarkEnd w:id="34"/>
      <w:r>
        <w:rPr>
          <w:rFonts w:ascii="Times New Roman;Times;serif" w:hAnsi="Times New Roman;Times;serif"/>
          <w:b/>
          <w:color w:val="000000"/>
          <w:sz w:val="20"/>
        </w:rPr>
        <w:t xml:space="preserve">DESCRIPTION OF CAPITAL SECURITIES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either separately or together with other securities, including as a part of units, shares of our common stock. Shares of common stock issued as part of units may be attached to or separate from any other securities part of those units. Under our Restated Certificate of Incorporation, as amended to date (our “Restated Certificate of Incorporation”), we are authorized to issue up to 500,000,000 shares of our common stock, par value $.01 per share. As of October 16, 2026, we had 167,802,384 shares of common stock issued and outstanding.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applicable prospectus supplement relating to an offering of common stock or other securities convertible or exchangeable for, or exercisable into, common stock, or the settlement of which may result in the issuance of common stock, will describe the relevant terms, including the number of shares offered, any initial offering price and market price and dividend information, as well as, if applicable, information on other related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summary is not complete and is not intended to give full effect to provisions of statutory or common law. You should refer to the applicable provisions of the following: </w:t>
      </w:r>
    </w:p>
    <w:tbl>
      <w:tblPr>
        <w:tblW w:w="6655" w:type="dxa"/>
        <w:jc w:val="left"/>
        <w:tblInd w:w="0" w:type="dxa"/>
        <w:tblLayout w:type="fixed"/>
        <w:tblCellMar>
          <w:top w:w="0" w:type="dxa"/>
          <w:left w:w="0" w:type="dxa"/>
          <w:bottom w:w="0" w:type="dxa"/>
          <w:right w:w="0" w:type="dxa"/>
        </w:tblCellMar>
      </w:tblPr>
      <w:tblGrid>
        <w:gridCol w:w="110"/>
        <w:gridCol w:w="6545"/>
      </w:tblGrid>
      <w:tr>
        <w:trPr/>
        <w:tc>
          <w:tcPr>
            <w:tcW w:w="11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Delaware General Corporation Law, as it may be amended from time to time; </w:t>
            </w:r>
          </w:p>
        </w:tc>
      </w:tr>
    </w:tbl>
    <w:tbl>
      <w:tblPr>
        <w:tblW w:w="8020" w:type="dxa"/>
        <w:jc w:val="left"/>
        <w:tblInd w:w="0" w:type="dxa"/>
        <w:tblLayout w:type="fixed"/>
        <w:tblCellMar>
          <w:top w:w="0" w:type="dxa"/>
          <w:left w:w="0" w:type="dxa"/>
          <w:bottom w:w="0" w:type="dxa"/>
          <w:right w:w="0" w:type="dxa"/>
        </w:tblCellMar>
      </w:tblPr>
      <w:tblGrid>
        <w:gridCol w:w="110"/>
        <w:gridCol w:w="7910"/>
      </w:tblGrid>
      <w:tr>
        <w:trPr/>
        <w:tc>
          <w:tcPr>
            <w:tcW w:w="110" w:type="dxa"/>
            <w:tcBorders/>
            <w:vAlign w:val="center"/>
          </w:tcPr>
          <w:p>
            <w:pPr>
              <w:pStyle w:val="TableContents"/>
              <w:bidi w:val="0"/>
              <w:spacing w:before="0" w:after="0"/>
              <w:jc w:val="left"/>
              <w:rPr>
                <w:color w:val="000000"/>
              </w:rPr>
            </w:pPr>
            <w:r>
              <w:rPr>
                <w:color w:val="000000"/>
              </w:rPr>
              <w:t>•</w:t>
            </w:r>
          </w:p>
        </w:tc>
        <w:tc>
          <w:tcPr>
            <w:tcW w:w="7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Restated Certificate of Incorporation, as it may be amended or restated from time to time; and </w:t>
            </w:r>
          </w:p>
        </w:tc>
      </w:tr>
    </w:tbl>
    <w:tbl>
      <w:tblPr>
        <w:tblW w:w="8950" w:type="dxa"/>
        <w:jc w:val="left"/>
        <w:tblInd w:w="0" w:type="dxa"/>
        <w:tblLayout w:type="fixed"/>
        <w:tblCellMar>
          <w:top w:w="0" w:type="dxa"/>
          <w:left w:w="0" w:type="dxa"/>
          <w:bottom w:w="0" w:type="dxa"/>
          <w:right w:w="0" w:type="dxa"/>
        </w:tblCellMar>
      </w:tblPr>
      <w:tblGrid>
        <w:gridCol w:w="110"/>
        <w:gridCol w:w="8840"/>
      </w:tblGrid>
      <w:tr>
        <w:trPr/>
        <w:tc>
          <w:tcPr>
            <w:tcW w:w="110" w:type="dxa"/>
            <w:tcBorders/>
            <w:vAlign w:val="center"/>
          </w:tcPr>
          <w:p>
            <w:pPr>
              <w:pStyle w:val="TableContents"/>
              <w:bidi w:val="0"/>
              <w:spacing w:before="0" w:after="0"/>
              <w:jc w:val="left"/>
              <w:rPr>
                <w:color w:val="000000"/>
              </w:rPr>
            </w:pPr>
            <w:r>
              <w:rPr>
                <w:color w:val="000000"/>
              </w:rPr>
              <w:t>•</w:t>
            </w:r>
          </w:p>
        </w:tc>
        <w:tc>
          <w:tcPr>
            <w:tcW w:w="8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By-Laws (our “By-Laws”), as they may be amended or restated from time to time. </w:t>
            </w:r>
          </w:p>
        </w:tc>
      </w:tr>
    </w:tbl>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Dividends</w:t>
      </w:r>
      <w:r>
        <w:rPr>
          <w:rFonts w:ascii="Times New Roman;Times;serif" w:hAnsi="Times New Roman;Times;serif"/>
          <w:b w:val="false"/>
          <w:i w:val="false"/>
          <w:caps w:val="false"/>
          <w:smallCaps w:val="false"/>
          <w:color w:val="000000"/>
          <w:sz w:val="20"/>
        </w:rPr>
        <w:t xml:space="preserve">. The holders of our common stock are entitled to receive dividends when, as and if declared by our Board of Directors, out of funds legally available for their payment subject to the rights of holders of our preferred stock.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Voting Rights</w:t>
      </w:r>
      <w:r>
        <w:rPr>
          <w:rFonts w:ascii="Times New Roman;Times;serif" w:hAnsi="Times New Roman;Times;serif"/>
          <w:b w:val="false"/>
          <w:i w:val="false"/>
          <w:caps w:val="false"/>
          <w:smallCaps w:val="false"/>
          <w:color w:val="000000"/>
          <w:sz w:val="20"/>
        </w:rPr>
        <w:t xml:space="preserve">. The holders of our common stock are entitled to one vote per share on all matters submitted to a vote of stockholders. There are no cumulative voting rights associated with our common stock.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Rights Upon Liquidation</w:t>
      </w:r>
      <w:r>
        <w:rPr>
          <w:rFonts w:ascii="Times New Roman;Times;serif" w:hAnsi="Times New Roman;Times;serif"/>
          <w:b w:val="false"/>
          <w:i w:val="false"/>
          <w:caps w:val="false"/>
          <w:smallCaps w:val="false"/>
          <w:color w:val="000000"/>
          <w:sz w:val="20"/>
        </w:rPr>
        <w:t xml:space="preserve">. In the event of our voluntary or involuntary liquidation, dissolution or winding up, the holders of common stock will be entitled to share equally in any of our assets available for distribution after the payment in full of all debts and liabilities and after the holders of all series of our outstanding preferred stock have received their liquidation preferences in full.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Miscellaneous</w:t>
      </w:r>
      <w:r>
        <w:rPr>
          <w:rFonts w:ascii="Times New Roman;Times;serif" w:hAnsi="Times New Roman;Times;serif"/>
          <w:b w:val="false"/>
          <w:i w:val="false"/>
          <w:caps w:val="false"/>
          <w:smallCaps w:val="false"/>
          <w:color w:val="000000"/>
          <w:sz w:val="20"/>
        </w:rPr>
        <w:t xml:space="preserve">. The outstanding shares of common stock are fully paid and nonassessable. The holders of common stock are not entitled to preemptive or redemption rights. There are no sinking fund provisions applicable to the common stock. Shares of common stock are not convertible into shares of any other class of capital stock. Broadridge Corporate Issuer Solutions, LLC is the transfer agent and registrar for the common stock.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Stock Exchange Listing</w:t>
      </w:r>
      <w:r>
        <w:rPr>
          <w:rFonts w:ascii="Times New Roman;Times;serif" w:hAnsi="Times New Roman;Times;serif"/>
          <w:b w:val="false"/>
          <w:i w:val="false"/>
          <w:caps w:val="false"/>
          <w:smallCaps w:val="false"/>
          <w:color w:val="000000"/>
          <w:sz w:val="20"/>
        </w:rPr>
        <w:t xml:space="preserve">. Our common stock is listed on the New York Stock Exchange and trades under the symbol “WAB.”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elect to issue shares of our preferred stock from time to time, as described in the applicable prospectus supplement relating to any offering of preferred stock pursuant to this prospectus. We may issue shares of preferred stock separately or as a part of units, and any such shares issued as part of units may be attached to or separate from any other securities part of those units. Shares of our preferred stock may have dividend, redemption, voting and liquidation rights taking priority over our common stock, and shares of our preferred stock may be convertible into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Restated Certificate of Incorporation expressly authorizes our Board of Directors, subject to any limitations prescribed by law, to provide for the issuance of shares of preferred stock in one or more series from time to time. In addition, our Board of Directors is authorized to establish from time to time the number of shares to be included in each series of preferred stock and to fix the designation, relative rights, preferences, qualifications and limitations of the shares of each series of preferred stock. The authority of our Board of Directors with respect to each series includes, without limitation, determination of the following: </w:t>
      </w:r>
    </w:p>
    <w:tbl>
      <w:tblPr>
        <w:tblW w:w="7420" w:type="dxa"/>
        <w:jc w:val="left"/>
        <w:tblInd w:w="0" w:type="dxa"/>
        <w:tblLayout w:type="fixed"/>
        <w:tblCellMar>
          <w:top w:w="0" w:type="dxa"/>
          <w:left w:w="0" w:type="dxa"/>
          <w:bottom w:w="0" w:type="dxa"/>
          <w:right w:w="0" w:type="dxa"/>
        </w:tblCellMar>
      </w:tblPr>
      <w:tblGrid>
        <w:gridCol w:w="110"/>
        <w:gridCol w:w="7310"/>
      </w:tblGrid>
      <w:tr>
        <w:trPr/>
        <w:tc>
          <w:tcPr>
            <w:tcW w:w="110" w:type="dxa"/>
            <w:tcBorders/>
            <w:vAlign w:val="center"/>
          </w:tcPr>
          <w:p>
            <w:pPr>
              <w:pStyle w:val="TableContents"/>
              <w:bidi w:val="0"/>
              <w:spacing w:before="0" w:after="0"/>
              <w:jc w:val="left"/>
              <w:rPr>
                <w:color w:val="000000"/>
              </w:rPr>
            </w:pPr>
            <w:r>
              <w:rPr>
                <w:color w:val="000000"/>
              </w:rPr>
              <w:t>•</w:t>
            </w:r>
          </w:p>
        </w:tc>
        <w:tc>
          <w:tcPr>
            <w:tcW w:w="7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constituting that series and the distinctive designation of that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dividend rate on the shares of that series, whether dividends shall be cumulative, and, if so, the declaration and payment dates and the payment preference, if any, to dividends payable on any other class or classes or series of stock;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83847x1_s3asr_110-description_pg12"/>
        <w:bookmarkEnd w:id="35"/>
        <w:r>
          <w:rPr>
            <w:rStyle w:val="InternetLink"/>
            <w:rFonts w:ascii="Times New Roman;Times;Serif" w:hAnsi="Times New Roman;Times;Serif"/>
            <w:b/>
            <w:caps w:val="false"/>
            <w:smallCaps w:val="false"/>
            <w:color w:val="000000"/>
            <w:sz w:val="16"/>
          </w:rPr>
          <w:t>TABLE OF CONTENTS</w:t>
        </w:r>
      </w:hyperlink>
    </w:p>
    <w:tbl>
      <w:tblPr>
        <w:tblW w:w="9925" w:type="dxa"/>
        <w:jc w:val="left"/>
        <w:tblInd w:w="0" w:type="dxa"/>
        <w:tblLayout w:type="fixed"/>
        <w:tblCellMar>
          <w:top w:w="0" w:type="dxa"/>
          <w:left w:w="0" w:type="dxa"/>
          <w:bottom w:w="0" w:type="dxa"/>
          <w:right w:w="0" w:type="dxa"/>
        </w:tblCellMar>
      </w:tblPr>
      <w:tblGrid>
        <w:gridCol w:w="110"/>
        <w:gridCol w:w="9815"/>
      </w:tblGrid>
      <w:tr>
        <w:trPr/>
        <w:tc>
          <w:tcPr>
            <w:tcW w:w="110" w:type="dxa"/>
            <w:tcBorders/>
            <w:vAlign w:val="center"/>
          </w:tcPr>
          <w:p>
            <w:pPr>
              <w:pStyle w:val="TableContents"/>
              <w:bidi w:val="0"/>
              <w:spacing w:before="0" w:after="0"/>
              <w:jc w:val="left"/>
              <w:rPr>
                <w:color w:val="000000"/>
              </w:rPr>
            </w:pPr>
            <w:r>
              <w:rPr>
                <w:color w:val="000000"/>
              </w:rPr>
              <w:t>•</w:t>
            </w:r>
          </w:p>
        </w:tc>
        <w:tc>
          <w:tcPr>
            <w:tcW w:w="9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that series shall have voting rights, in addition to the voting rights provided by law, and, if so, the terms thereof; </w:t>
            </w:r>
          </w:p>
        </w:tc>
      </w:tr>
    </w:tbl>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that series shall have conversion or exchange privileges, and, if so, the terms and conditions thereof; </w:t>
            </w:r>
          </w:p>
        </w:tc>
      </w:tr>
    </w:tbl>
    <w:tbl>
      <w:tblPr>
        <w:tblW w:w="8485" w:type="dxa"/>
        <w:jc w:val="left"/>
        <w:tblInd w:w="0" w:type="dxa"/>
        <w:tblLayout w:type="fixed"/>
        <w:tblCellMar>
          <w:top w:w="0" w:type="dxa"/>
          <w:left w:w="0" w:type="dxa"/>
          <w:bottom w:w="0" w:type="dxa"/>
          <w:right w:w="0" w:type="dxa"/>
        </w:tblCellMar>
      </w:tblPr>
      <w:tblGrid>
        <w:gridCol w:w="110"/>
        <w:gridCol w:w="8375"/>
      </w:tblGrid>
      <w:tr>
        <w:trPr/>
        <w:tc>
          <w:tcPr>
            <w:tcW w:w="110" w:type="dxa"/>
            <w:tcBorders/>
            <w:vAlign w:val="center"/>
          </w:tcPr>
          <w:p>
            <w:pPr>
              <w:pStyle w:val="TableContents"/>
              <w:bidi w:val="0"/>
              <w:spacing w:before="0" w:after="0"/>
              <w:jc w:val="left"/>
              <w:rPr>
                <w:color w:val="000000"/>
              </w:rPr>
            </w:pPr>
            <w:r>
              <w:rPr>
                <w:color w:val="000000"/>
              </w:rPr>
              <w:t>•</w:t>
            </w:r>
          </w:p>
        </w:tc>
        <w:tc>
          <w:tcPr>
            <w:tcW w:w="8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or not the shares of that series shall be redeemable, and, if so, the terms and conditions thereof;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that series shall be entitled to the benefit of a sinking fund to be applied to the purchase or redemption of shares of that series, and, if so, the terms and amounts thereof;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 of the shares of that series to the benefit of conditions and restrictions upon (i) the creation of indebtedness of Wabtec or any subsidiary; (ii) the issue of any additional stock (including additional shares of such series or of any other series); and (iii) the payment of dividends or the making of other distributions on, and the purchase, redemption or other acquisition by Wabtec or any subsidiary of, any outstanding stock of Wabtec;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 of the shares of that series in the event of any voluntary or involuntary liquidation, dissolution or winding up of Wabtec and whether such rights shall be in preference to, or in another relation to, the comparable rights of any other class or classes or series of stock; and </w:t>
            </w:r>
          </w:p>
        </w:tc>
      </w:tr>
    </w:tbl>
    <w:tbl>
      <w:tblPr>
        <w:tblW w:w="9625" w:type="dxa"/>
        <w:jc w:val="left"/>
        <w:tblInd w:w="0" w:type="dxa"/>
        <w:tblLayout w:type="fixed"/>
        <w:tblCellMar>
          <w:top w:w="0" w:type="dxa"/>
          <w:left w:w="0" w:type="dxa"/>
          <w:bottom w:w="0" w:type="dxa"/>
          <w:right w:w="0" w:type="dxa"/>
        </w:tblCellMar>
      </w:tblPr>
      <w:tblGrid>
        <w:gridCol w:w="110"/>
        <w:gridCol w:w="9515"/>
      </w:tblGrid>
      <w:tr>
        <w:trPr/>
        <w:tc>
          <w:tcPr>
            <w:tcW w:w="110" w:type="dxa"/>
            <w:tcBorders/>
            <w:vAlign w:val="center"/>
          </w:tcPr>
          <w:p>
            <w:pPr>
              <w:pStyle w:val="TableContents"/>
              <w:bidi w:val="0"/>
              <w:spacing w:before="0" w:after="0"/>
              <w:jc w:val="left"/>
              <w:rPr>
                <w:color w:val="000000"/>
              </w:rPr>
            </w:pPr>
            <w:r>
              <w:rPr>
                <w:color w:val="000000"/>
              </w:rPr>
              <w:t>•</w:t>
            </w:r>
          </w:p>
        </w:tc>
        <w:tc>
          <w:tcPr>
            <w:tcW w:w="9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relative, participating, option or other special rights, qualifications, limitations or restrictions of that series.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Restated Certificate of Incorporation authorizes our Board of Directors, without further stockholder action, to provide for the issuance of up to 1,000,000 shares of preferred stock, in one or more series. As of the date of this prospectus, 10,000 shares of preferred stock have been designated as Series A Non-Voting Convertible Preferred Stock. As of the date of this prospectus, no shares of preferred stock have been issued.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Special Charter and By-Laws Provisions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Restated Certificate of Incorporation and our By-Laws contain various provisions that may discourage or delay attempts to gain control of Wabtec. For example: </w:t>
      </w:r>
    </w:p>
    <w:tbl>
      <w:tblPr>
        <w:tblW w:w="9190" w:type="dxa"/>
        <w:jc w:val="left"/>
        <w:tblInd w:w="0" w:type="dxa"/>
        <w:tblLayout w:type="fixed"/>
        <w:tblCellMar>
          <w:top w:w="0" w:type="dxa"/>
          <w:left w:w="0" w:type="dxa"/>
          <w:bottom w:w="0" w:type="dxa"/>
          <w:right w:w="0" w:type="dxa"/>
        </w:tblCellMar>
      </w:tblPr>
      <w:tblGrid>
        <w:gridCol w:w="110"/>
        <w:gridCol w:w="9080"/>
      </w:tblGrid>
      <w:tr>
        <w:trPr/>
        <w:tc>
          <w:tcPr>
            <w:tcW w:w="110" w:type="dxa"/>
            <w:tcBorders/>
            <w:vAlign w:val="center"/>
          </w:tcPr>
          <w:p>
            <w:pPr>
              <w:pStyle w:val="TableContents"/>
              <w:bidi w:val="0"/>
              <w:spacing w:before="0" w:after="0"/>
              <w:jc w:val="left"/>
              <w:rPr>
                <w:color w:val="000000"/>
              </w:rPr>
            </w:pPr>
            <w:r>
              <w:rPr>
                <w:color w:val="000000"/>
              </w:rPr>
              <w:t>•</w:t>
            </w:r>
          </w:p>
        </w:tc>
        <w:tc>
          <w:tcPr>
            <w:tcW w:w="9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is classified into three classes, with one class elected each year to serve a three-year term;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By-Laws require the Nominating and Corporate Governance Committee to nominate (a) William E. Kassling (so long as Mr. Kassling is able and willing to serve and members of his immediate family and their affiliates collectively and beneficially own at least 50% of the shares of common stock of Wabtec beneficially owned by Mr. Kassling immediately after the closing of the stock purchase transaction governed by the stock purchase agreement dated as of March 5, 1997 and described in the Current Report on Form 8-K filed by Wabtec on April 11, 1997) and (b) Emilio A. Fernandez (so long as Mr. Fernandez is able and willing to serve and Mr. Fernandez and his immediate family and their affiliates collectively and beneficially own at least 50% of the shares of common stock of Wabtec delivered by the Company pursuant to that certain asset purchase agreement dated as of January 23, 1995);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by applicable law, our Restated Certificate of Incorporation or our By-Laws, our By-Laws may be altered, amended or repealed by the stockholders at any annual or special meeting or by action of the Board of Directors;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special meetings of the stockholders may be called at any time by the Chairman of our Board, the Chief Executive Officer, a majority of our Board of Directors or stockholders owning not less than 25% of our capital stock that is issued, outstanding and entitled to vote and may not be called by any other person or persons or in any other manner;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stockholders must provide advance notice if they wish to submit a proposal or nominate candidates for director at our annual meeting of stockholders.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provisions of our By-Laws described in the second bullet point above, each of Mr. Kassling and Mr. Fernandez has retired from our Board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83847x1_s3asr_110-description_pg13"/>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 w:name="tDOS"/>
      <w:bookmarkEnd w:id="37"/>
      <w:r>
        <w:rPr>
          <w:rFonts w:ascii="Times New Roman;Times;serif" w:hAnsi="Times New Roman;Times;serif"/>
          <w:b/>
          <w:color w:val="000000"/>
          <w:sz w:val="20"/>
        </w:rPr>
        <w:t xml:space="preserve">DESCRIPTION OF OTHER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set forth in the applicable prospectus supplement a description of any warrants, depositary shares, purchase contracts or units that may be offered pursuant to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83847x1_s3asr_111-legal_pg1"/>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 w:name="tLM"/>
      <w:bookmarkEnd w:id="39"/>
      <w:r>
        <w:rPr>
          <w:rFonts w:ascii="Times New Roman;Times;serif" w:hAnsi="Times New Roman;Times;serif"/>
          <w:b/>
          <w:color w:val="000000"/>
          <w:sz w:val="20"/>
        </w:rPr>
        <w:t xml:space="preserve">LEGAL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indicated otherwise in an applicable prospectus supplement, the validity of the issuance of the offered securities will be passed upon for us by Jones Day. Certain matters pertaining to the laws of the State of Nevada will be passed upon for us by Snell &amp; Wilmer L.L.P. </w:t>
      </w:r>
    </w:p>
    <w:p>
      <w:pPr>
        <w:pStyle w:val="TextBody"/>
        <w:bidi w:val="0"/>
        <w:spacing w:before="410" w:after="283"/>
        <w:jc w:val="center"/>
        <w:rPr>
          <w:rFonts w:ascii="Times New Roman;Times;serif" w:hAnsi="Times New Roman;Times;serif"/>
          <w:b/>
          <w:color w:val="000000"/>
          <w:sz w:val="20"/>
        </w:rPr>
      </w:pPr>
      <w:bookmarkStart w:id="40" w:name="tEXP"/>
      <w:bookmarkEnd w:id="40"/>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Westinghouse Air Brake Technologies Corporation appearing in Westinghouse Air Brake Technologies Corporation’s Annual Report (Form 10-K) for the year ended December 31, 2025, and the effectiveness of Westinghouse Air Brake Technologies Corporation’s internal control over financial reporting as of December 31,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83847x1_s3asr_300-part2_pg1"/>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2" w:name="tINF"/>
      <w:bookmarkEnd w:id="42"/>
      <w:r>
        <w:rPr>
          <w:rFonts w:ascii="Times New Roman;Times;serif" w:hAnsi="Times New Roman;Times;serif"/>
          <w:b/>
          <w:color w:val="000000"/>
          <w:sz w:val="20"/>
        </w:rPr>
        <w:t xml:space="preserve">PART 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NOT REQUIRED IN PROSPECTUS </w:t>
      </w:r>
    </w:p>
    <w:tbl>
      <w:tblPr>
        <w:tblW w:w="4540" w:type="dxa"/>
        <w:jc w:val="left"/>
        <w:tblInd w:w="0" w:type="dxa"/>
        <w:tblLayout w:type="fixed"/>
        <w:tblCellMar>
          <w:top w:w="0" w:type="dxa"/>
          <w:left w:w="0" w:type="dxa"/>
          <w:bottom w:w="0" w:type="dxa"/>
          <w:right w:w="0" w:type="dxa"/>
        </w:tblCellMar>
      </w:tblPr>
      <w:tblGrid>
        <w:gridCol w:w="710"/>
        <w:gridCol w:w="383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14.</w:t>
            </w:r>
          </w:p>
        </w:tc>
        <w:tc>
          <w:tcPr>
            <w:tcW w:w="38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Other Expenses of Issuance and Distribution.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expenses in connection with the issuance and distribution of the securities being registered, other than underwriting compensation, are: </w:t>
      </w:r>
    </w:p>
    <w:tbl>
      <w:tblPr>
        <w:tblW w:w="3440" w:type="dxa"/>
        <w:jc w:val="left"/>
        <w:tblInd w:w="0" w:type="dxa"/>
        <w:tblLayout w:type="fixed"/>
        <w:tblCellMar>
          <w:top w:w="0" w:type="dxa"/>
          <w:left w:w="0" w:type="dxa"/>
          <w:bottom w:w="0" w:type="dxa"/>
          <w:right w:w="0" w:type="dxa"/>
        </w:tblCellMar>
      </w:tblPr>
      <w:tblGrid>
        <w:gridCol w:w="2480"/>
        <w:gridCol w:w="140"/>
        <w:gridCol w:w="140"/>
        <w:gridCol w:w="680"/>
      </w:tblGrid>
      <w:tr>
        <w:trPr/>
        <w:tc>
          <w:tcPr>
            <w:tcW w:w="24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 registration fee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Legal fees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Accounting fees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Trustee’s fees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Printing and engraving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Miscellaneous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r>
      <w:tr>
        <w:trPr/>
        <w:tc>
          <w:tcPr>
            <w:tcW w:w="24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 accordance with Rules 456(b) and 457(r), we are deferring payment of all of the registration fee required in connection with this Registration Statement. </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foregoing sets forth the general categories of expenses (other than underwriting discounts and commissions) that we anticipate we will incur in connection with the offering of securities under this Registration Statement. Information regarding estimated expenses of issuance and distribution of each identified class of securities being registered will be provided at the time information as to such class is included in a prospectus supplement. </w:t>
            </w:r>
          </w:p>
        </w:tc>
      </w:tr>
    </w:tbl>
    <w:tbl>
      <w:tblPr>
        <w:tblW w:w="4300" w:type="dxa"/>
        <w:jc w:val="left"/>
        <w:tblInd w:w="0" w:type="dxa"/>
        <w:tblLayout w:type="fixed"/>
        <w:tblCellMar>
          <w:top w:w="0" w:type="dxa"/>
          <w:left w:w="0" w:type="dxa"/>
          <w:bottom w:w="0" w:type="dxa"/>
          <w:right w:w="0" w:type="dxa"/>
        </w:tblCellMar>
      </w:tblPr>
      <w:tblGrid>
        <w:gridCol w:w="710"/>
        <w:gridCol w:w="359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15.</w:t>
            </w:r>
          </w:p>
        </w:tc>
        <w:tc>
          <w:tcPr>
            <w:tcW w:w="35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Directors and Officers.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1. </w:t>
      </w:r>
      <w:r>
        <w:rPr>
          <w:rFonts w:ascii="Times New Roman;Times;serif" w:hAnsi="Times New Roman;Times;serif"/>
          <w:i/>
          <w:color w:val="000000"/>
          <w:sz w:val="20"/>
        </w:rPr>
        <w:t>Section 145 of the Delaware General Corporation Law (“DGCL”)</w:t>
      </w:r>
      <w:r>
        <w:rPr>
          <w:rFonts w:ascii="Times New Roman;Times;serif" w:hAnsi="Times New Roman;Times;serif"/>
          <w:color w:val="000000"/>
          <w:sz w:val="20"/>
        </w:rPr>
        <w:t xml:space="preserve">. Section 145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reasonably believed to be in or not opposed to the best interests of the corporation, and with respect to any criminal action or proceeding, had reasonable cause to believe that the person’s conduct was unlawful.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145 also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extent that a former or present director or officer of the corporation has been successful on the merits or otherwise in defense of any action, suit or proceeding referred to above, or in defense of any claim, issue or matter therein, such person shall be indemnified against expenses (including attorneys’ fees) actually and reasonably incurred by such person in connection therewith.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83847x1_s3asr_300-part2_pg2"/>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such indemnification (unless ordered by a court) shall be made by the corporation only as authorized in the specific case upon a determination that the indemnification of the present or former director, officer, employee or agent is proper in the circumstances because such person has met the applicable standard of conduct set forth above. Such determination shall be made: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 majority vote of the directors who were not parties to such action, suit or proceeding, even though less than a quorum; or </w:t>
            </w:r>
          </w:p>
        </w:tc>
      </w:tr>
    </w:tbl>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 committee of such directors designated by a majority vote of such directors, even though less than a quorum; or </w:t>
            </w:r>
          </w:p>
        </w:tc>
      </w:tr>
    </w:tbl>
    <w:tbl>
      <w:tblPr>
        <w:tblW w:w="9370" w:type="dxa"/>
        <w:jc w:val="left"/>
        <w:tblInd w:w="0" w:type="dxa"/>
        <w:tblLayout w:type="fixed"/>
        <w:tblCellMar>
          <w:top w:w="0" w:type="dxa"/>
          <w:left w:w="0" w:type="dxa"/>
          <w:bottom w:w="0" w:type="dxa"/>
          <w:right w:w="0" w:type="dxa"/>
        </w:tblCellMar>
      </w:tblPr>
      <w:tblGrid>
        <w:gridCol w:w="245"/>
        <w:gridCol w:w="912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there are no such directors, or, if such directors so direct, by independent legal counsel in a written opinion; or </w:t>
            </w:r>
          </w:p>
        </w:tc>
      </w:tr>
    </w:tbl>
    <w:tbl>
      <w:tblPr>
        <w:tblW w:w="1945" w:type="dxa"/>
        <w:jc w:val="left"/>
        <w:tblInd w:w="0" w:type="dxa"/>
        <w:tblLayout w:type="fixed"/>
        <w:tblCellMar>
          <w:top w:w="0" w:type="dxa"/>
          <w:left w:w="0" w:type="dxa"/>
          <w:bottom w:w="0" w:type="dxa"/>
          <w:right w:w="0" w:type="dxa"/>
        </w:tblCellMar>
      </w:tblPr>
      <w:tblGrid>
        <w:gridCol w:w="245"/>
        <w:gridCol w:w="170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the stockholders.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145 permits a Delaware business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2. </w:t>
      </w:r>
      <w:r>
        <w:rPr>
          <w:rFonts w:ascii="Times New Roman;Times;serif" w:hAnsi="Times New Roman;Times;serif"/>
          <w:i/>
          <w:color w:val="000000"/>
          <w:sz w:val="20"/>
        </w:rPr>
        <w:t>Section 102(b)(7) of the DGCL</w:t>
      </w:r>
      <w:r>
        <w:rPr>
          <w:rFonts w:ascii="Times New Roman;Times;serif" w:hAnsi="Times New Roman;Times;serif"/>
          <w:color w:val="000000"/>
          <w:sz w:val="20"/>
        </w:rPr>
        <w:t xml:space="preserve">. Section 102(b)(7) of the DGCL provides that a corporation may set forth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regarding the unlawful payment of dividends or approval of unlawful stock repurchases or redemptions, or (iv) for any transaction from which the director derived an improper personal benefit. No such provision shall eliminate or limit the liability of a director for any act or omission occurring prior to the date when such provision becomes effective (in the case of Wabtec, October 19, 1989). As noted in paragraph 3 below, Wabtec’s Restated Certificate of Incorporation, as amended (the “Restated Certificate of Incorporation”), includes a provision contemplated by Section 102(b)(7) of the DGCL.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3. </w:t>
      </w:r>
      <w:r>
        <w:rPr>
          <w:rFonts w:ascii="Times New Roman;Times;serif" w:hAnsi="Times New Roman;Times;serif"/>
          <w:i/>
          <w:color w:val="000000"/>
          <w:sz w:val="20"/>
        </w:rPr>
        <w:t>Restated Certificate of Incorporation Provision on Liability of Directors</w:t>
      </w:r>
      <w:r>
        <w:rPr>
          <w:rFonts w:ascii="Times New Roman;Times;serif" w:hAnsi="Times New Roman;Times;serif"/>
          <w:color w:val="000000"/>
          <w:sz w:val="20"/>
        </w:rPr>
        <w:t xml:space="preserve">. The Restated Certificate of Incorporation provides that no Wabtec director shall be personally liable to Wabtec or any of its stockholders for monetary damages for breach of a fiduciary duty as a director, except for liability (i) for any breach of the director’s duty of loyalty to Wabtec or its stockholders, (ii) for acts or omissions not in good faith or which involve intentional misconduct or a knowing violation of law, (iii) pursuant to Section 174 of the DGCL, or (iv) for any transactions from which a director derived an improper personal benefit.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4. </w:t>
      </w:r>
      <w:r>
        <w:rPr>
          <w:rFonts w:ascii="Times New Roman;Times;serif" w:hAnsi="Times New Roman;Times;serif"/>
          <w:i/>
          <w:color w:val="000000"/>
          <w:sz w:val="20"/>
        </w:rPr>
        <w:t>Indemnification By-Law</w:t>
      </w:r>
      <w:r>
        <w:rPr>
          <w:rFonts w:ascii="Times New Roman;Times;serif" w:hAnsi="Times New Roman;Times;serif"/>
          <w:color w:val="000000"/>
          <w:sz w:val="20"/>
        </w:rPr>
        <w:t xml:space="preserve">. Section 1 of Article VIII of Wabtec’s Amended and Restated By-Laws (the “By-Laws”) provides that Wabtec shall indemnify any person who was or is a party or is threatened to be made a party to any threatened, pending or completed action, suit or proceeding, whether civil, criminal, administrative or investigative (other than an action by or in the right of Wabtec) by reason of the fact that he is or was a director or officer of Wabtec, or is or was a director or officer of the Wabtec enterprise, against expenses (including attorneys’ fees), payments, fines and amounts paid in settlement actually and reasonably incurred by him in connection with such action, suit or proceeding if he acted in good faith and in a manner he reasonably believed to be in or not opposed to the best interests of Wabtec, and, with respect to any criminal action or proceeding, had no reasonable cause to believe his conduct was unlawful. The termination of any action, suit or proceeding by payment, order, settlement, conviction or upon a plea of nolo contendere or its equivalent, shall not, of itself, create a presumption that the person did not act in good faith and in a manner which he reasonably believed to be in or not opposed to the best interests of Wabtec, and, with respect to any criminal action or proceeding, had reasonable cause to believe that his conduct was unlawful.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2 of Article VIII of the By-Laws provides that Wabtec shall indemnify any person who was or is a party or is threatened to be made a party to any threatened, pending or completed action or suit by or in the right of Wabtec to procure a judgment in its favor by reason of the fact that he is or was a director or officer of Wabtec, or is or was a director or officer of Wabtec serving at the request of Wabtec as a director or officer of another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83847x1_s3asr_300-part2_pg3"/>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partnership, joint venture, trust, employee benefit plan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Wabtec; except that no indemnification shall be made in respect of any claim, issue or matter as to which such person shall have been adjudged to be liable to Wabtec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3 of Article VIII of the By-Laws provides that any indemnification under Article VIII (unless ordered by a court) shall be made by Wabtec only as authorized in the specific case upon a determination that indemnification of the director or officer is proper in the circumstances because he has met the applicable standard of conduct set forth in Section 1 or Section 2 of Article VIII, as the case may be. Such determination shall be made (i) by a majority of the vote of the directors who are not parties to such action, suit or proceeding, even though less than a quorum, or (ii) if there are no such directors, or if such directors so direct, by independent legal counsel in a written opinion, or (iii) by the stockholders. To the extent, however, that a director or officer of Wabtec has been successful on the merits or otherwise in defense of any action, suit or proceeding described above, or in defense of any claim, issue or matter therein, he shall be indemnified against expenses (including attorneys’ fees) actually and reasonably incurred by him in connection therewith, without the necessity of authorization in the specific case.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8 of Article VIII of the By-Laws provides that Wabtec may purchase or maintain insurance on behalf of any person who is or was a director or officer of Wabtec, or is or was a director or officer of Wabtec serving at the request of Wabtec as a director or officer of another corporation, partnership, joint venture, trust, employee benefit plan or other enterprise against any liability asserted against him and incurred by him in any such capacity, or arising out of his status as such, whether or not Wabtec would have the right or obligation to indemnify him against such liability.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5. </w:t>
      </w:r>
      <w:r>
        <w:rPr>
          <w:rFonts w:ascii="Times New Roman;Times;serif" w:hAnsi="Times New Roman;Times;serif"/>
          <w:i/>
          <w:color w:val="000000"/>
          <w:sz w:val="20"/>
        </w:rPr>
        <w:t>Director and Officer Liability Insurance</w:t>
      </w:r>
      <w:r>
        <w:rPr>
          <w:rFonts w:ascii="Times New Roman;Times;serif" w:hAnsi="Times New Roman;Times;serif"/>
          <w:color w:val="000000"/>
          <w:sz w:val="20"/>
        </w:rPr>
        <w:t xml:space="preserve">. Wabtec maintains director and officer liability insurance covering its directors and officers with respect to certain liabilities which they may incur in connection with their serving as such.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6. </w:t>
      </w:r>
      <w:r>
        <w:rPr>
          <w:rFonts w:ascii="Times New Roman;Times;serif" w:hAnsi="Times New Roman;Times;serif"/>
          <w:i/>
          <w:color w:val="000000"/>
          <w:sz w:val="20"/>
        </w:rPr>
        <w:t>Similar Limitation of Liability</w:t>
      </w:r>
      <w:r>
        <w:rPr>
          <w:rFonts w:ascii="Times New Roman;Times;serif" w:hAnsi="Times New Roman;Times;serif"/>
          <w:color w:val="000000"/>
          <w:sz w:val="20"/>
        </w:rPr>
        <w:t xml:space="preserve">. The law of the state of incorporation and/or the provisions of the certificates of incorporation, the bylaws, the limited liability company agreements or the general partnership agreements, as applicable, of all of the subsidiaries listed in the “Table of Additional Registrants” included in this Registration Statement, provide for the limitation of liability and indemnification of officers, directors, managers and persons performing similar functions, as applicable, of the subsidiaries similar to those described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83847x1_s3asr_300-part2_pg4"/>
        <w:bookmarkEnd w:id="45"/>
        <w:r>
          <w:rPr>
            <w:rStyle w:val="InternetLink"/>
            <w:rFonts w:ascii="Times New Roman;Times;Serif" w:hAnsi="Times New Roman;Times;Serif"/>
            <w:b/>
            <w:caps w:val="false"/>
            <w:smallCaps w:val="false"/>
            <w:color w:val="000000"/>
            <w:sz w:val="16"/>
          </w:rPr>
          <w:t>TABLE OF CONTENTS</w:t>
        </w:r>
      </w:hyperlink>
    </w:p>
    <w:tbl>
      <w:tblPr>
        <w:tblW w:w="1525" w:type="dxa"/>
        <w:jc w:val="left"/>
        <w:tblInd w:w="0" w:type="dxa"/>
        <w:tblLayout w:type="fixed"/>
        <w:tblCellMar>
          <w:top w:w="0" w:type="dxa"/>
          <w:left w:w="0" w:type="dxa"/>
          <w:bottom w:w="0" w:type="dxa"/>
          <w:right w:w="0" w:type="dxa"/>
        </w:tblCellMar>
      </w:tblPr>
      <w:tblGrid>
        <w:gridCol w:w="710"/>
        <w:gridCol w:w="81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16.</w:t>
            </w:r>
          </w:p>
        </w:tc>
        <w:tc>
          <w:tcPr>
            <w:tcW w:w="8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w:t>
            </w:r>
          </w:p>
        </w:tc>
      </w:tr>
    </w:tbl>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exhibits are filed as part of this Registration Statement: </w:t>
      </w:r>
    </w:p>
    <w:tbl>
      <w:tblPr>
        <w:tblW w:w="10205" w:type="dxa"/>
        <w:jc w:val="left"/>
        <w:tblInd w:w="0" w:type="dxa"/>
        <w:tblLayout w:type="fixed"/>
        <w:tblCellMar>
          <w:top w:w="0" w:type="dxa"/>
          <w:left w:w="0" w:type="dxa"/>
          <w:bottom w:w="0" w:type="dxa"/>
          <w:right w:w="0" w:type="dxa"/>
        </w:tblCellMar>
      </w:tblPr>
      <w:tblGrid>
        <w:gridCol w:w="620"/>
        <w:gridCol w:w="140"/>
        <w:gridCol w:w="140"/>
        <w:gridCol w:w="9305"/>
      </w:tblGrid>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left"/>
              <w:rPr/>
            </w:pPr>
            <w:r>
              <w:rPr/>
              <w:t> </w:t>
            </w:r>
          </w:p>
        </w:tc>
      </w:tr>
      <w:tr>
        <w:trPr/>
        <w:tc>
          <w:tcPr>
            <w:tcW w:w="6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Underwriting Agreement.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Distribution Agreement.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10">
              <w:r>
                <w:rPr>
                  <w:rStyle w:val="InternetLink"/>
                  <w:rFonts w:ascii="Times New Roman;Times;serif" w:hAnsi="Times New Roman;Times;serif"/>
                  <w:color w:val="000000"/>
                  <w:sz w:val="20"/>
                </w:rPr>
                <w:t># 4.1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Indenture, dated August 8, 2013, by and between Westinghouse Air Brake Technologies Corporation and Wells Fargo Bank, National Association, as Trustee (incorporated by reference to Exhibit 4.1 to the Current Report on Form 8-K filed by Westinghouse Air Brake Technologies Corporation on August 8, 2013).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11">
              <w:r>
                <w:rPr>
                  <w:rStyle w:val="InternetLink"/>
                  <w:rFonts w:ascii="Times New Roman;Times;serif" w:hAnsi="Times New Roman;Times;serif"/>
                  <w:color w:val="000000"/>
                  <w:sz w:val="20"/>
                </w:rPr>
                <w:t># 4.2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Second Supplemental Indenture, dated as of November 3, 2016, by and among Westinghouse Air Brake Technologies Corporation, the subsidiary guarantors named therein and Wells Fargo Bank, National Association, as trustee (incorporated herein by reference to Exhibit 4.2 to Westinghouse Air Brake Technologies Corporation’s Current Report on Form 8-K filed on November 3, 2016).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12">
              <w:r>
                <w:rPr>
                  <w:rStyle w:val="InternetLink"/>
                  <w:rFonts w:ascii="Times New Roman;Times;serif" w:hAnsi="Times New Roman;Times;serif"/>
                  <w:color w:val="000000"/>
                  <w:sz w:val="20"/>
                </w:rPr>
                <w:t># 4.3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Third Supplemental Indenture, dated as of November 3, 2016, by and among Westinghouse Air Brake Technologies Corporation, the subsidiary guarantors named therein and Wells Fargo Bank, National Association, as trustee (incorporated herein by reference to Exhibit 4.3 to Westinghouse Air Brake Technologies Corporation’s Current Report on Form 8-K filed on November 3, 2016).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13">
              <w:r>
                <w:rPr>
                  <w:rStyle w:val="InternetLink"/>
                  <w:rFonts w:ascii="Times New Roman;Times;serif" w:hAnsi="Times New Roman;Times;serif"/>
                  <w:color w:val="000000"/>
                  <w:sz w:val="20"/>
                </w:rPr>
                <w:t># 4.4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3.450% Senior Note due 2026 (included in Exhibit 4.3).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14">
              <w:r>
                <w:rPr>
                  <w:rStyle w:val="InternetLink"/>
                  <w:rFonts w:ascii="Times New Roman;Times;serif" w:hAnsi="Times New Roman;Times;serif"/>
                  <w:color w:val="000000"/>
                  <w:sz w:val="20"/>
                </w:rPr>
                <w:t># 4.5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Fourth Supplemental Indenture, dated as of February 9, 2017, by and among Westinghouse Air Brake Technologies Corporation, the subsidiary guarantors named therein and Wells Fargo Bank, National Association, as trustee (incorporated herein by reference to Exhibit 4.9 to Westinghouse Air Brake Technologies Corporation’s Annual Report on Form 10-K filed on February 28, 2017).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15">
              <w:r>
                <w:rPr>
                  <w:rStyle w:val="InternetLink"/>
                  <w:rFonts w:ascii="Times New Roman;Times;serif" w:hAnsi="Times New Roman;Times;serif"/>
                  <w:color w:val="000000"/>
                  <w:sz w:val="20"/>
                </w:rPr>
                <w:t># 4.6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Fifth Supplemental Indenture, dated as of April 28, 2017, by and among Westinghouse Air Brake Technologies Corporation, the subsidiary guarantors named therein and Wells Fargo Bank, National Association, as trustee (incorporated herein by reference to Exhibit 4.1 to Westinghouse Air Brake Technologies Corporation’s Quarterly Report on Form 10-Q filed on May 4, 2017).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16">
              <w:r>
                <w:rPr>
                  <w:rStyle w:val="InternetLink"/>
                  <w:rFonts w:ascii="Times New Roman;Times;serif" w:hAnsi="Times New Roman;Times;serif"/>
                  <w:color w:val="000000"/>
                  <w:sz w:val="20"/>
                </w:rPr>
                <w:t># 4.7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Sixth Supplemental Indenture, dated as of June 21, 2017, by and among Westinghouse Air Brake Technologies Corporation, the subsidiary guarantors named therein and Wells Fargo Bank, National Association, as trustee (incorporated by reference to Exhibit 4.10 to the Registration Statement on Form S-4 filed by Westinghouse Air Brake Technologies Corporation on July 19, 2017).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17">
              <w:r>
                <w:rPr>
                  <w:rStyle w:val="InternetLink"/>
                  <w:rFonts w:ascii="Times New Roman;Times;serif" w:hAnsi="Times New Roman;Times;serif"/>
                  <w:color w:val="000000"/>
                  <w:sz w:val="20"/>
                </w:rPr>
                <w:t># 4.8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Seventh Supplemental Indenture, dated as of June 8, 2018, by and among Westinghouse Air Brake Technologies Corporation, the subsidiary guarantors named therein and Wells Fargo Bank, National Association, as trustee (incorporated by reference to Exhibit 4.10 to Westinghouse Air Brake Technologies Corporation’s Quarterly Report on Form 10-Q filed on July 31, 2018).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18">
              <w:r>
                <w:rPr>
                  <w:rStyle w:val="InternetLink"/>
                  <w:rFonts w:ascii="Times New Roman;Times;serif" w:hAnsi="Times New Roman;Times;serif"/>
                  <w:color w:val="000000"/>
                  <w:sz w:val="20"/>
                </w:rPr>
                <w:t># 4.9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Eighth Supplemental Indenture, dated as of June 29, 2018, by and among Westinghouse Air Brake Technologies Corporation, the subsidiary guarantors named therein and Wells Fargo Bank, National Association, as trustee (incorporated by reference to Exhibit 4.11 to Westinghouse Air Brake Technologies Corporation’s Quarterly Report on Form 10-Q filed on July 31, 2018).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83847x1_s3asr_300-part2_pg5"/>
        <w:bookmarkEnd w:id="4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20"/>
        <w:gridCol w:w="140"/>
        <w:gridCol w:w="140"/>
        <w:gridCol w:w="9305"/>
      </w:tblGrid>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left"/>
              <w:rPr/>
            </w:pPr>
            <w:r>
              <w:rPr/>
              <w:t> </w:t>
            </w:r>
          </w:p>
        </w:tc>
      </w:tr>
      <w:tr>
        <w:trPr/>
        <w:tc>
          <w:tcPr>
            <w:tcW w:w="6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20" w:type="dxa"/>
            <w:tcBorders/>
            <w:shd w:fill="CCEEFF" w:val="clear"/>
            <w:vAlign w:val="center"/>
          </w:tcPr>
          <w:p>
            <w:pPr>
              <w:pStyle w:val="TableContents"/>
              <w:bidi w:val="0"/>
              <w:spacing w:before="0" w:after="283"/>
              <w:ind w:left="0" w:right="0" w:hanging="0"/>
              <w:jc w:val="left"/>
              <w:rPr/>
            </w:pPr>
            <w:hyperlink r:id="rId19">
              <w:r>
                <w:rPr>
                  <w:rStyle w:val="InternetLink"/>
                  <w:rFonts w:ascii="Times New Roman;Times;serif" w:hAnsi="Times New Roman;Times;serif"/>
                  <w:color w:val="000000"/>
                  <w:sz w:val="20"/>
                </w:rPr>
                <w:t># 4.10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Ninth Supplemental Indenture, dated as of September 14, 2018, by and among Westinghouse Air Brake Technologies Corporation, the subsidiary guarantors named therein and Wells Fargo Bank, National Association, as trustee (incorporated by reference to Exhibit 4.3 to Westinghouse Air Brake Technologies Corporation’s Current Report on Form 8-K filed on September 14, 2018).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20">
              <w:r>
                <w:rPr>
                  <w:rStyle w:val="InternetLink"/>
                  <w:rFonts w:ascii="Times New Roman;Times;serif" w:hAnsi="Times New Roman;Times;serif"/>
                  <w:color w:val="000000"/>
                  <w:sz w:val="20"/>
                </w:rPr>
                <w:t># 4.11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4.70% Senior Note due 2028 (included in Exhibit 4.10).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21">
              <w:r>
                <w:rPr>
                  <w:rStyle w:val="InternetLink"/>
                  <w:rFonts w:ascii="Times New Roman;Times;serif" w:hAnsi="Times New Roman;Times;serif"/>
                  <w:color w:val="000000"/>
                  <w:sz w:val="20"/>
                </w:rPr>
                <w:t># 4.12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Tenth Supplemental Indenture, dated as of June 6, 2019, by and among Westinghouse Air Brake Technologies Corporation, the subsidiary guarantors named therein and Wells Fargo Bank, National Association, as trustee (incorporated by reference to Exhibit 4.1 to Westinghouse Air Brake Technologies Corporation’s Quarterly Report on Form 10-Q filed on August 1, 2019).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22">
              <w:r>
                <w:rPr>
                  <w:rStyle w:val="InternetLink"/>
                  <w:rFonts w:ascii="Times New Roman;Times;serif" w:hAnsi="Times New Roman;Times;serif"/>
                  <w:color w:val="000000"/>
                  <w:sz w:val="20"/>
                </w:rPr>
                <w:t># 4.13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Twelfth Supplemental Indenture, dated as of March 11, 2024, by and among Westinghouse Air Brake Technologies Corporation, the subsidiary guarantors party thereto, Computershare Trust Company, National Association (as successor to Wells Fargo Bank, National Association) and U.S. Bank Trust Company, National Association, as trustee for the notes (incorporated by reference to Exhibit 4.3 to Westinghouse Air Brake Technologies Corporation’s Current Report on Form 8-K filed on March 11, 2024).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23">
              <w:r>
                <w:rPr>
                  <w:rStyle w:val="InternetLink"/>
                  <w:rFonts w:ascii="Times New Roman;Times;serif" w:hAnsi="Times New Roman;Times;serif"/>
                  <w:color w:val="000000"/>
                  <w:sz w:val="20"/>
                </w:rPr>
                <w:t># 4.14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5.611% Senior Note due 2034 (included in Exhibit 4.13).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24">
              <w:r>
                <w:rPr>
                  <w:rStyle w:val="InternetLink"/>
                  <w:rFonts w:ascii="Times New Roman;Times;serif" w:hAnsi="Times New Roman;Times;serif"/>
                  <w:color w:val="000000"/>
                  <w:sz w:val="20"/>
                </w:rPr>
                <w:t># 4.15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Thirteenth Supplemental Indenture, dated as of May 14, 2025, by and among Westinghouse Air Brake Technologies Corporation, the subsidiary guarantors party thereto, Computershare Trust Company, National Association (as successor to Wells Fargo Bank, National Association) and U.S. Bank Trust Company, National Association (incorporated by reference to Exhibit 4.24 to Westinghouse Air Brake Technologies Corporation’s Annual Report on Form 10-K filed on February 13, 2026).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25">
              <w:r>
                <w:rPr>
                  <w:rStyle w:val="InternetLink"/>
                  <w:rFonts w:ascii="Times New Roman;Times;serif" w:hAnsi="Times New Roman;Times;serif"/>
                  <w:color w:val="000000"/>
                  <w:sz w:val="20"/>
                </w:rPr>
                <w:t># 4.16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Fourteenth Supplemental Indenture, dated May 29, 2025, by and among Westinghouse Air Brake Technologies Corporation, the subsidiary guarantors party thereto, Computershare Trust Company, National Association (as successor to Wells Fargo Bank, National Association) and U.S. Bank Trust Company, National Association, as trustee for the notes (incorporated by reference to Exhibit 4.25 to Westinghouse Air Brake Technologies Corporation’s Annual Report on Form 10-K filed on February 13, 2026).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26">
              <w:r>
                <w:rPr>
                  <w:rStyle w:val="InternetLink"/>
                  <w:rFonts w:ascii="Times New Roman;Times;serif" w:hAnsi="Times New Roman;Times;serif"/>
                  <w:color w:val="000000"/>
                  <w:sz w:val="20"/>
                </w:rPr>
                <w:t># 4.17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4.900% Senior Note due 2030 (including the Notation of Guarantee) (included in Exhibit 4.16).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27">
              <w:r>
                <w:rPr>
                  <w:rStyle w:val="InternetLink"/>
                  <w:rFonts w:ascii="Times New Roman;Times;serif" w:hAnsi="Times New Roman;Times;serif"/>
                  <w:color w:val="000000"/>
                  <w:sz w:val="20"/>
                </w:rPr>
                <w:t># 4.18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5.500% Senior Note due 2035 (including the Notation of Guarantee) (included in Exhibit 4.16).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28">
              <w:r>
                <w:rPr>
                  <w:rStyle w:val="InternetLink"/>
                  <w:rFonts w:ascii="Times New Roman;Times;serif" w:hAnsi="Times New Roman;Times;serif"/>
                  <w:color w:val="000000"/>
                  <w:sz w:val="20"/>
                </w:rPr>
                <w:t># 4.19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Base Indenture, dated as of June 3, 2021, among Wabtec Transportation Netherlands B.V., as issuer, Westinghouse Air Brake Technologies Corporation, as guarantor, and U.S. Bank National Association, as trustee (incorporated by reference to Exhibit 4.1 to Westinghouse Air Brake Technologies Corporation’s Current Report on Form 8-K filed on June 3, 2021).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29">
              <w:r>
                <w:rPr>
                  <w:rStyle w:val="InternetLink"/>
                  <w:rFonts w:ascii="Times New Roman;Times;serif" w:hAnsi="Times New Roman;Times;serif"/>
                  <w:color w:val="000000"/>
                  <w:sz w:val="20"/>
                </w:rPr>
                <w:t># 4.20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First Supplemental Indenture, dated as of June 3, 2021, among Wabtec Transportation Netherlands B.V., as issuer, Westinghouse Air Brake Technologies Corporation, as guarantor, and U.S. Bank National Association, as trustee (incorporated by reference to Exhibit 4.2 to Westinghouse Air Brake Technologies Corporation’s Current Report on Form 8-K filed on June 3, 2021).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30">
              <w:r>
                <w:rPr>
                  <w:rStyle w:val="InternetLink"/>
                  <w:rFonts w:ascii="Times New Roman;Times;serif" w:hAnsi="Times New Roman;Times;serif"/>
                  <w:color w:val="000000"/>
                  <w:sz w:val="20"/>
                </w:rPr>
                <w:t># 4.21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1.250% Notes due 2027 (included in Exhibit 4.20).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w:anchor="ny20083847x1_ex4-22.htm">
              <w:r>
                <w:rPr>
                  <w:rStyle w:val="InternetLink"/>
                  <w:rFonts w:ascii="Times New Roman;Times;serif" w:hAnsi="Times New Roman;Times;serif"/>
                  <w:color w:val="000000"/>
                  <w:sz w:val="20"/>
                </w:rPr>
                <w:t>+ 4.22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Indenture for Senior Debt.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83847x1_s3asr_300-part2_pg6"/>
        <w:bookmarkEnd w:id="4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20"/>
        <w:gridCol w:w="140"/>
        <w:gridCol w:w="140"/>
        <w:gridCol w:w="9305"/>
      </w:tblGrid>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left"/>
              <w:rPr/>
            </w:pPr>
            <w:r>
              <w:rPr/>
              <w:t> </w:t>
            </w:r>
          </w:p>
        </w:tc>
      </w:tr>
      <w:tr>
        <w:trPr/>
        <w:tc>
          <w:tcPr>
            <w:tcW w:w="6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20" w:type="dxa"/>
            <w:tcBorders/>
            <w:shd w:fill="CCEEFF" w:val="clear"/>
            <w:vAlign w:val="center"/>
          </w:tcPr>
          <w:p>
            <w:pPr>
              <w:pStyle w:val="TableContents"/>
              <w:bidi w:val="0"/>
              <w:spacing w:before="0" w:after="283"/>
              <w:ind w:left="0" w:right="0" w:hanging="0"/>
              <w:jc w:val="left"/>
              <w:rPr/>
            </w:pPr>
            <w:hyperlink w:anchor="ny20083847x1_ex4-23.htm">
              <w:r>
                <w:rPr>
                  <w:rStyle w:val="InternetLink"/>
                  <w:rFonts w:ascii="Times New Roman;Times;serif" w:hAnsi="Times New Roman;Times;serif"/>
                  <w:color w:val="000000"/>
                  <w:sz w:val="20"/>
                </w:rPr>
                <w:t>+ 4.23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Indenture for Subordinated Debt.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4.24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Senior Debt Security.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4.25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Subordinated Debt Security.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4.26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Warrant Agreement.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4.27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Warrant Certificate.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4.28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Deposit Agreement.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4.29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Depositary Receipt.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4.30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Purchase Contract Agreement.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4.31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Purchase Contract Security.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4.32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Purchase Unit Agreement.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4.33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Purchase Unit Certificate.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4.34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Certificate of Common Stock (incorporated by reference to Exhibit 5 to the Registration Statement on Form 8-A filed by Westinghouse Air Brake Technologies Corporation on May 19, 1995).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4.35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Certificate of Preferred Stock.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4.36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Guarantee.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w:anchor="ny20083847x1_ex5-1.htm">
              <w:r>
                <w:rPr>
                  <w:rStyle w:val="InternetLink"/>
                  <w:rFonts w:ascii="Times New Roman;Times;serif" w:hAnsi="Times New Roman;Times;serif"/>
                  <w:color w:val="000000"/>
                  <w:sz w:val="20"/>
                </w:rPr>
                <w:t>+ 5.1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Jones Day (as to securities that may be offered under this Registration Statement by Westinghouse Air Brake Technologies Corporation and certain subsidiary guarantors).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w:anchor="ny20083847x1_ex5-2.htm">
              <w:r>
                <w:rPr>
                  <w:rStyle w:val="InternetLink"/>
                  <w:rFonts w:ascii="Times New Roman;Times;serif" w:hAnsi="Times New Roman;Times;serif"/>
                  <w:color w:val="000000"/>
                  <w:sz w:val="20"/>
                </w:rPr>
                <w:t>+ 5.2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Snell &amp; Wilmer L.L.P. (as to securities that may be offered under this Registration Statement by Transportation Systems Services Operations Inc.).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w:anchor="ny20083847x1_ex23-1.htm">
              <w:r>
                <w:rPr>
                  <w:rStyle w:val="InternetLink"/>
                  <w:rFonts w:ascii="Times New Roman;Times;serif" w:hAnsi="Times New Roman;Times;serif"/>
                  <w:color w:val="000000"/>
                  <w:sz w:val="20"/>
                </w:rPr>
                <w:t>+ 23.1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Ernst &amp; Young LLP.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w:anchor="ny20083847x1_ex5-1.htm">
              <w:r>
                <w:rPr>
                  <w:rStyle w:val="InternetLink"/>
                  <w:rFonts w:ascii="Times New Roman;Times;serif" w:hAnsi="Times New Roman;Times;serif"/>
                  <w:color w:val="000000"/>
                  <w:sz w:val="20"/>
                </w:rPr>
                <w:t>+ 23.2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Jones Day (included as part of Exhibit 5.1).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w:anchor="ny20083847x1_ex5-2.htm">
              <w:r>
                <w:rPr>
                  <w:rStyle w:val="InternetLink"/>
                  <w:rFonts w:ascii="Times New Roman;Times;serif" w:hAnsi="Times New Roman;Times;serif"/>
                  <w:color w:val="000000"/>
                  <w:sz w:val="20"/>
                </w:rPr>
                <w:t>+ 23.3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Snell &amp; Wilmer L.L.P. (included as part of Exhibit 5.2).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w:anchor="tPOA">
              <w:r>
                <w:rPr>
                  <w:rStyle w:val="InternetLink"/>
                  <w:rFonts w:ascii="Times New Roman;Times;serif" w:hAnsi="Times New Roman;Times;serif"/>
                  <w:color w:val="000000"/>
                  <w:sz w:val="20"/>
                </w:rPr>
                <w:t>+ 24.1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Powers of Attorney (included on signature pages to this Registration Statement).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w:anchor="ny20083847x1_ex25-1.htm">
              <w:r>
                <w:rPr>
                  <w:rStyle w:val="InternetLink"/>
                  <w:rFonts w:ascii="Times New Roman;Times;serif" w:hAnsi="Times New Roman;Times;serif"/>
                  <w:color w:val="000000"/>
                  <w:sz w:val="20"/>
                </w:rPr>
                <w:t>+ 25.1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T-1 Statement of Eligibility of U.S. Bank Trust Company, National Association under the Indenture, dated as of August 8, 2013.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w:anchor="ny20083847x1_ex25-2.htm">
              <w:r>
                <w:rPr>
                  <w:rStyle w:val="InternetLink"/>
                  <w:rFonts w:ascii="Times New Roman;Times;serif" w:hAnsi="Times New Roman;Times;serif"/>
                  <w:color w:val="000000"/>
                  <w:sz w:val="20"/>
                </w:rPr>
                <w:t>+ 25.2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T-1 Statement of Eligibility of U.S. Bank Trust Company, National Association under the Senior Debt Indenture. </w:t>
            </w:r>
          </w:p>
        </w:tc>
      </w:tr>
      <w:tr>
        <w:trPr/>
        <w:tc>
          <w:tcPr>
            <w:tcW w:w="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83847x1_s3asr_300-part2_pg7"/>
        <w:bookmarkEnd w:id="4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50"/>
        <w:gridCol w:w="140"/>
        <w:gridCol w:w="140"/>
        <w:gridCol w:w="9275"/>
      </w:tblGrid>
      <w:tr>
        <w:trPr/>
        <w:tc>
          <w:tcPr>
            <w:tcW w:w="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75" w:type="dxa"/>
            <w:tcBorders/>
            <w:vAlign w:val="center"/>
          </w:tcPr>
          <w:p>
            <w:pPr>
              <w:pStyle w:val="TableContents"/>
              <w:bidi w:val="0"/>
              <w:spacing w:before="0" w:after="0"/>
              <w:jc w:val="left"/>
              <w:rPr/>
            </w:pPr>
            <w:r>
              <w:rPr/>
              <w:t> </w:t>
            </w:r>
          </w:p>
        </w:tc>
      </w:tr>
      <w:tr>
        <w:trPr/>
        <w:tc>
          <w:tcPr>
            <w:tcW w:w="6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50" w:type="dxa"/>
            <w:tcBorders/>
            <w:shd w:fill="CCEEFF" w:val="clear"/>
            <w:vAlign w:val="center"/>
          </w:tcPr>
          <w:p>
            <w:pPr>
              <w:pStyle w:val="TableContents"/>
              <w:bidi w:val="0"/>
              <w:spacing w:before="0" w:after="283"/>
              <w:ind w:left="0" w:right="0" w:hanging="0"/>
              <w:jc w:val="left"/>
              <w:rPr/>
            </w:pPr>
            <w:hyperlink w:anchor="ny20083847x1_ex25-3.htm">
              <w:r>
                <w:rPr>
                  <w:rStyle w:val="InternetLink"/>
                  <w:rFonts w:ascii="Times New Roman;Times;serif" w:hAnsi="Times New Roman;Times;serif"/>
                  <w:color w:val="000000"/>
                  <w:sz w:val="20"/>
                </w:rPr>
                <w:t>+ 25.3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T-1 Statement of Eligibility of U.S. Bank Trust Company, National Association under the Subordinated Debt Indenture. </w:t>
            </w:r>
          </w:p>
        </w:tc>
      </w:tr>
      <w:tr>
        <w:trPr/>
        <w:tc>
          <w:tcPr>
            <w:tcW w:w="6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75" w:type="dxa"/>
            <w:tcBorders/>
            <w:vAlign w:val="center"/>
          </w:tcPr>
          <w:p>
            <w:pPr>
              <w:pStyle w:val="TableContents"/>
              <w:bidi w:val="0"/>
              <w:spacing w:before="0" w:after="0"/>
              <w:jc w:val="center"/>
              <w:rPr>
                <w:color w:val="000000"/>
              </w:rPr>
            </w:pPr>
            <w:r>
              <w:rPr>
                <w:color w:val="000000"/>
              </w:rPr>
              <w:t> </w:t>
            </w:r>
          </w:p>
        </w:tc>
      </w:tr>
      <w:tr>
        <w:trPr/>
        <w:tc>
          <w:tcPr>
            <w:tcW w:w="650" w:type="dxa"/>
            <w:tcBorders/>
            <w:shd w:fill="CCEEFF" w:val="clear"/>
            <w:vAlign w:val="center"/>
          </w:tcPr>
          <w:p>
            <w:pPr>
              <w:pStyle w:val="TableContents"/>
              <w:bidi w:val="0"/>
              <w:spacing w:before="0" w:after="283"/>
              <w:ind w:left="0" w:right="0" w:hanging="0"/>
              <w:jc w:val="left"/>
              <w:rPr/>
            </w:pPr>
            <w:hyperlink w:anchor="ny20083847x1_ex107.htm">
              <w:r>
                <w:rPr>
                  <w:rStyle w:val="InternetLink"/>
                  <w:rFonts w:ascii="Times New Roman;Times;serif" w:hAnsi="Times New Roman;Times;serif"/>
                  <w:color w:val="000000"/>
                  <w:sz w:val="20"/>
                </w:rPr>
                <w:t>+ 107.1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Filing Fee Table.</w:t>
            </w:r>
          </w:p>
        </w:tc>
      </w:tr>
      <w:tr>
        <w:trPr/>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7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be filed either by amendment to this Registration Statement or as an exhibit to a report filed under the Securities Exchange Act of 1934, as amended, and incorporated herein by reference. </w:t>
            </w:r>
          </w:p>
        </w:tc>
      </w:tr>
    </w:tbl>
    <w:tbl>
      <w:tblPr>
        <w:tblW w:w="1210" w:type="dxa"/>
        <w:jc w:val="left"/>
        <w:tblInd w:w="0" w:type="dxa"/>
        <w:tblLayout w:type="fixed"/>
        <w:tblCellMar>
          <w:top w:w="0" w:type="dxa"/>
          <w:left w:w="0" w:type="dxa"/>
          <w:bottom w:w="0" w:type="dxa"/>
          <w:right w:w="0" w:type="dxa"/>
        </w:tblCellMar>
      </w:tblPr>
      <w:tblGrid>
        <w:gridCol w:w="110"/>
        <w:gridCol w:w="110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Filed herewith. </w:t>
            </w:r>
          </w:p>
        </w:tc>
      </w:tr>
    </w:tbl>
    <w:tbl>
      <w:tblPr>
        <w:tblW w:w="1315" w:type="dxa"/>
        <w:jc w:val="left"/>
        <w:tblInd w:w="0" w:type="dxa"/>
        <w:tblLayout w:type="fixed"/>
        <w:tblCellMar>
          <w:top w:w="0" w:type="dxa"/>
          <w:left w:w="0" w:type="dxa"/>
          <w:bottom w:w="0" w:type="dxa"/>
          <w:right w:w="0" w:type="dxa"/>
        </w:tblCellMar>
      </w:tblPr>
      <w:tblGrid>
        <w:gridCol w:w="110"/>
        <w:gridCol w:w="120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Previously filed. </w:t>
            </w:r>
          </w:p>
        </w:tc>
      </w:tr>
    </w:tbl>
    <w:tbl>
      <w:tblPr>
        <w:tblW w:w="1960" w:type="dxa"/>
        <w:jc w:val="left"/>
        <w:tblInd w:w="0" w:type="dxa"/>
        <w:tblLayout w:type="fixed"/>
        <w:tblCellMar>
          <w:top w:w="0" w:type="dxa"/>
          <w:left w:w="0" w:type="dxa"/>
          <w:bottom w:w="0" w:type="dxa"/>
          <w:right w:w="0" w:type="dxa"/>
        </w:tblCellMar>
      </w:tblPr>
      <w:tblGrid>
        <w:gridCol w:w="710"/>
        <w:gridCol w:w="125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17.</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file, during any period in which offers or sales are being made, a post-effective amendment to this registration statement: </w:t>
            </w:r>
          </w:p>
        </w:tc>
      </w:tr>
    </w:tbl>
    <w:tbl>
      <w:tblPr>
        <w:tblW w:w="7150" w:type="dxa"/>
        <w:jc w:val="left"/>
        <w:tblInd w:w="0" w:type="dxa"/>
        <w:tblLayout w:type="fixed"/>
        <w:tblCellMar>
          <w:top w:w="0" w:type="dxa"/>
          <w:left w:w="0" w:type="dxa"/>
          <w:bottom w:w="0" w:type="dxa"/>
          <w:right w:w="0" w:type="dxa"/>
        </w:tblCellMar>
      </w:tblPr>
      <w:tblGrid>
        <w:gridCol w:w="200"/>
        <w:gridCol w:w="695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6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prospectus required by Section 10(a)(3) of the Securities Act of 1933;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the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Filing Fee” table in the effective registration statement; and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color w:val="000000"/>
          <w:sz w:val="20"/>
        </w:rPr>
        <w:t>however</w:t>
      </w:r>
      <w:r>
        <w:rPr>
          <w:rFonts w:ascii="Times New Roman;Times;serif" w:hAnsi="Times New Roman;Times;serif"/>
          <w:i w:val="false"/>
          <w:caps w:val="false"/>
          <w:smallCaps w:val="false"/>
          <w:color w:val="000000"/>
          <w:sz w:val="20"/>
        </w:rPr>
        <w:t xml:space="preserve">,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remove from registration by means of a post-effective amendment any of the securities being registered which remain unsold at the termination of the offering. </w:t>
            </w:r>
          </w:p>
        </w:tc>
      </w:tr>
    </w:tbl>
    <w:tbl>
      <w:tblPr>
        <w:tblW w:w="8035" w:type="dxa"/>
        <w:jc w:val="left"/>
        <w:tblInd w:w="0" w:type="dxa"/>
        <w:tblLayout w:type="fixed"/>
        <w:tblCellMar>
          <w:top w:w="0" w:type="dxa"/>
          <w:left w:w="0" w:type="dxa"/>
          <w:bottom w:w="0" w:type="dxa"/>
          <w:right w:w="0" w:type="dxa"/>
        </w:tblCellMar>
      </w:tblPr>
      <w:tblGrid>
        <w:gridCol w:w="245"/>
        <w:gridCol w:w="779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7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under the Securities Act of 1933 to any purchaser: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83847x1_s3asr_300-part2_pg8"/>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of the registrant under the Securities Act of 1933 to any purchaser in the initial distribution of the securities: </w:t>
            </w:r>
          </w:p>
        </w:tc>
      </w:tr>
    </w:tbl>
    <w:p>
      <w:pPr>
        <w:pStyle w:val="TextBody"/>
        <w:bidi w:val="0"/>
        <w:spacing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preliminary prospectus or prospectus of the undersigned registrant relating to the offering required to be filed pursuant to Rule 424;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free writing prospectus relating to the offering prepared by or on behalf of the undersigned registrant or used or referred to by the undersigned registrant;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portion of any other free writing prospectus relating to the offering containing material information about the undersigned registrant or its securities provided by or on behalf of the undersigned registrant; and </w:t>
            </w:r>
          </w:p>
        </w:tc>
      </w:tr>
    </w:tbl>
    <w:tbl>
      <w:tblPr>
        <w:tblW w:w="9175" w:type="dxa"/>
        <w:jc w:val="left"/>
        <w:tblInd w:w="0" w:type="dxa"/>
        <w:tblLayout w:type="fixed"/>
        <w:tblCellMar>
          <w:top w:w="0" w:type="dxa"/>
          <w:left w:w="0" w:type="dxa"/>
          <w:bottom w:w="0" w:type="dxa"/>
          <w:right w:w="0" w:type="dxa"/>
        </w:tblCellMar>
      </w:tblPr>
      <w:tblGrid>
        <w:gridCol w:w="305"/>
        <w:gridCol w:w="887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8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communication that is an offer in the offering made by the undersigned registrant to the purchaser.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83847x1_s3asr_400-sig_pg1"/>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Pittsburgh, Commonwealth of Pennsylvania on October 21, 2026. </w:t>
      </w:r>
    </w:p>
    <w:tbl>
      <w:tblPr>
        <w:tblW w:w="6379" w:type="dxa"/>
        <w:jc w:val="left"/>
        <w:tblInd w:w="0" w:type="dxa"/>
        <w:tblLayout w:type="fixed"/>
        <w:tblCellMar>
          <w:top w:w="0" w:type="dxa"/>
          <w:left w:w="0" w:type="dxa"/>
          <w:bottom w:w="0" w:type="dxa"/>
          <w:right w:w="0" w:type="dxa"/>
        </w:tblCellMar>
      </w:tblPr>
      <w:tblGrid>
        <w:gridCol w:w="155"/>
        <w:gridCol w:w="140"/>
        <w:gridCol w:w="140"/>
        <w:gridCol w:w="675"/>
        <w:gridCol w:w="160"/>
        <w:gridCol w:w="160"/>
        <w:gridCol w:w="494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44"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44"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WESTINGHOUSE AIR BRAKE TECHNOLOGIES CORPORATION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color w:val="000000"/>
              </w:rPr>
            </w:pPr>
            <w:r>
              <w:rPr>
                <w:color w:val="000000"/>
              </w:rPr>
              <w:t> </w:t>
            </w:r>
          </w:p>
        </w:tc>
        <w:tc>
          <w:tcPr>
            <w:tcW w:w="160"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160"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pPr>
            <w:r>
              <w:rPr/>
              <w:t> </w:t>
            </w:r>
          </w:p>
        </w:tc>
        <w:tc>
          <w:tcPr>
            <w:tcW w:w="49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John A. Olin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160"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A. Olin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w:t>
            </w:r>
          </w:p>
        </w:tc>
        <w:tc>
          <w:tcPr>
            <w:tcW w:w="160"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0"/>
              <w:jc w:val="left"/>
              <w:rPr/>
            </w:pPr>
            <w:r>
              <w:rPr/>
              <w:t> </w:t>
            </w:r>
          </w:p>
        </w:tc>
      </w:tr>
    </w:tbl>
    <w:p>
      <w:pPr>
        <w:pStyle w:val="TextBody"/>
        <w:bidi w:val="0"/>
        <w:spacing w:before="240" w:after="283"/>
        <w:jc w:val="center"/>
        <w:rPr>
          <w:rFonts w:ascii="Times New Roman;Times;serif" w:hAnsi="Times New Roman;Times;serif"/>
          <w:b/>
          <w:color w:val="000000"/>
          <w:sz w:val="20"/>
        </w:rPr>
      </w:pPr>
      <w:bookmarkStart w:id="51" w:name="tPOA"/>
      <w:bookmarkEnd w:id="51"/>
      <w:r>
        <w:rPr>
          <w:rFonts w:ascii="Times New Roman;Times;serif" w:hAnsi="Times New Roman;Times;serif"/>
          <w:b/>
          <w:color w:val="000000"/>
          <w:sz w:val="20"/>
        </w:rPr>
        <w:t xml:space="preserve">POWER OF ATTORNEY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undersigned directors and officers of Westinghouse Air Brake Technologies Corporation, a Delaware corporation, do hereby constitute and appoint John A. Olin, David L. DeNinno and Kelly L. Pietracatello, or any of them, the undersigned’s true and lawful attorneys and agents, with full power of substitution and resubstitution in each, to do any and all acts and things in our name and on our behalf in our respective capacities as directors and officers and to execute any and all instruments for us and in our names in the capacities indicated below, which said attorneys and agents, or any of them, may deem necessary or advisable to enable said corporation to comply with the Securities Act, as amended, and any rules, regulations and requirements of the Securities and Exchange Commission, in connection with this Registration Statement, including specifically, but without limitation, power and authority to sign for us or any of us in our names in the capacities indicated below, any and all amendments (including post-effective amendments, whether pursuant to Rule 462(b) or otherwise) hereto, and each of the undersigned does hereby ratify and confirm all that said attorneys and agents, or any of them or any substitute, shall do or cause to be done by virtue hereof. This Power of Attorney may be executed in any number of counterparts.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this Registration Statement has been signed by the following persons in the capacities and on the dates indicated. </w:t>
      </w:r>
    </w:p>
    <w:tbl>
      <w:tblPr>
        <w:tblW w:w="10205" w:type="dxa"/>
        <w:jc w:val="left"/>
        <w:tblInd w:w="0" w:type="dxa"/>
        <w:tblLayout w:type="fixed"/>
        <w:tblCellMar>
          <w:top w:w="0" w:type="dxa"/>
          <w:left w:w="0" w:type="dxa"/>
          <w:bottom w:w="0" w:type="dxa"/>
          <w:right w:w="0" w:type="dxa"/>
        </w:tblCellMar>
      </w:tblPr>
      <w:tblGrid>
        <w:gridCol w:w="1879"/>
        <w:gridCol w:w="140"/>
        <w:gridCol w:w="140"/>
        <w:gridCol w:w="6357"/>
        <w:gridCol w:w="140"/>
        <w:gridCol w:w="140"/>
        <w:gridCol w:w="1409"/>
      </w:tblGrid>
      <w:tr>
        <w:trPr/>
        <w:tc>
          <w:tcPr>
            <w:tcW w:w="18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9" w:type="dxa"/>
            <w:tcBorders/>
            <w:vAlign w:val="center"/>
          </w:tcPr>
          <w:p>
            <w:pPr>
              <w:pStyle w:val="TableContents"/>
              <w:bidi w:val="0"/>
              <w:spacing w:before="0" w:after="0"/>
              <w:jc w:val="left"/>
              <w:rPr/>
            </w:pPr>
            <w:r>
              <w:rPr/>
              <w:t> </w:t>
            </w:r>
          </w:p>
        </w:tc>
      </w:tr>
      <w:tr>
        <w:trPr/>
        <w:tc>
          <w:tcPr>
            <w:tcW w:w="18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9" w:type="dxa"/>
            <w:tcBorders/>
            <w:vAlign w:val="center"/>
          </w:tcPr>
          <w:p>
            <w:pPr>
              <w:pStyle w:val="TableContents"/>
              <w:bidi w:val="0"/>
              <w:spacing w:before="0" w:after="0"/>
              <w:jc w:val="left"/>
              <w:rPr>
                <w:color w:val="000000"/>
              </w:rPr>
            </w:pPr>
            <w:r>
              <w:rPr>
                <w:color w:val="000000"/>
              </w:rPr>
              <w:t> </w:t>
            </w:r>
          </w:p>
        </w:tc>
      </w:tr>
      <w:tr>
        <w:trPr/>
        <w:tc>
          <w:tcPr>
            <w:tcW w:w="187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Rafael Santana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357"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Chief Executive Officer and Chairman of the Board (Principal Executive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09"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8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Rafael Santana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357"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9" w:type="dxa"/>
            <w:vMerge w:val="continue"/>
            <w:tcBorders/>
            <w:vAlign w:val="center"/>
          </w:tcPr>
          <w:p>
            <w:pPr>
              <w:pStyle w:val="Normal"/>
              <w:bidi w:val="0"/>
              <w:jc w:val="left"/>
              <w:rPr/>
            </w:pPr>
            <w:r>
              <w:rPr/>
            </w:r>
          </w:p>
        </w:tc>
      </w:tr>
      <w:tr>
        <w:trPr/>
        <w:tc>
          <w:tcPr>
            <w:tcW w:w="1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9" w:type="dxa"/>
            <w:tcBorders/>
            <w:vAlign w:val="center"/>
          </w:tcPr>
          <w:p>
            <w:pPr>
              <w:pStyle w:val="TableContents"/>
              <w:bidi w:val="0"/>
              <w:spacing w:before="0" w:after="0"/>
              <w:jc w:val="left"/>
              <w:rPr>
                <w:color w:val="000000"/>
              </w:rPr>
            </w:pPr>
            <w:r>
              <w:rPr>
                <w:color w:val="000000"/>
              </w:rPr>
              <w:t> </w:t>
            </w:r>
          </w:p>
        </w:tc>
      </w:tr>
      <w:tr>
        <w:trPr/>
        <w:tc>
          <w:tcPr>
            <w:tcW w:w="187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John A. Olin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357"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(Principal Financial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09"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8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A. Olin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357"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9" w:type="dxa"/>
            <w:vMerge w:val="continue"/>
            <w:tcBorders/>
            <w:vAlign w:val="center"/>
          </w:tcPr>
          <w:p>
            <w:pPr>
              <w:pStyle w:val="Normal"/>
              <w:bidi w:val="0"/>
              <w:jc w:val="left"/>
              <w:rPr/>
            </w:pPr>
            <w:r>
              <w:rPr/>
            </w:r>
          </w:p>
        </w:tc>
      </w:tr>
      <w:tr>
        <w:trPr/>
        <w:tc>
          <w:tcPr>
            <w:tcW w:w="1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9" w:type="dxa"/>
            <w:tcBorders/>
            <w:vAlign w:val="center"/>
          </w:tcPr>
          <w:p>
            <w:pPr>
              <w:pStyle w:val="TableContents"/>
              <w:bidi w:val="0"/>
              <w:spacing w:before="0" w:after="0"/>
              <w:jc w:val="left"/>
              <w:rPr>
                <w:color w:val="000000"/>
              </w:rPr>
            </w:pPr>
            <w:r>
              <w:rPr>
                <w:color w:val="000000"/>
              </w:rPr>
              <w:t> </w:t>
            </w:r>
          </w:p>
        </w:tc>
      </w:tr>
      <w:tr>
        <w:trPr/>
        <w:tc>
          <w:tcPr>
            <w:tcW w:w="187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John A. Mastalerz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357"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and Chief Accounting Officer (Principal 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09"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8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A. Mastalerz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357"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9" w:type="dxa"/>
            <w:vMerge w:val="continue"/>
            <w:tcBorders/>
            <w:vAlign w:val="center"/>
          </w:tcPr>
          <w:p>
            <w:pPr>
              <w:pStyle w:val="Normal"/>
              <w:bidi w:val="0"/>
              <w:jc w:val="left"/>
              <w:rPr/>
            </w:pPr>
            <w:r>
              <w:rPr/>
            </w:r>
          </w:p>
        </w:tc>
      </w:tr>
      <w:tr>
        <w:trPr/>
        <w:tc>
          <w:tcPr>
            <w:tcW w:w="1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9" w:type="dxa"/>
            <w:tcBorders/>
            <w:vAlign w:val="center"/>
          </w:tcPr>
          <w:p>
            <w:pPr>
              <w:pStyle w:val="TableContents"/>
              <w:bidi w:val="0"/>
              <w:spacing w:before="0" w:after="0"/>
              <w:jc w:val="left"/>
              <w:rPr>
                <w:color w:val="000000"/>
              </w:rPr>
            </w:pPr>
            <w:r>
              <w:rPr>
                <w:color w:val="000000"/>
              </w:rPr>
              <w:t> </w:t>
            </w:r>
          </w:p>
        </w:tc>
      </w:tr>
      <w:tr>
        <w:trPr/>
        <w:tc>
          <w:tcPr>
            <w:tcW w:w="187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Linda A. Harty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357"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09"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8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Linda A. Harty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357"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9" w:type="dxa"/>
            <w:vMerge w:val="continue"/>
            <w:tcBorders/>
            <w:vAlign w:val="center"/>
          </w:tcPr>
          <w:p>
            <w:pPr>
              <w:pStyle w:val="Normal"/>
              <w:bidi w:val="0"/>
              <w:jc w:val="left"/>
              <w:rPr/>
            </w:pPr>
            <w:r>
              <w:rPr/>
            </w:r>
          </w:p>
        </w:tc>
      </w:tr>
      <w:tr>
        <w:trPr/>
        <w:tc>
          <w:tcPr>
            <w:tcW w:w="1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9" w:type="dxa"/>
            <w:tcBorders/>
            <w:vAlign w:val="center"/>
          </w:tcPr>
          <w:p>
            <w:pPr>
              <w:pStyle w:val="TableContents"/>
              <w:bidi w:val="0"/>
              <w:spacing w:before="0" w:after="0"/>
              <w:jc w:val="left"/>
              <w:rPr>
                <w:color w:val="000000"/>
              </w:rPr>
            </w:pPr>
            <w:r>
              <w:rPr>
                <w:color w:val="000000"/>
              </w:rPr>
              <w:t> </w:t>
            </w:r>
          </w:p>
        </w:tc>
      </w:tr>
      <w:tr>
        <w:trPr/>
        <w:tc>
          <w:tcPr>
            <w:tcW w:w="187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Beverley A. Babcock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357"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09"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8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Beverley A. Babcock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357"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9" w:type="dxa"/>
            <w:vMerge w:val="continue"/>
            <w:tcBorders/>
            <w:vAlign w:val="center"/>
          </w:tcPr>
          <w:p>
            <w:pPr>
              <w:pStyle w:val="Normal"/>
              <w:bidi w:val="0"/>
              <w:jc w:val="left"/>
              <w:rPr/>
            </w:pPr>
            <w:r>
              <w:rPr/>
            </w:r>
          </w:p>
        </w:tc>
      </w:tr>
      <w:tr>
        <w:trPr/>
        <w:tc>
          <w:tcPr>
            <w:tcW w:w="1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9" w:type="dxa"/>
            <w:tcBorders/>
            <w:vAlign w:val="center"/>
          </w:tcPr>
          <w:p>
            <w:pPr>
              <w:pStyle w:val="TableContents"/>
              <w:bidi w:val="0"/>
              <w:spacing w:before="0" w:after="0"/>
              <w:jc w:val="left"/>
              <w:rPr>
                <w:color w:val="000000"/>
              </w:rPr>
            </w:pPr>
            <w:r>
              <w:rPr>
                <w:color w:val="000000"/>
              </w:rPr>
              <w:t> </w:t>
            </w:r>
          </w:p>
        </w:tc>
      </w:tr>
      <w:tr>
        <w:trPr/>
        <w:tc>
          <w:tcPr>
            <w:tcW w:w="187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Lee Banks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357"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09"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8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Lee Banks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357"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9" w:type="dxa"/>
            <w:vMerge w:val="continue"/>
            <w:tcBorders/>
            <w:vAlign w:val="center"/>
          </w:tcPr>
          <w:p>
            <w:pPr>
              <w:pStyle w:val="Normal"/>
              <w:bidi w:val="0"/>
              <w:jc w:val="left"/>
              <w:rPr/>
            </w:pPr>
            <w:r>
              <w:rPr/>
            </w:r>
          </w:p>
        </w:tc>
      </w:tr>
      <w:tr>
        <w:trPr/>
        <w:tc>
          <w:tcPr>
            <w:tcW w:w="1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9" w:type="dxa"/>
            <w:tcBorders/>
            <w:vAlign w:val="center"/>
          </w:tcPr>
          <w:p>
            <w:pPr>
              <w:pStyle w:val="TableContents"/>
              <w:bidi w:val="0"/>
              <w:spacing w:before="0" w:after="0"/>
              <w:jc w:val="left"/>
              <w:rPr>
                <w:color w:val="000000"/>
              </w:rPr>
            </w:pPr>
            <w:r>
              <w:rPr>
                <w:color w:val="000000"/>
              </w:rPr>
              <w:t> </w:t>
            </w:r>
          </w:p>
        </w:tc>
      </w:tr>
      <w:tr>
        <w:trPr/>
        <w:tc>
          <w:tcPr>
            <w:tcW w:w="187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Byron S. Foster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357"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09"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8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Byron S. Foster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357"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9" w:type="dxa"/>
            <w:vMerge w:val="continue"/>
            <w:tcBorders/>
            <w:vAlign w:val="center"/>
          </w:tcPr>
          <w:p>
            <w:pPr>
              <w:pStyle w:val="Normal"/>
              <w:bidi w:val="0"/>
              <w:jc w:val="left"/>
              <w:rPr/>
            </w:pPr>
            <w:r>
              <w:rPr/>
            </w:r>
          </w:p>
        </w:tc>
      </w:tr>
      <w:tr>
        <w:trPr/>
        <w:tc>
          <w:tcPr>
            <w:tcW w:w="18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83847x1_s3asr_400-sig_pg2"/>
        <w:bookmarkEnd w:id="52"/>
        <w:r>
          <w:rPr>
            <w:rStyle w:val="InternetLink"/>
            <w:rFonts w:ascii="Times New Roman;Times;Serif" w:hAnsi="Times New Roman;Times;Serif"/>
            <w:b/>
            <w:caps w:val="false"/>
            <w:smallCaps w:val="false"/>
            <w:color w:val="000000"/>
            <w:sz w:val="16"/>
          </w:rPr>
          <w:t>TABLE OF CONTENTS</w:t>
        </w:r>
      </w:hyperlink>
    </w:p>
    <w:tbl>
      <w:tblPr>
        <w:tblW w:w="4190" w:type="dxa"/>
        <w:jc w:val="left"/>
        <w:tblInd w:w="0" w:type="dxa"/>
        <w:tblLayout w:type="fixed"/>
        <w:tblCellMar>
          <w:top w:w="0" w:type="dxa"/>
          <w:left w:w="0" w:type="dxa"/>
          <w:bottom w:w="0" w:type="dxa"/>
          <w:right w:w="0" w:type="dxa"/>
        </w:tblCellMar>
      </w:tblPr>
      <w:tblGrid>
        <w:gridCol w:w="1460"/>
        <w:gridCol w:w="140"/>
        <w:gridCol w:w="140"/>
        <w:gridCol w:w="680"/>
        <w:gridCol w:w="140"/>
        <w:gridCol w:w="140"/>
        <w:gridCol w:w="1490"/>
      </w:tblGrid>
      <w:tr>
        <w:trPr/>
        <w:tc>
          <w:tcPr>
            <w:tcW w:w="14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r>
        <w:trPr/>
        <w:tc>
          <w:tcPr>
            <w:tcW w:w="14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4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46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Brian P. Hehir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8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Brian P. Hehir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4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46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Juan Perez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8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Juan Perez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4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46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Ann R. Klee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8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 R. Klee</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4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83847x1_s3asr_400-sig_pg3"/>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Pittsburgh, Commonwealth of Pennsylvania on October 21, 2026. </w:t>
      </w:r>
    </w:p>
    <w:tbl>
      <w:tblPr>
        <w:tblW w:w="4833" w:type="dxa"/>
        <w:jc w:val="left"/>
        <w:tblInd w:w="0" w:type="dxa"/>
        <w:tblLayout w:type="fixed"/>
        <w:tblCellMar>
          <w:top w:w="0" w:type="dxa"/>
          <w:left w:w="0" w:type="dxa"/>
          <w:bottom w:w="0" w:type="dxa"/>
          <w:right w:w="0" w:type="dxa"/>
        </w:tblCellMar>
      </w:tblPr>
      <w:tblGrid>
        <w:gridCol w:w="155"/>
        <w:gridCol w:w="140"/>
        <w:gridCol w:w="140"/>
        <w:gridCol w:w="835"/>
        <w:gridCol w:w="214"/>
        <w:gridCol w:w="214"/>
        <w:gridCol w:w="313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 TRANSPORTATION, A WABTEC COMPANY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0"/>
              <w:jc w:val="left"/>
              <w:rPr>
                <w:color w:val="000000"/>
              </w:rPr>
            </w:pPr>
            <w:r>
              <w:rPr>
                <w:color w:val="000000"/>
              </w:rPr>
              <w:t> </w:t>
            </w:r>
          </w:p>
        </w:tc>
        <w:tc>
          <w:tcPr>
            <w:tcW w:w="214"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left"/>
              <w:rPr/>
            </w:pPr>
            <w:r>
              <w:rPr/>
              <w:t> </w:t>
            </w:r>
          </w:p>
        </w:tc>
        <w:tc>
          <w:tcPr>
            <w:tcW w:w="31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14"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left"/>
              <w:rPr/>
            </w:pPr>
            <w:r>
              <w:rPr/>
              <w:t> </w:t>
            </w:r>
          </w:p>
        </w:tc>
        <w:tc>
          <w:tcPr>
            <w:tcW w:w="31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Kelly L. Pietracatello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14"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left"/>
              <w:rPr/>
            </w:pPr>
            <w:r>
              <w:rPr/>
              <w:t> </w:t>
            </w:r>
          </w:p>
        </w:tc>
        <w:tc>
          <w:tcPr>
            <w:tcW w:w="3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Kelly L. Pietracatello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14"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left"/>
              <w:rPr/>
            </w:pPr>
            <w:r>
              <w:rPr/>
              <w:t> </w:t>
            </w:r>
          </w:p>
        </w:tc>
        <w:tc>
          <w:tcPr>
            <w:tcW w:w="3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Assistant Secretary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left"/>
              <w:rPr/>
            </w:pPr>
            <w:r>
              <w:rPr/>
              <w:t> </w:t>
            </w:r>
          </w:p>
        </w:tc>
        <w:tc>
          <w:tcPr>
            <w:tcW w:w="3135"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POWER OF ATTORNEY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director and officer of GE Transportation, a Wabtec Company, a Delaware corporation, do hereby constitute and appoint John A. Olin, David L. DeNinno and Kelly L. Pietracatello, or any of them, the undersigned’s true and lawful attorneys and agents, with full power of substitution and resubstitution in each, to do any and all acts and things in our name and on our behalf in our respective capacities as directors and officers and to execute any and all instruments for us and in our names in the capacities indicated below, which said attorneys and agents, or any of them, may deem necessary or advisable to enable said corporation to comply with the Securities Act, as amended, and any rules, regulations and requirements of the Securities and Exchange Commission, in connection with this Registration Statement, including specifically, but without limitation, power and authority to sign for us or any of us in our names in the capacities indicated below, any and all amendments (including post-effective amendments, whether pursuant to Rule 462(b) or otherwise) hereto, and each of the undersigned does hereby ratify and confirm all that said attorneys and agents, or any of them or any substitute, shall do or cause to be done by virtue hereof. This Power of Attorney may be executed in any number of counterparts.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this Registration Statement has been signed by the following persons in the capacities and on the dates indicated. </w:t>
      </w:r>
    </w:p>
    <w:tbl>
      <w:tblPr>
        <w:tblW w:w="10205" w:type="dxa"/>
        <w:jc w:val="left"/>
        <w:tblInd w:w="0" w:type="dxa"/>
        <w:tblLayout w:type="fixed"/>
        <w:tblCellMar>
          <w:top w:w="0" w:type="dxa"/>
          <w:left w:w="0" w:type="dxa"/>
          <w:bottom w:w="0" w:type="dxa"/>
          <w:right w:w="0" w:type="dxa"/>
        </w:tblCellMar>
      </w:tblPr>
      <w:tblGrid>
        <w:gridCol w:w="1627"/>
        <w:gridCol w:w="140"/>
        <w:gridCol w:w="140"/>
        <w:gridCol w:w="6633"/>
        <w:gridCol w:w="140"/>
        <w:gridCol w:w="140"/>
        <w:gridCol w:w="1385"/>
      </w:tblGrid>
      <w:tr>
        <w:trPr/>
        <w:tc>
          <w:tcPr>
            <w:tcW w:w="16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r>
      <w:tr>
        <w:trPr/>
        <w:tc>
          <w:tcPr>
            <w:tcW w:w="162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6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color w:val="000000"/>
              </w:rPr>
            </w:pPr>
            <w:r>
              <w:rPr>
                <w:color w:val="000000"/>
              </w:rPr>
              <w:t> </w:t>
            </w:r>
          </w:p>
        </w:tc>
      </w:tr>
      <w:tr>
        <w:trPr/>
        <w:tc>
          <w:tcPr>
            <w:tcW w:w="162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John A. Mastalerz</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633"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 President and Treasurer (Principal Financial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8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6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A. Mastalerz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633"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r>
      <w:tr>
        <w:trPr/>
        <w:tc>
          <w:tcPr>
            <w:tcW w:w="16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color w:val="000000"/>
              </w:rPr>
            </w:pPr>
            <w:r>
              <w:rPr>
                <w:color w:val="000000"/>
              </w:rPr>
              <w:t> </w:t>
            </w:r>
          </w:p>
        </w:tc>
      </w:tr>
      <w:tr>
        <w:trPr/>
        <w:tc>
          <w:tcPr>
            <w:tcW w:w="162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Kathleen Kennedy</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633"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Vice President Finance (Principal Executive Officer and Principal 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8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6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Kathleen Kennedy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633"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r>
      <w:tr>
        <w:trPr/>
        <w:tc>
          <w:tcPr>
            <w:tcW w:w="16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color w:val="000000"/>
              </w:rPr>
            </w:pPr>
            <w:r>
              <w:rPr>
                <w:color w:val="000000"/>
              </w:rPr>
              <w:t> </w:t>
            </w:r>
          </w:p>
        </w:tc>
      </w:tr>
      <w:tr>
        <w:trPr/>
        <w:tc>
          <w:tcPr>
            <w:tcW w:w="162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John A. Olin</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633"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8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6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A. Olin</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633"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r>
      <w:tr>
        <w:trPr/>
        <w:tc>
          <w:tcPr>
            <w:tcW w:w="16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83847x1_s3asr_400-sig_pg4"/>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Pittsburgh, Commonwealth of Pennsylvania on October 21, 2026. </w:t>
      </w:r>
    </w:p>
    <w:tbl>
      <w:tblPr>
        <w:tblW w:w="4715"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34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RFPC HOLDING CORP.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Kelly L. Pietracatello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Kelly L. Pietracatello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Secretary, Assistant Treasurer and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POWER OF ATTORNEY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undersigned directors and officers of RFPC Holding Corp., a Delaware corporation, do hereby constitute and appoint John A. Olin, David L. DeNinno and Kelly L. Pietracatello, or any of them, the undersigned’s true and lawful attorneys and agents, with full power of substitution and resubstitution in each, to do any and all acts and things in our name and on our behalf in our respective capacities as directors and officers and to execute any and all instruments for us and in our names in the capacities indicated below, which said attorneys and agents, or any of them, may deem necessary or advisable to enable said corporation to comply with the Securities Act, as amended, and any rules, regulations and requirements of the Securities and Exchange Commission, in connection with this Registration Statement, including specifically, but without limitation, power and authority to sign for us or any of us in our names in the capacities indicated below, any and all amendments (including post-effective amendments, whether pursuant to Rule 462(b) or otherwise) hereto, and each of the undersigned does hereby ratify and confirm all that said attorneys and agents, or any of them or any substitute, shall do or cause to be done by virtue hereof. This Power of Attorney may be executed in any number of counterparts.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this Registration Statement has been signed by the following persons in the capacities and on the dates indicated. </w:t>
      </w:r>
    </w:p>
    <w:tbl>
      <w:tblPr>
        <w:tblW w:w="10205" w:type="dxa"/>
        <w:jc w:val="left"/>
        <w:tblInd w:w="0" w:type="dxa"/>
        <w:tblLayout w:type="fixed"/>
        <w:tblCellMar>
          <w:top w:w="0" w:type="dxa"/>
          <w:left w:w="0" w:type="dxa"/>
          <w:bottom w:w="0" w:type="dxa"/>
          <w:right w:w="0" w:type="dxa"/>
        </w:tblCellMar>
      </w:tblPr>
      <w:tblGrid>
        <w:gridCol w:w="1783"/>
        <w:gridCol w:w="140"/>
        <w:gridCol w:w="140"/>
        <w:gridCol w:w="6487"/>
        <w:gridCol w:w="140"/>
        <w:gridCol w:w="140"/>
        <w:gridCol w:w="1375"/>
      </w:tblGrid>
      <w:tr>
        <w:trPr/>
        <w:tc>
          <w:tcPr>
            <w:tcW w:w="17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5" w:type="dxa"/>
            <w:tcBorders/>
            <w:vAlign w:val="center"/>
          </w:tcPr>
          <w:p>
            <w:pPr>
              <w:pStyle w:val="TableContents"/>
              <w:bidi w:val="0"/>
              <w:spacing w:before="0" w:after="0"/>
              <w:jc w:val="left"/>
              <w:rPr/>
            </w:pPr>
            <w:r>
              <w:rPr/>
              <w:t> </w:t>
            </w:r>
          </w:p>
        </w:tc>
      </w:tr>
      <w:tr>
        <w:trPr/>
        <w:tc>
          <w:tcPr>
            <w:tcW w:w="17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7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5" w:type="dxa"/>
            <w:tcBorders/>
            <w:vAlign w:val="center"/>
          </w:tcPr>
          <w:p>
            <w:pPr>
              <w:pStyle w:val="TableContents"/>
              <w:bidi w:val="0"/>
              <w:spacing w:before="0" w:after="0"/>
              <w:jc w:val="left"/>
              <w:rPr>
                <w:color w:val="000000"/>
              </w:rPr>
            </w:pPr>
            <w:r>
              <w:rPr>
                <w:color w:val="000000"/>
              </w:rPr>
              <w:t> </w:t>
            </w:r>
          </w:p>
        </w:tc>
      </w:tr>
      <w:tr>
        <w:trPr/>
        <w:tc>
          <w:tcPr>
            <w:tcW w:w="1783"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Michael Fetsko</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487"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(Principal Executive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7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Michael Fetsko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487"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375" w:type="dxa"/>
            <w:vMerge w:val="continue"/>
            <w:tcBorders/>
            <w:vAlign w:val="center"/>
          </w:tcPr>
          <w:p>
            <w:pPr>
              <w:pStyle w:val="Normal"/>
              <w:bidi w:val="0"/>
              <w:jc w:val="left"/>
              <w:rPr/>
            </w:pPr>
            <w:r>
              <w:rPr/>
            </w:r>
          </w:p>
        </w:tc>
      </w:tr>
      <w:tr>
        <w:trPr/>
        <w:tc>
          <w:tcPr>
            <w:tcW w:w="17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5" w:type="dxa"/>
            <w:tcBorders/>
            <w:vAlign w:val="center"/>
          </w:tcPr>
          <w:p>
            <w:pPr>
              <w:pStyle w:val="TableContents"/>
              <w:bidi w:val="0"/>
              <w:spacing w:before="0" w:after="0"/>
              <w:jc w:val="left"/>
              <w:rPr>
                <w:color w:val="000000"/>
              </w:rPr>
            </w:pPr>
            <w:r>
              <w:rPr>
                <w:color w:val="000000"/>
              </w:rPr>
              <w:t> </w:t>
            </w:r>
          </w:p>
        </w:tc>
      </w:tr>
      <w:tr>
        <w:trPr/>
        <w:tc>
          <w:tcPr>
            <w:tcW w:w="1783"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John A. Mastalerz</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487"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 President, Treasurer and Director (Principal Financial Officer and Principal 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7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A. Mastalerz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487"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375" w:type="dxa"/>
            <w:vMerge w:val="continue"/>
            <w:tcBorders/>
            <w:vAlign w:val="center"/>
          </w:tcPr>
          <w:p>
            <w:pPr>
              <w:pStyle w:val="Normal"/>
              <w:bidi w:val="0"/>
              <w:jc w:val="left"/>
              <w:rPr/>
            </w:pPr>
            <w:r>
              <w:rPr/>
            </w:r>
          </w:p>
        </w:tc>
      </w:tr>
      <w:tr>
        <w:trPr/>
        <w:tc>
          <w:tcPr>
            <w:tcW w:w="17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5" w:type="dxa"/>
            <w:tcBorders/>
            <w:vAlign w:val="center"/>
          </w:tcPr>
          <w:p>
            <w:pPr>
              <w:pStyle w:val="TableContents"/>
              <w:bidi w:val="0"/>
              <w:spacing w:before="0" w:after="0"/>
              <w:jc w:val="left"/>
              <w:rPr>
                <w:color w:val="000000"/>
              </w:rPr>
            </w:pPr>
            <w:r>
              <w:rPr>
                <w:color w:val="000000"/>
              </w:rPr>
              <w:t> </w:t>
            </w:r>
          </w:p>
        </w:tc>
      </w:tr>
      <w:tr>
        <w:trPr/>
        <w:tc>
          <w:tcPr>
            <w:tcW w:w="1783"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Kelly L. Pietracatello</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487"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7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Kelly L. Pietracatello</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487"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375" w:type="dxa"/>
            <w:vMerge w:val="continue"/>
            <w:tcBorders/>
            <w:vAlign w:val="center"/>
          </w:tcPr>
          <w:p>
            <w:pPr>
              <w:pStyle w:val="Normal"/>
              <w:bidi w:val="0"/>
              <w:jc w:val="left"/>
              <w:rPr/>
            </w:pPr>
            <w:r>
              <w:rPr/>
            </w:r>
          </w:p>
        </w:tc>
      </w:tr>
      <w:tr>
        <w:trPr/>
        <w:tc>
          <w:tcPr>
            <w:tcW w:w="17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83847x1_s3asr_400-sig_pg5"/>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Pittsburgh, Commonwealth of Pennsylvania on October 21, 2026. </w:t>
      </w:r>
    </w:p>
    <w:tbl>
      <w:tblPr>
        <w:tblW w:w="4098" w:type="dxa"/>
        <w:jc w:val="left"/>
        <w:tblInd w:w="0" w:type="dxa"/>
        <w:tblLayout w:type="fixed"/>
        <w:tblCellMar>
          <w:top w:w="0" w:type="dxa"/>
          <w:left w:w="0" w:type="dxa"/>
          <w:bottom w:w="0" w:type="dxa"/>
          <w:right w:w="0" w:type="dxa"/>
        </w:tblCellMar>
      </w:tblPr>
      <w:tblGrid>
        <w:gridCol w:w="155"/>
        <w:gridCol w:w="140"/>
        <w:gridCol w:w="140"/>
        <w:gridCol w:w="630"/>
        <w:gridCol w:w="161"/>
        <w:gridCol w:w="161"/>
        <w:gridCol w:w="271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3"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TRANSPORTATION IP HOLDINGS,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color w:val="000000"/>
              </w:rPr>
            </w:pPr>
            <w:r>
              <w:rPr>
                <w:color w:val="000000"/>
              </w:rPr>
              <w:t> </w:t>
            </w:r>
          </w:p>
        </w:tc>
        <w:tc>
          <w:tcPr>
            <w:tcW w:w="161" w:type="dxa"/>
            <w:tcBorders/>
            <w:vAlign w:val="center"/>
          </w:tcPr>
          <w:p>
            <w:pPr>
              <w:pStyle w:val="TableContents"/>
              <w:bidi w:val="0"/>
              <w:spacing w:before="0" w:after="0"/>
              <w:jc w:val="left"/>
              <w:rPr/>
            </w:pPr>
            <w:r>
              <w:rPr/>
              <w:t> </w:t>
            </w:r>
          </w:p>
        </w:tc>
        <w:tc>
          <w:tcPr>
            <w:tcW w:w="161" w:type="dxa"/>
            <w:tcBorders/>
            <w:vAlign w:val="center"/>
          </w:tcPr>
          <w:p>
            <w:pPr>
              <w:pStyle w:val="TableContents"/>
              <w:bidi w:val="0"/>
              <w:spacing w:before="0" w:after="0"/>
              <w:jc w:val="left"/>
              <w:rPr/>
            </w:pPr>
            <w:r>
              <w:rPr/>
              <w:t> </w:t>
            </w:r>
          </w:p>
        </w:tc>
        <w:tc>
          <w:tcPr>
            <w:tcW w:w="271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61" w:type="dxa"/>
            <w:tcBorders/>
            <w:vAlign w:val="center"/>
          </w:tcPr>
          <w:p>
            <w:pPr>
              <w:pStyle w:val="TableContents"/>
              <w:bidi w:val="0"/>
              <w:spacing w:before="0" w:after="0"/>
              <w:jc w:val="left"/>
              <w:rPr/>
            </w:pPr>
            <w:r>
              <w:rPr/>
              <w:t> </w:t>
            </w:r>
          </w:p>
        </w:tc>
        <w:tc>
          <w:tcPr>
            <w:tcW w:w="161" w:type="dxa"/>
            <w:tcBorders/>
            <w:vAlign w:val="center"/>
          </w:tcPr>
          <w:p>
            <w:pPr>
              <w:pStyle w:val="TableContents"/>
              <w:bidi w:val="0"/>
              <w:spacing w:before="0" w:after="0"/>
              <w:jc w:val="left"/>
              <w:rPr/>
            </w:pPr>
            <w:r>
              <w:rPr/>
              <w:t> </w:t>
            </w:r>
          </w:p>
        </w:tc>
        <w:tc>
          <w:tcPr>
            <w:tcW w:w="271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James Winget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61" w:type="dxa"/>
            <w:tcBorders/>
            <w:vAlign w:val="center"/>
          </w:tcPr>
          <w:p>
            <w:pPr>
              <w:pStyle w:val="TableContents"/>
              <w:bidi w:val="0"/>
              <w:spacing w:before="0" w:after="0"/>
              <w:jc w:val="left"/>
              <w:rPr/>
            </w:pPr>
            <w:r>
              <w:rPr/>
              <w:t> </w:t>
            </w:r>
          </w:p>
        </w:tc>
        <w:tc>
          <w:tcPr>
            <w:tcW w:w="161" w:type="dxa"/>
            <w:tcBorders/>
            <w:vAlign w:val="center"/>
          </w:tcPr>
          <w:p>
            <w:pPr>
              <w:pStyle w:val="TableContents"/>
              <w:bidi w:val="0"/>
              <w:spacing w:before="0" w:after="0"/>
              <w:jc w:val="left"/>
              <w:rPr/>
            </w:pPr>
            <w:r>
              <w:rPr/>
              <w:t> </w:t>
            </w:r>
          </w:p>
        </w:tc>
        <w:tc>
          <w:tcPr>
            <w:tcW w:w="27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James Winget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61" w:type="dxa"/>
            <w:tcBorders/>
            <w:vAlign w:val="center"/>
          </w:tcPr>
          <w:p>
            <w:pPr>
              <w:pStyle w:val="TableContents"/>
              <w:bidi w:val="0"/>
              <w:spacing w:before="0" w:after="0"/>
              <w:jc w:val="left"/>
              <w:rPr/>
            </w:pPr>
            <w:r>
              <w:rPr/>
              <w:t> </w:t>
            </w:r>
          </w:p>
        </w:tc>
        <w:tc>
          <w:tcPr>
            <w:tcW w:w="161" w:type="dxa"/>
            <w:tcBorders/>
            <w:vAlign w:val="center"/>
          </w:tcPr>
          <w:p>
            <w:pPr>
              <w:pStyle w:val="TableContents"/>
              <w:bidi w:val="0"/>
              <w:spacing w:before="0" w:after="0"/>
              <w:jc w:val="left"/>
              <w:rPr/>
            </w:pPr>
            <w:r>
              <w:rPr/>
              <w:t> </w:t>
            </w:r>
          </w:p>
        </w:tc>
        <w:tc>
          <w:tcPr>
            <w:tcW w:w="27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 President and Secretary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61" w:type="dxa"/>
            <w:tcBorders/>
            <w:vAlign w:val="center"/>
          </w:tcPr>
          <w:p>
            <w:pPr>
              <w:pStyle w:val="TableContents"/>
              <w:bidi w:val="0"/>
              <w:spacing w:before="0" w:after="0"/>
              <w:jc w:val="left"/>
              <w:rPr/>
            </w:pPr>
            <w:r>
              <w:rPr/>
              <w:t> </w:t>
            </w:r>
          </w:p>
        </w:tc>
        <w:tc>
          <w:tcPr>
            <w:tcW w:w="161" w:type="dxa"/>
            <w:tcBorders/>
            <w:vAlign w:val="center"/>
          </w:tcPr>
          <w:p>
            <w:pPr>
              <w:pStyle w:val="TableContents"/>
              <w:bidi w:val="0"/>
              <w:spacing w:before="0" w:after="0"/>
              <w:jc w:val="left"/>
              <w:rPr/>
            </w:pPr>
            <w:r>
              <w:rPr/>
              <w:t> </w:t>
            </w:r>
          </w:p>
        </w:tc>
        <w:tc>
          <w:tcPr>
            <w:tcW w:w="2711" w:type="dxa"/>
            <w:tcBorders/>
            <w:vAlign w:val="center"/>
          </w:tcPr>
          <w:p>
            <w:pPr>
              <w:pStyle w:val="TableContents"/>
              <w:bidi w:val="0"/>
              <w:spacing w:before="0" w:after="0"/>
              <w:jc w:val="left"/>
              <w:rPr/>
            </w:pPr>
            <w:r>
              <w:rPr/>
              <w:t> </w:t>
            </w:r>
          </w:p>
        </w:tc>
      </w:tr>
    </w:tbl>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POWER OF ATTORNEY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undersigned directors and officers of Transportation IP Holdings, LLC, a Delaware limited liability company, do hereby constitute and appoint John A. Olin, David L. DeNinno and Kelly L. Pietracatello, or any of them, the undersigned’s true and lawful attorneys and agents, with full power of substitution and resubstitution in each, to do any and all acts and things in our name and on our behalf in our respective capacities as directors and officers and to execute any and all instruments for us and in our names in the capacities indicated below, which said attorneys and agents, or any of them, may deem necessary or advisable to enable said limited liability company to comply with the Securities Act, as amended, and any rules, regulations and requirements of the Securities and Exchange Commission, in connection with this Registration Statement, including specifically, but without limitation, power and authority to sign for us or any of us in our names in the capacities indicated below, any and all amendments (including post-effective amendments, whether pursuant to Rule 462(b) or otherwise) hereto, and each of the undersigned does hereby ratify and confirm all that said attorneys and agents, or any of them or any substitute, shall do or cause to be done by virtue hereof. This Power of Attorney may be executed in any number of counterparts.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this Registration Statement has been signed by the following persons in the capacities and on the dates indicated. </w:t>
      </w:r>
    </w:p>
    <w:tbl>
      <w:tblPr>
        <w:tblW w:w="9440" w:type="dxa"/>
        <w:jc w:val="left"/>
        <w:tblInd w:w="0" w:type="dxa"/>
        <w:tblLayout w:type="fixed"/>
        <w:tblCellMar>
          <w:top w:w="0" w:type="dxa"/>
          <w:left w:w="0" w:type="dxa"/>
          <w:bottom w:w="0" w:type="dxa"/>
          <w:right w:w="0" w:type="dxa"/>
        </w:tblCellMar>
      </w:tblPr>
      <w:tblGrid>
        <w:gridCol w:w="1400"/>
        <w:gridCol w:w="140"/>
        <w:gridCol w:w="140"/>
        <w:gridCol w:w="5990"/>
        <w:gridCol w:w="140"/>
        <w:gridCol w:w="140"/>
        <w:gridCol w:w="1490"/>
      </w:tblGrid>
      <w:tr>
        <w:trPr/>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r>
        <w:trPr/>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4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40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Eric Gebhardt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99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(Principal Executive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Eric Gebhardt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99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4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40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James Winget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99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 President and Secretary (Principal Financial and 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James Winget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99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4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bl>
    <w:tbl>
      <w:tblPr>
        <w:tblW w:w="6679" w:type="dxa"/>
        <w:jc w:val="left"/>
        <w:tblInd w:w="0" w:type="dxa"/>
        <w:tblLayout w:type="fixed"/>
        <w:tblCellMar>
          <w:top w:w="0" w:type="dxa"/>
          <w:left w:w="0" w:type="dxa"/>
          <w:bottom w:w="0" w:type="dxa"/>
          <w:right w:w="0" w:type="dxa"/>
        </w:tblCellMar>
      </w:tblPr>
      <w:tblGrid>
        <w:gridCol w:w="564"/>
        <w:gridCol w:w="208"/>
        <w:gridCol w:w="208"/>
        <w:gridCol w:w="2954"/>
        <w:gridCol w:w="140"/>
        <w:gridCol w:w="140"/>
        <w:gridCol w:w="695"/>
        <w:gridCol w:w="140"/>
        <w:gridCol w:w="140"/>
        <w:gridCol w:w="1490"/>
      </w:tblGrid>
      <w:tr>
        <w:trPr/>
        <w:tc>
          <w:tcPr>
            <w:tcW w:w="3934"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r>
        <w:trPr/>
        <w:tc>
          <w:tcPr>
            <w:tcW w:w="393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 Transportation, a Wabtec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564" w:type="dxa"/>
            <w:tcBorders/>
            <w:vAlign w:val="center"/>
          </w:tcPr>
          <w:p>
            <w:pPr>
              <w:pStyle w:val="TableContents"/>
              <w:bidi w:val="0"/>
              <w:spacing w:before="0" w:after="0"/>
              <w:jc w:val="left"/>
              <w:rPr>
                <w:color w:val="000000"/>
              </w:rPr>
            </w:pPr>
            <w:r>
              <w:rPr>
                <w:color w:val="000000"/>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95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630" w:type="dxa"/>
            <w:gridSpan w:val="2"/>
            <w:tcBorders/>
          </w:tcPr>
          <w:p>
            <w:pPr>
              <w:pStyle w:val="TableContents"/>
              <w:bidi w:val="0"/>
              <w:spacing w:before="0" w:after="283"/>
              <w:jc w:val="left"/>
              <w:rPr>
                <w:sz w:val="4"/>
                <w:szCs w:val="4"/>
              </w:rPr>
            </w:pPr>
            <w:r>
              <w:rPr>
                <w:sz w:val="4"/>
                <w:szCs w:val="4"/>
              </w:rPr>
            </w:r>
          </w:p>
        </w:tc>
      </w:tr>
      <w:tr>
        <w:trPr/>
        <w:tc>
          <w:tcPr>
            <w:tcW w:w="5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95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John A. Mastalerz</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393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A. Mastalerz</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393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 President and Treasurer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564" w:type="dxa"/>
            <w:tcBorders/>
            <w:vAlign w:val="center"/>
          </w:tcPr>
          <w:p>
            <w:pPr>
              <w:pStyle w:val="TableContents"/>
              <w:bidi w:val="0"/>
              <w:spacing w:before="0" w:after="0"/>
              <w:jc w:val="left"/>
              <w:rPr>
                <w:color w:val="000000"/>
              </w:rPr>
            </w:pPr>
            <w:r>
              <w:rPr>
                <w:color w:val="000000"/>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95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630" w:type="dxa"/>
            <w:gridSpan w:val="2"/>
            <w:tcBorders/>
          </w:tcPr>
          <w:p>
            <w:pPr>
              <w:pStyle w:val="TableContents"/>
              <w:bidi w:val="0"/>
              <w:spacing w:before="0" w:after="283"/>
              <w:jc w:val="left"/>
              <w:rPr>
                <w:sz w:val="4"/>
                <w:szCs w:val="4"/>
              </w:rPr>
            </w:pPr>
            <w:r>
              <w:rPr>
                <w:sz w:val="4"/>
                <w:szCs w:val="4"/>
              </w:rPr>
            </w:r>
          </w:p>
        </w:tc>
      </w:tr>
      <w:tr>
        <w:trPr/>
        <w:tc>
          <w:tcPr>
            <w:tcW w:w="393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Transportation Systems Services Operations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October 21, 2026</w:t>
            </w:r>
          </w:p>
        </w:tc>
      </w:tr>
      <w:tr>
        <w:trPr/>
        <w:tc>
          <w:tcPr>
            <w:tcW w:w="564" w:type="dxa"/>
            <w:tcBorders/>
            <w:vAlign w:val="center"/>
          </w:tcPr>
          <w:p>
            <w:pPr>
              <w:pStyle w:val="TableContents"/>
              <w:bidi w:val="0"/>
              <w:spacing w:before="0" w:after="0"/>
              <w:jc w:val="left"/>
              <w:rPr>
                <w:color w:val="000000"/>
              </w:rPr>
            </w:pPr>
            <w:r>
              <w:rPr>
                <w:color w:val="000000"/>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95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630" w:type="dxa"/>
            <w:gridSpan w:val="2"/>
            <w:tcBorders/>
          </w:tcPr>
          <w:p>
            <w:pPr>
              <w:pStyle w:val="TableContents"/>
              <w:bidi w:val="0"/>
              <w:spacing w:before="0" w:after="283"/>
              <w:jc w:val="left"/>
              <w:rPr>
                <w:sz w:val="4"/>
                <w:szCs w:val="4"/>
              </w:rPr>
            </w:pPr>
            <w:r>
              <w:rPr>
                <w:sz w:val="4"/>
                <w:szCs w:val="4"/>
              </w:rPr>
            </w:r>
          </w:p>
        </w:tc>
      </w:tr>
      <w:tr>
        <w:trPr/>
        <w:tc>
          <w:tcPr>
            <w:tcW w:w="5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95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Kelly L. Pietracatello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393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Kelly L. Pietracatello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393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Assistant Secretary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3934"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83847x1_s3asr_400-sig_pg6"/>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Pittsburgh, Commonwealth of Pennsylvania on October 21, 2026. </w:t>
      </w:r>
    </w:p>
    <w:tbl>
      <w:tblPr>
        <w:tblW w:w="6034" w:type="dxa"/>
        <w:jc w:val="left"/>
        <w:tblInd w:w="0" w:type="dxa"/>
        <w:tblLayout w:type="fixed"/>
        <w:tblCellMar>
          <w:top w:w="0" w:type="dxa"/>
          <w:left w:w="0" w:type="dxa"/>
          <w:bottom w:w="0" w:type="dxa"/>
          <w:right w:w="0" w:type="dxa"/>
        </w:tblCellMar>
      </w:tblPr>
      <w:tblGrid>
        <w:gridCol w:w="155"/>
        <w:gridCol w:w="140"/>
        <w:gridCol w:w="140"/>
        <w:gridCol w:w="1063"/>
        <w:gridCol w:w="273"/>
        <w:gridCol w:w="273"/>
        <w:gridCol w:w="399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99"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9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TRANSPORTATION SYSTEMS SERVICES OPERATIONS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3" w:type="dxa"/>
            <w:tcBorders/>
            <w:vAlign w:val="center"/>
          </w:tcPr>
          <w:p>
            <w:pPr>
              <w:pStyle w:val="TableContents"/>
              <w:bidi w:val="0"/>
              <w:spacing w:before="0" w:after="0"/>
              <w:jc w:val="left"/>
              <w:rPr>
                <w:color w:val="000000"/>
              </w:rPr>
            </w:pPr>
            <w:r>
              <w:rPr>
                <w:color w:val="000000"/>
              </w:rPr>
              <w:t> </w:t>
            </w:r>
          </w:p>
        </w:tc>
        <w:tc>
          <w:tcPr>
            <w:tcW w:w="273" w:type="dxa"/>
            <w:tcBorders/>
            <w:vAlign w:val="center"/>
          </w:tcPr>
          <w:p>
            <w:pPr>
              <w:pStyle w:val="TableContents"/>
              <w:bidi w:val="0"/>
              <w:spacing w:before="0" w:after="0"/>
              <w:jc w:val="left"/>
              <w:rPr/>
            </w:pPr>
            <w:r>
              <w:rPr/>
              <w:t> </w:t>
            </w:r>
          </w:p>
        </w:tc>
        <w:tc>
          <w:tcPr>
            <w:tcW w:w="273" w:type="dxa"/>
            <w:tcBorders/>
            <w:vAlign w:val="center"/>
          </w:tcPr>
          <w:p>
            <w:pPr>
              <w:pStyle w:val="TableContents"/>
              <w:bidi w:val="0"/>
              <w:spacing w:before="0" w:after="0"/>
              <w:jc w:val="left"/>
              <w:rPr/>
            </w:pPr>
            <w:r>
              <w:rPr/>
              <w:t> </w:t>
            </w:r>
          </w:p>
        </w:tc>
        <w:tc>
          <w:tcPr>
            <w:tcW w:w="39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3" w:type="dxa"/>
            <w:tcBorders/>
            <w:vAlign w:val="center"/>
          </w:tcPr>
          <w:p>
            <w:pPr>
              <w:pStyle w:val="TableContents"/>
              <w:bidi w:val="0"/>
              <w:spacing w:before="0" w:after="0"/>
              <w:jc w:val="left"/>
              <w:rPr/>
            </w:pPr>
            <w:r>
              <w:rPr/>
              <w:t> </w:t>
            </w:r>
          </w:p>
        </w:tc>
        <w:tc>
          <w:tcPr>
            <w:tcW w:w="273" w:type="dxa"/>
            <w:tcBorders/>
            <w:vAlign w:val="center"/>
          </w:tcPr>
          <w:p>
            <w:pPr>
              <w:pStyle w:val="TableContents"/>
              <w:bidi w:val="0"/>
              <w:spacing w:before="0" w:after="0"/>
              <w:jc w:val="left"/>
              <w:rPr/>
            </w:pPr>
            <w:r>
              <w:rPr/>
              <w:t> </w:t>
            </w:r>
          </w:p>
        </w:tc>
        <w:tc>
          <w:tcPr>
            <w:tcW w:w="39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Kelly L. Pietracatello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73" w:type="dxa"/>
            <w:tcBorders/>
            <w:vAlign w:val="center"/>
          </w:tcPr>
          <w:p>
            <w:pPr>
              <w:pStyle w:val="TableContents"/>
              <w:bidi w:val="0"/>
              <w:spacing w:before="0" w:after="0"/>
              <w:jc w:val="left"/>
              <w:rPr/>
            </w:pPr>
            <w:r>
              <w:rPr/>
              <w:t> </w:t>
            </w:r>
          </w:p>
        </w:tc>
        <w:tc>
          <w:tcPr>
            <w:tcW w:w="273" w:type="dxa"/>
            <w:tcBorders/>
            <w:vAlign w:val="center"/>
          </w:tcPr>
          <w:p>
            <w:pPr>
              <w:pStyle w:val="TableContents"/>
              <w:bidi w:val="0"/>
              <w:spacing w:before="0" w:after="0"/>
              <w:jc w:val="left"/>
              <w:rPr/>
            </w:pPr>
            <w:r>
              <w:rPr/>
              <w:t> </w:t>
            </w:r>
          </w:p>
        </w:tc>
        <w:tc>
          <w:tcPr>
            <w:tcW w:w="39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Kelly L. Pietracatello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73" w:type="dxa"/>
            <w:tcBorders/>
            <w:vAlign w:val="center"/>
          </w:tcPr>
          <w:p>
            <w:pPr>
              <w:pStyle w:val="TableContents"/>
              <w:bidi w:val="0"/>
              <w:spacing w:before="0" w:after="0"/>
              <w:jc w:val="left"/>
              <w:rPr/>
            </w:pPr>
            <w:r>
              <w:rPr/>
              <w:t> </w:t>
            </w:r>
          </w:p>
        </w:tc>
        <w:tc>
          <w:tcPr>
            <w:tcW w:w="273" w:type="dxa"/>
            <w:tcBorders/>
            <w:vAlign w:val="center"/>
          </w:tcPr>
          <w:p>
            <w:pPr>
              <w:pStyle w:val="TableContents"/>
              <w:bidi w:val="0"/>
              <w:spacing w:before="0" w:after="0"/>
              <w:jc w:val="left"/>
              <w:rPr/>
            </w:pPr>
            <w:r>
              <w:rPr/>
              <w:t> </w:t>
            </w:r>
          </w:p>
        </w:tc>
        <w:tc>
          <w:tcPr>
            <w:tcW w:w="39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Assistant Secretary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3" w:type="dxa"/>
            <w:tcBorders/>
            <w:vAlign w:val="center"/>
          </w:tcPr>
          <w:p>
            <w:pPr>
              <w:pStyle w:val="TableContents"/>
              <w:bidi w:val="0"/>
              <w:spacing w:before="0" w:after="0"/>
              <w:jc w:val="left"/>
              <w:rPr/>
            </w:pPr>
            <w:r>
              <w:rPr/>
              <w:t> </w:t>
            </w:r>
          </w:p>
        </w:tc>
        <w:tc>
          <w:tcPr>
            <w:tcW w:w="273" w:type="dxa"/>
            <w:tcBorders/>
            <w:vAlign w:val="center"/>
          </w:tcPr>
          <w:p>
            <w:pPr>
              <w:pStyle w:val="TableContents"/>
              <w:bidi w:val="0"/>
              <w:spacing w:before="0" w:after="0"/>
              <w:jc w:val="left"/>
              <w:rPr/>
            </w:pPr>
            <w:r>
              <w:rPr/>
              <w:t> </w:t>
            </w:r>
          </w:p>
        </w:tc>
        <w:tc>
          <w:tcPr>
            <w:tcW w:w="273" w:type="dxa"/>
            <w:tcBorders/>
            <w:vAlign w:val="center"/>
          </w:tcPr>
          <w:p>
            <w:pPr>
              <w:pStyle w:val="TableContents"/>
              <w:bidi w:val="0"/>
              <w:spacing w:before="0" w:after="0"/>
              <w:jc w:val="left"/>
              <w:rPr/>
            </w:pPr>
            <w:r>
              <w:rPr/>
              <w:t> </w:t>
            </w:r>
          </w:p>
        </w:tc>
        <w:tc>
          <w:tcPr>
            <w:tcW w:w="3990"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POWER OF ATTORNEY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undersigned directors and officers of Transportation Systems Services Operations Inc., a Nevada corporation, do hereby constitute and appoint John A. Olin, David L. DeNinno and Kelly L. Pietracatello, or any of them, the undersigned’s true and lawful attorneys and agents, with full power of substitution and resubstitution in each, to do any and all acts and things in our name and on our behalf in our respective capacities as directors and officers and to execute any and all instruments for us and in our names in the capacities indicated below, which said attorneys and agents, or any of them, may deem necessary or advisable to enable said corporation to comply with the Securities Act, as amended, and any rules, regulations and requirements of the Securities and Exchange Commission, in connection with this Registration Statement, including specifically, but without limitation, power and authority to sign for us or any of us in our names in the capacities indicated below, any and all amendments (including post-effective amendments, whether pursuant to Rule 462(b) or otherwise) hereto, and each of the undersigned does hereby ratify and confirm all that said attorneys and agents, or any of them or any substitute, shall do or cause to be done by virtue hereof. This Power of Attorney may be executed in any number of counterparts.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this Registration Statement has been signed by the following persons in the capacities and on the dates indicated. </w:t>
      </w:r>
    </w:p>
    <w:tbl>
      <w:tblPr>
        <w:tblW w:w="10205" w:type="dxa"/>
        <w:jc w:val="left"/>
        <w:tblInd w:w="0" w:type="dxa"/>
        <w:tblLayout w:type="fixed"/>
        <w:tblCellMar>
          <w:top w:w="0" w:type="dxa"/>
          <w:left w:w="0" w:type="dxa"/>
          <w:bottom w:w="0" w:type="dxa"/>
          <w:right w:w="0" w:type="dxa"/>
        </w:tblCellMar>
      </w:tblPr>
      <w:tblGrid>
        <w:gridCol w:w="1697"/>
        <w:gridCol w:w="140"/>
        <w:gridCol w:w="140"/>
        <w:gridCol w:w="6480"/>
        <w:gridCol w:w="140"/>
        <w:gridCol w:w="140"/>
        <w:gridCol w:w="1468"/>
      </w:tblGrid>
      <w:tr>
        <w:trPr/>
        <w:tc>
          <w:tcPr>
            <w:tcW w:w="169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8" w:type="dxa"/>
            <w:tcBorders/>
            <w:vAlign w:val="center"/>
          </w:tcPr>
          <w:p>
            <w:pPr>
              <w:pStyle w:val="TableContents"/>
              <w:bidi w:val="0"/>
              <w:spacing w:before="0" w:after="0"/>
              <w:jc w:val="left"/>
              <w:rPr/>
            </w:pPr>
            <w:r>
              <w:rPr/>
              <w:t> </w:t>
            </w:r>
          </w:p>
        </w:tc>
      </w:tr>
      <w:tr>
        <w:trPr/>
        <w:tc>
          <w:tcPr>
            <w:tcW w:w="16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69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8" w:type="dxa"/>
            <w:tcBorders/>
            <w:vAlign w:val="center"/>
          </w:tcPr>
          <w:p>
            <w:pPr>
              <w:pStyle w:val="TableContents"/>
              <w:bidi w:val="0"/>
              <w:spacing w:before="0" w:after="0"/>
              <w:jc w:val="left"/>
              <w:rPr>
                <w:color w:val="000000"/>
              </w:rPr>
            </w:pPr>
            <w:r>
              <w:rPr>
                <w:color w:val="000000"/>
              </w:rPr>
              <w:t> </w:t>
            </w:r>
          </w:p>
        </w:tc>
      </w:tr>
      <w:tr>
        <w:trPr/>
        <w:tc>
          <w:tcPr>
            <w:tcW w:w="169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Sameer Gaur</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48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Director (Principal Executive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68"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6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Sameer Gaur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4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68" w:type="dxa"/>
            <w:vMerge w:val="continue"/>
            <w:tcBorders/>
            <w:vAlign w:val="center"/>
          </w:tcPr>
          <w:p>
            <w:pPr>
              <w:pStyle w:val="Normal"/>
              <w:bidi w:val="0"/>
              <w:jc w:val="left"/>
              <w:rPr/>
            </w:pPr>
            <w:r>
              <w:rPr/>
            </w:r>
          </w:p>
        </w:tc>
      </w:tr>
      <w:tr>
        <w:trPr/>
        <w:tc>
          <w:tcPr>
            <w:tcW w:w="169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8" w:type="dxa"/>
            <w:tcBorders/>
            <w:vAlign w:val="center"/>
          </w:tcPr>
          <w:p>
            <w:pPr>
              <w:pStyle w:val="TableContents"/>
              <w:bidi w:val="0"/>
              <w:spacing w:before="0" w:after="0"/>
              <w:jc w:val="left"/>
              <w:rPr>
                <w:color w:val="000000"/>
              </w:rPr>
            </w:pPr>
            <w:r>
              <w:rPr>
                <w:color w:val="000000"/>
              </w:rPr>
              <w:t> </w:t>
            </w:r>
          </w:p>
        </w:tc>
      </w:tr>
      <w:tr>
        <w:trPr/>
        <w:tc>
          <w:tcPr>
            <w:tcW w:w="169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John A. Mastalerz</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48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 President, Treasurer and Director (Principal Financial and 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68"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6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A. Mastalerz</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4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68" w:type="dxa"/>
            <w:vMerge w:val="continue"/>
            <w:tcBorders/>
            <w:vAlign w:val="center"/>
          </w:tcPr>
          <w:p>
            <w:pPr>
              <w:pStyle w:val="Normal"/>
              <w:bidi w:val="0"/>
              <w:jc w:val="left"/>
              <w:rPr/>
            </w:pPr>
            <w:r>
              <w:rPr/>
            </w:r>
          </w:p>
        </w:tc>
      </w:tr>
      <w:tr>
        <w:trPr/>
        <w:tc>
          <w:tcPr>
            <w:tcW w:w="169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83847x1_s3asr_400-sig_pg7"/>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Pittsburgh, Commonwealth of Pennsylvania on October 21, 2026. </w:t>
      </w:r>
    </w:p>
    <w:tbl>
      <w:tblPr>
        <w:tblW w:w="3305"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204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WABTEC COMPONENTS LLC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Kelly L. Pietracatello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Kelly L. Pietracatello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Assistant Secretary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POWER OF ATTORNEY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undersigned directors and officers of Wabtec Components LLC, a Delaware limited liability company, do hereby constitute and appoint John A. Olin, David L. DeNinno and Kelly L. Pietracatello, or any of them, the undersigned’s true and lawful attorneys and agents, with full power of substitution and resubstitution in each, to do any and all acts and things in our name and on our behalf in our respective capacities as directors and officers and to execute any and all instruments for us and in our names in the capacities indicated below, which said attorneys and agents, or any of them, may deem necessary or advisable to enable said limited liability company to comply with the Securities Act, as amended, and any rules, regulations and requirements of the Securities and Exchange Commission, in connection with this Registration Statement, including specifically, but without limitation, power and authority to sign for us or any of us in our names in the capacities indicated below, any and all amendments (including post-effective amendments, whether pursuant to Rule 462(b) or otherwise) hereto, and each of the undersigned does hereby ratify and confirm all that said attorneys and agents, or any of them or any substitute, shall do or cause to be done by virtue hereof. This Power of Attorney may be executed in any number of counterparts.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this Registration Statement has been signed by the following persons in the capacities and on the dates indicated. </w:t>
      </w:r>
    </w:p>
    <w:tbl>
      <w:tblPr>
        <w:tblW w:w="9335" w:type="dxa"/>
        <w:jc w:val="left"/>
        <w:tblInd w:w="0" w:type="dxa"/>
        <w:tblLayout w:type="fixed"/>
        <w:tblCellMar>
          <w:top w:w="0" w:type="dxa"/>
          <w:left w:w="0" w:type="dxa"/>
          <w:bottom w:w="0" w:type="dxa"/>
          <w:right w:w="0" w:type="dxa"/>
        </w:tblCellMar>
      </w:tblPr>
      <w:tblGrid>
        <w:gridCol w:w="2000"/>
        <w:gridCol w:w="140"/>
        <w:gridCol w:w="140"/>
        <w:gridCol w:w="5285"/>
        <w:gridCol w:w="140"/>
        <w:gridCol w:w="140"/>
        <w:gridCol w:w="1490"/>
      </w:tblGrid>
      <w:tr>
        <w:trPr/>
        <w:tc>
          <w:tcPr>
            <w:tcW w:w="2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r>
        <w:trPr/>
        <w:tc>
          <w:tcPr>
            <w:tcW w:w="20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2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200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Michael Fetsko</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28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(Principal Executive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Michael Fetsko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28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2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200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John A. Mastalerz</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28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 President, Finance and Director (Principal Financial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A. Mastalerz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28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2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200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Kathleen Kennedy</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28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 President and Treasurer (Principal 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Kathleen Kennedy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28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2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200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Kelly L. Pietracatello</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28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Kelly L. Pietracatello</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28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2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83847x1_s3asr_400-sig_pg8"/>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Pittsburgh, Commonwealth of Pennsylvania on October 21, 2026. </w:t>
      </w:r>
    </w:p>
    <w:tbl>
      <w:tblPr>
        <w:tblW w:w="3965"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270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WABTEC HOLDING, LLC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0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Kelly L. Pietracatello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Kelly L. Pietracatello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Secretary and Assistant Treasurer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POWER OF ATTORNEY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undersigned directors and officers of Wabtec Holding, LLC, a Delaware limited liability company, do hereby constitute and appoint John A. Olin, David L. DeNinno and Kelly L. Pietracatello, or any of them, the undersigned’s true and lawful attorneys and agents, with full power of substitution and resubstitution in each, to do any and all acts and things in our name and on our behalf in our respective capacities as directors and officers and to execute any and all instruments for us and in our names in the capacities indicated below, which said attorneys and agents, or any of them, may deem necessary or advisable to enable said limited liability company to comply with the Securities Act, as amended, and any rules, regulations and requirements of the Securities and Exchange Commission, in connection with this Registration Statement, including specifically, but without limitation, power and authority to sign for us or any of us in our names in the capacities indicated below, any and all amendments (including post-effective amendments, whether pursuant to Rule 462(b) or otherwise) hereto, and each of the undersigned does hereby ratify and confirm all that said attorneys and agents, or any of them or any substitute, shall do or cause to be done by virtue hereof. This Power of Attorney may be executed in any number of counterparts.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this Registration Statement has been signed by the following persons in the capacities and on the dates indicated. </w:t>
      </w:r>
    </w:p>
    <w:tbl>
      <w:tblPr>
        <w:tblW w:w="8825" w:type="dxa"/>
        <w:jc w:val="left"/>
        <w:tblInd w:w="0" w:type="dxa"/>
        <w:tblLayout w:type="fixed"/>
        <w:tblCellMar>
          <w:top w:w="0" w:type="dxa"/>
          <w:left w:w="0" w:type="dxa"/>
          <w:bottom w:w="0" w:type="dxa"/>
          <w:right w:w="0" w:type="dxa"/>
        </w:tblCellMar>
      </w:tblPr>
      <w:tblGrid>
        <w:gridCol w:w="1760"/>
        <w:gridCol w:w="140"/>
        <w:gridCol w:w="140"/>
        <w:gridCol w:w="5015"/>
        <w:gridCol w:w="140"/>
        <w:gridCol w:w="140"/>
        <w:gridCol w:w="1490"/>
      </w:tblGrid>
      <w:tr>
        <w:trPr/>
        <w:tc>
          <w:tcPr>
            <w:tcW w:w="17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r>
        <w:trPr/>
        <w:tc>
          <w:tcPr>
            <w:tcW w:w="17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7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76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Michael Fetsko</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(Principal Executive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Michael Fetsko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7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76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John A. Mastalerz</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Vice President, Treasurer and Director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Financial Officer and Principal 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A. Mastalerz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7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76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David L. DeNinno</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L. DeNinno</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7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83847x1_s3asr_400-sig_pg9"/>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Pittsburgh, Commonwealth of Pennsylvania on October 21, 2026. </w:t>
      </w:r>
    </w:p>
    <w:tbl>
      <w:tblPr>
        <w:tblW w:w="5404" w:type="dxa"/>
        <w:jc w:val="left"/>
        <w:tblInd w:w="0" w:type="dxa"/>
        <w:tblLayout w:type="fixed"/>
        <w:tblCellMar>
          <w:top w:w="0" w:type="dxa"/>
          <w:left w:w="0" w:type="dxa"/>
          <w:bottom w:w="0" w:type="dxa"/>
          <w:right w:w="0" w:type="dxa"/>
        </w:tblCellMar>
      </w:tblPr>
      <w:tblGrid>
        <w:gridCol w:w="155"/>
        <w:gridCol w:w="140"/>
        <w:gridCol w:w="140"/>
        <w:gridCol w:w="787"/>
        <w:gridCol w:w="202"/>
        <w:gridCol w:w="202"/>
        <w:gridCol w:w="3778"/>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69"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6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WABTEC RAILWAY ELECTRONICS HOLDINGS, LLC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7"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77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77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Kelly L. Pietracatello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7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Kelly L. Pietracatello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7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Assistant Secretary and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7"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778"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POWER OF ATTORNEY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undersigned directors and officers of Wabtec Railway Electronics Holdings, LLC, a Delaware limited liability company, do hereby constitute and appoint John A. Olin, David L. DeNinno and Kelly L. Pietracatello, or any of them, the undersigned’s true and lawful attorneys and agents, with full power of substitution and resubstitution in each, to do any and all acts and things in our name and on our behalf in our respective capacities as directors and officers and to execute any and all instruments for us and in our names in the capacities indicated below, which said attorneys and agents, or any of them, may deem necessary or advisable to enable said limited liability company to comply with the Securities Act, as amended, and any rules, regulations and requirements of the Securities and Exchange Commission, in connection with this Registration Statement, including specifically, but without limitation, power and authority to sign for us or any of us in our names in the capacities indicated below, any and all amendments (including post-effective amendments, whether pursuant to Rule 462(b) or otherwise) hereto, and each of the undersigned does hereby ratify and confirm all that said attorneys and agents, or any of them or any substitute, shall do or cause to be done by virtue hereof. This Power of Attorney may be executed in any number of counterparts.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this Registration Statement has been signed by the following persons in the capacities and on the dates indicated. </w:t>
      </w:r>
    </w:p>
    <w:tbl>
      <w:tblPr>
        <w:tblW w:w="8480" w:type="dxa"/>
        <w:jc w:val="left"/>
        <w:tblInd w:w="0" w:type="dxa"/>
        <w:tblLayout w:type="fixed"/>
        <w:tblCellMar>
          <w:top w:w="0" w:type="dxa"/>
          <w:left w:w="0" w:type="dxa"/>
          <w:bottom w:w="0" w:type="dxa"/>
          <w:right w:w="0" w:type="dxa"/>
        </w:tblCellMar>
      </w:tblPr>
      <w:tblGrid>
        <w:gridCol w:w="2000"/>
        <w:gridCol w:w="140"/>
        <w:gridCol w:w="140"/>
        <w:gridCol w:w="4430"/>
        <w:gridCol w:w="140"/>
        <w:gridCol w:w="140"/>
        <w:gridCol w:w="1490"/>
      </w:tblGrid>
      <w:tr>
        <w:trPr/>
        <w:tc>
          <w:tcPr>
            <w:tcW w:w="2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r>
        <w:trPr/>
        <w:tc>
          <w:tcPr>
            <w:tcW w:w="20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2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200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Nalin Jain</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Director (Principal Executive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Nalin Jain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43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2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200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Nikhar Juneja</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 President, Finance (Principal 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Nikhar Juneja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43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2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200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Cody Corbelli</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Treasurer (Principal Financial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Cody Corbelli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43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2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200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Scott Horning</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Scott Horning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43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2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200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Kelly L. Pietracatello</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4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Assistant Secretary and 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Kelly L. Pietracatello</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43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2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83847x1_s3asr_400-sig_pg10"/>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Pittsburgh, Commonwealth of Pennsylvania on October 21, 2026. </w:t>
      </w:r>
    </w:p>
    <w:tbl>
      <w:tblPr>
        <w:tblW w:w="4639" w:type="dxa"/>
        <w:jc w:val="left"/>
        <w:tblInd w:w="0" w:type="dxa"/>
        <w:tblLayout w:type="fixed"/>
        <w:tblCellMar>
          <w:top w:w="0" w:type="dxa"/>
          <w:left w:w="0" w:type="dxa"/>
          <w:bottom w:w="0" w:type="dxa"/>
          <w:right w:w="0" w:type="dxa"/>
        </w:tblCellMar>
      </w:tblPr>
      <w:tblGrid>
        <w:gridCol w:w="155"/>
        <w:gridCol w:w="140"/>
        <w:gridCol w:w="140"/>
        <w:gridCol w:w="798"/>
        <w:gridCol w:w="205"/>
        <w:gridCol w:w="205"/>
        <w:gridCol w:w="2996"/>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4"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4"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WABTEC TRANSPORTATION SYSTEMS,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8" w:type="dxa"/>
            <w:tcBorders/>
            <w:vAlign w:val="center"/>
          </w:tcPr>
          <w:p>
            <w:pPr>
              <w:pStyle w:val="TableContents"/>
              <w:bidi w:val="0"/>
              <w:spacing w:before="0" w:after="0"/>
              <w:jc w:val="left"/>
              <w:rPr>
                <w:color w:val="000000"/>
              </w:rPr>
            </w:pPr>
            <w:r>
              <w:rPr>
                <w:color w:val="000000"/>
              </w:rPr>
              <w:t> </w:t>
            </w:r>
          </w:p>
        </w:tc>
        <w:tc>
          <w:tcPr>
            <w:tcW w:w="205" w:type="dxa"/>
            <w:tcBorders/>
            <w:vAlign w:val="center"/>
          </w:tcPr>
          <w:p>
            <w:pPr>
              <w:pStyle w:val="TableContents"/>
              <w:bidi w:val="0"/>
              <w:spacing w:before="0" w:after="0"/>
              <w:jc w:val="left"/>
              <w:rPr/>
            </w:pPr>
            <w:r>
              <w:rPr/>
              <w:t> </w:t>
            </w:r>
          </w:p>
        </w:tc>
        <w:tc>
          <w:tcPr>
            <w:tcW w:w="205" w:type="dxa"/>
            <w:tcBorders/>
            <w:vAlign w:val="center"/>
          </w:tcPr>
          <w:p>
            <w:pPr>
              <w:pStyle w:val="TableContents"/>
              <w:bidi w:val="0"/>
              <w:spacing w:before="0" w:after="0"/>
              <w:jc w:val="left"/>
              <w:rPr/>
            </w:pPr>
            <w:r>
              <w:rPr/>
              <w:t> </w:t>
            </w:r>
          </w:p>
        </w:tc>
        <w:tc>
          <w:tcPr>
            <w:tcW w:w="299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05" w:type="dxa"/>
            <w:tcBorders/>
            <w:vAlign w:val="center"/>
          </w:tcPr>
          <w:p>
            <w:pPr>
              <w:pStyle w:val="TableContents"/>
              <w:bidi w:val="0"/>
              <w:spacing w:before="0" w:after="0"/>
              <w:jc w:val="left"/>
              <w:rPr/>
            </w:pPr>
            <w:r>
              <w:rPr/>
              <w:t> </w:t>
            </w:r>
          </w:p>
        </w:tc>
        <w:tc>
          <w:tcPr>
            <w:tcW w:w="205" w:type="dxa"/>
            <w:tcBorders/>
            <w:vAlign w:val="center"/>
          </w:tcPr>
          <w:p>
            <w:pPr>
              <w:pStyle w:val="TableContents"/>
              <w:bidi w:val="0"/>
              <w:spacing w:before="0" w:after="0"/>
              <w:jc w:val="left"/>
              <w:rPr/>
            </w:pPr>
            <w:r>
              <w:rPr/>
              <w:t> </w:t>
            </w:r>
          </w:p>
        </w:tc>
        <w:tc>
          <w:tcPr>
            <w:tcW w:w="299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Kelly L. Pietracatello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05" w:type="dxa"/>
            <w:tcBorders/>
            <w:vAlign w:val="center"/>
          </w:tcPr>
          <w:p>
            <w:pPr>
              <w:pStyle w:val="TableContents"/>
              <w:bidi w:val="0"/>
              <w:spacing w:before="0" w:after="0"/>
              <w:jc w:val="left"/>
              <w:rPr/>
            </w:pPr>
            <w:r>
              <w:rPr/>
              <w:t> </w:t>
            </w:r>
          </w:p>
        </w:tc>
        <w:tc>
          <w:tcPr>
            <w:tcW w:w="205" w:type="dxa"/>
            <w:tcBorders/>
            <w:vAlign w:val="center"/>
          </w:tcPr>
          <w:p>
            <w:pPr>
              <w:pStyle w:val="TableContents"/>
              <w:bidi w:val="0"/>
              <w:spacing w:before="0" w:after="0"/>
              <w:jc w:val="left"/>
              <w:rPr/>
            </w:pPr>
            <w:r>
              <w:rPr/>
              <w:t> </w:t>
            </w:r>
          </w:p>
        </w:tc>
        <w:tc>
          <w:tcPr>
            <w:tcW w:w="2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Kelly L. Pietracatello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05" w:type="dxa"/>
            <w:tcBorders/>
            <w:vAlign w:val="center"/>
          </w:tcPr>
          <w:p>
            <w:pPr>
              <w:pStyle w:val="TableContents"/>
              <w:bidi w:val="0"/>
              <w:spacing w:before="0" w:after="0"/>
              <w:jc w:val="left"/>
              <w:rPr/>
            </w:pPr>
            <w:r>
              <w:rPr/>
              <w:t> </w:t>
            </w:r>
          </w:p>
        </w:tc>
        <w:tc>
          <w:tcPr>
            <w:tcW w:w="205" w:type="dxa"/>
            <w:tcBorders/>
            <w:vAlign w:val="center"/>
          </w:tcPr>
          <w:p>
            <w:pPr>
              <w:pStyle w:val="TableContents"/>
              <w:bidi w:val="0"/>
              <w:spacing w:before="0" w:after="0"/>
              <w:jc w:val="left"/>
              <w:rPr/>
            </w:pPr>
            <w:r>
              <w:rPr/>
              <w:t> </w:t>
            </w:r>
          </w:p>
        </w:tc>
        <w:tc>
          <w:tcPr>
            <w:tcW w:w="2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Assistant Secretary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8" w:type="dxa"/>
            <w:tcBorders/>
            <w:vAlign w:val="center"/>
          </w:tcPr>
          <w:p>
            <w:pPr>
              <w:pStyle w:val="TableContents"/>
              <w:bidi w:val="0"/>
              <w:spacing w:before="0" w:after="0"/>
              <w:jc w:val="left"/>
              <w:rPr/>
            </w:pPr>
            <w:r>
              <w:rPr/>
              <w:t> </w:t>
            </w:r>
          </w:p>
        </w:tc>
        <w:tc>
          <w:tcPr>
            <w:tcW w:w="205" w:type="dxa"/>
            <w:tcBorders/>
            <w:vAlign w:val="center"/>
          </w:tcPr>
          <w:p>
            <w:pPr>
              <w:pStyle w:val="TableContents"/>
              <w:bidi w:val="0"/>
              <w:spacing w:before="0" w:after="0"/>
              <w:jc w:val="left"/>
              <w:rPr/>
            </w:pPr>
            <w:r>
              <w:rPr/>
              <w:t> </w:t>
            </w:r>
          </w:p>
        </w:tc>
        <w:tc>
          <w:tcPr>
            <w:tcW w:w="205" w:type="dxa"/>
            <w:tcBorders/>
            <w:vAlign w:val="center"/>
          </w:tcPr>
          <w:p>
            <w:pPr>
              <w:pStyle w:val="TableContents"/>
              <w:bidi w:val="0"/>
              <w:spacing w:before="0" w:after="0"/>
              <w:jc w:val="left"/>
              <w:rPr/>
            </w:pPr>
            <w:r>
              <w:rPr/>
              <w:t> </w:t>
            </w:r>
          </w:p>
        </w:tc>
        <w:tc>
          <w:tcPr>
            <w:tcW w:w="2996"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POWER OF ATTORNEY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undersigned officers and sole member of Wabtec Transportation Systems, LLC, a Delaware limited liability company, do hereby constitute and appoint John A. Olin, David L. DeNinno and Kelly L. Pietracatello, or any of them, the undersigned’s true and lawful attorneys and agents, with full power of substitution and resubstitution in each, to do any and all acts and things in our name and on our behalf in our respective capacities as officers and sole member and to execute any and all instruments for us and in our names in the capacities indicated below, which said attorneys and agents, or any of them, may deem necessary or advisable to enable said limited liability company to comply with the Securities Act, as amended, and any rules, regulations and requirements of the Securities and Exchange Commission, in connection with this Registration Statement, including specifically, but without limitation, power and authority to sign for us or any of us in our names in the capacities indicated below, any and all amendments (including post-effective amendments, whether pursuant to Rule 462(b) or otherwise) hereto, and each of the undersigned does hereby ratify and confirm all that said attorneys and agents, or any of them or any substitute, shall do or cause to be done by virtue hereof. This Power of Attorney may be executed in any number of counterparts.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this Registration Statement has been signed by the following persons in the capacities and on the dates indicated. </w:t>
      </w:r>
    </w:p>
    <w:tbl>
      <w:tblPr>
        <w:tblW w:w="10205" w:type="dxa"/>
        <w:jc w:val="left"/>
        <w:tblInd w:w="0" w:type="dxa"/>
        <w:tblLayout w:type="fixed"/>
        <w:tblCellMar>
          <w:top w:w="0" w:type="dxa"/>
          <w:left w:w="0" w:type="dxa"/>
          <w:bottom w:w="0" w:type="dxa"/>
          <w:right w:w="0" w:type="dxa"/>
        </w:tblCellMar>
      </w:tblPr>
      <w:tblGrid>
        <w:gridCol w:w="1591"/>
        <w:gridCol w:w="140"/>
        <w:gridCol w:w="140"/>
        <w:gridCol w:w="6592"/>
        <w:gridCol w:w="140"/>
        <w:gridCol w:w="140"/>
        <w:gridCol w:w="1462"/>
      </w:tblGrid>
      <w:tr>
        <w:trPr/>
        <w:tc>
          <w:tcPr>
            <w:tcW w:w="15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2" w:type="dxa"/>
            <w:tcBorders/>
            <w:vAlign w:val="center"/>
          </w:tcPr>
          <w:p>
            <w:pPr>
              <w:pStyle w:val="TableContents"/>
              <w:bidi w:val="0"/>
              <w:spacing w:before="0" w:after="0"/>
              <w:jc w:val="left"/>
              <w:rPr/>
            </w:pPr>
            <w:r>
              <w:rPr/>
              <w:t> </w:t>
            </w:r>
          </w:p>
        </w:tc>
      </w:tr>
      <w:tr>
        <w:trPr/>
        <w:tc>
          <w:tcPr>
            <w:tcW w:w="159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59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2" w:type="dxa"/>
            <w:tcBorders/>
            <w:vAlign w:val="center"/>
          </w:tcPr>
          <w:p>
            <w:pPr>
              <w:pStyle w:val="TableContents"/>
              <w:bidi w:val="0"/>
              <w:spacing w:before="0" w:after="0"/>
              <w:jc w:val="left"/>
              <w:rPr>
                <w:color w:val="000000"/>
              </w:rPr>
            </w:pPr>
            <w:r>
              <w:rPr>
                <w:color w:val="000000"/>
              </w:rPr>
              <w:t> </w:t>
            </w:r>
          </w:p>
        </w:tc>
      </w:tr>
      <w:tr>
        <w:trPr/>
        <w:tc>
          <w:tcPr>
            <w:tcW w:w="159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Sameer Gaur</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592"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(Principal Executive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62"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5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Sameer Gaur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592"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62" w:type="dxa"/>
            <w:vMerge w:val="continue"/>
            <w:tcBorders/>
            <w:vAlign w:val="center"/>
          </w:tcPr>
          <w:p>
            <w:pPr>
              <w:pStyle w:val="Normal"/>
              <w:bidi w:val="0"/>
              <w:jc w:val="left"/>
              <w:rPr/>
            </w:pPr>
            <w:r>
              <w:rPr/>
            </w:r>
          </w:p>
        </w:tc>
      </w:tr>
      <w:tr>
        <w:trPr/>
        <w:tc>
          <w:tcPr>
            <w:tcW w:w="159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2" w:type="dxa"/>
            <w:tcBorders/>
            <w:vAlign w:val="center"/>
          </w:tcPr>
          <w:p>
            <w:pPr>
              <w:pStyle w:val="TableContents"/>
              <w:bidi w:val="0"/>
              <w:spacing w:before="0" w:after="0"/>
              <w:jc w:val="left"/>
              <w:rPr>
                <w:color w:val="000000"/>
              </w:rPr>
            </w:pPr>
            <w:r>
              <w:rPr>
                <w:color w:val="000000"/>
              </w:rPr>
              <w:t> </w:t>
            </w:r>
          </w:p>
        </w:tc>
      </w:tr>
      <w:tr>
        <w:trPr/>
        <w:tc>
          <w:tcPr>
            <w:tcW w:w="159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Tiago Fernandes</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592"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 President Finance (Principal Financial Officer and Principal 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62"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5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Tiago Fernandes</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592"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62" w:type="dxa"/>
            <w:vMerge w:val="continue"/>
            <w:tcBorders/>
            <w:vAlign w:val="center"/>
          </w:tcPr>
          <w:p>
            <w:pPr>
              <w:pStyle w:val="Normal"/>
              <w:bidi w:val="0"/>
              <w:jc w:val="left"/>
              <w:rPr/>
            </w:pPr>
            <w:r>
              <w:rPr/>
            </w:r>
          </w:p>
        </w:tc>
      </w:tr>
      <w:tr>
        <w:trPr/>
        <w:tc>
          <w:tcPr>
            <w:tcW w:w="15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2" w:type="dxa"/>
            <w:tcBorders/>
            <w:vAlign w:val="center"/>
          </w:tcPr>
          <w:p>
            <w:pPr>
              <w:pStyle w:val="TableContents"/>
              <w:bidi w:val="0"/>
              <w:spacing w:before="0" w:after="0"/>
              <w:jc w:val="left"/>
              <w:rPr/>
            </w:pPr>
            <w:r>
              <w:rPr/>
              <w:t> </w:t>
            </w:r>
          </w:p>
        </w:tc>
      </w:tr>
    </w:tbl>
    <w:tbl>
      <w:tblPr>
        <w:tblW w:w="6362" w:type="dxa"/>
        <w:jc w:val="left"/>
        <w:tblInd w:w="0" w:type="dxa"/>
        <w:tblLayout w:type="fixed"/>
        <w:tblCellMar>
          <w:top w:w="0" w:type="dxa"/>
          <w:left w:w="0" w:type="dxa"/>
          <w:bottom w:w="0" w:type="dxa"/>
          <w:right w:w="0" w:type="dxa"/>
        </w:tblCellMar>
      </w:tblPr>
      <w:tblGrid>
        <w:gridCol w:w="511"/>
        <w:gridCol w:w="188"/>
        <w:gridCol w:w="188"/>
        <w:gridCol w:w="2370"/>
        <w:gridCol w:w="140"/>
        <w:gridCol w:w="140"/>
        <w:gridCol w:w="1100"/>
        <w:gridCol w:w="140"/>
        <w:gridCol w:w="140"/>
        <w:gridCol w:w="1445"/>
      </w:tblGrid>
      <w:tr>
        <w:trPr/>
        <w:tc>
          <w:tcPr>
            <w:tcW w:w="3257"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r>
      <w:tr>
        <w:trPr/>
        <w:tc>
          <w:tcPr>
            <w:tcW w:w="325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 Transportation, a Wabtec Company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color w:val="000000"/>
              </w:rPr>
            </w:pPr>
            <w:r>
              <w:rPr>
                <w:color w:val="000000"/>
              </w:rPr>
              <w:t> </w:t>
            </w:r>
          </w:p>
        </w:tc>
      </w:tr>
      <w:tr>
        <w:trPr/>
        <w:tc>
          <w:tcPr>
            <w:tcW w:w="511" w:type="dxa"/>
            <w:tcBorders/>
            <w:vAlign w:val="center"/>
          </w:tcPr>
          <w:p>
            <w:pPr>
              <w:pStyle w:val="TableContents"/>
              <w:bidi w:val="0"/>
              <w:spacing w:before="0" w:after="0"/>
              <w:jc w:val="left"/>
              <w:rPr>
                <w:color w:val="000000"/>
              </w:rPr>
            </w:pPr>
            <w:r>
              <w:rPr>
                <w:color w:val="000000"/>
              </w:rPr>
              <w:t> </w:t>
            </w:r>
          </w:p>
        </w:tc>
        <w:tc>
          <w:tcPr>
            <w:tcW w:w="188" w:type="dxa"/>
            <w:tcBorders/>
            <w:vAlign w:val="center"/>
          </w:tcPr>
          <w:p>
            <w:pPr>
              <w:pStyle w:val="TableContents"/>
              <w:bidi w:val="0"/>
              <w:spacing w:before="0" w:after="0"/>
              <w:jc w:val="left"/>
              <w:rPr/>
            </w:pPr>
            <w:r>
              <w:rPr/>
              <w:t> </w:t>
            </w:r>
          </w:p>
        </w:tc>
        <w:tc>
          <w:tcPr>
            <w:tcW w:w="188" w:type="dxa"/>
            <w:tcBorders/>
            <w:vAlign w:val="center"/>
          </w:tcPr>
          <w:p>
            <w:pPr>
              <w:pStyle w:val="TableContents"/>
              <w:bidi w:val="0"/>
              <w:spacing w:before="0" w:after="0"/>
              <w:jc w:val="left"/>
              <w:rPr/>
            </w:pPr>
            <w:r>
              <w:rPr/>
              <w:t> </w:t>
            </w:r>
          </w:p>
        </w:tc>
        <w:tc>
          <w:tcPr>
            <w:tcW w:w="23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color w:val="000000"/>
              </w:rPr>
            </w:pPr>
            <w:r>
              <w:rPr>
                <w:color w:val="000000"/>
              </w:rPr>
              <w:t> </w:t>
            </w:r>
          </w:p>
        </w:tc>
      </w:tr>
      <w:tr>
        <w:trPr/>
        <w:tc>
          <w:tcPr>
            <w:tcW w:w="5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188" w:type="dxa"/>
            <w:tcBorders/>
            <w:vAlign w:val="center"/>
          </w:tcPr>
          <w:p>
            <w:pPr>
              <w:pStyle w:val="TableContents"/>
              <w:bidi w:val="0"/>
              <w:spacing w:before="0" w:after="0"/>
              <w:jc w:val="left"/>
              <w:rPr/>
            </w:pPr>
            <w:r>
              <w:rPr/>
              <w:t> </w:t>
            </w:r>
          </w:p>
        </w:tc>
        <w:tc>
          <w:tcPr>
            <w:tcW w:w="188" w:type="dxa"/>
            <w:tcBorders/>
            <w:vAlign w:val="center"/>
          </w:tcPr>
          <w:p>
            <w:pPr>
              <w:pStyle w:val="TableContents"/>
              <w:bidi w:val="0"/>
              <w:spacing w:before="0" w:after="0"/>
              <w:jc w:val="left"/>
              <w:rPr/>
            </w:pPr>
            <w:r>
              <w:rPr/>
              <w:t> </w:t>
            </w:r>
          </w:p>
        </w:tc>
        <w:tc>
          <w:tcPr>
            <w:tcW w:w="237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John A. Mastalerz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Sole Member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October 21, 2026</w:t>
            </w:r>
          </w:p>
        </w:tc>
      </w:tr>
      <w:tr>
        <w:trPr/>
        <w:tc>
          <w:tcPr>
            <w:tcW w:w="325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A. Mastalerz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 President and Treasurer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color w:val="000000"/>
              </w:rPr>
            </w:pPr>
            <w:r>
              <w:rPr>
                <w:color w:val="000000"/>
              </w:rPr>
              <w:t> </w:t>
            </w:r>
          </w:p>
        </w:tc>
      </w:tr>
      <w:tr>
        <w:trPr/>
        <w:tc>
          <w:tcPr>
            <w:tcW w:w="3257"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83847x1_s3asr_400-sig_pg11"/>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Pittsburgh, Commonwealth of Pennsylvania on October 21, 2026. </w:t>
      </w:r>
    </w:p>
    <w:tbl>
      <w:tblPr>
        <w:tblW w:w="3305"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204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WABTEC US RAIL,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Kelly L. Pietracatello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Kelly L. Pietracatello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Secretary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POWER OF ATTORNEY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undersigned directors and officers of Wabtec US Rail, Inc., a Delaware corporation, do hereby constitute and appoint John A. Olin, David L. DeNinno and Kelly L. Pietracatello, or any of them, the undersigned’s true and lawful attorneys and agents, with full power of substitution and resubstitution in each, to do any and all acts and things in our name and on our behalf in our respective capacities as directors and officers and to execute any and all instruments for us and in our names in the capacities indicated below, which said attorneys and agents, or any of them, may deem necessary or advisable to enable said corporation to comply with the Securities Act, as amended, and any rules, regulations and requirements of the Securities and Exchange Commission, in connection with this Registration Statement, including specifically, but without limitation, power and authority to sign for us or any of us in our names in the capacities indicated below, any and all amendments (including post-effective amendments, whether pursuant to Rule 462(b) or otherwise) hereto, and each of the undersigned does hereby ratify and confirm all that said attorneys and agents, or any of them or any substitute, shall do or cause to be done by virtue hereof. This Power of Attorney may be executed in any number of counterparts.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this Registration Statement has been signed by the following persons in the capacities and on the dates indicated. </w:t>
      </w:r>
    </w:p>
    <w:tbl>
      <w:tblPr>
        <w:tblW w:w="9050" w:type="dxa"/>
        <w:jc w:val="left"/>
        <w:tblInd w:w="0" w:type="dxa"/>
        <w:tblLayout w:type="fixed"/>
        <w:tblCellMar>
          <w:top w:w="0" w:type="dxa"/>
          <w:left w:w="0" w:type="dxa"/>
          <w:bottom w:w="0" w:type="dxa"/>
          <w:right w:w="0" w:type="dxa"/>
        </w:tblCellMar>
      </w:tblPr>
      <w:tblGrid>
        <w:gridCol w:w="1790"/>
        <w:gridCol w:w="140"/>
        <w:gridCol w:w="140"/>
        <w:gridCol w:w="5210"/>
        <w:gridCol w:w="140"/>
        <w:gridCol w:w="140"/>
        <w:gridCol w:w="1490"/>
      </w:tblGrid>
      <w:tr>
        <w:trPr/>
        <w:tc>
          <w:tcPr>
            <w:tcW w:w="1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r>
        <w:trPr/>
        <w:tc>
          <w:tcPr>
            <w:tcW w:w="17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7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Pascal Schweitzer</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21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(Principal Executive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Pascal Schweitzer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21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7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John A. Mastalerz</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21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Treasurer (Principal Financial and Principal 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A. Mastalerz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21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7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David L. DeNinno</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21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David L. DeNinno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21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7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Nicole Theophilus</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21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21, 2026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Nicole Theophilus</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21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II-19</w:t>
      </w:r>
    </w:p>
    <w:p>
      <w:pPr>
        <w:pStyle w:val="TextBody"/>
        <w:bidi w:val="0"/>
        <w:jc w:val="center"/>
        <w:rPr>
          <w:caps w:val="false"/>
          <w:smallCaps w:val="false"/>
          <w:bdr w:val="single" w:sz="32" w:space="1" w:color="000000"/>
        </w:rPr>
      </w:pPr>
      <w:bookmarkStart w:id="62" w:name="ny20083847x1_ex4-22.htm"/>
      <w:bookmarkStart w:id="63" w:name="ksny20083847x1_ex422"/>
      <w:bookmarkEnd w:id="62"/>
      <w:bookmarkEnd w:id="63"/>
      <w:r>
        <w:rPr>
          <w:caps w:val="false"/>
          <w:smallCaps w:val="false"/>
          <w:bdr w:val="single" w:sz="32" w:space="1" w:color="000000"/>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4.22</w:t>
      </w:r>
    </w:p>
    <w:p>
      <w:pPr>
        <w:pStyle w:val="TextBody"/>
        <w:bidi w:val="0"/>
        <w:jc w:val="left"/>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WESTINGHOUSE AIR BRAKE TECHNOLOGIES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OF INDENTURE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 20[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WESTINGHOUSE AIR BRAKE TECHNOLOGIES CORPORATION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and tie showing the location in the Indenture dated as of [ ], 20[ ], of the provisions inserted pursuant to Sections 310 to 318(a), inclusive, of the Trust Indenture Act of 1939, as amended.</w:t>
      </w:r>
    </w:p>
    <w:p>
      <w:pPr>
        <w:pStyle w:val="TextBody"/>
        <w:bidi w:val="0"/>
        <w:spacing w:before="0" w:after="0"/>
        <w:ind w:left="0" w:right="0" w:firstLine="720"/>
        <w:jc w:val="left"/>
        <w:rPr>
          <w:caps w:val="false"/>
          <w:smallCaps w:val="false"/>
        </w:rPr>
      </w:pPr>
      <w:r>
        <w:rPr>
          <w:caps w:val="false"/>
          <w:smallCaps w:val="false"/>
        </w:rPr>
        <w:t> </w:t>
      </w:r>
    </w:p>
    <w:tbl>
      <w:tblPr>
        <w:tblW w:w="4749" w:type="dxa"/>
        <w:jc w:val="left"/>
        <w:tblInd w:w="0" w:type="dxa"/>
        <w:tblLayout w:type="fixed"/>
        <w:tblCellMar>
          <w:top w:w="0" w:type="dxa"/>
          <w:left w:w="0" w:type="dxa"/>
          <w:bottom w:w="0" w:type="dxa"/>
          <w:right w:w="0" w:type="dxa"/>
        </w:tblCellMar>
      </w:tblPr>
      <w:tblGrid>
        <w:gridCol w:w="1827"/>
        <w:gridCol w:w="1072"/>
        <w:gridCol w:w="1850"/>
      </w:tblGrid>
      <w:tr>
        <w:trPr/>
        <w:tc>
          <w:tcPr>
            <w:tcW w:w="2899" w:type="dxa"/>
            <w:gridSpan w:val="2"/>
            <w:tcBorders/>
            <w:vAlign w:val="center"/>
          </w:tcPr>
          <w:p>
            <w:pPr>
              <w:pStyle w:val="TableContents"/>
              <w:bidi w:val="0"/>
              <w:spacing w:before="0" w:after="283"/>
              <w:jc w:val="left"/>
              <w:rPr>
                <w:b/>
                <w:u w:val="single"/>
              </w:rPr>
            </w:pPr>
            <w:r>
              <w:rPr>
                <w:b/>
                <w:u w:val="single"/>
              </w:rPr>
              <w:t>Trust Indenture Act Section</w:t>
            </w:r>
          </w:p>
        </w:tc>
        <w:tc>
          <w:tcPr>
            <w:tcW w:w="1850" w:type="dxa"/>
            <w:tcBorders/>
            <w:vAlign w:val="center"/>
          </w:tcPr>
          <w:p>
            <w:pPr>
              <w:pStyle w:val="TableContents"/>
              <w:bidi w:val="0"/>
              <w:spacing w:before="0" w:after="283"/>
              <w:jc w:val="right"/>
              <w:rPr>
                <w:b/>
                <w:u w:val="single"/>
              </w:rPr>
            </w:pPr>
            <w:r>
              <w:rPr>
                <w:b/>
                <w:u w:val="single"/>
              </w:rPr>
              <w:t>Indenture Section</w:t>
            </w:r>
          </w:p>
        </w:tc>
      </w:tr>
      <w:tr>
        <w:trPr/>
        <w:tc>
          <w:tcPr>
            <w:tcW w:w="1827" w:type="dxa"/>
            <w:tcBorders/>
            <w:vAlign w:val="center"/>
          </w:tcPr>
          <w:p>
            <w:pPr>
              <w:pStyle w:val="TableContents"/>
              <w:bidi w:val="0"/>
              <w:spacing w:before="0" w:after="283"/>
              <w:jc w:val="left"/>
              <w:rPr/>
            </w:pPr>
            <w:r>
              <w:rPr/>
              <w:t>SECTION 310</w:t>
            </w:r>
          </w:p>
        </w:tc>
        <w:tc>
          <w:tcPr>
            <w:tcW w:w="1072" w:type="dxa"/>
            <w:tcBorders/>
            <w:vAlign w:val="center"/>
          </w:tcPr>
          <w:p>
            <w:pPr>
              <w:pStyle w:val="TableContents"/>
              <w:bidi w:val="0"/>
              <w:spacing w:before="0" w:after="283"/>
              <w:jc w:val="left"/>
              <w:rPr/>
            </w:pPr>
            <w:r>
              <w:rPr/>
              <w:t>(a)(2)</w:t>
            </w:r>
          </w:p>
        </w:tc>
        <w:tc>
          <w:tcPr>
            <w:tcW w:w="1850" w:type="dxa"/>
            <w:tcBorders/>
            <w:vAlign w:val="center"/>
          </w:tcPr>
          <w:p>
            <w:pPr>
              <w:pStyle w:val="TableContents"/>
              <w:bidi w:val="0"/>
              <w:spacing w:before="0" w:after="283"/>
              <w:jc w:val="right"/>
              <w:rPr/>
            </w:pPr>
            <w:r>
              <w:rPr/>
              <w:t>7.9</w:t>
            </w:r>
          </w:p>
        </w:tc>
      </w:tr>
      <w:tr>
        <w:trPr/>
        <w:tc>
          <w:tcPr>
            <w:tcW w:w="1827"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(a)(1)</w:t>
            </w:r>
          </w:p>
        </w:tc>
        <w:tc>
          <w:tcPr>
            <w:tcW w:w="1850" w:type="dxa"/>
            <w:tcBorders/>
            <w:vAlign w:val="center"/>
          </w:tcPr>
          <w:p>
            <w:pPr>
              <w:pStyle w:val="TableContents"/>
              <w:bidi w:val="0"/>
              <w:spacing w:before="0" w:after="283"/>
              <w:jc w:val="right"/>
              <w:rPr/>
            </w:pPr>
            <w:r>
              <w:rPr/>
              <w:t>7.9</w:t>
            </w:r>
          </w:p>
        </w:tc>
      </w:tr>
      <w:tr>
        <w:trPr/>
        <w:tc>
          <w:tcPr>
            <w:tcW w:w="1827"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(b)</w:t>
            </w:r>
          </w:p>
        </w:tc>
        <w:tc>
          <w:tcPr>
            <w:tcW w:w="1850" w:type="dxa"/>
            <w:tcBorders/>
            <w:vAlign w:val="center"/>
          </w:tcPr>
          <w:p>
            <w:pPr>
              <w:pStyle w:val="TableContents"/>
              <w:bidi w:val="0"/>
              <w:spacing w:before="0" w:after="283"/>
              <w:jc w:val="right"/>
              <w:rPr/>
            </w:pPr>
            <w:r>
              <w:rPr/>
              <w:t>7.7, 7.9</w:t>
            </w:r>
          </w:p>
        </w:tc>
      </w:tr>
      <w:tr>
        <w:trPr/>
        <w:tc>
          <w:tcPr>
            <w:tcW w:w="1827" w:type="dxa"/>
            <w:tcBorders/>
            <w:vAlign w:val="center"/>
          </w:tcPr>
          <w:p>
            <w:pPr>
              <w:pStyle w:val="TableContents"/>
              <w:bidi w:val="0"/>
              <w:spacing w:before="0" w:after="283"/>
              <w:jc w:val="left"/>
              <w:rPr/>
            </w:pPr>
            <w:r>
              <w:rPr/>
              <w:t>SECTION 311</w:t>
            </w:r>
          </w:p>
        </w:tc>
        <w:tc>
          <w:tcPr>
            <w:tcW w:w="1072" w:type="dxa"/>
            <w:tcBorders/>
            <w:vAlign w:val="center"/>
          </w:tcPr>
          <w:p>
            <w:pPr>
              <w:pStyle w:val="TableContents"/>
              <w:bidi w:val="0"/>
              <w:spacing w:before="0" w:after="283"/>
              <w:jc w:val="left"/>
              <w:rPr/>
            </w:pPr>
            <w:r>
              <w:rPr/>
              <w:t>(a)</w:t>
            </w:r>
          </w:p>
        </w:tc>
        <w:tc>
          <w:tcPr>
            <w:tcW w:w="1850" w:type="dxa"/>
            <w:tcBorders/>
            <w:vAlign w:val="center"/>
          </w:tcPr>
          <w:p>
            <w:pPr>
              <w:pStyle w:val="TableContents"/>
              <w:bidi w:val="0"/>
              <w:spacing w:before="0" w:after="283"/>
              <w:jc w:val="right"/>
              <w:rPr/>
            </w:pPr>
            <w:r>
              <w:rPr/>
              <w:t>7.10</w:t>
            </w:r>
          </w:p>
        </w:tc>
      </w:tr>
      <w:tr>
        <w:trPr/>
        <w:tc>
          <w:tcPr>
            <w:tcW w:w="1827"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(b)</w:t>
            </w:r>
          </w:p>
        </w:tc>
        <w:tc>
          <w:tcPr>
            <w:tcW w:w="1850" w:type="dxa"/>
            <w:tcBorders/>
            <w:vAlign w:val="center"/>
          </w:tcPr>
          <w:p>
            <w:pPr>
              <w:pStyle w:val="TableContents"/>
              <w:bidi w:val="0"/>
              <w:spacing w:before="0" w:after="283"/>
              <w:jc w:val="right"/>
              <w:rPr/>
            </w:pPr>
            <w:r>
              <w:rPr/>
              <w:t>7.10</w:t>
            </w:r>
          </w:p>
        </w:tc>
      </w:tr>
      <w:tr>
        <w:trPr/>
        <w:tc>
          <w:tcPr>
            <w:tcW w:w="1827" w:type="dxa"/>
            <w:tcBorders/>
            <w:vAlign w:val="center"/>
          </w:tcPr>
          <w:p>
            <w:pPr>
              <w:pStyle w:val="TableContents"/>
              <w:bidi w:val="0"/>
              <w:spacing w:before="0" w:after="283"/>
              <w:jc w:val="left"/>
              <w:rPr/>
            </w:pPr>
            <w:r>
              <w:rPr/>
              <w:t>SECTION 312</w:t>
            </w:r>
          </w:p>
        </w:tc>
        <w:tc>
          <w:tcPr>
            <w:tcW w:w="1072" w:type="dxa"/>
            <w:tcBorders/>
            <w:vAlign w:val="center"/>
          </w:tcPr>
          <w:p>
            <w:pPr>
              <w:pStyle w:val="TableContents"/>
              <w:bidi w:val="0"/>
              <w:spacing w:before="0" w:after="283"/>
              <w:jc w:val="left"/>
              <w:rPr/>
            </w:pPr>
            <w:r>
              <w:rPr/>
              <w:t>(a)</w:t>
            </w:r>
          </w:p>
        </w:tc>
        <w:tc>
          <w:tcPr>
            <w:tcW w:w="1850" w:type="dxa"/>
            <w:tcBorders/>
            <w:vAlign w:val="center"/>
          </w:tcPr>
          <w:p>
            <w:pPr>
              <w:pStyle w:val="TableContents"/>
              <w:bidi w:val="0"/>
              <w:spacing w:before="0" w:after="283"/>
              <w:jc w:val="right"/>
              <w:rPr/>
            </w:pPr>
            <w:r>
              <w:rPr/>
              <w:t>2.6</w:t>
            </w:r>
          </w:p>
        </w:tc>
      </w:tr>
      <w:tr>
        <w:trPr/>
        <w:tc>
          <w:tcPr>
            <w:tcW w:w="1827"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(b)</w:t>
            </w:r>
          </w:p>
        </w:tc>
        <w:tc>
          <w:tcPr>
            <w:tcW w:w="1850" w:type="dxa"/>
            <w:tcBorders/>
            <w:vAlign w:val="center"/>
          </w:tcPr>
          <w:p>
            <w:pPr>
              <w:pStyle w:val="TableContents"/>
              <w:bidi w:val="0"/>
              <w:spacing w:before="0" w:after="283"/>
              <w:jc w:val="right"/>
              <w:rPr/>
            </w:pPr>
            <w:r>
              <w:rPr/>
              <w:t>10.2</w:t>
            </w:r>
          </w:p>
        </w:tc>
      </w:tr>
      <w:tr>
        <w:trPr/>
        <w:tc>
          <w:tcPr>
            <w:tcW w:w="1827"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(c)</w:t>
            </w:r>
          </w:p>
        </w:tc>
        <w:tc>
          <w:tcPr>
            <w:tcW w:w="1850" w:type="dxa"/>
            <w:tcBorders/>
            <w:vAlign w:val="center"/>
          </w:tcPr>
          <w:p>
            <w:pPr>
              <w:pStyle w:val="TableContents"/>
              <w:bidi w:val="0"/>
              <w:spacing w:before="0" w:after="283"/>
              <w:jc w:val="right"/>
              <w:rPr/>
            </w:pPr>
            <w:r>
              <w:rPr/>
              <w:t>10.2</w:t>
            </w:r>
          </w:p>
        </w:tc>
      </w:tr>
      <w:tr>
        <w:trPr/>
        <w:tc>
          <w:tcPr>
            <w:tcW w:w="1827" w:type="dxa"/>
            <w:tcBorders/>
            <w:vAlign w:val="center"/>
          </w:tcPr>
          <w:p>
            <w:pPr>
              <w:pStyle w:val="TableContents"/>
              <w:bidi w:val="0"/>
              <w:spacing w:before="0" w:after="283"/>
              <w:jc w:val="left"/>
              <w:rPr/>
            </w:pPr>
            <w:r>
              <w:rPr/>
              <w:t>SECTION 313</w:t>
            </w:r>
          </w:p>
        </w:tc>
        <w:tc>
          <w:tcPr>
            <w:tcW w:w="1072" w:type="dxa"/>
            <w:tcBorders/>
            <w:vAlign w:val="center"/>
          </w:tcPr>
          <w:p>
            <w:pPr>
              <w:pStyle w:val="TableContents"/>
              <w:bidi w:val="0"/>
              <w:spacing w:before="0" w:after="283"/>
              <w:jc w:val="left"/>
              <w:rPr/>
            </w:pPr>
            <w:r>
              <w:rPr/>
              <w:t>(a)</w:t>
            </w:r>
          </w:p>
        </w:tc>
        <w:tc>
          <w:tcPr>
            <w:tcW w:w="1850" w:type="dxa"/>
            <w:tcBorders/>
            <w:vAlign w:val="center"/>
          </w:tcPr>
          <w:p>
            <w:pPr>
              <w:pStyle w:val="TableContents"/>
              <w:bidi w:val="0"/>
              <w:spacing w:before="0" w:after="283"/>
              <w:jc w:val="right"/>
              <w:rPr/>
            </w:pPr>
            <w:r>
              <w:rPr/>
              <w:t>7.11</w:t>
            </w:r>
          </w:p>
        </w:tc>
      </w:tr>
      <w:tr>
        <w:trPr/>
        <w:tc>
          <w:tcPr>
            <w:tcW w:w="1827"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(b)</w:t>
            </w:r>
          </w:p>
        </w:tc>
        <w:tc>
          <w:tcPr>
            <w:tcW w:w="1850" w:type="dxa"/>
            <w:tcBorders/>
            <w:vAlign w:val="center"/>
          </w:tcPr>
          <w:p>
            <w:pPr>
              <w:pStyle w:val="TableContents"/>
              <w:bidi w:val="0"/>
              <w:spacing w:before="0" w:after="283"/>
              <w:jc w:val="right"/>
              <w:rPr/>
            </w:pPr>
            <w:r>
              <w:rPr/>
              <w:t>7.11</w:t>
            </w:r>
          </w:p>
        </w:tc>
      </w:tr>
      <w:tr>
        <w:trPr/>
        <w:tc>
          <w:tcPr>
            <w:tcW w:w="1827"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(c)</w:t>
            </w:r>
          </w:p>
        </w:tc>
        <w:tc>
          <w:tcPr>
            <w:tcW w:w="1850" w:type="dxa"/>
            <w:tcBorders/>
            <w:vAlign w:val="center"/>
          </w:tcPr>
          <w:p>
            <w:pPr>
              <w:pStyle w:val="TableContents"/>
              <w:bidi w:val="0"/>
              <w:spacing w:before="0" w:after="283"/>
              <w:jc w:val="right"/>
              <w:rPr/>
            </w:pPr>
            <w:r>
              <w:rPr/>
              <w:t>7.11</w:t>
            </w:r>
          </w:p>
        </w:tc>
      </w:tr>
      <w:tr>
        <w:trPr/>
        <w:tc>
          <w:tcPr>
            <w:tcW w:w="1827"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(d)</w:t>
            </w:r>
          </w:p>
        </w:tc>
        <w:tc>
          <w:tcPr>
            <w:tcW w:w="1850" w:type="dxa"/>
            <w:tcBorders/>
            <w:vAlign w:val="center"/>
          </w:tcPr>
          <w:p>
            <w:pPr>
              <w:pStyle w:val="TableContents"/>
              <w:bidi w:val="0"/>
              <w:spacing w:before="0" w:after="283"/>
              <w:jc w:val="right"/>
              <w:rPr/>
            </w:pPr>
            <w:r>
              <w:rPr/>
              <w:t>7.11</w:t>
            </w:r>
          </w:p>
        </w:tc>
      </w:tr>
      <w:tr>
        <w:trPr/>
        <w:tc>
          <w:tcPr>
            <w:tcW w:w="1827" w:type="dxa"/>
            <w:tcBorders/>
            <w:vAlign w:val="center"/>
          </w:tcPr>
          <w:p>
            <w:pPr>
              <w:pStyle w:val="TableContents"/>
              <w:bidi w:val="0"/>
              <w:spacing w:before="0" w:after="283"/>
              <w:jc w:val="left"/>
              <w:rPr/>
            </w:pPr>
            <w:r>
              <w:rPr/>
              <w:t>SECTION 314</w:t>
            </w:r>
          </w:p>
        </w:tc>
        <w:tc>
          <w:tcPr>
            <w:tcW w:w="1072" w:type="dxa"/>
            <w:tcBorders/>
            <w:vAlign w:val="center"/>
          </w:tcPr>
          <w:p>
            <w:pPr>
              <w:pStyle w:val="TableContents"/>
              <w:bidi w:val="0"/>
              <w:spacing w:before="0" w:after="283"/>
              <w:jc w:val="left"/>
              <w:rPr/>
            </w:pPr>
            <w:r>
              <w:rPr/>
              <w:t>(a)</w:t>
            </w:r>
          </w:p>
        </w:tc>
        <w:tc>
          <w:tcPr>
            <w:tcW w:w="1850" w:type="dxa"/>
            <w:tcBorders/>
            <w:vAlign w:val="center"/>
          </w:tcPr>
          <w:p>
            <w:pPr>
              <w:pStyle w:val="TableContents"/>
              <w:bidi w:val="0"/>
              <w:spacing w:before="0" w:after="283"/>
              <w:jc w:val="right"/>
              <w:rPr/>
            </w:pPr>
            <w:r>
              <w:rPr/>
              <w:t>4.2, 4.5</w:t>
            </w:r>
          </w:p>
        </w:tc>
      </w:tr>
      <w:tr>
        <w:trPr/>
        <w:tc>
          <w:tcPr>
            <w:tcW w:w="1827"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(c)(1)</w:t>
            </w:r>
          </w:p>
        </w:tc>
        <w:tc>
          <w:tcPr>
            <w:tcW w:w="1850" w:type="dxa"/>
            <w:tcBorders/>
            <w:vAlign w:val="center"/>
          </w:tcPr>
          <w:p>
            <w:pPr>
              <w:pStyle w:val="TableContents"/>
              <w:bidi w:val="0"/>
              <w:spacing w:before="0" w:after="283"/>
              <w:jc w:val="right"/>
              <w:rPr/>
            </w:pPr>
            <w:r>
              <w:rPr/>
              <w:t>10.3</w:t>
            </w:r>
          </w:p>
        </w:tc>
      </w:tr>
      <w:tr>
        <w:trPr/>
        <w:tc>
          <w:tcPr>
            <w:tcW w:w="1827"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(c)(2)</w:t>
            </w:r>
          </w:p>
        </w:tc>
        <w:tc>
          <w:tcPr>
            <w:tcW w:w="1850" w:type="dxa"/>
            <w:tcBorders/>
            <w:vAlign w:val="center"/>
          </w:tcPr>
          <w:p>
            <w:pPr>
              <w:pStyle w:val="TableContents"/>
              <w:bidi w:val="0"/>
              <w:spacing w:before="0" w:after="283"/>
              <w:jc w:val="right"/>
              <w:rPr/>
            </w:pPr>
            <w:r>
              <w:rPr/>
              <w:t>10.3</w:t>
            </w:r>
          </w:p>
        </w:tc>
      </w:tr>
      <w:tr>
        <w:trPr/>
        <w:tc>
          <w:tcPr>
            <w:tcW w:w="1827"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(e)</w:t>
            </w:r>
          </w:p>
        </w:tc>
        <w:tc>
          <w:tcPr>
            <w:tcW w:w="1850" w:type="dxa"/>
            <w:tcBorders/>
            <w:vAlign w:val="center"/>
          </w:tcPr>
          <w:p>
            <w:pPr>
              <w:pStyle w:val="TableContents"/>
              <w:bidi w:val="0"/>
              <w:spacing w:before="0" w:after="283"/>
              <w:jc w:val="right"/>
              <w:rPr/>
            </w:pPr>
            <w:r>
              <w:rPr/>
              <w:t>10.4</w:t>
            </w:r>
          </w:p>
        </w:tc>
      </w:tr>
      <w:tr>
        <w:trPr/>
        <w:tc>
          <w:tcPr>
            <w:tcW w:w="1827" w:type="dxa"/>
            <w:tcBorders/>
            <w:vAlign w:val="center"/>
          </w:tcPr>
          <w:p>
            <w:pPr>
              <w:pStyle w:val="TableContents"/>
              <w:bidi w:val="0"/>
              <w:spacing w:before="0" w:after="283"/>
              <w:jc w:val="left"/>
              <w:rPr/>
            </w:pPr>
            <w:r>
              <w:rPr/>
              <w:t>SECTION 316</w:t>
            </w:r>
          </w:p>
        </w:tc>
        <w:tc>
          <w:tcPr>
            <w:tcW w:w="1072" w:type="dxa"/>
            <w:tcBorders/>
            <w:vAlign w:val="center"/>
          </w:tcPr>
          <w:p>
            <w:pPr>
              <w:pStyle w:val="TableContents"/>
              <w:bidi w:val="0"/>
              <w:spacing w:before="0" w:after="283"/>
              <w:jc w:val="left"/>
              <w:rPr/>
            </w:pPr>
            <w:r>
              <w:rPr/>
              <w:t>(a)</w:t>
            </w:r>
          </w:p>
        </w:tc>
        <w:tc>
          <w:tcPr>
            <w:tcW w:w="1850" w:type="dxa"/>
            <w:tcBorders/>
            <w:vAlign w:val="center"/>
          </w:tcPr>
          <w:p>
            <w:pPr>
              <w:pStyle w:val="TableContents"/>
              <w:bidi w:val="0"/>
              <w:spacing w:before="0" w:after="283"/>
              <w:jc w:val="right"/>
              <w:rPr/>
            </w:pPr>
            <w:r>
              <w:rPr/>
              <w:t>1.1</w:t>
            </w:r>
          </w:p>
        </w:tc>
      </w:tr>
      <w:tr>
        <w:trPr/>
        <w:tc>
          <w:tcPr>
            <w:tcW w:w="1827"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(a)(1)(A)</w:t>
            </w:r>
          </w:p>
        </w:tc>
        <w:tc>
          <w:tcPr>
            <w:tcW w:w="1850" w:type="dxa"/>
            <w:tcBorders/>
            <w:vAlign w:val="center"/>
          </w:tcPr>
          <w:p>
            <w:pPr>
              <w:pStyle w:val="TableContents"/>
              <w:bidi w:val="0"/>
              <w:spacing w:before="0" w:after="283"/>
              <w:jc w:val="right"/>
              <w:rPr/>
            </w:pPr>
            <w:r>
              <w:rPr/>
              <w:t>6.12</w:t>
            </w:r>
          </w:p>
        </w:tc>
      </w:tr>
      <w:tr>
        <w:trPr/>
        <w:tc>
          <w:tcPr>
            <w:tcW w:w="1827"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(a)(1)(B)</w:t>
            </w:r>
          </w:p>
        </w:tc>
        <w:tc>
          <w:tcPr>
            <w:tcW w:w="1850" w:type="dxa"/>
            <w:tcBorders/>
            <w:vAlign w:val="center"/>
          </w:tcPr>
          <w:p>
            <w:pPr>
              <w:pStyle w:val="TableContents"/>
              <w:bidi w:val="0"/>
              <w:spacing w:before="0" w:after="283"/>
              <w:jc w:val="right"/>
              <w:rPr/>
            </w:pPr>
            <w:r>
              <w:rPr/>
              <w:t>6.13</w:t>
            </w:r>
          </w:p>
        </w:tc>
      </w:tr>
      <w:tr>
        <w:trPr/>
        <w:tc>
          <w:tcPr>
            <w:tcW w:w="1827"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(b)</w:t>
            </w:r>
          </w:p>
        </w:tc>
        <w:tc>
          <w:tcPr>
            <w:tcW w:w="1850" w:type="dxa"/>
            <w:tcBorders/>
            <w:vAlign w:val="center"/>
          </w:tcPr>
          <w:p>
            <w:pPr>
              <w:pStyle w:val="TableContents"/>
              <w:bidi w:val="0"/>
              <w:spacing w:before="0" w:after="283"/>
              <w:jc w:val="right"/>
              <w:rPr/>
            </w:pPr>
            <w:r>
              <w:rPr/>
              <w:t>6.8</w:t>
            </w:r>
          </w:p>
        </w:tc>
      </w:tr>
      <w:tr>
        <w:trPr/>
        <w:tc>
          <w:tcPr>
            <w:tcW w:w="1827" w:type="dxa"/>
            <w:tcBorders/>
            <w:vAlign w:val="center"/>
          </w:tcPr>
          <w:p>
            <w:pPr>
              <w:pStyle w:val="TableContents"/>
              <w:bidi w:val="0"/>
              <w:spacing w:before="0" w:after="283"/>
              <w:jc w:val="left"/>
              <w:rPr/>
            </w:pPr>
            <w:r>
              <w:rPr/>
              <w:t>SECTION 317</w:t>
            </w:r>
          </w:p>
        </w:tc>
        <w:tc>
          <w:tcPr>
            <w:tcW w:w="1072" w:type="dxa"/>
            <w:tcBorders/>
            <w:vAlign w:val="center"/>
          </w:tcPr>
          <w:p>
            <w:pPr>
              <w:pStyle w:val="TableContents"/>
              <w:bidi w:val="0"/>
              <w:spacing w:before="0" w:after="283"/>
              <w:jc w:val="left"/>
              <w:rPr/>
            </w:pPr>
            <w:r>
              <w:rPr/>
              <w:t>(a)(1)</w:t>
            </w:r>
          </w:p>
        </w:tc>
        <w:tc>
          <w:tcPr>
            <w:tcW w:w="1850" w:type="dxa"/>
            <w:tcBorders/>
            <w:vAlign w:val="center"/>
          </w:tcPr>
          <w:p>
            <w:pPr>
              <w:pStyle w:val="TableContents"/>
              <w:bidi w:val="0"/>
              <w:spacing w:before="0" w:after="283"/>
              <w:jc w:val="right"/>
              <w:rPr/>
            </w:pPr>
            <w:r>
              <w:rPr/>
              <w:t>6.3</w:t>
            </w:r>
          </w:p>
        </w:tc>
      </w:tr>
      <w:tr>
        <w:trPr/>
        <w:tc>
          <w:tcPr>
            <w:tcW w:w="1827"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(a)(2)</w:t>
            </w:r>
          </w:p>
        </w:tc>
        <w:tc>
          <w:tcPr>
            <w:tcW w:w="1850" w:type="dxa"/>
            <w:tcBorders/>
            <w:vAlign w:val="center"/>
          </w:tcPr>
          <w:p>
            <w:pPr>
              <w:pStyle w:val="TableContents"/>
              <w:bidi w:val="0"/>
              <w:spacing w:before="0" w:after="283"/>
              <w:jc w:val="right"/>
              <w:rPr/>
            </w:pPr>
            <w:r>
              <w:rPr/>
              <w:t>6.4</w:t>
            </w:r>
          </w:p>
        </w:tc>
      </w:tr>
      <w:tr>
        <w:trPr/>
        <w:tc>
          <w:tcPr>
            <w:tcW w:w="1827"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(b)</w:t>
            </w:r>
          </w:p>
        </w:tc>
        <w:tc>
          <w:tcPr>
            <w:tcW w:w="1850" w:type="dxa"/>
            <w:tcBorders/>
            <w:vAlign w:val="center"/>
          </w:tcPr>
          <w:p>
            <w:pPr>
              <w:pStyle w:val="TableContents"/>
              <w:bidi w:val="0"/>
              <w:spacing w:before="0" w:after="283"/>
              <w:jc w:val="right"/>
              <w:rPr/>
            </w:pPr>
            <w:r>
              <w:rPr/>
              <w:t>2.5</w:t>
            </w:r>
          </w:p>
        </w:tc>
      </w:tr>
      <w:tr>
        <w:trPr/>
        <w:tc>
          <w:tcPr>
            <w:tcW w:w="1827" w:type="dxa"/>
            <w:tcBorders/>
            <w:vAlign w:val="center"/>
          </w:tcPr>
          <w:p>
            <w:pPr>
              <w:pStyle w:val="TableContents"/>
              <w:bidi w:val="0"/>
              <w:spacing w:before="0" w:after="283"/>
              <w:jc w:val="left"/>
              <w:rPr/>
            </w:pPr>
            <w:r>
              <w:rPr/>
              <w:t>SECTION 318</w:t>
            </w:r>
          </w:p>
        </w:tc>
        <w:tc>
          <w:tcPr>
            <w:tcW w:w="1072" w:type="dxa"/>
            <w:tcBorders/>
            <w:vAlign w:val="center"/>
          </w:tcPr>
          <w:p>
            <w:pPr>
              <w:pStyle w:val="TableContents"/>
              <w:bidi w:val="0"/>
              <w:spacing w:before="0" w:after="283"/>
              <w:jc w:val="left"/>
              <w:rPr/>
            </w:pPr>
            <w:r>
              <w:rPr/>
              <w:t>(a)</w:t>
            </w:r>
          </w:p>
        </w:tc>
        <w:tc>
          <w:tcPr>
            <w:tcW w:w="1850" w:type="dxa"/>
            <w:tcBorders/>
            <w:vAlign w:val="center"/>
          </w:tcPr>
          <w:p>
            <w:pPr>
              <w:pStyle w:val="TableContents"/>
              <w:bidi w:val="0"/>
              <w:spacing w:before="0" w:after="283"/>
              <w:jc w:val="right"/>
              <w:rPr/>
            </w:pPr>
            <w:r>
              <w:rPr/>
              <w:t>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reconciliation and tie shall not, for any purpose, be deemed to be a part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jc w:val="center"/>
        <w:rPr>
          <w:caps w:val="false"/>
          <w:smallCaps w:val="false"/>
        </w:rPr>
      </w:pPr>
      <w:r>
        <w:rPr>
          <w:caps w:val="false"/>
          <w:smallCaps w:val="false"/>
        </w:rPr>
        <w:t> </w:t>
      </w:r>
    </w:p>
    <w:p>
      <w:pPr>
        <w:pStyle w:val="TextBody"/>
        <w:bidi w:val="0"/>
        <w:spacing w:before="0" w:after="0"/>
        <w:ind w:left="115" w:right="115"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115" w:right="115"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jc w:val="center"/>
        <w:rPr>
          <w:caps w:val="false"/>
          <w:smallCaps w:val="false"/>
        </w:rPr>
      </w:pPr>
      <w:r>
        <w:rPr>
          <w:caps w:val="false"/>
          <w:smallCaps w:val="false"/>
        </w:rPr>
        <w:t> </w:t>
      </w:r>
    </w:p>
    <w:tbl>
      <w:tblPr>
        <w:tblW w:w="8979" w:type="dxa"/>
        <w:jc w:val="left"/>
        <w:tblInd w:w="0" w:type="dxa"/>
        <w:tblLayout w:type="fixed"/>
        <w:tblCellMar>
          <w:top w:w="0" w:type="dxa"/>
          <w:left w:w="0" w:type="dxa"/>
          <w:bottom w:w="0" w:type="dxa"/>
          <w:right w:w="0" w:type="dxa"/>
        </w:tblCellMar>
      </w:tblPr>
      <w:tblGrid>
        <w:gridCol w:w="1732"/>
        <w:gridCol w:w="6972"/>
        <w:gridCol w:w="275"/>
      </w:tblGrid>
      <w:tr>
        <w:trPr/>
        <w:tc>
          <w:tcPr>
            <w:tcW w:w="8704" w:type="dxa"/>
            <w:gridSpan w:val="2"/>
            <w:tcBorders/>
            <w:vAlign w:val="center"/>
          </w:tcPr>
          <w:p>
            <w:pPr>
              <w:pStyle w:val="TableContents"/>
              <w:bidi w:val="0"/>
              <w:spacing w:before="0" w:after="283"/>
              <w:ind w:left="0" w:right="0" w:hanging="1800"/>
              <w:jc w:val="left"/>
              <w:rPr/>
            </w:pPr>
            <w:r>
              <w:rPr/>
              <w:t>ARTICLE I DEFINITIONS AND INCORPORATION BY REFERENCE</w:t>
            </w:r>
          </w:p>
        </w:tc>
        <w:tc>
          <w:tcPr>
            <w:tcW w:w="275" w:type="dxa"/>
            <w:tcBorders/>
            <w:vAlign w:val="center"/>
          </w:tcPr>
          <w:p>
            <w:pPr>
              <w:pStyle w:val="TableContents"/>
              <w:bidi w:val="0"/>
              <w:spacing w:before="0" w:after="283"/>
              <w:ind w:left="0" w:right="0" w:hanging="1440"/>
              <w:jc w:val="right"/>
              <w:rPr/>
            </w:pPr>
            <w:r>
              <w:rPr/>
              <w:t>1</w:t>
            </w:r>
          </w:p>
        </w:tc>
      </w:tr>
      <w:tr>
        <w:trPr/>
        <w:tc>
          <w:tcPr>
            <w:tcW w:w="1732" w:type="dxa"/>
            <w:tcBorders/>
            <w:vAlign w:val="center"/>
          </w:tcPr>
          <w:p>
            <w:pPr>
              <w:pStyle w:val="TableContents"/>
              <w:bidi w:val="0"/>
              <w:spacing w:before="0" w:after="283"/>
              <w:jc w:val="left"/>
              <w:rPr/>
            </w:pPr>
            <w:r>
              <w:rPr/>
              <w:t>Section 1.1 </w:t>
            </w:r>
          </w:p>
        </w:tc>
        <w:tc>
          <w:tcPr>
            <w:tcW w:w="6972" w:type="dxa"/>
            <w:tcBorders/>
            <w:vAlign w:val="center"/>
          </w:tcPr>
          <w:p>
            <w:pPr>
              <w:pStyle w:val="TableContents"/>
              <w:bidi w:val="0"/>
              <w:spacing w:before="0" w:after="283"/>
              <w:jc w:val="left"/>
              <w:rPr/>
            </w:pPr>
            <w:r>
              <w:rPr/>
              <w:t>Definitions</w:t>
            </w:r>
          </w:p>
        </w:tc>
        <w:tc>
          <w:tcPr>
            <w:tcW w:w="275" w:type="dxa"/>
            <w:tcBorders/>
            <w:vAlign w:val="center"/>
          </w:tcPr>
          <w:p>
            <w:pPr>
              <w:pStyle w:val="TableContents"/>
              <w:bidi w:val="0"/>
              <w:spacing w:before="0" w:after="283"/>
              <w:ind w:left="0" w:right="0" w:hanging="1440"/>
              <w:jc w:val="right"/>
              <w:rPr/>
            </w:pPr>
            <w:r>
              <w:rPr/>
              <w:t>1</w:t>
            </w:r>
          </w:p>
        </w:tc>
      </w:tr>
      <w:tr>
        <w:trPr/>
        <w:tc>
          <w:tcPr>
            <w:tcW w:w="1732" w:type="dxa"/>
            <w:tcBorders/>
            <w:vAlign w:val="center"/>
          </w:tcPr>
          <w:p>
            <w:pPr>
              <w:pStyle w:val="TableContents"/>
              <w:bidi w:val="0"/>
              <w:spacing w:before="0" w:after="283"/>
              <w:jc w:val="left"/>
              <w:rPr/>
            </w:pPr>
            <w:r>
              <w:rPr/>
              <w:t>Section 1.2 </w:t>
            </w:r>
          </w:p>
        </w:tc>
        <w:tc>
          <w:tcPr>
            <w:tcW w:w="6972" w:type="dxa"/>
            <w:tcBorders/>
            <w:vAlign w:val="center"/>
          </w:tcPr>
          <w:p>
            <w:pPr>
              <w:pStyle w:val="TableContents"/>
              <w:bidi w:val="0"/>
              <w:spacing w:before="0" w:after="283"/>
              <w:jc w:val="left"/>
              <w:rPr/>
            </w:pPr>
            <w:r>
              <w:rPr/>
              <w:t>Other Definitions</w:t>
            </w:r>
          </w:p>
        </w:tc>
        <w:tc>
          <w:tcPr>
            <w:tcW w:w="275" w:type="dxa"/>
            <w:tcBorders/>
            <w:vAlign w:val="center"/>
          </w:tcPr>
          <w:p>
            <w:pPr>
              <w:pStyle w:val="TableContents"/>
              <w:bidi w:val="0"/>
              <w:spacing w:before="0" w:after="283"/>
              <w:ind w:left="0" w:right="0" w:hanging="1440"/>
              <w:jc w:val="right"/>
              <w:rPr/>
            </w:pPr>
            <w:r>
              <w:rPr/>
              <w:t>5</w:t>
            </w:r>
          </w:p>
        </w:tc>
      </w:tr>
      <w:tr>
        <w:trPr/>
        <w:tc>
          <w:tcPr>
            <w:tcW w:w="1732" w:type="dxa"/>
            <w:tcBorders/>
            <w:vAlign w:val="center"/>
          </w:tcPr>
          <w:p>
            <w:pPr>
              <w:pStyle w:val="TableContents"/>
              <w:bidi w:val="0"/>
              <w:spacing w:before="0" w:after="283"/>
              <w:jc w:val="left"/>
              <w:rPr/>
            </w:pPr>
            <w:r>
              <w:rPr/>
              <w:t>Section 1.3 </w:t>
            </w:r>
          </w:p>
        </w:tc>
        <w:tc>
          <w:tcPr>
            <w:tcW w:w="6972" w:type="dxa"/>
            <w:tcBorders/>
            <w:vAlign w:val="center"/>
          </w:tcPr>
          <w:p>
            <w:pPr>
              <w:pStyle w:val="TableContents"/>
              <w:bidi w:val="0"/>
              <w:spacing w:before="0" w:after="283"/>
              <w:jc w:val="left"/>
              <w:rPr/>
            </w:pPr>
            <w:r>
              <w:rPr/>
              <w:t>Rules of Construction</w:t>
            </w:r>
          </w:p>
        </w:tc>
        <w:tc>
          <w:tcPr>
            <w:tcW w:w="275" w:type="dxa"/>
            <w:tcBorders/>
            <w:vAlign w:val="center"/>
          </w:tcPr>
          <w:p>
            <w:pPr>
              <w:pStyle w:val="TableContents"/>
              <w:bidi w:val="0"/>
              <w:spacing w:before="0" w:after="283"/>
              <w:ind w:left="0" w:right="0" w:hanging="1440"/>
              <w:jc w:val="right"/>
              <w:rPr/>
            </w:pPr>
            <w:r>
              <w:rPr/>
              <w:t>5</w:t>
            </w:r>
          </w:p>
        </w:tc>
      </w:tr>
      <w:tr>
        <w:trPr/>
        <w:tc>
          <w:tcPr>
            <w:tcW w:w="1732" w:type="dxa"/>
            <w:tcBorders/>
            <w:vAlign w:val="center"/>
          </w:tcPr>
          <w:p>
            <w:pPr>
              <w:pStyle w:val="TableContents"/>
              <w:bidi w:val="0"/>
              <w:spacing w:before="0" w:after="283"/>
              <w:jc w:val="left"/>
              <w:rPr/>
            </w:pPr>
            <w:r>
              <w:rPr/>
              <w:t>Section 1.4 </w:t>
            </w:r>
          </w:p>
        </w:tc>
        <w:tc>
          <w:tcPr>
            <w:tcW w:w="6972" w:type="dxa"/>
            <w:tcBorders/>
            <w:vAlign w:val="center"/>
          </w:tcPr>
          <w:p>
            <w:pPr>
              <w:pStyle w:val="TableContents"/>
              <w:bidi w:val="0"/>
              <w:spacing w:before="0" w:after="283"/>
              <w:jc w:val="left"/>
              <w:rPr/>
            </w:pPr>
            <w:r>
              <w:rPr/>
              <w:t>Conflict with Trust Indenture Act</w:t>
            </w:r>
          </w:p>
        </w:tc>
        <w:tc>
          <w:tcPr>
            <w:tcW w:w="275" w:type="dxa"/>
            <w:tcBorders/>
            <w:vAlign w:val="center"/>
          </w:tcPr>
          <w:p>
            <w:pPr>
              <w:pStyle w:val="TableContents"/>
              <w:bidi w:val="0"/>
              <w:spacing w:before="0" w:after="283"/>
              <w:ind w:left="0" w:right="0" w:hanging="1800"/>
              <w:jc w:val="right"/>
              <w:rPr/>
            </w:pPr>
            <w:r>
              <w:rPr/>
              <w:t>5</w:t>
            </w:r>
          </w:p>
        </w:tc>
      </w:tr>
      <w:tr>
        <w:trPr/>
        <w:tc>
          <w:tcPr>
            <w:tcW w:w="8704" w:type="dxa"/>
            <w:gridSpan w:val="2"/>
            <w:tcBorders/>
            <w:vAlign w:val="center"/>
          </w:tcPr>
          <w:p>
            <w:pPr>
              <w:pStyle w:val="TableContents"/>
              <w:bidi w:val="0"/>
              <w:spacing w:before="0" w:after="283"/>
              <w:jc w:val="left"/>
              <w:rPr/>
            </w:pPr>
            <w:r>
              <w:rPr/>
              <w:t>ARTICLE II THE SECURITIES</w:t>
            </w:r>
          </w:p>
        </w:tc>
        <w:tc>
          <w:tcPr>
            <w:tcW w:w="275" w:type="dxa"/>
            <w:tcBorders/>
            <w:vAlign w:val="center"/>
          </w:tcPr>
          <w:p>
            <w:pPr>
              <w:pStyle w:val="TableContents"/>
              <w:bidi w:val="0"/>
              <w:spacing w:before="0" w:after="283"/>
              <w:ind w:left="0" w:right="0" w:hanging="1440"/>
              <w:jc w:val="right"/>
              <w:rPr/>
            </w:pPr>
            <w:r>
              <w:rPr/>
              <w:t>5</w:t>
            </w:r>
          </w:p>
        </w:tc>
      </w:tr>
      <w:tr>
        <w:trPr/>
        <w:tc>
          <w:tcPr>
            <w:tcW w:w="1732" w:type="dxa"/>
            <w:tcBorders/>
            <w:vAlign w:val="center"/>
          </w:tcPr>
          <w:p>
            <w:pPr>
              <w:pStyle w:val="TableContents"/>
              <w:bidi w:val="0"/>
              <w:spacing w:before="0" w:after="283"/>
              <w:jc w:val="left"/>
              <w:rPr/>
            </w:pPr>
            <w:r>
              <w:rPr/>
              <w:t>Section 2.1 </w:t>
            </w:r>
          </w:p>
        </w:tc>
        <w:tc>
          <w:tcPr>
            <w:tcW w:w="6972" w:type="dxa"/>
            <w:tcBorders/>
            <w:vAlign w:val="center"/>
          </w:tcPr>
          <w:p>
            <w:pPr>
              <w:pStyle w:val="TableContents"/>
              <w:bidi w:val="0"/>
              <w:spacing w:before="0" w:after="283"/>
              <w:jc w:val="left"/>
              <w:rPr/>
            </w:pPr>
            <w:r>
              <w:rPr/>
              <w:t>Issuable in Series</w:t>
            </w:r>
          </w:p>
        </w:tc>
        <w:tc>
          <w:tcPr>
            <w:tcW w:w="275" w:type="dxa"/>
            <w:tcBorders/>
            <w:vAlign w:val="center"/>
          </w:tcPr>
          <w:p>
            <w:pPr>
              <w:pStyle w:val="TableContents"/>
              <w:bidi w:val="0"/>
              <w:spacing w:before="0" w:after="283"/>
              <w:ind w:left="0" w:right="0" w:hanging="1440"/>
              <w:jc w:val="right"/>
              <w:rPr/>
            </w:pPr>
            <w:r>
              <w:rPr/>
              <w:t>5</w:t>
            </w:r>
          </w:p>
        </w:tc>
      </w:tr>
      <w:tr>
        <w:trPr/>
        <w:tc>
          <w:tcPr>
            <w:tcW w:w="1732" w:type="dxa"/>
            <w:tcBorders/>
            <w:vAlign w:val="center"/>
          </w:tcPr>
          <w:p>
            <w:pPr>
              <w:pStyle w:val="TableContents"/>
              <w:bidi w:val="0"/>
              <w:spacing w:before="0" w:after="283"/>
              <w:jc w:val="left"/>
              <w:rPr/>
            </w:pPr>
            <w:r>
              <w:rPr/>
              <w:t>Section 2.2 </w:t>
            </w:r>
          </w:p>
        </w:tc>
        <w:tc>
          <w:tcPr>
            <w:tcW w:w="6972" w:type="dxa"/>
            <w:tcBorders/>
            <w:vAlign w:val="center"/>
          </w:tcPr>
          <w:p>
            <w:pPr>
              <w:pStyle w:val="TableContents"/>
              <w:bidi w:val="0"/>
              <w:spacing w:before="0" w:after="283"/>
              <w:jc w:val="left"/>
              <w:rPr/>
            </w:pPr>
            <w:r>
              <w:rPr/>
              <w:t>Establishment of Terms of Series of Securities</w:t>
            </w:r>
          </w:p>
        </w:tc>
        <w:tc>
          <w:tcPr>
            <w:tcW w:w="275" w:type="dxa"/>
            <w:tcBorders/>
            <w:vAlign w:val="center"/>
          </w:tcPr>
          <w:p>
            <w:pPr>
              <w:pStyle w:val="TableContents"/>
              <w:bidi w:val="0"/>
              <w:spacing w:before="0" w:after="283"/>
              <w:ind w:left="0" w:right="0" w:hanging="1440"/>
              <w:jc w:val="right"/>
              <w:rPr/>
            </w:pPr>
            <w:r>
              <w:rPr/>
              <w:t>6</w:t>
            </w:r>
          </w:p>
        </w:tc>
      </w:tr>
      <w:tr>
        <w:trPr/>
        <w:tc>
          <w:tcPr>
            <w:tcW w:w="1732" w:type="dxa"/>
            <w:tcBorders/>
            <w:vAlign w:val="center"/>
          </w:tcPr>
          <w:p>
            <w:pPr>
              <w:pStyle w:val="TableContents"/>
              <w:bidi w:val="0"/>
              <w:spacing w:before="0" w:after="283"/>
              <w:jc w:val="left"/>
              <w:rPr/>
            </w:pPr>
            <w:r>
              <w:rPr/>
              <w:t>Section 2.3 </w:t>
            </w:r>
          </w:p>
        </w:tc>
        <w:tc>
          <w:tcPr>
            <w:tcW w:w="6972" w:type="dxa"/>
            <w:tcBorders/>
            <w:vAlign w:val="center"/>
          </w:tcPr>
          <w:p>
            <w:pPr>
              <w:pStyle w:val="TableContents"/>
              <w:bidi w:val="0"/>
              <w:spacing w:before="0" w:after="283"/>
              <w:jc w:val="left"/>
              <w:rPr/>
            </w:pPr>
            <w:r>
              <w:rPr/>
              <w:t>Execution and Authentication</w:t>
            </w:r>
          </w:p>
        </w:tc>
        <w:tc>
          <w:tcPr>
            <w:tcW w:w="275" w:type="dxa"/>
            <w:tcBorders/>
            <w:vAlign w:val="center"/>
          </w:tcPr>
          <w:p>
            <w:pPr>
              <w:pStyle w:val="TableContents"/>
              <w:bidi w:val="0"/>
              <w:spacing w:before="0" w:after="283"/>
              <w:ind w:left="0" w:right="0" w:hanging="1440"/>
              <w:jc w:val="right"/>
              <w:rPr/>
            </w:pPr>
            <w:r>
              <w:rPr/>
              <w:t>8</w:t>
            </w:r>
          </w:p>
        </w:tc>
      </w:tr>
      <w:tr>
        <w:trPr/>
        <w:tc>
          <w:tcPr>
            <w:tcW w:w="1732" w:type="dxa"/>
            <w:tcBorders/>
            <w:vAlign w:val="center"/>
          </w:tcPr>
          <w:p>
            <w:pPr>
              <w:pStyle w:val="TableContents"/>
              <w:bidi w:val="0"/>
              <w:spacing w:before="0" w:after="283"/>
              <w:jc w:val="left"/>
              <w:rPr/>
            </w:pPr>
            <w:r>
              <w:rPr/>
              <w:t>Section 2.4 </w:t>
            </w:r>
          </w:p>
        </w:tc>
        <w:tc>
          <w:tcPr>
            <w:tcW w:w="6972" w:type="dxa"/>
            <w:tcBorders/>
            <w:vAlign w:val="center"/>
          </w:tcPr>
          <w:p>
            <w:pPr>
              <w:pStyle w:val="TableContents"/>
              <w:bidi w:val="0"/>
              <w:spacing w:before="0" w:after="283"/>
              <w:jc w:val="left"/>
              <w:rPr/>
            </w:pPr>
            <w:r>
              <w:rPr/>
              <w:t>Registrar, Paying Agent and Transfer Agent</w:t>
            </w:r>
          </w:p>
        </w:tc>
        <w:tc>
          <w:tcPr>
            <w:tcW w:w="275" w:type="dxa"/>
            <w:tcBorders/>
            <w:vAlign w:val="center"/>
          </w:tcPr>
          <w:p>
            <w:pPr>
              <w:pStyle w:val="TableContents"/>
              <w:bidi w:val="0"/>
              <w:spacing w:before="0" w:after="283"/>
              <w:ind w:left="0" w:right="0" w:hanging="1440"/>
              <w:jc w:val="right"/>
              <w:rPr/>
            </w:pPr>
            <w:r>
              <w:rPr/>
              <w:t>10</w:t>
            </w:r>
          </w:p>
        </w:tc>
      </w:tr>
      <w:tr>
        <w:trPr/>
        <w:tc>
          <w:tcPr>
            <w:tcW w:w="1732" w:type="dxa"/>
            <w:tcBorders/>
            <w:vAlign w:val="center"/>
          </w:tcPr>
          <w:p>
            <w:pPr>
              <w:pStyle w:val="TableContents"/>
              <w:bidi w:val="0"/>
              <w:spacing w:before="0" w:after="283"/>
              <w:jc w:val="left"/>
              <w:rPr/>
            </w:pPr>
            <w:r>
              <w:rPr/>
              <w:t>Section 2.5 </w:t>
            </w:r>
          </w:p>
        </w:tc>
        <w:tc>
          <w:tcPr>
            <w:tcW w:w="6972" w:type="dxa"/>
            <w:tcBorders/>
            <w:vAlign w:val="center"/>
          </w:tcPr>
          <w:p>
            <w:pPr>
              <w:pStyle w:val="TableContents"/>
              <w:bidi w:val="0"/>
              <w:spacing w:before="0" w:after="283"/>
              <w:jc w:val="left"/>
              <w:rPr/>
            </w:pPr>
            <w:r>
              <w:rPr/>
              <w:t>Paying Agent to Hold Money in Trust</w:t>
            </w:r>
          </w:p>
        </w:tc>
        <w:tc>
          <w:tcPr>
            <w:tcW w:w="275" w:type="dxa"/>
            <w:tcBorders/>
            <w:vAlign w:val="center"/>
          </w:tcPr>
          <w:p>
            <w:pPr>
              <w:pStyle w:val="TableContents"/>
              <w:bidi w:val="0"/>
              <w:spacing w:before="0" w:after="283"/>
              <w:ind w:left="0" w:right="0" w:hanging="1440"/>
              <w:jc w:val="right"/>
              <w:rPr/>
            </w:pPr>
            <w:r>
              <w:rPr/>
              <w:t>10</w:t>
            </w:r>
          </w:p>
        </w:tc>
      </w:tr>
      <w:tr>
        <w:trPr/>
        <w:tc>
          <w:tcPr>
            <w:tcW w:w="1732" w:type="dxa"/>
            <w:tcBorders/>
            <w:vAlign w:val="center"/>
          </w:tcPr>
          <w:p>
            <w:pPr>
              <w:pStyle w:val="TableContents"/>
              <w:bidi w:val="0"/>
              <w:spacing w:before="0" w:after="283"/>
              <w:jc w:val="left"/>
              <w:rPr/>
            </w:pPr>
            <w:r>
              <w:rPr/>
              <w:t>Section 2.6 </w:t>
            </w:r>
          </w:p>
        </w:tc>
        <w:tc>
          <w:tcPr>
            <w:tcW w:w="6972" w:type="dxa"/>
            <w:tcBorders/>
            <w:vAlign w:val="center"/>
          </w:tcPr>
          <w:p>
            <w:pPr>
              <w:pStyle w:val="TableContents"/>
              <w:bidi w:val="0"/>
              <w:spacing w:before="0" w:after="283"/>
              <w:jc w:val="left"/>
              <w:rPr/>
            </w:pPr>
            <w:r>
              <w:rPr/>
              <w:t>Securityholder Lists</w:t>
            </w:r>
          </w:p>
        </w:tc>
        <w:tc>
          <w:tcPr>
            <w:tcW w:w="275" w:type="dxa"/>
            <w:tcBorders/>
            <w:vAlign w:val="center"/>
          </w:tcPr>
          <w:p>
            <w:pPr>
              <w:pStyle w:val="TableContents"/>
              <w:bidi w:val="0"/>
              <w:spacing w:before="0" w:after="283"/>
              <w:ind w:left="0" w:right="0" w:hanging="1440"/>
              <w:jc w:val="right"/>
              <w:rPr/>
            </w:pPr>
            <w:r>
              <w:rPr/>
              <w:t>11</w:t>
            </w:r>
          </w:p>
        </w:tc>
      </w:tr>
      <w:tr>
        <w:trPr/>
        <w:tc>
          <w:tcPr>
            <w:tcW w:w="1732" w:type="dxa"/>
            <w:tcBorders/>
            <w:vAlign w:val="center"/>
          </w:tcPr>
          <w:p>
            <w:pPr>
              <w:pStyle w:val="TableContents"/>
              <w:bidi w:val="0"/>
              <w:spacing w:before="0" w:after="283"/>
              <w:jc w:val="left"/>
              <w:rPr/>
            </w:pPr>
            <w:r>
              <w:rPr/>
              <w:t>Section 2.7 </w:t>
            </w:r>
          </w:p>
        </w:tc>
        <w:tc>
          <w:tcPr>
            <w:tcW w:w="6972" w:type="dxa"/>
            <w:tcBorders/>
            <w:vAlign w:val="center"/>
          </w:tcPr>
          <w:p>
            <w:pPr>
              <w:pStyle w:val="TableContents"/>
              <w:bidi w:val="0"/>
              <w:spacing w:before="0" w:after="283"/>
              <w:jc w:val="left"/>
              <w:rPr/>
            </w:pPr>
            <w:r>
              <w:rPr/>
              <w:t>Transfer and Exchange</w:t>
            </w:r>
          </w:p>
        </w:tc>
        <w:tc>
          <w:tcPr>
            <w:tcW w:w="275" w:type="dxa"/>
            <w:tcBorders/>
            <w:vAlign w:val="center"/>
          </w:tcPr>
          <w:p>
            <w:pPr>
              <w:pStyle w:val="TableContents"/>
              <w:bidi w:val="0"/>
              <w:spacing w:before="0" w:after="283"/>
              <w:ind w:left="0" w:right="0" w:hanging="1440"/>
              <w:jc w:val="right"/>
              <w:rPr/>
            </w:pPr>
            <w:r>
              <w:rPr/>
              <w:t>11</w:t>
            </w:r>
          </w:p>
        </w:tc>
      </w:tr>
      <w:tr>
        <w:trPr/>
        <w:tc>
          <w:tcPr>
            <w:tcW w:w="1732" w:type="dxa"/>
            <w:tcBorders/>
            <w:vAlign w:val="center"/>
          </w:tcPr>
          <w:p>
            <w:pPr>
              <w:pStyle w:val="TableContents"/>
              <w:bidi w:val="0"/>
              <w:spacing w:before="0" w:after="283"/>
              <w:jc w:val="left"/>
              <w:rPr/>
            </w:pPr>
            <w:r>
              <w:rPr/>
              <w:t>Section 2.8 </w:t>
            </w:r>
          </w:p>
        </w:tc>
        <w:tc>
          <w:tcPr>
            <w:tcW w:w="6972" w:type="dxa"/>
            <w:tcBorders/>
            <w:vAlign w:val="center"/>
          </w:tcPr>
          <w:p>
            <w:pPr>
              <w:pStyle w:val="TableContents"/>
              <w:bidi w:val="0"/>
              <w:spacing w:before="0" w:after="283"/>
              <w:jc w:val="left"/>
              <w:rPr/>
            </w:pPr>
            <w:r>
              <w:rPr/>
              <w:t>Mutilated, Destroyed, Lost and Stolen Securities</w:t>
            </w:r>
          </w:p>
        </w:tc>
        <w:tc>
          <w:tcPr>
            <w:tcW w:w="275" w:type="dxa"/>
            <w:tcBorders/>
            <w:vAlign w:val="center"/>
          </w:tcPr>
          <w:p>
            <w:pPr>
              <w:pStyle w:val="TableContents"/>
              <w:bidi w:val="0"/>
              <w:spacing w:before="0" w:after="283"/>
              <w:ind w:left="0" w:right="0" w:hanging="1440"/>
              <w:jc w:val="right"/>
              <w:rPr/>
            </w:pPr>
            <w:r>
              <w:rPr/>
              <w:t>11</w:t>
            </w:r>
          </w:p>
        </w:tc>
      </w:tr>
      <w:tr>
        <w:trPr/>
        <w:tc>
          <w:tcPr>
            <w:tcW w:w="1732" w:type="dxa"/>
            <w:tcBorders/>
            <w:vAlign w:val="center"/>
          </w:tcPr>
          <w:p>
            <w:pPr>
              <w:pStyle w:val="TableContents"/>
              <w:bidi w:val="0"/>
              <w:spacing w:before="0" w:after="283"/>
              <w:jc w:val="left"/>
              <w:rPr/>
            </w:pPr>
            <w:r>
              <w:rPr/>
              <w:t>Section 2.9 </w:t>
            </w:r>
          </w:p>
        </w:tc>
        <w:tc>
          <w:tcPr>
            <w:tcW w:w="6972" w:type="dxa"/>
            <w:tcBorders/>
            <w:vAlign w:val="center"/>
          </w:tcPr>
          <w:p>
            <w:pPr>
              <w:pStyle w:val="TableContents"/>
              <w:bidi w:val="0"/>
              <w:spacing w:before="0" w:after="283"/>
              <w:jc w:val="left"/>
              <w:rPr/>
            </w:pPr>
            <w:r>
              <w:rPr/>
              <w:t>Outstanding Securities</w:t>
            </w:r>
          </w:p>
        </w:tc>
        <w:tc>
          <w:tcPr>
            <w:tcW w:w="275" w:type="dxa"/>
            <w:tcBorders/>
            <w:vAlign w:val="center"/>
          </w:tcPr>
          <w:p>
            <w:pPr>
              <w:pStyle w:val="TableContents"/>
              <w:bidi w:val="0"/>
              <w:spacing w:before="0" w:after="283"/>
              <w:ind w:left="0" w:right="0" w:hanging="1440"/>
              <w:jc w:val="right"/>
              <w:rPr/>
            </w:pPr>
            <w:r>
              <w:rPr/>
              <w:t>12</w:t>
            </w:r>
          </w:p>
        </w:tc>
      </w:tr>
      <w:tr>
        <w:trPr/>
        <w:tc>
          <w:tcPr>
            <w:tcW w:w="1732" w:type="dxa"/>
            <w:tcBorders/>
            <w:vAlign w:val="center"/>
          </w:tcPr>
          <w:p>
            <w:pPr>
              <w:pStyle w:val="TableContents"/>
              <w:bidi w:val="0"/>
              <w:spacing w:before="0" w:after="283"/>
              <w:jc w:val="left"/>
              <w:rPr/>
            </w:pPr>
            <w:r>
              <w:rPr/>
              <w:t>Section 2.10 </w:t>
            </w:r>
          </w:p>
        </w:tc>
        <w:tc>
          <w:tcPr>
            <w:tcW w:w="6972" w:type="dxa"/>
            <w:tcBorders/>
            <w:vAlign w:val="center"/>
          </w:tcPr>
          <w:p>
            <w:pPr>
              <w:pStyle w:val="TableContents"/>
              <w:bidi w:val="0"/>
              <w:spacing w:before="0" w:after="283"/>
              <w:jc w:val="left"/>
              <w:rPr/>
            </w:pPr>
            <w:r>
              <w:rPr/>
              <w:t>Treasury Securities</w:t>
            </w:r>
          </w:p>
        </w:tc>
        <w:tc>
          <w:tcPr>
            <w:tcW w:w="275" w:type="dxa"/>
            <w:tcBorders/>
            <w:vAlign w:val="center"/>
          </w:tcPr>
          <w:p>
            <w:pPr>
              <w:pStyle w:val="TableContents"/>
              <w:bidi w:val="0"/>
              <w:spacing w:before="0" w:after="283"/>
              <w:ind w:left="0" w:right="0" w:hanging="1440"/>
              <w:jc w:val="right"/>
              <w:rPr/>
            </w:pPr>
            <w:r>
              <w:rPr/>
              <w:t>13</w:t>
            </w:r>
          </w:p>
        </w:tc>
      </w:tr>
      <w:tr>
        <w:trPr/>
        <w:tc>
          <w:tcPr>
            <w:tcW w:w="1732" w:type="dxa"/>
            <w:tcBorders/>
            <w:vAlign w:val="center"/>
          </w:tcPr>
          <w:p>
            <w:pPr>
              <w:pStyle w:val="TableContents"/>
              <w:bidi w:val="0"/>
              <w:spacing w:before="0" w:after="283"/>
              <w:jc w:val="left"/>
              <w:rPr/>
            </w:pPr>
            <w:r>
              <w:rPr/>
              <w:t>Section 2.11 </w:t>
            </w:r>
          </w:p>
        </w:tc>
        <w:tc>
          <w:tcPr>
            <w:tcW w:w="6972" w:type="dxa"/>
            <w:tcBorders/>
            <w:vAlign w:val="center"/>
          </w:tcPr>
          <w:p>
            <w:pPr>
              <w:pStyle w:val="TableContents"/>
              <w:bidi w:val="0"/>
              <w:spacing w:before="0" w:after="283"/>
              <w:jc w:val="left"/>
              <w:rPr/>
            </w:pPr>
            <w:r>
              <w:rPr/>
              <w:t>Temporary Securities</w:t>
            </w:r>
          </w:p>
        </w:tc>
        <w:tc>
          <w:tcPr>
            <w:tcW w:w="275" w:type="dxa"/>
            <w:tcBorders/>
            <w:vAlign w:val="center"/>
          </w:tcPr>
          <w:p>
            <w:pPr>
              <w:pStyle w:val="TableContents"/>
              <w:bidi w:val="0"/>
              <w:spacing w:before="0" w:after="283"/>
              <w:ind w:left="0" w:right="0" w:hanging="1440"/>
              <w:jc w:val="right"/>
              <w:rPr/>
            </w:pPr>
            <w:r>
              <w:rPr/>
              <w:t>13</w:t>
            </w:r>
          </w:p>
        </w:tc>
      </w:tr>
      <w:tr>
        <w:trPr/>
        <w:tc>
          <w:tcPr>
            <w:tcW w:w="1732" w:type="dxa"/>
            <w:tcBorders/>
            <w:vAlign w:val="center"/>
          </w:tcPr>
          <w:p>
            <w:pPr>
              <w:pStyle w:val="TableContents"/>
              <w:bidi w:val="0"/>
              <w:spacing w:before="0" w:after="283"/>
              <w:jc w:val="left"/>
              <w:rPr/>
            </w:pPr>
            <w:r>
              <w:rPr/>
              <w:t>Section 2.12 </w:t>
            </w:r>
          </w:p>
        </w:tc>
        <w:tc>
          <w:tcPr>
            <w:tcW w:w="6972" w:type="dxa"/>
            <w:tcBorders/>
            <w:vAlign w:val="center"/>
          </w:tcPr>
          <w:p>
            <w:pPr>
              <w:pStyle w:val="TableContents"/>
              <w:bidi w:val="0"/>
              <w:spacing w:before="0" w:after="283"/>
              <w:jc w:val="left"/>
              <w:rPr/>
            </w:pPr>
            <w:r>
              <w:rPr/>
              <w:t>Cancellation</w:t>
            </w:r>
          </w:p>
        </w:tc>
        <w:tc>
          <w:tcPr>
            <w:tcW w:w="275" w:type="dxa"/>
            <w:tcBorders/>
            <w:vAlign w:val="center"/>
          </w:tcPr>
          <w:p>
            <w:pPr>
              <w:pStyle w:val="TableContents"/>
              <w:bidi w:val="0"/>
              <w:spacing w:before="0" w:after="283"/>
              <w:ind w:left="0" w:right="0" w:hanging="1440"/>
              <w:jc w:val="right"/>
              <w:rPr/>
            </w:pPr>
            <w:r>
              <w:rPr/>
              <w:t>13</w:t>
            </w:r>
          </w:p>
        </w:tc>
      </w:tr>
      <w:tr>
        <w:trPr/>
        <w:tc>
          <w:tcPr>
            <w:tcW w:w="1732" w:type="dxa"/>
            <w:tcBorders/>
            <w:vAlign w:val="center"/>
          </w:tcPr>
          <w:p>
            <w:pPr>
              <w:pStyle w:val="TableContents"/>
              <w:bidi w:val="0"/>
              <w:spacing w:before="0" w:after="283"/>
              <w:jc w:val="left"/>
              <w:rPr/>
            </w:pPr>
            <w:r>
              <w:rPr/>
              <w:t>Section 2.13 </w:t>
            </w:r>
          </w:p>
        </w:tc>
        <w:tc>
          <w:tcPr>
            <w:tcW w:w="6972" w:type="dxa"/>
            <w:tcBorders/>
            <w:vAlign w:val="center"/>
          </w:tcPr>
          <w:p>
            <w:pPr>
              <w:pStyle w:val="TableContents"/>
              <w:bidi w:val="0"/>
              <w:spacing w:before="0" w:after="283"/>
              <w:jc w:val="left"/>
              <w:rPr/>
            </w:pPr>
            <w:r>
              <w:rPr/>
              <w:t>Defaulted Interest</w:t>
            </w:r>
          </w:p>
        </w:tc>
        <w:tc>
          <w:tcPr>
            <w:tcW w:w="275" w:type="dxa"/>
            <w:tcBorders/>
            <w:vAlign w:val="center"/>
          </w:tcPr>
          <w:p>
            <w:pPr>
              <w:pStyle w:val="TableContents"/>
              <w:bidi w:val="0"/>
              <w:spacing w:before="0" w:after="283"/>
              <w:ind w:left="0" w:right="0" w:hanging="1440"/>
              <w:jc w:val="right"/>
              <w:rPr/>
            </w:pPr>
            <w:r>
              <w:rPr/>
              <w:t>13</w:t>
            </w:r>
          </w:p>
        </w:tc>
      </w:tr>
      <w:tr>
        <w:trPr/>
        <w:tc>
          <w:tcPr>
            <w:tcW w:w="1732" w:type="dxa"/>
            <w:tcBorders/>
            <w:vAlign w:val="center"/>
          </w:tcPr>
          <w:p>
            <w:pPr>
              <w:pStyle w:val="TableContents"/>
              <w:bidi w:val="0"/>
              <w:spacing w:before="0" w:after="283"/>
              <w:jc w:val="left"/>
              <w:rPr/>
            </w:pPr>
            <w:r>
              <w:rPr/>
              <w:t>Section 2.14 </w:t>
            </w:r>
          </w:p>
        </w:tc>
        <w:tc>
          <w:tcPr>
            <w:tcW w:w="6972" w:type="dxa"/>
            <w:tcBorders/>
            <w:vAlign w:val="center"/>
          </w:tcPr>
          <w:p>
            <w:pPr>
              <w:pStyle w:val="TableContents"/>
              <w:bidi w:val="0"/>
              <w:spacing w:before="0" w:after="283"/>
              <w:jc w:val="left"/>
              <w:rPr/>
            </w:pPr>
            <w:r>
              <w:rPr/>
              <w:t>Global Securities</w:t>
            </w:r>
          </w:p>
        </w:tc>
        <w:tc>
          <w:tcPr>
            <w:tcW w:w="275" w:type="dxa"/>
            <w:tcBorders/>
            <w:vAlign w:val="center"/>
          </w:tcPr>
          <w:p>
            <w:pPr>
              <w:pStyle w:val="TableContents"/>
              <w:bidi w:val="0"/>
              <w:spacing w:before="0" w:after="283"/>
              <w:ind w:left="0" w:right="0" w:hanging="1440"/>
              <w:jc w:val="right"/>
              <w:rPr/>
            </w:pPr>
            <w:r>
              <w:rPr/>
              <w:t>13</w:t>
            </w:r>
          </w:p>
        </w:tc>
      </w:tr>
      <w:tr>
        <w:trPr/>
        <w:tc>
          <w:tcPr>
            <w:tcW w:w="1732" w:type="dxa"/>
            <w:tcBorders/>
            <w:vAlign w:val="center"/>
          </w:tcPr>
          <w:p>
            <w:pPr>
              <w:pStyle w:val="TableContents"/>
              <w:bidi w:val="0"/>
              <w:spacing w:before="0" w:after="283"/>
              <w:jc w:val="left"/>
              <w:rPr/>
            </w:pPr>
            <w:r>
              <w:rPr/>
              <w:t>Section 2.15 </w:t>
            </w:r>
          </w:p>
        </w:tc>
        <w:tc>
          <w:tcPr>
            <w:tcW w:w="6972" w:type="dxa"/>
            <w:tcBorders/>
            <w:vAlign w:val="center"/>
          </w:tcPr>
          <w:p>
            <w:pPr>
              <w:pStyle w:val="TableContents"/>
              <w:bidi w:val="0"/>
              <w:spacing w:before="0" w:after="283"/>
              <w:jc w:val="left"/>
              <w:rPr/>
            </w:pPr>
            <w:r>
              <w:rPr/>
              <w:t>CUSIP Numbers</w:t>
            </w:r>
          </w:p>
        </w:tc>
        <w:tc>
          <w:tcPr>
            <w:tcW w:w="275" w:type="dxa"/>
            <w:tcBorders/>
            <w:vAlign w:val="center"/>
          </w:tcPr>
          <w:p>
            <w:pPr>
              <w:pStyle w:val="TableContents"/>
              <w:bidi w:val="0"/>
              <w:spacing w:before="0" w:after="283"/>
              <w:ind w:left="0" w:right="0" w:hanging="1800"/>
              <w:jc w:val="right"/>
              <w:rPr/>
            </w:pPr>
            <w:r>
              <w:rPr/>
              <w:t>15</w:t>
            </w:r>
          </w:p>
        </w:tc>
      </w:tr>
      <w:tr>
        <w:trPr/>
        <w:tc>
          <w:tcPr>
            <w:tcW w:w="8704" w:type="dxa"/>
            <w:gridSpan w:val="2"/>
            <w:tcBorders/>
            <w:vAlign w:val="center"/>
          </w:tcPr>
          <w:p>
            <w:pPr>
              <w:pStyle w:val="TableContents"/>
              <w:bidi w:val="0"/>
              <w:spacing w:before="0" w:after="283"/>
              <w:jc w:val="left"/>
              <w:rPr/>
            </w:pPr>
            <w:r>
              <w:rPr/>
              <w:t>ARTICLE III REDEMPTION OF SECURITIES AND SINKING FUND PROVISIONS</w:t>
            </w:r>
          </w:p>
        </w:tc>
        <w:tc>
          <w:tcPr>
            <w:tcW w:w="275" w:type="dxa"/>
            <w:tcBorders/>
            <w:vAlign w:val="center"/>
          </w:tcPr>
          <w:p>
            <w:pPr>
              <w:pStyle w:val="TableContents"/>
              <w:bidi w:val="0"/>
              <w:spacing w:before="0" w:after="283"/>
              <w:ind w:left="0" w:right="0" w:hanging="1440"/>
              <w:jc w:val="right"/>
              <w:rPr/>
            </w:pPr>
            <w:r>
              <w:rPr/>
              <w:t>15</w:t>
            </w:r>
          </w:p>
        </w:tc>
      </w:tr>
      <w:tr>
        <w:trPr/>
        <w:tc>
          <w:tcPr>
            <w:tcW w:w="1732" w:type="dxa"/>
            <w:tcBorders/>
            <w:vAlign w:val="center"/>
          </w:tcPr>
          <w:p>
            <w:pPr>
              <w:pStyle w:val="TableContents"/>
              <w:bidi w:val="0"/>
              <w:spacing w:before="0" w:after="283"/>
              <w:jc w:val="left"/>
              <w:rPr/>
            </w:pPr>
            <w:r>
              <w:rPr/>
              <w:t>Section 3.1 </w:t>
            </w:r>
          </w:p>
        </w:tc>
        <w:tc>
          <w:tcPr>
            <w:tcW w:w="6972" w:type="dxa"/>
            <w:tcBorders/>
            <w:vAlign w:val="center"/>
          </w:tcPr>
          <w:p>
            <w:pPr>
              <w:pStyle w:val="TableContents"/>
              <w:bidi w:val="0"/>
              <w:spacing w:before="0" w:after="283"/>
              <w:jc w:val="left"/>
              <w:rPr/>
            </w:pPr>
            <w:r>
              <w:rPr/>
              <w:t>Notice to Trustee; No Liability for Calculations</w:t>
            </w:r>
          </w:p>
        </w:tc>
        <w:tc>
          <w:tcPr>
            <w:tcW w:w="275" w:type="dxa"/>
            <w:tcBorders/>
            <w:vAlign w:val="center"/>
          </w:tcPr>
          <w:p>
            <w:pPr>
              <w:pStyle w:val="TableContents"/>
              <w:bidi w:val="0"/>
              <w:spacing w:before="0" w:after="283"/>
              <w:ind w:left="0" w:right="0" w:hanging="1440"/>
              <w:jc w:val="right"/>
              <w:rPr/>
            </w:pPr>
            <w:r>
              <w:rPr/>
              <w:t>15</w:t>
            </w:r>
          </w:p>
        </w:tc>
      </w:tr>
      <w:tr>
        <w:trPr/>
        <w:tc>
          <w:tcPr>
            <w:tcW w:w="1732" w:type="dxa"/>
            <w:tcBorders/>
            <w:vAlign w:val="center"/>
          </w:tcPr>
          <w:p>
            <w:pPr>
              <w:pStyle w:val="TableContents"/>
              <w:bidi w:val="0"/>
              <w:spacing w:before="0" w:after="283"/>
              <w:jc w:val="left"/>
              <w:rPr/>
            </w:pPr>
            <w:r>
              <w:rPr/>
              <w:t>Section 3.2 </w:t>
            </w:r>
          </w:p>
        </w:tc>
        <w:tc>
          <w:tcPr>
            <w:tcW w:w="6972" w:type="dxa"/>
            <w:tcBorders/>
            <w:vAlign w:val="center"/>
          </w:tcPr>
          <w:p>
            <w:pPr>
              <w:pStyle w:val="TableContents"/>
              <w:bidi w:val="0"/>
              <w:spacing w:before="0" w:after="283"/>
              <w:jc w:val="left"/>
              <w:rPr/>
            </w:pPr>
            <w:r>
              <w:rPr/>
              <w:t>Selection of Securities to be Redeemed</w:t>
            </w:r>
          </w:p>
        </w:tc>
        <w:tc>
          <w:tcPr>
            <w:tcW w:w="275" w:type="dxa"/>
            <w:tcBorders/>
            <w:vAlign w:val="center"/>
          </w:tcPr>
          <w:p>
            <w:pPr>
              <w:pStyle w:val="TableContents"/>
              <w:bidi w:val="0"/>
              <w:spacing w:before="0" w:after="283"/>
              <w:ind w:left="0" w:right="0" w:hanging="1440"/>
              <w:jc w:val="right"/>
              <w:rPr/>
            </w:pPr>
            <w:r>
              <w:rPr/>
              <w:t>16</w:t>
            </w:r>
          </w:p>
        </w:tc>
      </w:tr>
      <w:tr>
        <w:trPr/>
        <w:tc>
          <w:tcPr>
            <w:tcW w:w="1732" w:type="dxa"/>
            <w:tcBorders/>
            <w:vAlign w:val="center"/>
          </w:tcPr>
          <w:p>
            <w:pPr>
              <w:pStyle w:val="TableContents"/>
              <w:bidi w:val="0"/>
              <w:spacing w:before="0" w:after="283"/>
              <w:jc w:val="left"/>
              <w:rPr/>
            </w:pPr>
            <w:r>
              <w:rPr/>
              <w:t>Section 3.3 </w:t>
            </w:r>
          </w:p>
        </w:tc>
        <w:tc>
          <w:tcPr>
            <w:tcW w:w="6972" w:type="dxa"/>
            <w:tcBorders/>
            <w:vAlign w:val="center"/>
          </w:tcPr>
          <w:p>
            <w:pPr>
              <w:pStyle w:val="TableContents"/>
              <w:bidi w:val="0"/>
              <w:spacing w:before="0" w:after="283"/>
              <w:jc w:val="left"/>
              <w:rPr/>
            </w:pPr>
            <w:r>
              <w:rPr/>
              <w:t>Notice of Redemption</w:t>
            </w:r>
          </w:p>
        </w:tc>
        <w:tc>
          <w:tcPr>
            <w:tcW w:w="275" w:type="dxa"/>
            <w:tcBorders/>
            <w:vAlign w:val="center"/>
          </w:tcPr>
          <w:p>
            <w:pPr>
              <w:pStyle w:val="TableContents"/>
              <w:bidi w:val="0"/>
              <w:spacing w:before="0" w:after="283"/>
              <w:ind w:left="0" w:right="0" w:hanging="1440"/>
              <w:jc w:val="right"/>
              <w:rPr/>
            </w:pPr>
            <w:r>
              <w:rPr/>
              <w:t>16</w:t>
            </w:r>
          </w:p>
        </w:tc>
      </w:tr>
      <w:tr>
        <w:trPr/>
        <w:tc>
          <w:tcPr>
            <w:tcW w:w="1732" w:type="dxa"/>
            <w:tcBorders/>
            <w:vAlign w:val="center"/>
          </w:tcPr>
          <w:p>
            <w:pPr>
              <w:pStyle w:val="TableContents"/>
              <w:bidi w:val="0"/>
              <w:spacing w:before="0" w:after="283"/>
              <w:jc w:val="left"/>
              <w:rPr/>
            </w:pPr>
            <w:r>
              <w:rPr/>
              <w:t>Section 3.4 </w:t>
            </w:r>
          </w:p>
        </w:tc>
        <w:tc>
          <w:tcPr>
            <w:tcW w:w="6972" w:type="dxa"/>
            <w:tcBorders/>
            <w:vAlign w:val="center"/>
          </w:tcPr>
          <w:p>
            <w:pPr>
              <w:pStyle w:val="TableContents"/>
              <w:bidi w:val="0"/>
              <w:spacing w:before="0" w:after="283"/>
              <w:jc w:val="left"/>
              <w:rPr/>
            </w:pPr>
            <w:r>
              <w:rPr/>
              <w:t>Effect of Notice of Redemption</w:t>
            </w:r>
          </w:p>
        </w:tc>
        <w:tc>
          <w:tcPr>
            <w:tcW w:w="275" w:type="dxa"/>
            <w:tcBorders/>
            <w:vAlign w:val="center"/>
          </w:tcPr>
          <w:p>
            <w:pPr>
              <w:pStyle w:val="TableContents"/>
              <w:bidi w:val="0"/>
              <w:spacing w:before="0" w:after="283"/>
              <w:ind w:left="0" w:right="0" w:hanging="1440"/>
              <w:jc w:val="right"/>
              <w:rPr/>
            </w:pPr>
            <w:r>
              <w:rPr/>
              <w:t>17</w:t>
            </w:r>
          </w:p>
        </w:tc>
      </w:tr>
      <w:tr>
        <w:trPr/>
        <w:tc>
          <w:tcPr>
            <w:tcW w:w="1732" w:type="dxa"/>
            <w:tcBorders/>
            <w:vAlign w:val="center"/>
          </w:tcPr>
          <w:p>
            <w:pPr>
              <w:pStyle w:val="TableContents"/>
              <w:bidi w:val="0"/>
              <w:spacing w:before="0" w:after="283"/>
              <w:jc w:val="left"/>
              <w:rPr/>
            </w:pPr>
            <w:r>
              <w:rPr/>
              <w:t>Section 3.5 </w:t>
            </w:r>
          </w:p>
        </w:tc>
        <w:tc>
          <w:tcPr>
            <w:tcW w:w="6972" w:type="dxa"/>
            <w:tcBorders/>
            <w:vAlign w:val="center"/>
          </w:tcPr>
          <w:p>
            <w:pPr>
              <w:pStyle w:val="TableContents"/>
              <w:bidi w:val="0"/>
              <w:spacing w:before="0" w:after="283"/>
              <w:jc w:val="left"/>
              <w:rPr/>
            </w:pPr>
            <w:r>
              <w:rPr/>
              <w:t>Deposit of Redemption Price</w:t>
            </w:r>
          </w:p>
        </w:tc>
        <w:tc>
          <w:tcPr>
            <w:tcW w:w="275" w:type="dxa"/>
            <w:tcBorders/>
            <w:vAlign w:val="center"/>
          </w:tcPr>
          <w:p>
            <w:pPr>
              <w:pStyle w:val="TableContents"/>
              <w:bidi w:val="0"/>
              <w:spacing w:before="0" w:after="283"/>
              <w:ind w:left="0" w:right="0" w:hanging="1440"/>
              <w:jc w:val="right"/>
              <w:rPr/>
            </w:pPr>
            <w:r>
              <w:rPr/>
              <w:t>17</w:t>
            </w:r>
          </w:p>
        </w:tc>
      </w:tr>
      <w:tr>
        <w:trPr/>
        <w:tc>
          <w:tcPr>
            <w:tcW w:w="1732" w:type="dxa"/>
            <w:tcBorders/>
            <w:vAlign w:val="center"/>
          </w:tcPr>
          <w:p>
            <w:pPr>
              <w:pStyle w:val="TableContents"/>
              <w:bidi w:val="0"/>
              <w:spacing w:before="0" w:after="283"/>
              <w:jc w:val="left"/>
              <w:rPr/>
            </w:pPr>
            <w:r>
              <w:rPr/>
              <w:t>Section 3.6 </w:t>
            </w:r>
          </w:p>
        </w:tc>
        <w:tc>
          <w:tcPr>
            <w:tcW w:w="6972" w:type="dxa"/>
            <w:tcBorders/>
            <w:vAlign w:val="center"/>
          </w:tcPr>
          <w:p>
            <w:pPr>
              <w:pStyle w:val="TableContents"/>
              <w:bidi w:val="0"/>
              <w:spacing w:before="0" w:after="283"/>
              <w:jc w:val="left"/>
              <w:rPr/>
            </w:pPr>
            <w:r>
              <w:rPr/>
              <w:t>Securities Redeemed in Part</w:t>
            </w:r>
          </w:p>
        </w:tc>
        <w:tc>
          <w:tcPr>
            <w:tcW w:w="275" w:type="dxa"/>
            <w:tcBorders/>
            <w:vAlign w:val="center"/>
          </w:tcPr>
          <w:p>
            <w:pPr>
              <w:pStyle w:val="TableContents"/>
              <w:bidi w:val="0"/>
              <w:spacing w:before="0" w:after="283"/>
              <w:ind w:left="0" w:right="0" w:hanging="1440"/>
              <w:jc w:val="right"/>
              <w:rPr/>
            </w:pPr>
            <w:r>
              <w:rPr/>
              <w:t>18</w:t>
            </w:r>
          </w:p>
        </w:tc>
      </w:tr>
      <w:tr>
        <w:trPr/>
        <w:tc>
          <w:tcPr>
            <w:tcW w:w="1732" w:type="dxa"/>
            <w:tcBorders/>
            <w:vAlign w:val="center"/>
          </w:tcPr>
          <w:p>
            <w:pPr>
              <w:pStyle w:val="TableContents"/>
              <w:bidi w:val="0"/>
              <w:spacing w:before="0" w:after="283"/>
              <w:jc w:val="left"/>
              <w:rPr/>
            </w:pPr>
            <w:r>
              <w:rPr/>
              <w:t>Section 3.7 </w:t>
            </w:r>
          </w:p>
        </w:tc>
        <w:tc>
          <w:tcPr>
            <w:tcW w:w="6972" w:type="dxa"/>
            <w:tcBorders/>
            <w:vAlign w:val="center"/>
          </w:tcPr>
          <w:p>
            <w:pPr>
              <w:pStyle w:val="TableContents"/>
              <w:bidi w:val="0"/>
              <w:spacing w:before="0" w:after="283"/>
              <w:jc w:val="left"/>
              <w:rPr/>
            </w:pPr>
            <w:r>
              <w:rPr/>
              <w:t>Sinking Fund</w:t>
            </w:r>
          </w:p>
        </w:tc>
        <w:tc>
          <w:tcPr>
            <w:tcW w:w="275" w:type="dxa"/>
            <w:tcBorders/>
            <w:vAlign w:val="center"/>
          </w:tcPr>
          <w:p>
            <w:pPr>
              <w:pStyle w:val="TableContents"/>
              <w:bidi w:val="0"/>
              <w:spacing w:before="0" w:after="283"/>
              <w:ind w:left="0" w:right="0" w:hanging="1440"/>
              <w:jc w:val="right"/>
              <w:rPr/>
            </w:pPr>
            <w:r>
              <w:rPr/>
              <w:t>18</w:t>
            </w:r>
          </w:p>
        </w:tc>
      </w:tr>
      <w:tr>
        <w:trPr/>
        <w:tc>
          <w:tcPr>
            <w:tcW w:w="1732" w:type="dxa"/>
            <w:tcBorders/>
            <w:vAlign w:val="center"/>
          </w:tcPr>
          <w:p>
            <w:pPr>
              <w:pStyle w:val="TableContents"/>
              <w:bidi w:val="0"/>
              <w:spacing w:before="0" w:after="283"/>
              <w:jc w:val="left"/>
              <w:rPr/>
            </w:pPr>
            <w:r>
              <w:rPr/>
              <w:t>Section 3.8 </w:t>
            </w:r>
          </w:p>
        </w:tc>
        <w:tc>
          <w:tcPr>
            <w:tcW w:w="6972" w:type="dxa"/>
            <w:tcBorders/>
            <w:vAlign w:val="center"/>
          </w:tcPr>
          <w:p>
            <w:pPr>
              <w:pStyle w:val="TableContents"/>
              <w:bidi w:val="0"/>
              <w:spacing w:before="0" w:after="283"/>
              <w:jc w:val="left"/>
              <w:rPr/>
            </w:pPr>
            <w:r>
              <w:rPr/>
              <w:t>Satisfaction of Sinking Fund Payments with Securities</w:t>
            </w:r>
          </w:p>
        </w:tc>
        <w:tc>
          <w:tcPr>
            <w:tcW w:w="275" w:type="dxa"/>
            <w:tcBorders/>
            <w:vAlign w:val="center"/>
          </w:tcPr>
          <w:p>
            <w:pPr>
              <w:pStyle w:val="TableContents"/>
              <w:bidi w:val="0"/>
              <w:spacing w:before="0" w:after="283"/>
              <w:ind w:left="0" w:right="0" w:hanging="1440"/>
              <w:jc w:val="right"/>
              <w:rPr/>
            </w:pPr>
            <w:r>
              <w:rPr/>
              <w:t>18</w:t>
            </w:r>
          </w:p>
        </w:tc>
      </w:tr>
      <w:tr>
        <w:trPr/>
        <w:tc>
          <w:tcPr>
            <w:tcW w:w="1732" w:type="dxa"/>
            <w:tcBorders/>
            <w:vAlign w:val="center"/>
          </w:tcPr>
          <w:p>
            <w:pPr>
              <w:pStyle w:val="TableContents"/>
              <w:bidi w:val="0"/>
              <w:spacing w:before="0" w:after="283"/>
              <w:jc w:val="left"/>
              <w:rPr/>
            </w:pPr>
            <w:r>
              <w:rPr/>
              <w:t>Section 3.9 </w:t>
            </w:r>
          </w:p>
        </w:tc>
        <w:tc>
          <w:tcPr>
            <w:tcW w:w="6972" w:type="dxa"/>
            <w:tcBorders/>
            <w:vAlign w:val="center"/>
          </w:tcPr>
          <w:p>
            <w:pPr>
              <w:pStyle w:val="TableContents"/>
              <w:bidi w:val="0"/>
              <w:spacing w:before="0" w:after="283"/>
              <w:jc w:val="left"/>
              <w:rPr/>
            </w:pPr>
            <w:r>
              <w:rPr/>
              <w:t>Redemption of Securities for Sinking Fund</w:t>
            </w:r>
          </w:p>
        </w:tc>
        <w:tc>
          <w:tcPr>
            <w:tcW w:w="275" w:type="dxa"/>
            <w:tcBorders/>
            <w:vAlign w:val="center"/>
          </w:tcPr>
          <w:p>
            <w:pPr>
              <w:pStyle w:val="TableContents"/>
              <w:bidi w:val="0"/>
              <w:spacing w:before="0" w:after="283"/>
              <w:ind w:left="0" w:right="0" w:hanging="1800"/>
              <w:jc w:val="right"/>
              <w:rPr/>
            </w:pPr>
            <w:r>
              <w:rPr/>
              <w:t>18</w:t>
            </w:r>
          </w:p>
        </w:tc>
      </w:tr>
      <w:tr>
        <w:trPr/>
        <w:tc>
          <w:tcPr>
            <w:tcW w:w="8704" w:type="dxa"/>
            <w:gridSpan w:val="2"/>
            <w:tcBorders/>
            <w:vAlign w:val="center"/>
          </w:tcPr>
          <w:p>
            <w:pPr>
              <w:pStyle w:val="TableContents"/>
              <w:bidi w:val="0"/>
              <w:spacing w:before="0" w:after="283"/>
              <w:jc w:val="left"/>
              <w:rPr/>
            </w:pPr>
            <w:r>
              <w:rPr/>
              <w:t>ARTICLE IV COVENANTS</w:t>
            </w:r>
          </w:p>
        </w:tc>
        <w:tc>
          <w:tcPr>
            <w:tcW w:w="275" w:type="dxa"/>
            <w:tcBorders/>
            <w:vAlign w:val="center"/>
          </w:tcPr>
          <w:p>
            <w:pPr>
              <w:pStyle w:val="TableContents"/>
              <w:bidi w:val="0"/>
              <w:spacing w:before="0" w:after="283"/>
              <w:ind w:left="0" w:right="0" w:hanging="1440"/>
              <w:jc w:val="right"/>
              <w:rPr/>
            </w:pPr>
            <w:r>
              <w:rPr/>
              <w:t>19</w:t>
            </w:r>
          </w:p>
        </w:tc>
      </w:tr>
      <w:tr>
        <w:trPr/>
        <w:tc>
          <w:tcPr>
            <w:tcW w:w="1732" w:type="dxa"/>
            <w:tcBorders/>
            <w:vAlign w:val="center"/>
          </w:tcPr>
          <w:p>
            <w:pPr>
              <w:pStyle w:val="TableContents"/>
              <w:bidi w:val="0"/>
              <w:spacing w:before="0" w:after="283"/>
              <w:jc w:val="left"/>
              <w:rPr/>
            </w:pPr>
            <w:r>
              <w:rPr/>
              <w:t>Section 4.1 </w:t>
            </w:r>
          </w:p>
        </w:tc>
        <w:tc>
          <w:tcPr>
            <w:tcW w:w="6972" w:type="dxa"/>
            <w:tcBorders/>
            <w:vAlign w:val="center"/>
          </w:tcPr>
          <w:p>
            <w:pPr>
              <w:pStyle w:val="TableContents"/>
              <w:bidi w:val="0"/>
              <w:spacing w:before="0" w:after="283"/>
              <w:jc w:val="left"/>
              <w:rPr/>
            </w:pPr>
            <w:r>
              <w:rPr/>
              <w:t>Payment of Principal, Premium and Interest</w:t>
            </w:r>
          </w:p>
        </w:tc>
        <w:tc>
          <w:tcPr>
            <w:tcW w:w="275" w:type="dxa"/>
            <w:tcBorders/>
            <w:vAlign w:val="center"/>
          </w:tcPr>
          <w:p>
            <w:pPr>
              <w:pStyle w:val="TableContents"/>
              <w:bidi w:val="0"/>
              <w:spacing w:before="0" w:after="283"/>
              <w:ind w:left="0" w:right="0" w:hanging="1440"/>
              <w:jc w:val="right"/>
              <w:rPr/>
            </w:pPr>
            <w:r>
              <w:rPr/>
              <w:t>19</w:t>
            </w:r>
          </w:p>
        </w:tc>
      </w:tr>
      <w:tr>
        <w:trPr/>
        <w:tc>
          <w:tcPr>
            <w:tcW w:w="1732" w:type="dxa"/>
            <w:tcBorders/>
            <w:vAlign w:val="center"/>
          </w:tcPr>
          <w:p>
            <w:pPr>
              <w:pStyle w:val="TableContents"/>
              <w:bidi w:val="0"/>
              <w:spacing w:before="0" w:after="283"/>
              <w:jc w:val="left"/>
              <w:rPr/>
            </w:pPr>
            <w:r>
              <w:rPr/>
              <w:t>Section 4.2 </w:t>
            </w:r>
          </w:p>
        </w:tc>
        <w:tc>
          <w:tcPr>
            <w:tcW w:w="6972" w:type="dxa"/>
            <w:tcBorders/>
            <w:vAlign w:val="center"/>
          </w:tcPr>
          <w:p>
            <w:pPr>
              <w:pStyle w:val="TableContents"/>
              <w:bidi w:val="0"/>
              <w:spacing w:before="0" w:after="283"/>
              <w:jc w:val="left"/>
              <w:rPr/>
            </w:pPr>
            <w:r>
              <w:rPr/>
              <w:t>Compliance Certificate</w:t>
            </w:r>
          </w:p>
        </w:tc>
        <w:tc>
          <w:tcPr>
            <w:tcW w:w="275" w:type="dxa"/>
            <w:tcBorders/>
            <w:vAlign w:val="center"/>
          </w:tcPr>
          <w:p>
            <w:pPr>
              <w:pStyle w:val="TableContents"/>
              <w:bidi w:val="0"/>
              <w:spacing w:before="0" w:after="283"/>
              <w:ind w:left="0" w:right="0" w:hanging="1440"/>
              <w:jc w:val="right"/>
              <w:rPr/>
            </w:pPr>
            <w:r>
              <w:rPr/>
              <w:t>19</w:t>
            </w:r>
          </w:p>
        </w:tc>
      </w:tr>
      <w:tr>
        <w:trPr/>
        <w:tc>
          <w:tcPr>
            <w:tcW w:w="1732" w:type="dxa"/>
            <w:tcBorders/>
            <w:vAlign w:val="center"/>
          </w:tcPr>
          <w:p>
            <w:pPr>
              <w:pStyle w:val="TableContents"/>
              <w:bidi w:val="0"/>
              <w:spacing w:before="0" w:after="283"/>
              <w:jc w:val="left"/>
              <w:rPr/>
            </w:pPr>
            <w:r>
              <w:rPr/>
              <w:t>Section 4.3 </w:t>
            </w:r>
          </w:p>
        </w:tc>
        <w:tc>
          <w:tcPr>
            <w:tcW w:w="6972" w:type="dxa"/>
            <w:tcBorders/>
            <w:vAlign w:val="center"/>
          </w:tcPr>
          <w:p>
            <w:pPr>
              <w:pStyle w:val="TableContents"/>
              <w:bidi w:val="0"/>
              <w:spacing w:before="0" w:after="283"/>
              <w:jc w:val="left"/>
              <w:rPr/>
            </w:pPr>
            <w:r>
              <w:rPr/>
              <w:t>Stay, Extension and Usury Laws</w:t>
            </w:r>
          </w:p>
        </w:tc>
        <w:tc>
          <w:tcPr>
            <w:tcW w:w="275" w:type="dxa"/>
            <w:tcBorders/>
            <w:vAlign w:val="center"/>
          </w:tcPr>
          <w:p>
            <w:pPr>
              <w:pStyle w:val="TableContents"/>
              <w:bidi w:val="0"/>
              <w:spacing w:before="0" w:after="283"/>
              <w:ind w:left="0" w:right="0" w:hanging="1440"/>
              <w:jc w:val="right"/>
              <w:rPr/>
            </w:pPr>
            <w:r>
              <w:rPr/>
              <w:t>19</w:t>
            </w:r>
          </w:p>
        </w:tc>
      </w:tr>
      <w:tr>
        <w:trPr/>
        <w:tc>
          <w:tcPr>
            <w:tcW w:w="1732" w:type="dxa"/>
            <w:tcBorders/>
            <w:vAlign w:val="center"/>
          </w:tcPr>
          <w:p>
            <w:pPr>
              <w:pStyle w:val="TableContents"/>
              <w:bidi w:val="0"/>
              <w:spacing w:before="0" w:after="283"/>
              <w:jc w:val="left"/>
              <w:rPr/>
            </w:pPr>
            <w:r>
              <w:rPr/>
              <w:t>Section 4.4 </w:t>
            </w:r>
          </w:p>
        </w:tc>
        <w:tc>
          <w:tcPr>
            <w:tcW w:w="6972" w:type="dxa"/>
            <w:tcBorders/>
            <w:vAlign w:val="center"/>
          </w:tcPr>
          <w:p>
            <w:pPr>
              <w:pStyle w:val="TableContents"/>
              <w:bidi w:val="0"/>
              <w:spacing w:before="0" w:after="283"/>
              <w:jc w:val="left"/>
              <w:rPr/>
            </w:pPr>
            <w:r>
              <w:rPr/>
              <w:t>Corporate Existence</w:t>
            </w:r>
          </w:p>
        </w:tc>
        <w:tc>
          <w:tcPr>
            <w:tcW w:w="275" w:type="dxa"/>
            <w:tcBorders/>
            <w:vAlign w:val="center"/>
          </w:tcPr>
          <w:p>
            <w:pPr>
              <w:pStyle w:val="TableContents"/>
              <w:bidi w:val="0"/>
              <w:spacing w:before="0" w:after="283"/>
              <w:ind w:left="0" w:right="0" w:hanging="1440"/>
              <w:jc w:val="right"/>
              <w:rPr/>
            </w:pPr>
            <w:r>
              <w:rPr/>
              <w:t>20</w:t>
            </w:r>
          </w:p>
        </w:tc>
      </w:tr>
      <w:tr>
        <w:trPr/>
        <w:tc>
          <w:tcPr>
            <w:tcW w:w="1732" w:type="dxa"/>
            <w:tcBorders/>
            <w:vAlign w:val="center"/>
          </w:tcPr>
          <w:p>
            <w:pPr>
              <w:pStyle w:val="TableContents"/>
              <w:bidi w:val="0"/>
              <w:spacing w:before="0" w:after="283"/>
              <w:jc w:val="left"/>
              <w:rPr/>
            </w:pPr>
            <w:r>
              <w:rPr/>
              <w:t>Section 4.5 </w:t>
            </w:r>
          </w:p>
        </w:tc>
        <w:tc>
          <w:tcPr>
            <w:tcW w:w="6972" w:type="dxa"/>
            <w:tcBorders/>
            <w:vAlign w:val="center"/>
          </w:tcPr>
          <w:p>
            <w:pPr>
              <w:pStyle w:val="TableContents"/>
              <w:bidi w:val="0"/>
              <w:spacing w:before="0" w:after="283"/>
              <w:jc w:val="left"/>
              <w:rPr/>
            </w:pPr>
            <w:r>
              <w:rPr/>
              <w:t>Reports</w:t>
            </w:r>
          </w:p>
        </w:tc>
        <w:tc>
          <w:tcPr>
            <w:tcW w:w="275" w:type="dxa"/>
            <w:tcBorders/>
            <w:vAlign w:val="center"/>
          </w:tcPr>
          <w:p>
            <w:pPr>
              <w:pStyle w:val="TableContents"/>
              <w:bidi w:val="0"/>
              <w:spacing w:before="0" w:after="283"/>
              <w:ind w:left="0" w:right="0" w:hanging="1800"/>
              <w:jc w:val="right"/>
              <w:rPr/>
            </w:pPr>
            <w:r>
              <w:rPr/>
              <w:t>20</w:t>
            </w:r>
          </w:p>
        </w:tc>
      </w:tr>
      <w:tr>
        <w:trPr/>
        <w:tc>
          <w:tcPr>
            <w:tcW w:w="8704" w:type="dxa"/>
            <w:gridSpan w:val="2"/>
            <w:tcBorders/>
            <w:vAlign w:val="center"/>
          </w:tcPr>
          <w:p>
            <w:pPr>
              <w:pStyle w:val="TableContents"/>
              <w:bidi w:val="0"/>
              <w:spacing w:before="0" w:after="283"/>
              <w:jc w:val="left"/>
              <w:rPr/>
            </w:pPr>
            <w:r>
              <w:rPr/>
              <w:t>ARTICLE V SUCCESSORS</w:t>
            </w:r>
          </w:p>
        </w:tc>
        <w:tc>
          <w:tcPr>
            <w:tcW w:w="275" w:type="dxa"/>
            <w:tcBorders/>
            <w:vAlign w:val="center"/>
          </w:tcPr>
          <w:p>
            <w:pPr>
              <w:pStyle w:val="TableContents"/>
              <w:bidi w:val="0"/>
              <w:spacing w:before="0" w:after="283"/>
              <w:ind w:left="0" w:right="0" w:hanging="1440"/>
              <w:jc w:val="right"/>
              <w:rPr/>
            </w:pPr>
            <w:r>
              <w:rPr/>
              <w:t>20</w:t>
            </w:r>
          </w:p>
        </w:tc>
      </w:tr>
      <w:tr>
        <w:trPr/>
        <w:tc>
          <w:tcPr>
            <w:tcW w:w="1732" w:type="dxa"/>
            <w:tcBorders/>
            <w:vAlign w:val="center"/>
          </w:tcPr>
          <w:p>
            <w:pPr>
              <w:pStyle w:val="TableContents"/>
              <w:bidi w:val="0"/>
              <w:spacing w:before="0" w:after="283"/>
              <w:jc w:val="left"/>
              <w:rPr/>
            </w:pPr>
            <w:r>
              <w:rPr/>
              <w:t>Section 5.1 </w:t>
            </w:r>
          </w:p>
        </w:tc>
        <w:tc>
          <w:tcPr>
            <w:tcW w:w="6972" w:type="dxa"/>
            <w:tcBorders/>
            <w:vAlign w:val="center"/>
          </w:tcPr>
          <w:p>
            <w:pPr>
              <w:pStyle w:val="TableContents"/>
              <w:bidi w:val="0"/>
              <w:spacing w:before="0" w:after="283"/>
              <w:jc w:val="left"/>
              <w:rPr/>
            </w:pPr>
            <w:r>
              <w:rPr/>
              <w:t>Consolidation, Merger and Sale of Assets</w:t>
            </w:r>
          </w:p>
        </w:tc>
        <w:tc>
          <w:tcPr>
            <w:tcW w:w="275" w:type="dxa"/>
            <w:tcBorders/>
            <w:vAlign w:val="center"/>
          </w:tcPr>
          <w:p>
            <w:pPr>
              <w:pStyle w:val="TableContents"/>
              <w:bidi w:val="0"/>
              <w:spacing w:before="0" w:after="283"/>
              <w:jc w:val="right"/>
              <w:rPr/>
            </w:pPr>
            <w:r>
              <w:rPr/>
              <w:t>20</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p>
      <w:pPr>
        <w:pStyle w:val="TextBody"/>
        <w:bidi w:val="0"/>
        <w:spacing w:before="0" w:after="0"/>
        <w:ind w:left="115" w:right="115"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 </w:t>
      </w:r>
    </w:p>
    <w:p>
      <w:pPr>
        <w:pStyle w:val="TextBody"/>
        <w:bidi w:val="0"/>
        <w:spacing w:before="0" w:after="0"/>
        <w:ind w:left="115" w:right="115"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115" w:right="115"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115" w:right="115" w:hanging="0"/>
        <w:jc w:val="right"/>
        <w:rPr>
          <w:caps w:val="false"/>
          <w:smallCaps w:val="false"/>
        </w:rPr>
      </w:pPr>
      <w:r>
        <w:rPr>
          <w:caps w:val="false"/>
          <w:smallCaps w:val="false"/>
        </w:rPr>
        <w:t> </w:t>
      </w:r>
    </w:p>
    <w:tbl>
      <w:tblPr>
        <w:tblW w:w="7695" w:type="dxa"/>
        <w:jc w:val="left"/>
        <w:tblInd w:w="0" w:type="dxa"/>
        <w:tblLayout w:type="fixed"/>
        <w:tblCellMar>
          <w:top w:w="0" w:type="dxa"/>
          <w:left w:w="0" w:type="dxa"/>
          <w:bottom w:w="0" w:type="dxa"/>
          <w:right w:w="0" w:type="dxa"/>
        </w:tblCellMar>
      </w:tblPr>
      <w:tblGrid>
        <w:gridCol w:w="1280"/>
        <w:gridCol w:w="6140"/>
        <w:gridCol w:w="275"/>
      </w:tblGrid>
      <w:tr>
        <w:trPr/>
        <w:tc>
          <w:tcPr>
            <w:tcW w:w="7420" w:type="dxa"/>
            <w:gridSpan w:val="2"/>
            <w:tcBorders/>
            <w:vAlign w:val="center"/>
          </w:tcPr>
          <w:p>
            <w:pPr>
              <w:pStyle w:val="TableContents"/>
              <w:bidi w:val="0"/>
              <w:spacing w:before="0" w:after="283"/>
              <w:ind w:left="0" w:right="0" w:hanging="1800"/>
              <w:jc w:val="left"/>
              <w:rPr/>
            </w:pPr>
            <w:r>
              <w:rPr/>
              <w:t>ARTICLE VI DEFAULTS AND REMEDIES</w:t>
            </w:r>
          </w:p>
        </w:tc>
        <w:tc>
          <w:tcPr>
            <w:tcW w:w="275" w:type="dxa"/>
            <w:tcBorders/>
            <w:vAlign w:val="center"/>
          </w:tcPr>
          <w:p>
            <w:pPr>
              <w:pStyle w:val="TableContents"/>
              <w:bidi w:val="0"/>
              <w:spacing w:before="0" w:after="283"/>
              <w:ind w:left="0" w:right="0" w:hanging="1440"/>
              <w:jc w:val="right"/>
              <w:rPr/>
            </w:pPr>
            <w:r>
              <w:rPr/>
              <w:t>21</w:t>
            </w:r>
          </w:p>
        </w:tc>
      </w:tr>
      <w:tr>
        <w:trPr/>
        <w:tc>
          <w:tcPr>
            <w:tcW w:w="1280" w:type="dxa"/>
            <w:tcBorders/>
            <w:vAlign w:val="center"/>
          </w:tcPr>
          <w:p>
            <w:pPr>
              <w:pStyle w:val="TableContents"/>
              <w:bidi w:val="0"/>
              <w:spacing w:before="0" w:after="283"/>
              <w:jc w:val="left"/>
              <w:rPr/>
            </w:pPr>
            <w:r>
              <w:rPr/>
              <w:t>Section 6.1 </w:t>
            </w:r>
          </w:p>
        </w:tc>
        <w:tc>
          <w:tcPr>
            <w:tcW w:w="6140" w:type="dxa"/>
            <w:tcBorders/>
            <w:vAlign w:val="center"/>
          </w:tcPr>
          <w:p>
            <w:pPr>
              <w:pStyle w:val="TableContents"/>
              <w:bidi w:val="0"/>
              <w:spacing w:before="0" w:after="283"/>
              <w:jc w:val="left"/>
              <w:rPr/>
            </w:pPr>
            <w:r>
              <w:rPr/>
              <w:t>Events of Default</w:t>
            </w:r>
          </w:p>
        </w:tc>
        <w:tc>
          <w:tcPr>
            <w:tcW w:w="275" w:type="dxa"/>
            <w:tcBorders/>
            <w:vAlign w:val="center"/>
          </w:tcPr>
          <w:p>
            <w:pPr>
              <w:pStyle w:val="TableContents"/>
              <w:bidi w:val="0"/>
              <w:spacing w:before="0" w:after="283"/>
              <w:ind w:left="0" w:right="0" w:hanging="1440"/>
              <w:jc w:val="right"/>
              <w:rPr/>
            </w:pPr>
            <w:r>
              <w:rPr/>
              <w:t>21</w:t>
            </w:r>
          </w:p>
        </w:tc>
      </w:tr>
      <w:tr>
        <w:trPr/>
        <w:tc>
          <w:tcPr>
            <w:tcW w:w="1280" w:type="dxa"/>
            <w:tcBorders/>
            <w:vAlign w:val="center"/>
          </w:tcPr>
          <w:p>
            <w:pPr>
              <w:pStyle w:val="TableContents"/>
              <w:bidi w:val="0"/>
              <w:spacing w:before="0" w:after="283"/>
              <w:jc w:val="left"/>
              <w:rPr/>
            </w:pPr>
            <w:r>
              <w:rPr/>
              <w:t>Section 6.2 </w:t>
            </w:r>
          </w:p>
        </w:tc>
        <w:tc>
          <w:tcPr>
            <w:tcW w:w="6140" w:type="dxa"/>
            <w:tcBorders/>
            <w:vAlign w:val="center"/>
          </w:tcPr>
          <w:p>
            <w:pPr>
              <w:pStyle w:val="TableContents"/>
              <w:bidi w:val="0"/>
              <w:spacing w:before="0" w:after="283"/>
              <w:jc w:val="left"/>
              <w:rPr/>
            </w:pPr>
            <w:r>
              <w:rPr/>
              <w:t>Acceleration of Maturity; Rescission and Annulment</w:t>
            </w:r>
          </w:p>
        </w:tc>
        <w:tc>
          <w:tcPr>
            <w:tcW w:w="275" w:type="dxa"/>
            <w:tcBorders/>
            <w:vAlign w:val="center"/>
          </w:tcPr>
          <w:p>
            <w:pPr>
              <w:pStyle w:val="TableContents"/>
              <w:bidi w:val="0"/>
              <w:spacing w:before="0" w:after="283"/>
              <w:ind w:left="0" w:right="0" w:hanging="1440"/>
              <w:jc w:val="right"/>
              <w:rPr/>
            </w:pPr>
            <w:r>
              <w:rPr/>
              <w:t>22</w:t>
            </w:r>
          </w:p>
        </w:tc>
      </w:tr>
      <w:tr>
        <w:trPr/>
        <w:tc>
          <w:tcPr>
            <w:tcW w:w="1280" w:type="dxa"/>
            <w:tcBorders/>
            <w:vAlign w:val="center"/>
          </w:tcPr>
          <w:p>
            <w:pPr>
              <w:pStyle w:val="TableContents"/>
              <w:bidi w:val="0"/>
              <w:spacing w:before="0" w:after="283"/>
              <w:jc w:val="left"/>
              <w:rPr/>
            </w:pPr>
            <w:r>
              <w:rPr/>
              <w:t>Section 6.3 </w:t>
            </w:r>
          </w:p>
        </w:tc>
        <w:tc>
          <w:tcPr>
            <w:tcW w:w="6140" w:type="dxa"/>
            <w:tcBorders/>
            <w:vAlign w:val="center"/>
          </w:tcPr>
          <w:p>
            <w:pPr>
              <w:pStyle w:val="TableContents"/>
              <w:bidi w:val="0"/>
              <w:spacing w:before="0" w:after="283"/>
              <w:jc w:val="left"/>
              <w:rPr/>
            </w:pPr>
            <w:r>
              <w:rPr/>
              <w:t>Collection of Indebtedness and Suits for Enforcement by Trustee</w:t>
            </w:r>
          </w:p>
        </w:tc>
        <w:tc>
          <w:tcPr>
            <w:tcW w:w="275" w:type="dxa"/>
            <w:tcBorders/>
            <w:vAlign w:val="center"/>
          </w:tcPr>
          <w:p>
            <w:pPr>
              <w:pStyle w:val="TableContents"/>
              <w:bidi w:val="0"/>
              <w:spacing w:before="0" w:after="283"/>
              <w:ind w:left="0" w:right="0" w:hanging="1440"/>
              <w:jc w:val="right"/>
              <w:rPr/>
            </w:pPr>
            <w:r>
              <w:rPr/>
              <w:t>23</w:t>
            </w:r>
          </w:p>
        </w:tc>
      </w:tr>
      <w:tr>
        <w:trPr/>
        <w:tc>
          <w:tcPr>
            <w:tcW w:w="1280" w:type="dxa"/>
            <w:tcBorders/>
            <w:vAlign w:val="center"/>
          </w:tcPr>
          <w:p>
            <w:pPr>
              <w:pStyle w:val="TableContents"/>
              <w:bidi w:val="0"/>
              <w:spacing w:before="0" w:after="283"/>
              <w:jc w:val="left"/>
              <w:rPr/>
            </w:pPr>
            <w:r>
              <w:rPr/>
              <w:t>Section 6.4 </w:t>
            </w:r>
          </w:p>
        </w:tc>
        <w:tc>
          <w:tcPr>
            <w:tcW w:w="6140" w:type="dxa"/>
            <w:tcBorders/>
            <w:vAlign w:val="center"/>
          </w:tcPr>
          <w:p>
            <w:pPr>
              <w:pStyle w:val="TableContents"/>
              <w:bidi w:val="0"/>
              <w:spacing w:before="0" w:after="283"/>
              <w:jc w:val="left"/>
              <w:rPr/>
            </w:pPr>
            <w:r>
              <w:rPr/>
              <w:t>Trustee May File Proofs of Claim</w:t>
            </w:r>
          </w:p>
        </w:tc>
        <w:tc>
          <w:tcPr>
            <w:tcW w:w="275" w:type="dxa"/>
            <w:tcBorders/>
            <w:vAlign w:val="center"/>
          </w:tcPr>
          <w:p>
            <w:pPr>
              <w:pStyle w:val="TableContents"/>
              <w:bidi w:val="0"/>
              <w:spacing w:before="0" w:after="283"/>
              <w:ind w:left="0" w:right="0" w:hanging="1440"/>
              <w:jc w:val="right"/>
              <w:rPr/>
            </w:pPr>
            <w:r>
              <w:rPr/>
              <w:t>23</w:t>
            </w:r>
          </w:p>
        </w:tc>
      </w:tr>
      <w:tr>
        <w:trPr/>
        <w:tc>
          <w:tcPr>
            <w:tcW w:w="1280" w:type="dxa"/>
            <w:tcBorders/>
            <w:vAlign w:val="center"/>
          </w:tcPr>
          <w:p>
            <w:pPr>
              <w:pStyle w:val="TableContents"/>
              <w:bidi w:val="0"/>
              <w:spacing w:before="0" w:after="283"/>
              <w:jc w:val="left"/>
              <w:rPr/>
            </w:pPr>
            <w:r>
              <w:rPr/>
              <w:t>Section 6.5 </w:t>
            </w:r>
          </w:p>
        </w:tc>
        <w:tc>
          <w:tcPr>
            <w:tcW w:w="6140" w:type="dxa"/>
            <w:tcBorders/>
            <w:vAlign w:val="center"/>
          </w:tcPr>
          <w:p>
            <w:pPr>
              <w:pStyle w:val="TableContents"/>
              <w:bidi w:val="0"/>
              <w:spacing w:before="0" w:after="283"/>
              <w:jc w:val="left"/>
              <w:rPr/>
            </w:pPr>
            <w:r>
              <w:rPr/>
              <w:t>Trustee May Enforce Claims Without Possession of Securities</w:t>
            </w:r>
          </w:p>
        </w:tc>
        <w:tc>
          <w:tcPr>
            <w:tcW w:w="275" w:type="dxa"/>
            <w:tcBorders/>
            <w:vAlign w:val="center"/>
          </w:tcPr>
          <w:p>
            <w:pPr>
              <w:pStyle w:val="TableContents"/>
              <w:bidi w:val="0"/>
              <w:spacing w:before="0" w:after="283"/>
              <w:ind w:left="0" w:right="0" w:hanging="1440"/>
              <w:jc w:val="right"/>
              <w:rPr/>
            </w:pPr>
            <w:r>
              <w:rPr/>
              <w:t>24</w:t>
            </w:r>
          </w:p>
        </w:tc>
      </w:tr>
      <w:tr>
        <w:trPr/>
        <w:tc>
          <w:tcPr>
            <w:tcW w:w="1280" w:type="dxa"/>
            <w:tcBorders/>
            <w:vAlign w:val="center"/>
          </w:tcPr>
          <w:p>
            <w:pPr>
              <w:pStyle w:val="TableContents"/>
              <w:bidi w:val="0"/>
              <w:spacing w:before="0" w:after="283"/>
              <w:jc w:val="left"/>
              <w:rPr/>
            </w:pPr>
            <w:r>
              <w:rPr/>
              <w:t>Section 6.6 </w:t>
            </w:r>
          </w:p>
        </w:tc>
        <w:tc>
          <w:tcPr>
            <w:tcW w:w="6140" w:type="dxa"/>
            <w:tcBorders/>
            <w:vAlign w:val="center"/>
          </w:tcPr>
          <w:p>
            <w:pPr>
              <w:pStyle w:val="TableContents"/>
              <w:bidi w:val="0"/>
              <w:spacing w:before="0" w:after="283"/>
              <w:jc w:val="left"/>
              <w:rPr/>
            </w:pPr>
            <w:r>
              <w:rPr/>
              <w:t>Application of Money Collected</w:t>
            </w:r>
          </w:p>
        </w:tc>
        <w:tc>
          <w:tcPr>
            <w:tcW w:w="275" w:type="dxa"/>
            <w:tcBorders/>
            <w:vAlign w:val="center"/>
          </w:tcPr>
          <w:p>
            <w:pPr>
              <w:pStyle w:val="TableContents"/>
              <w:bidi w:val="0"/>
              <w:spacing w:before="0" w:after="283"/>
              <w:ind w:left="0" w:right="0" w:hanging="1440"/>
              <w:jc w:val="right"/>
              <w:rPr/>
            </w:pPr>
            <w:r>
              <w:rPr/>
              <w:t>24</w:t>
            </w:r>
          </w:p>
        </w:tc>
      </w:tr>
      <w:tr>
        <w:trPr/>
        <w:tc>
          <w:tcPr>
            <w:tcW w:w="1280" w:type="dxa"/>
            <w:tcBorders/>
            <w:vAlign w:val="center"/>
          </w:tcPr>
          <w:p>
            <w:pPr>
              <w:pStyle w:val="TableContents"/>
              <w:bidi w:val="0"/>
              <w:spacing w:before="0" w:after="283"/>
              <w:jc w:val="left"/>
              <w:rPr/>
            </w:pPr>
            <w:r>
              <w:rPr/>
              <w:t>Section 6.7 </w:t>
            </w:r>
          </w:p>
        </w:tc>
        <w:tc>
          <w:tcPr>
            <w:tcW w:w="6140" w:type="dxa"/>
            <w:tcBorders/>
            <w:vAlign w:val="center"/>
          </w:tcPr>
          <w:p>
            <w:pPr>
              <w:pStyle w:val="TableContents"/>
              <w:bidi w:val="0"/>
              <w:spacing w:before="0" w:after="283"/>
              <w:jc w:val="left"/>
              <w:rPr/>
            </w:pPr>
            <w:r>
              <w:rPr/>
              <w:t>Limitation on Suits</w:t>
            </w:r>
          </w:p>
        </w:tc>
        <w:tc>
          <w:tcPr>
            <w:tcW w:w="275" w:type="dxa"/>
            <w:tcBorders/>
            <w:vAlign w:val="center"/>
          </w:tcPr>
          <w:p>
            <w:pPr>
              <w:pStyle w:val="TableContents"/>
              <w:bidi w:val="0"/>
              <w:spacing w:before="0" w:after="283"/>
              <w:ind w:left="0" w:right="0" w:hanging="1440"/>
              <w:jc w:val="right"/>
              <w:rPr/>
            </w:pPr>
            <w:r>
              <w:rPr/>
              <w:t>25</w:t>
            </w:r>
          </w:p>
        </w:tc>
      </w:tr>
      <w:tr>
        <w:trPr/>
        <w:tc>
          <w:tcPr>
            <w:tcW w:w="1280" w:type="dxa"/>
            <w:tcBorders/>
            <w:vAlign w:val="center"/>
          </w:tcPr>
          <w:p>
            <w:pPr>
              <w:pStyle w:val="TableContents"/>
              <w:bidi w:val="0"/>
              <w:spacing w:before="0" w:after="283"/>
              <w:jc w:val="left"/>
              <w:rPr/>
            </w:pPr>
            <w:r>
              <w:rPr/>
              <w:t>Section 6.8 </w:t>
            </w:r>
          </w:p>
        </w:tc>
        <w:tc>
          <w:tcPr>
            <w:tcW w:w="6140" w:type="dxa"/>
            <w:tcBorders/>
            <w:vAlign w:val="center"/>
          </w:tcPr>
          <w:p>
            <w:pPr>
              <w:pStyle w:val="TableContents"/>
              <w:bidi w:val="0"/>
              <w:spacing w:before="0" w:after="283"/>
              <w:jc w:val="left"/>
              <w:rPr/>
            </w:pPr>
            <w:r>
              <w:rPr/>
              <w:t>Unconditional Right of Holders to Receive Principal and Interest</w:t>
            </w:r>
          </w:p>
        </w:tc>
        <w:tc>
          <w:tcPr>
            <w:tcW w:w="275" w:type="dxa"/>
            <w:tcBorders/>
            <w:vAlign w:val="center"/>
          </w:tcPr>
          <w:p>
            <w:pPr>
              <w:pStyle w:val="TableContents"/>
              <w:bidi w:val="0"/>
              <w:spacing w:before="0" w:after="283"/>
              <w:ind w:left="0" w:right="0" w:hanging="1440"/>
              <w:jc w:val="right"/>
              <w:rPr/>
            </w:pPr>
            <w:r>
              <w:rPr/>
              <w:t>25</w:t>
            </w:r>
          </w:p>
        </w:tc>
      </w:tr>
      <w:tr>
        <w:trPr/>
        <w:tc>
          <w:tcPr>
            <w:tcW w:w="1280" w:type="dxa"/>
            <w:tcBorders/>
            <w:vAlign w:val="center"/>
          </w:tcPr>
          <w:p>
            <w:pPr>
              <w:pStyle w:val="TableContents"/>
              <w:bidi w:val="0"/>
              <w:spacing w:before="0" w:after="283"/>
              <w:jc w:val="left"/>
              <w:rPr/>
            </w:pPr>
            <w:r>
              <w:rPr/>
              <w:t>Section 6.9 </w:t>
            </w:r>
          </w:p>
        </w:tc>
        <w:tc>
          <w:tcPr>
            <w:tcW w:w="6140" w:type="dxa"/>
            <w:tcBorders/>
            <w:vAlign w:val="center"/>
          </w:tcPr>
          <w:p>
            <w:pPr>
              <w:pStyle w:val="TableContents"/>
              <w:bidi w:val="0"/>
              <w:spacing w:before="0" w:after="283"/>
              <w:jc w:val="left"/>
              <w:rPr/>
            </w:pPr>
            <w:r>
              <w:rPr/>
              <w:t>Restoration of Rights and Remedies</w:t>
            </w:r>
          </w:p>
        </w:tc>
        <w:tc>
          <w:tcPr>
            <w:tcW w:w="275" w:type="dxa"/>
            <w:tcBorders/>
            <w:vAlign w:val="center"/>
          </w:tcPr>
          <w:p>
            <w:pPr>
              <w:pStyle w:val="TableContents"/>
              <w:bidi w:val="0"/>
              <w:spacing w:before="0" w:after="283"/>
              <w:ind w:left="0" w:right="0" w:hanging="1440"/>
              <w:jc w:val="right"/>
              <w:rPr/>
            </w:pPr>
            <w:r>
              <w:rPr/>
              <w:t>25</w:t>
            </w:r>
          </w:p>
        </w:tc>
      </w:tr>
      <w:tr>
        <w:trPr/>
        <w:tc>
          <w:tcPr>
            <w:tcW w:w="1280" w:type="dxa"/>
            <w:tcBorders/>
            <w:vAlign w:val="center"/>
          </w:tcPr>
          <w:p>
            <w:pPr>
              <w:pStyle w:val="TableContents"/>
              <w:bidi w:val="0"/>
              <w:spacing w:before="0" w:after="283"/>
              <w:jc w:val="left"/>
              <w:rPr/>
            </w:pPr>
            <w:r>
              <w:rPr/>
              <w:t>Section 6.10 </w:t>
            </w:r>
          </w:p>
        </w:tc>
        <w:tc>
          <w:tcPr>
            <w:tcW w:w="6140" w:type="dxa"/>
            <w:tcBorders/>
            <w:vAlign w:val="center"/>
          </w:tcPr>
          <w:p>
            <w:pPr>
              <w:pStyle w:val="TableContents"/>
              <w:bidi w:val="0"/>
              <w:spacing w:before="0" w:after="283"/>
              <w:jc w:val="left"/>
              <w:rPr/>
            </w:pPr>
            <w:r>
              <w:rPr/>
              <w:t>Rights and Remedies Cumulative</w:t>
            </w:r>
          </w:p>
        </w:tc>
        <w:tc>
          <w:tcPr>
            <w:tcW w:w="275" w:type="dxa"/>
            <w:tcBorders/>
            <w:vAlign w:val="center"/>
          </w:tcPr>
          <w:p>
            <w:pPr>
              <w:pStyle w:val="TableContents"/>
              <w:bidi w:val="0"/>
              <w:spacing w:before="0" w:after="283"/>
              <w:ind w:left="0" w:right="0" w:hanging="1440"/>
              <w:jc w:val="right"/>
              <w:rPr/>
            </w:pPr>
            <w:r>
              <w:rPr/>
              <w:t>26</w:t>
            </w:r>
          </w:p>
        </w:tc>
      </w:tr>
      <w:tr>
        <w:trPr/>
        <w:tc>
          <w:tcPr>
            <w:tcW w:w="1280" w:type="dxa"/>
            <w:tcBorders/>
            <w:vAlign w:val="center"/>
          </w:tcPr>
          <w:p>
            <w:pPr>
              <w:pStyle w:val="TableContents"/>
              <w:bidi w:val="0"/>
              <w:spacing w:before="0" w:after="283"/>
              <w:jc w:val="left"/>
              <w:rPr/>
            </w:pPr>
            <w:r>
              <w:rPr/>
              <w:t>Section 6.11 </w:t>
            </w:r>
          </w:p>
        </w:tc>
        <w:tc>
          <w:tcPr>
            <w:tcW w:w="6140" w:type="dxa"/>
            <w:tcBorders/>
            <w:vAlign w:val="center"/>
          </w:tcPr>
          <w:p>
            <w:pPr>
              <w:pStyle w:val="TableContents"/>
              <w:bidi w:val="0"/>
              <w:spacing w:before="0" w:after="283"/>
              <w:jc w:val="left"/>
              <w:rPr/>
            </w:pPr>
            <w:r>
              <w:rPr/>
              <w:t>Delay or Omission Not Waiver</w:t>
            </w:r>
          </w:p>
        </w:tc>
        <w:tc>
          <w:tcPr>
            <w:tcW w:w="275" w:type="dxa"/>
            <w:tcBorders/>
            <w:vAlign w:val="center"/>
          </w:tcPr>
          <w:p>
            <w:pPr>
              <w:pStyle w:val="TableContents"/>
              <w:bidi w:val="0"/>
              <w:spacing w:before="0" w:after="283"/>
              <w:ind w:left="0" w:right="0" w:hanging="1440"/>
              <w:jc w:val="right"/>
              <w:rPr/>
            </w:pPr>
            <w:r>
              <w:rPr/>
              <w:t>26</w:t>
            </w:r>
          </w:p>
        </w:tc>
      </w:tr>
      <w:tr>
        <w:trPr/>
        <w:tc>
          <w:tcPr>
            <w:tcW w:w="1280" w:type="dxa"/>
            <w:tcBorders/>
            <w:vAlign w:val="center"/>
          </w:tcPr>
          <w:p>
            <w:pPr>
              <w:pStyle w:val="TableContents"/>
              <w:bidi w:val="0"/>
              <w:spacing w:before="0" w:after="283"/>
              <w:jc w:val="left"/>
              <w:rPr/>
            </w:pPr>
            <w:r>
              <w:rPr/>
              <w:t>Section 6.12 </w:t>
            </w:r>
          </w:p>
        </w:tc>
        <w:tc>
          <w:tcPr>
            <w:tcW w:w="6140" w:type="dxa"/>
            <w:tcBorders/>
            <w:vAlign w:val="center"/>
          </w:tcPr>
          <w:p>
            <w:pPr>
              <w:pStyle w:val="TableContents"/>
              <w:bidi w:val="0"/>
              <w:spacing w:before="0" w:after="283"/>
              <w:jc w:val="left"/>
              <w:rPr/>
            </w:pPr>
            <w:r>
              <w:rPr/>
              <w:t>Control by Holders</w:t>
            </w:r>
          </w:p>
        </w:tc>
        <w:tc>
          <w:tcPr>
            <w:tcW w:w="275" w:type="dxa"/>
            <w:tcBorders/>
            <w:vAlign w:val="center"/>
          </w:tcPr>
          <w:p>
            <w:pPr>
              <w:pStyle w:val="TableContents"/>
              <w:bidi w:val="0"/>
              <w:spacing w:before="0" w:after="283"/>
              <w:ind w:left="0" w:right="0" w:hanging="1440"/>
              <w:jc w:val="right"/>
              <w:rPr/>
            </w:pPr>
            <w:r>
              <w:rPr/>
              <w:t>26</w:t>
            </w:r>
          </w:p>
        </w:tc>
      </w:tr>
      <w:tr>
        <w:trPr/>
        <w:tc>
          <w:tcPr>
            <w:tcW w:w="1280" w:type="dxa"/>
            <w:tcBorders/>
            <w:vAlign w:val="center"/>
          </w:tcPr>
          <w:p>
            <w:pPr>
              <w:pStyle w:val="TableContents"/>
              <w:bidi w:val="0"/>
              <w:spacing w:before="0" w:after="283"/>
              <w:jc w:val="left"/>
              <w:rPr/>
            </w:pPr>
            <w:r>
              <w:rPr/>
              <w:t>Section 6.13 </w:t>
            </w:r>
          </w:p>
        </w:tc>
        <w:tc>
          <w:tcPr>
            <w:tcW w:w="6140" w:type="dxa"/>
            <w:tcBorders/>
            <w:vAlign w:val="center"/>
          </w:tcPr>
          <w:p>
            <w:pPr>
              <w:pStyle w:val="TableContents"/>
              <w:bidi w:val="0"/>
              <w:spacing w:before="0" w:after="283"/>
              <w:jc w:val="left"/>
              <w:rPr/>
            </w:pPr>
            <w:r>
              <w:rPr/>
              <w:t>Waiver of Past Defaults</w:t>
            </w:r>
          </w:p>
        </w:tc>
        <w:tc>
          <w:tcPr>
            <w:tcW w:w="275" w:type="dxa"/>
            <w:tcBorders/>
            <w:vAlign w:val="center"/>
          </w:tcPr>
          <w:p>
            <w:pPr>
              <w:pStyle w:val="TableContents"/>
              <w:bidi w:val="0"/>
              <w:spacing w:before="0" w:after="283"/>
              <w:ind w:left="0" w:right="0" w:hanging="1440"/>
              <w:jc w:val="right"/>
              <w:rPr/>
            </w:pPr>
            <w:r>
              <w:rPr/>
              <w:t>26</w:t>
            </w:r>
          </w:p>
        </w:tc>
      </w:tr>
      <w:tr>
        <w:trPr/>
        <w:tc>
          <w:tcPr>
            <w:tcW w:w="1280" w:type="dxa"/>
            <w:tcBorders/>
            <w:vAlign w:val="center"/>
          </w:tcPr>
          <w:p>
            <w:pPr>
              <w:pStyle w:val="TableContents"/>
              <w:bidi w:val="0"/>
              <w:spacing w:before="0" w:after="283"/>
              <w:jc w:val="left"/>
              <w:rPr/>
            </w:pPr>
            <w:r>
              <w:rPr/>
              <w:t>Section 6.14 </w:t>
            </w:r>
          </w:p>
        </w:tc>
        <w:tc>
          <w:tcPr>
            <w:tcW w:w="6140" w:type="dxa"/>
            <w:tcBorders/>
            <w:vAlign w:val="center"/>
          </w:tcPr>
          <w:p>
            <w:pPr>
              <w:pStyle w:val="TableContents"/>
              <w:bidi w:val="0"/>
              <w:spacing w:before="0" w:after="283"/>
              <w:jc w:val="left"/>
              <w:rPr/>
            </w:pPr>
            <w:r>
              <w:rPr/>
              <w:t>Undertaking for Costs</w:t>
            </w:r>
          </w:p>
        </w:tc>
        <w:tc>
          <w:tcPr>
            <w:tcW w:w="275" w:type="dxa"/>
            <w:tcBorders/>
            <w:vAlign w:val="center"/>
          </w:tcPr>
          <w:p>
            <w:pPr>
              <w:pStyle w:val="TableContents"/>
              <w:bidi w:val="0"/>
              <w:spacing w:before="0" w:after="283"/>
              <w:ind w:left="0" w:right="0" w:hanging="1800"/>
              <w:jc w:val="right"/>
              <w:rPr/>
            </w:pPr>
            <w:r>
              <w:rPr/>
              <w:t>27</w:t>
            </w:r>
          </w:p>
        </w:tc>
      </w:tr>
      <w:tr>
        <w:trPr/>
        <w:tc>
          <w:tcPr>
            <w:tcW w:w="7420" w:type="dxa"/>
            <w:gridSpan w:val="2"/>
            <w:tcBorders/>
            <w:vAlign w:val="center"/>
          </w:tcPr>
          <w:p>
            <w:pPr>
              <w:pStyle w:val="TableContents"/>
              <w:bidi w:val="0"/>
              <w:spacing w:before="0" w:after="283"/>
              <w:jc w:val="left"/>
              <w:rPr/>
            </w:pPr>
            <w:r>
              <w:rPr/>
              <w:t>ARTICLE VII TRUSTEE</w:t>
            </w:r>
          </w:p>
        </w:tc>
        <w:tc>
          <w:tcPr>
            <w:tcW w:w="275" w:type="dxa"/>
            <w:tcBorders/>
            <w:vAlign w:val="center"/>
          </w:tcPr>
          <w:p>
            <w:pPr>
              <w:pStyle w:val="TableContents"/>
              <w:bidi w:val="0"/>
              <w:spacing w:before="0" w:after="283"/>
              <w:ind w:left="0" w:right="0" w:hanging="1440"/>
              <w:jc w:val="right"/>
              <w:rPr/>
            </w:pPr>
            <w:r>
              <w:rPr/>
              <w:t>27</w:t>
            </w:r>
          </w:p>
        </w:tc>
      </w:tr>
      <w:tr>
        <w:trPr/>
        <w:tc>
          <w:tcPr>
            <w:tcW w:w="1280" w:type="dxa"/>
            <w:tcBorders/>
            <w:vAlign w:val="center"/>
          </w:tcPr>
          <w:p>
            <w:pPr>
              <w:pStyle w:val="TableContents"/>
              <w:bidi w:val="0"/>
              <w:spacing w:before="0" w:after="283"/>
              <w:jc w:val="left"/>
              <w:rPr/>
            </w:pPr>
            <w:r>
              <w:rPr/>
              <w:t>Section 7.1 </w:t>
            </w:r>
          </w:p>
        </w:tc>
        <w:tc>
          <w:tcPr>
            <w:tcW w:w="6140" w:type="dxa"/>
            <w:tcBorders/>
            <w:vAlign w:val="center"/>
          </w:tcPr>
          <w:p>
            <w:pPr>
              <w:pStyle w:val="TableContents"/>
              <w:bidi w:val="0"/>
              <w:spacing w:before="0" w:after="283"/>
              <w:jc w:val="left"/>
              <w:rPr/>
            </w:pPr>
            <w:r>
              <w:rPr/>
              <w:t>Duties of Trustee</w:t>
            </w:r>
          </w:p>
        </w:tc>
        <w:tc>
          <w:tcPr>
            <w:tcW w:w="275" w:type="dxa"/>
            <w:tcBorders/>
            <w:vAlign w:val="center"/>
          </w:tcPr>
          <w:p>
            <w:pPr>
              <w:pStyle w:val="TableContents"/>
              <w:bidi w:val="0"/>
              <w:spacing w:before="0" w:after="283"/>
              <w:ind w:left="0" w:right="0" w:hanging="1440"/>
              <w:jc w:val="right"/>
              <w:rPr/>
            </w:pPr>
            <w:r>
              <w:rPr/>
              <w:t>27</w:t>
            </w:r>
          </w:p>
        </w:tc>
      </w:tr>
      <w:tr>
        <w:trPr/>
        <w:tc>
          <w:tcPr>
            <w:tcW w:w="1280" w:type="dxa"/>
            <w:tcBorders/>
            <w:vAlign w:val="center"/>
          </w:tcPr>
          <w:p>
            <w:pPr>
              <w:pStyle w:val="TableContents"/>
              <w:bidi w:val="0"/>
              <w:spacing w:before="0" w:after="283"/>
              <w:jc w:val="left"/>
              <w:rPr/>
            </w:pPr>
            <w:r>
              <w:rPr/>
              <w:t>Section 7.2 </w:t>
            </w:r>
          </w:p>
        </w:tc>
        <w:tc>
          <w:tcPr>
            <w:tcW w:w="6140" w:type="dxa"/>
            <w:tcBorders/>
            <w:vAlign w:val="center"/>
          </w:tcPr>
          <w:p>
            <w:pPr>
              <w:pStyle w:val="TableContents"/>
              <w:bidi w:val="0"/>
              <w:spacing w:before="0" w:after="283"/>
              <w:jc w:val="left"/>
              <w:rPr/>
            </w:pPr>
            <w:r>
              <w:rPr/>
              <w:t>Rights of Trustee</w:t>
            </w:r>
          </w:p>
        </w:tc>
        <w:tc>
          <w:tcPr>
            <w:tcW w:w="275" w:type="dxa"/>
            <w:tcBorders/>
            <w:vAlign w:val="center"/>
          </w:tcPr>
          <w:p>
            <w:pPr>
              <w:pStyle w:val="TableContents"/>
              <w:bidi w:val="0"/>
              <w:spacing w:before="0" w:after="283"/>
              <w:ind w:left="0" w:right="0" w:hanging="1440"/>
              <w:jc w:val="right"/>
              <w:rPr/>
            </w:pPr>
            <w:r>
              <w:rPr/>
              <w:t>28</w:t>
            </w:r>
          </w:p>
        </w:tc>
      </w:tr>
      <w:tr>
        <w:trPr/>
        <w:tc>
          <w:tcPr>
            <w:tcW w:w="1280" w:type="dxa"/>
            <w:tcBorders/>
            <w:vAlign w:val="center"/>
          </w:tcPr>
          <w:p>
            <w:pPr>
              <w:pStyle w:val="TableContents"/>
              <w:bidi w:val="0"/>
              <w:spacing w:before="0" w:after="283"/>
              <w:jc w:val="left"/>
              <w:rPr/>
            </w:pPr>
            <w:r>
              <w:rPr/>
              <w:t>Section 7.3 </w:t>
            </w:r>
          </w:p>
        </w:tc>
        <w:tc>
          <w:tcPr>
            <w:tcW w:w="6140" w:type="dxa"/>
            <w:tcBorders/>
            <w:vAlign w:val="center"/>
          </w:tcPr>
          <w:p>
            <w:pPr>
              <w:pStyle w:val="TableContents"/>
              <w:bidi w:val="0"/>
              <w:spacing w:before="0" w:after="283"/>
              <w:jc w:val="left"/>
              <w:rPr/>
            </w:pPr>
            <w:r>
              <w:rPr/>
              <w:t>May Hold Securities</w:t>
            </w:r>
          </w:p>
        </w:tc>
        <w:tc>
          <w:tcPr>
            <w:tcW w:w="275" w:type="dxa"/>
            <w:tcBorders/>
            <w:vAlign w:val="center"/>
          </w:tcPr>
          <w:p>
            <w:pPr>
              <w:pStyle w:val="TableContents"/>
              <w:bidi w:val="0"/>
              <w:spacing w:before="0" w:after="283"/>
              <w:ind w:left="0" w:right="0" w:hanging="1440"/>
              <w:jc w:val="right"/>
              <w:rPr/>
            </w:pPr>
            <w:r>
              <w:rPr/>
              <w:t>30</w:t>
            </w:r>
          </w:p>
        </w:tc>
      </w:tr>
      <w:tr>
        <w:trPr/>
        <w:tc>
          <w:tcPr>
            <w:tcW w:w="1280" w:type="dxa"/>
            <w:tcBorders/>
            <w:vAlign w:val="center"/>
          </w:tcPr>
          <w:p>
            <w:pPr>
              <w:pStyle w:val="TableContents"/>
              <w:bidi w:val="0"/>
              <w:spacing w:before="0" w:after="283"/>
              <w:jc w:val="left"/>
              <w:rPr/>
            </w:pPr>
            <w:r>
              <w:rPr/>
              <w:t>Section 7.4 </w:t>
            </w:r>
          </w:p>
        </w:tc>
        <w:tc>
          <w:tcPr>
            <w:tcW w:w="6140" w:type="dxa"/>
            <w:tcBorders/>
            <w:vAlign w:val="center"/>
          </w:tcPr>
          <w:p>
            <w:pPr>
              <w:pStyle w:val="TableContents"/>
              <w:bidi w:val="0"/>
              <w:spacing w:before="0" w:after="283"/>
              <w:jc w:val="left"/>
              <w:rPr/>
            </w:pPr>
            <w:r>
              <w:rPr/>
              <w:t>Trustee’s Disclaimer</w:t>
            </w:r>
          </w:p>
        </w:tc>
        <w:tc>
          <w:tcPr>
            <w:tcW w:w="275" w:type="dxa"/>
            <w:tcBorders/>
            <w:vAlign w:val="center"/>
          </w:tcPr>
          <w:p>
            <w:pPr>
              <w:pStyle w:val="TableContents"/>
              <w:bidi w:val="0"/>
              <w:spacing w:before="0" w:after="283"/>
              <w:ind w:left="0" w:right="0" w:hanging="1440"/>
              <w:jc w:val="right"/>
              <w:rPr/>
            </w:pPr>
            <w:r>
              <w:rPr/>
              <w:t>30</w:t>
            </w:r>
          </w:p>
        </w:tc>
      </w:tr>
      <w:tr>
        <w:trPr/>
        <w:tc>
          <w:tcPr>
            <w:tcW w:w="1280" w:type="dxa"/>
            <w:tcBorders/>
            <w:vAlign w:val="center"/>
          </w:tcPr>
          <w:p>
            <w:pPr>
              <w:pStyle w:val="TableContents"/>
              <w:bidi w:val="0"/>
              <w:spacing w:before="0" w:after="283"/>
              <w:jc w:val="left"/>
              <w:rPr/>
            </w:pPr>
            <w:r>
              <w:rPr/>
              <w:t>Section 7.5 </w:t>
            </w:r>
          </w:p>
        </w:tc>
        <w:tc>
          <w:tcPr>
            <w:tcW w:w="6140" w:type="dxa"/>
            <w:tcBorders/>
            <w:vAlign w:val="center"/>
          </w:tcPr>
          <w:p>
            <w:pPr>
              <w:pStyle w:val="TableContents"/>
              <w:bidi w:val="0"/>
              <w:spacing w:before="0" w:after="283"/>
              <w:jc w:val="left"/>
              <w:rPr/>
            </w:pPr>
            <w:r>
              <w:rPr/>
              <w:t>Notice of Defaults</w:t>
            </w:r>
          </w:p>
        </w:tc>
        <w:tc>
          <w:tcPr>
            <w:tcW w:w="275" w:type="dxa"/>
            <w:tcBorders/>
            <w:vAlign w:val="center"/>
          </w:tcPr>
          <w:p>
            <w:pPr>
              <w:pStyle w:val="TableContents"/>
              <w:bidi w:val="0"/>
              <w:spacing w:before="0" w:after="283"/>
              <w:ind w:left="0" w:right="0" w:hanging="1440"/>
              <w:jc w:val="right"/>
              <w:rPr/>
            </w:pPr>
            <w:r>
              <w:rPr/>
              <w:t>30</w:t>
            </w:r>
          </w:p>
        </w:tc>
      </w:tr>
      <w:tr>
        <w:trPr/>
        <w:tc>
          <w:tcPr>
            <w:tcW w:w="1280" w:type="dxa"/>
            <w:tcBorders/>
            <w:vAlign w:val="center"/>
          </w:tcPr>
          <w:p>
            <w:pPr>
              <w:pStyle w:val="TableContents"/>
              <w:bidi w:val="0"/>
              <w:spacing w:before="0" w:after="283"/>
              <w:jc w:val="left"/>
              <w:rPr/>
            </w:pPr>
            <w:r>
              <w:rPr/>
              <w:t>Section 7.6 </w:t>
            </w:r>
          </w:p>
        </w:tc>
        <w:tc>
          <w:tcPr>
            <w:tcW w:w="6140" w:type="dxa"/>
            <w:tcBorders/>
            <w:vAlign w:val="center"/>
          </w:tcPr>
          <w:p>
            <w:pPr>
              <w:pStyle w:val="TableContents"/>
              <w:bidi w:val="0"/>
              <w:spacing w:before="0" w:after="283"/>
              <w:jc w:val="left"/>
              <w:rPr/>
            </w:pPr>
            <w:r>
              <w:rPr/>
              <w:t>Compensation and Indemnity</w:t>
            </w:r>
          </w:p>
        </w:tc>
        <w:tc>
          <w:tcPr>
            <w:tcW w:w="275" w:type="dxa"/>
            <w:tcBorders/>
            <w:vAlign w:val="center"/>
          </w:tcPr>
          <w:p>
            <w:pPr>
              <w:pStyle w:val="TableContents"/>
              <w:bidi w:val="0"/>
              <w:spacing w:before="0" w:after="283"/>
              <w:ind w:left="0" w:right="0" w:hanging="1440"/>
              <w:jc w:val="right"/>
              <w:rPr/>
            </w:pPr>
            <w:r>
              <w:rPr/>
              <w:t>30</w:t>
            </w:r>
          </w:p>
        </w:tc>
      </w:tr>
      <w:tr>
        <w:trPr/>
        <w:tc>
          <w:tcPr>
            <w:tcW w:w="1280" w:type="dxa"/>
            <w:tcBorders/>
            <w:vAlign w:val="center"/>
          </w:tcPr>
          <w:p>
            <w:pPr>
              <w:pStyle w:val="TableContents"/>
              <w:bidi w:val="0"/>
              <w:spacing w:before="0" w:after="283"/>
              <w:jc w:val="left"/>
              <w:rPr/>
            </w:pPr>
            <w:r>
              <w:rPr/>
              <w:t>Section 7.7 </w:t>
            </w:r>
          </w:p>
        </w:tc>
        <w:tc>
          <w:tcPr>
            <w:tcW w:w="6140" w:type="dxa"/>
            <w:tcBorders/>
            <w:vAlign w:val="center"/>
          </w:tcPr>
          <w:p>
            <w:pPr>
              <w:pStyle w:val="TableContents"/>
              <w:bidi w:val="0"/>
              <w:spacing w:before="0" w:after="283"/>
              <w:jc w:val="left"/>
              <w:rPr/>
            </w:pPr>
            <w:r>
              <w:rPr/>
              <w:t>Replacement of Trustee</w:t>
            </w:r>
          </w:p>
        </w:tc>
        <w:tc>
          <w:tcPr>
            <w:tcW w:w="275" w:type="dxa"/>
            <w:tcBorders/>
            <w:vAlign w:val="center"/>
          </w:tcPr>
          <w:p>
            <w:pPr>
              <w:pStyle w:val="TableContents"/>
              <w:bidi w:val="0"/>
              <w:spacing w:before="0" w:after="283"/>
              <w:ind w:left="0" w:right="0" w:hanging="1440"/>
              <w:jc w:val="right"/>
              <w:rPr/>
            </w:pPr>
            <w:r>
              <w:rPr/>
              <w:t>31</w:t>
            </w:r>
          </w:p>
        </w:tc>
      </w:tr>
      <w:tr>
        <w:trPr/>
        <w:tc>
          <w:tcPr>
            <w:tcW w:w="1280" w:type="dxa"/>
            <w:tcBorders/>
            <w:vAlign w:val="center"/>
          </w:tcPr>
          <w:p>
            <w:pPr>
              <w:pStyle w:val="TableContents"/>
              <w:bidi w:val="0"/>
              <w:spacing w:before="0" w:after="283"/>
              <w:jc w:val="left"/>
              <w:rPr/>
            </w:pPr>
            <w:r>
              <w:rPr/>
              <w:t>Section 7.8 </w:t>
            </w:r>
          </w:p>
        </w:tc>
        <w:tc>
          <w:tcPr>
            <w:tcW w:w="6140" w:type="dxa"/>
            <w:tcBorders/>
            <w:vAlign w:val="center"/>
          </w:tcPr>
          <w:p>
            <w:pPr>
              <w:pStyle w:val="TableContents"/>
              <w:bidi w:val="0"/>
              <w:spacing w:before="0" w:after="283"/>
              <w:jc w:val="left"/>
              <w:rPr/>
            </w:pPr>
            <w:r>
              <w:rPr/>
              <w:t>Successor Trustee by Merger, Etc</w:t>
            </w:r>
          </w:p>
        </w:tc>
        <w:tc>
          <w:tcPr>
            <w:tcW w:w="275" w:type="dxa"/>
            <w:tcBorders/>
            <w:vAlign w:val="center"/>
          </w:tcPr>
          <w:p>
            <w:pPr>
              <w:pStyle w:val="TableContents"/>
              <w:bidi w:val="0"/>
              <w:spacing w:before="0" w:after="283"/>
              <w:ind w:left="0" w:right="0" w:hanging="1440"/>
              <w:jc w:val="right"/>
              <w:rPr/>
            </w:pPr>
            <w:r>
              <w:rPr/>
              <w:t>33</w:t>
            </w:r>
          </w:p>
        </w:tc>
      </w:tr>
      <w:tr>
        <w:trPr/>
        <w:tc>
          <w:tcPr>
            <w:tcW w:w="1280" w:type="dxa"/>
            <w:tcBorders/>
            <w:vAlign w:val="center"/>
          </w:tcPr>
          <w:p>
            <w:pPr>
              <w:pStyle w:val="TableContents"/>
              <w:bidi w:val="0"/>
              <w:spacing w:before="0" w:after="283"/>
              <w:jc w:val="left"/>
              <w:rPr/>
            </w:pPr>
            <w:r>
              <w:rPr/>
              <w:t>Section 7.9 </w:t>
            </w:r>
          </w:p>
        </w:tc>
        <w:tc>
          <w:tcPr>
            <w:tcW w:w="6140" w:type="dxa"/>
            <w:tcBorders/>
            <w:vAlign w:val="center"/>
          </w:tcPr>
          <w:p>
            <w:pPr>
              <w:pStyle w:val="TableContents"/>
              <w:bidi w:val="0"/>
              <w:spacing w:before="0" w:after="283"/>
              <w:jc w:val="left"/>
              <w:rPr/>
            </w:pPr>
            <w:r>
              <w:rPr/>
              <w:t>Eligibility; Disqualification</w:t>
            </w:r>
          </w:p>
        </w:tc>
        <w:tc>
          <w:tcPr>
            <w:tcW w:w="275" w:type="dxa"/>
            <w:tcBorders/>
            <w:vAlign w:val="center"/>
          </w:tcPr>
          <w:p>
            <w:pPr>
              <w:pStyle w:val="TableContents"/>
              <w:bidi w:val="0"/>
              <w:spacing w:before="0" w:after="283"/>
              <w:ind w:left="0" w:right="0" w:hanging="1440"/>
              <w:jc w:val="right"/>
              <w:rPr/>
            </w:pPr>
            <w:r>
              <w:rPr/>
              <w:t>33</w:t>
            </w:r>
          </w:p>
        </w:tc>
      </w:tr>
      <w:tr>
        <w:trPr/>
        <w:tc>
          <w:tcPr>
            <w:tcW w:w="1280" w:type="dxa"/>
            <w:tcBorders/>
            <w:vAlign w:val="center"/>
          </w:tcPr>
          <w:p>
            <w:pPr>
              <w:pStyle w:val="TableContents"/>
              <w:bidi w:val="0"/>
              <w:spacing w:before="0" w:after="283"/>
              <w:jc w:val="left"/>
              <w:rPr/>
            </w:pPr>
            <w:r>
              <w:rPr/>
              <w:t>Section 7.10 </w:t>
            </w:r>
          </w:p>
        </w:tc>
        <w:tc>
          <w:tcPr>
            <w:tcW w:w="6140" w:type="dxa"/>
            <w:tcBorders/>
            <w:vAlign w:val="center"/>
          </w:tcPr>
          <w:p>
            <w:pPr>
              <w:pStyle w:val="TableContents"/>
              <w:bidi w:val="0"/>
              <w:spacing w:before="0" w:after="283"/>
              <w:jc w:val="left"/>
              <w:rPr/>
            </w:pPr>
            <w:r>
              <w:rPr/>
              <w:t>Preferential Collection of Claims Against Company</w:t>
            </w:r>
          </w:p>
        </w:tc>
        <w:tc>
          <w:tcPr>
            <w:tcW w:w="275" w:type="dxa"/>
            <w:tcBorders/>
            <w:vAlign w:val="center"/>
          </w:tcPr>
          <w:p>
            <w:pPr>
              <w:pStyle w:val="TableContents"/>
              <w:bidi w:val="0"/>
              <w:spacing w:before="0" w:after="283"/>
              <w:ind w:left="0" w:right="0" w:hanging="1440"/>
              <w:jc w:val="right"/>
              <w:rPr/>
            </w:pPr>
            <w:r>
              <w:rPr/>
              <w:t>33</w:t>
            </w:r>
          </w:p>
        </w:tc>
      </w:tr>
      <w:tr>
        <w:trPr/>
        <w:tc>
          <w:tcPr>
            <w:tcW w:w="1280" w:type="dxa"/>
            <w:tcBorders/>
            <w:vAlign w:val="center"/>
          </w:tcPr>
          <w:p>
            <w:pPr>
              <w:pStyle w:val="TableContents"/>
              <w:bidi w:val="0"/>
              <w:spacing w:before="0" w:after="283"/>
              <w:jc w:val="left"/>
              <w:rPr/>
            </w:pPr>
            <w:r>
              <w:rPr/>
              <w:t>Section 7.11 </w:t>
            </w:r>
          </w:p>
        </w:tc>
        <w:tc>
          <w:tcPr>
            <w:tcW w:w="6140" w:type="dxa"/>
            <w:tcBorders/>
            <w:vAlign w:val="center"/>
          </w:tcPr>
          <w:p>
            <w:pPr>
              <w:pStyle w:val="TableContents"/>
              <w:bidi w:val="0"/>
              <w:spacing w:before="0" w:after="283"/>
              <w:jc w:val="left"/>
              <w:rPr/>
            </w:pPr>
            <w:r>
              <w:rPr/>
              <w:t>Reports by Trustee</w:t>
            </w:r>
          </w:p>
        </w:tc>
        <w:tc>
          <w:tcPr>
            <w:tcW w:w="275" w:type="dxa"/>
            <w:tcBorders/>
            <w:vAlign w:val="center"/>
          </w:tcPr>
          <w:p>
            <w:pPr>
              <w:pStyle w:val="TableContents"/>
              <w:bidi w:val="0"/>
              <w:spacing w:before="0" w:after="283"/>
              <w:ind w:left="0" w:right="0" w:hanging="1800"/>
              <w:jc w:val="right"/>
              <w:rPr/>
            </w:pPr>
            <w:r>
              <w:rPr/>
              <w:t>34</w:t>
            </w:r>
          </w:p>
        </w:tc>
      </w:tr>
      <w:tr>
        <w:trPr/>
        <w:tc>
          <w:tcPr>
            <w:tcW w:w="7420" w:type="dxa"/>
            <w:gridSpan w:val="2"/>
            <w:tcBorders/>
            <w:vAlign w:val="center"/>
          </w:tcPr>
          <w:p>
            <w:pPr>
              <w:pStyle w:val="TableContents"/>
              <w:bidi w:val="0"/>
              <w:spacing w:before="0" w:after="283"/>
              <w:jc w:val="left"/>
              <w:rPr/>
            </w:pPr>
            <w:r>
              <w:rPr/>
              <w:t>ARTICLE VIII DISCHARGE OF INDENTURE</w:t>
            </w:r>
          </w:p>
        </w:tc>
        <w:tc>
          <w:tcPr>
            <w:tcW w:w="275" w:type="dxa"/>
            <w:tcBorders/>
            <w:vAlign w:val="center"/>
          </w:tcPr>
          <w:p>
            <w:pPr>
              <w:pStyle w:val="TableContents"/>
              <w:bidi w:val="0"/>
              <w:spacing w:before="0" w:after="283"/>
              <w:ind w:left="0" w:right="0" w:hanging="1440"/>
              <w:jc w:val="right"/>
              <w:rPr/>
            </w:pPr>
            <w:r>
              <w:rPr/>
              <w:t>34</w:t>
            </w:r>
          </w:p>
        </w:tc>
      </w:tr>
      <w:tr>
        <w:trPr/>
        <w:tc>
          <w:tcPr>
            <w:tcW w:w="1280" w:type="dxa"/>
            <w:tcBorders/>
            <w:vAlign w:val="center"/>
          </w:tcPr>
          <w:p>
            <w:pPr>
              <w:pStyle w:val="TableContents"/>
              <w:bidi w:val="0"/>
              <w:spacing w:before="0" w:after="283"/>
              <w:jc w:val="left"/>
              <w:rPr/>
            </w:pPr>
            <w:r>
              <w:rPr/>
              <w:t>Section 8.1 </w:t>
            </w:r>
          </w:p>
        </w:tc>
        <w:tc>
          <w:tcPr>
            <w:tcW w:w="6140" w:type="dxa"/>
            <w:tcBorders/>
            <w:vAlign w:val="center"/>
          </w:tcPr>
          <w:p>
            <w:pPr>
              <w:pStyle w:val="TableContents"/>
              <w:bidi w:val="0"/>
              <w:spacing w:before="0" w:after="283"/>
              <w:jc w:val="left"/>
              <w:rPr/>
            </w:pPr>
            <w:r>
              <w:rPr/>
              <w:t>Termination of Company’s Obligations</w:t>
            </w:r>
          </w:p>
        </w:tc>
        <w:tc>
          <w:tcPr>
            <w:tcW w:w="275" w:type="dxa"/>
            <w:tcBorders/>
            <w:vAlign w:val="center"/>
          </w:tcPr>
          <w:p>
            <w:pPr>
              <w:pStyle w:val="TableContents"/>
              <w:bidi w:val="0"/>
              <w:spacing w:before="0" w:after="283"/>
              <w:ind w:left="0" w:right="0" w:hanging="1440"/>
              <w:jc w:val="right"/>
              <w:rPr/>
            </w:pPr>
            <w:r>
              <w:rPr/>
              <w:t>34</w:t>
            </w:r>
          </w:p>
        </w:tc>
      </w:tr>
      <w:tr>
        <w:trPr/>
        <w:tc>
          <w:tcPr>
            <w:tcW w:w="1280" w:type="dxa"/>
            <w:tcBorders/>
            <w:vAlign w:val="center"/>
          </w:tcPr>
          <w:p>
            <w:pPr>
              <w:pStyle w:val="TableContents"/>
              <w:bidi w:val="0"/>
              <w:spacing w:before="0" w:after="283"/>
              <w:jc w:val="left"/>
              <w:rPr/>
            </w:pPr>
            <w:r>
              <w:rPr/>
              <w:t>Section 8.2 </w:t>
            </w:r>
          </w:p>
        </w:tc>
        <w:tc>
          <w:tcPr>
            <w:tcW w:w="6140" w:type="dxa"/>
            <w:tcBorders/>
            <w:vAlign w:val="center"/>
          </w:tcPr>
          <w:p>
            <w:pPr>
              <w:pStyle w:val="TableContents"/>
              <w:bidi w:val="0"/>
              <w:spacing w:before="0" w:after="283"/>
              <w:jc w:val="left"/>
              <w:rPr/>
            </w:pPr>
            <w:r>
              <w:rPr/>
              <w:t>Application of Trust Money</w:t>
            </w:r>
          </w:p>
        </w:tc>
        <w:tc>
          <w:tcPr>
            <w:tcW w:w="275" w:type="dxa"/>
            <w:tcBorders/>
            <w:vAlign w:val="center"/>
          </w:tcPr>
          <w:p>
            <w:pPr>
              <w:pStyle w:val="TableContents"/>
              <w:bidi w:val="0"/>
              <w:spacing w:before="0" w:after="283"/>
              <w:ind w:left="0" w:right="0" w:hanging="1440"/>
              <w:jc w:val="right"/>
              <w:rPr/>
            </w:pPr>
            <w:r>
              <w:rPr/>
              <w:t>37</w:t>
            </w:r>
          </w:p>
        </w:tc>
      </w:tr>
      <w:tr>
        <w:trPr/>
        <w:tc>
          <w:tcPr>
            <w:tcW w:w="1280" w:type="dxa"/>
            <w:tcBorders/>
            <w:vAlign w:val="center"/>
          </w:tcPr>
          <w:p>
            <w:pPr>
              <w:pStyle w:val="TableContents"/>
              <w:bidi w:val="0"/>
              <w:spacing w:before="0" w:after="283"/>
              <w:jc w:val="left"/>
              <w:rPr/>
            </w:pPr>
            <w:r>
              <w:rPr/>
              <w:t>Section 8.3 </w:t>
            </w:r>
          </w:p>
        </w:tc>
        <w:tc>
          <w:tcPr>
            <w:tcW w:w="6140" w:type="dxa"/>
            <w:tcBorders/>
            <w:vAlign w:val="center"/>
          </w:tcPr>
          <w:p>
            <w:pPr>
              <w:pStyle w:val="TableContents"/>
              <w:bidi w:val="0"/>
              <w:spacing w:before="0" w:after="283"/>
              <w:jc w:val="left"/>
              <w:rPr/>
            </w:pPr>
            <w:r>
              <w:rPr/>
              <w:t>Repayment to Company</w:t>
            </w:r>
          </w:p>
        </w:tc>
        <w:tc>
          <w:tcPr>
            <w:tcW w:w="275" w:type="dxa"/>
            <w:tcBorders/>
            <w:vAlign w:val="center"/>
          </w:tcPr>
          <w:p>
            <w:pPr>
              <w:pStyle w:val="TableContents"/>
              <w:bidi w:val="0"/>
              <w:spacing w:before="0" w:after="283"/>
              <w:ind w:left="0" w:right="0" w:hanging="1440"/>
              <w:jc w:val="right"/>
              <w:rPr/>
            </w:pPr>
            <w:r>
              <w:rPr/>
              <w:t>38</w:t>
            </w:r>
          </w:p>
        </w:tc>
      </w:tr>
      <w:tr>
        <w:trPr/>
        <w:tc>
          <w:tcPr>
            <w:tcW w:w="1280" w:type="dxa"/>
            <w:tcBorders/>
            <w:vAlign w:val="center"/>
          </w:tcPr>
          <w:p>
            <w:pPr>
              <w:pStyle w:val="TableContents"/>
              <w:bidi w:val="0"/>
              <w:spacing w:before="0" w:after="283"/>
              <w:jc w:val="left"/>
              <w:rPr/>
            </w:pPr>
            <w:r>
              <w:rPr/>
              <w:t>Section 8.4 </w:t>
            </w:r>
          </w:p>
        </w:tc>
        <w:tc>
          <w:tcPr>
            <w:tcW w:w="6140" w:type="dxa"/>
            <w:tcBorders/>
            <w:vAlign w:val="center"/>
          </w:tcPr>
          <w:p>
            <w:pPr>
              <w:pStyle w:val="TableContents"/>
              <w:bidi w:val="0"/>
              <w:spacing w:before="0" w:after="283"/>
              <w:jc w:val="left"/>
              <w:rPr/>
            </w:pPr>
            <w:r>
              <w:rPr/>
              <w:t>Reinstatement</w:t>
            </w:r>
          </w:p>
        </w:tc>
        <w:tc>
          <w:tcPr>
            <w:tcW w:w="275" w:type="dxa"/>
            <w:tcBorders/>
            <w:vAlign w:val="center"/>
          </w:tcPr>
          <w:p>
            <w:pPr>
              <w:pStyle w:val="TableContents"/>
              <w:bidi w:val="0"/>
              <w:spacing w:before="0" w:after="283"/>
              <w:ind w:left="0" w:right="0" w:hanging="1800"/>
              <w:jc w:val="right"/>
              <w:rPr/>
            </w:pPr>
            <w:r>
              <w:rPr/>
              <w:t>38</w:t>
            </w:r>
          </w:p>
        </w:tc>
      </w:tr>
      <w:tr>
        <w:trPr/>
        <w:tc>
          <w:tcPr>
            <w:tcW w:w="7420" w:type="dxa"/>
            <w:gridSpan w:val="2"/>
            <w:tcBorders/>
            <w:vAlign w:val="center"/>
          </w:tcPr>
          <w:p>
            <w:pPr>
              <w:pStyle w:val="TableContents"/>
              <w:bidi w:val="0"/>
              <w:spacing w:before="0" w:after="283"/>
              <w:jc w:val="left"/>
              <w:rPr/>
            </w:pPr>
            <w:r>
              <w:rPr/>
              <w:t>ARTICLE IX AMENDMENTS AND WAIVERS</w:t>
            </w:r>
          </w:p>
        </w:tc>
        <w:tc>
          <w:tcPr>
            <w:tcW w:w="275" w:type="dxa"/>
            <w:tcBorders/>
            <w:vAlign w:val="center"/>
          </w:tcPr>
          <w:p>
            <w:pPr>
              <w:pStyle w:val="TableContents"/>
              <w:bidi w:val="0"/>
              <w:spacing w:before="0" w:after="283"/>
              <w:ind w:left="0" w:right="0" w:hanging="1440"/>
              <w:jc w:val="right"/>
              <w:rPr/>
            </w:pPr>
            <w:r>
              <w:rPr/>
              <w:t>38</w:t>
            </w:r>
          </w:p>
        </w:tc>
      </w:tr>
      <w:tr>
        <w:trPr/>
        <w:tc>
          <w:tcPr>
            <w:tcW w:w="1280" w:type="dxa"/>
            <w:tcBorders/>
            <w:vAlign w:val="center"/>
          </w:tcPr>
          <w:p>
            <w:pPr>
              <w:pStyle w:val="TableContents"/>
              <w:bidi w:val="0"/>
              <w:spacing w:before="0" w:after="283"/>
              <w:jc w:val="left"/>
              <w:rPr/>
            </w:pPr>
            <w:r>
              <w:rPr/>
              <w:t>Section 9.1 </w:t>
            </w:r>
          </w:p>
        </w:tc>
        <w:tc>
          <w:tcPr>
            <w:tcW w:w="6140" w:type="dxa"/>
            <w:tcBorders/>
            <w:vAlign w:val="center"/>
          </w:tcPr>
          <w:p>
            <w:pPr>
              <w:pStyle w:val="TableContents"/>
              <w:bidi w:val="0"/>
              <w:spacing w:before="0" w:after="283"/>
              <w:jc w:val="left"/>
              <w:rPr/>
            </w:pPr>
            <w:r>
              <w:rPr/>
              <w:t>Without Consent of Holders</w:t>
            </w:r>
          </w:p>
        </w:tc>
        <w:tc>
          <w:tcPr>
            <w:tcW w:w="275" w:type="dxa"/>
            <w:tcBorders/>
            <w:vAlign w:val="center"/>
          </w:tcPr>
          <w:p>
            <w:pPr>
              <w:pStyle w:val="TableContents"/>
              <w:bidi w:val="0"/>
              <w:spacing w:before="0" w:after="283"/>
              <w:ind w:left="0" w:right="0" w:hanging="1440"/>
              <w:jc w:val="right"/>
              <w:rPr/>
            </w:pPr>
            <w:r>
              <w:rPr/>
              <w:t>38</w:t>
            </w:r>
          </w:p>
        </w:tc>
      </w:tr>
      <w:tr>
        <w:trPr/>
        <w:tc>
          <w:tcPr>
            <w:tcW w:w="1280" w:type="dxa"/>
            <w:tcBorders/>
            <w:vAlign w:val="center"/>
          </w:tcPr>
          <w:p>
            <w:pPr>
              <w:pStyle w:val="TableContents"/>
              <w:bidi w:val="0"/>
              <w:spacing w:before="0" w:after="283"/>
              <w:jc w:val="left"/>
              <w:rPr/>
            </w:pPr>
            <w:r>
              <w:rPr/>
              <w:t>Section 9.2 </w:t>
            </w:r>
          </w:p>
        </w:tc>
        <w:tc>
          <w:tcPr>
            <w:tcW w:w="6140" w:type="dxa"/>
            <w:tcBorders/>
            <w:vAlign w:val="center"/>
          </w:tcPr>
          <w:p>
            <w:pPr>
              <w:pStyle w:val="TableContents"/>
              <w:bidi w:val="0"/>
              <w:spacing w:before="0" w:after="283"/>
              <w:jc w:val="left"/>
              <w:rPr/>
            </w:pPr>
            <w:r>
              <w:rPr/>
              <w:t>With Consent of Holders</w:t>
            </w:r>
          </w:p>
        </w:tc>
        <w:tc>
          <w:tcPr>
            <w:tcW w:w="275" w:type="dxa"/>
            <w:tcBorders/>
            <w:vAlign w:val="center"/>
          </w:tcPr>
          <w:p>
            <w:pPr>
              <w:pStyle w:val="TableContents"/>
              <w:bidi w:val="0"/>
              <w:spacing w:before="0" w:after="283"/>
              <w:ind w:left="0" w:right="0" w:hanging="1440"/>
              <w:jc w:val="right"/>
              <w:rPr/>
            </w:pPr>
            <w:r>
              <w:rPr/>
              <w:t>39</w:t>
            </w:r>
          </w:p>
        </w:tc>
      </w:tr>
      <w:tr>
        <w:trPr/>
        <w:tc>
          <w:tcPr>
            <w:tcW w:w="1280" w:type="dxa"/>
            <w:tcBorders/>
            <w:vAlign w:val="center"/>
          </w:tcPr>
          <w:p>
            <w:pPr>
              <w:pStyle w:val="TableContents"/>
              <w:bidi w:val="0"/>
              <w:spacing w:before="0" w:after="283"/>
              <w:jc w:val="left"/>
              <w:rPr/>
            </w:pPr>
            <w:r>
              <w:rPr/>
              <w:t>Section 9.3 </w:t>
            </w:r>
          </w:p>
        </w:tc>
        <w:tc>
          <w:tcPr>
            <w:tcW w:w="6140" w:type="dxa"/>
            <w:tcBorders/>
            <w:vAlign w:val="center"/>
          </w:tcPr>
          <w:p>
            <w:pPr>
              <w:pStyle w:val="TableContents"/>
              <w:bidi w:val="0"/>
              <w:spacing w:before="0" w:after="283"/>
              <w:jc w:val="left"/>
              <w:rPr/>
            </w:pPr>
            <w:r>
              <w:rPr/>
              <w:t>Limitations</w:t>
            </w:r>
          </w:p>
        </w:tc>
        <w:tc>
          <w:tcPr>
            <w:tcW w:w="275" w:type="dxa"/>
            <w:tcBorders/>
            <w:vAlign w:val="center"/>
          </w:tcPr>
          <w:p>
            <w:pPr>
              <w:pStyle w:val="TableContents"/>
              <w:bidi w:val="0"/>
              <w:spacing w:before="0" w:after="283"/>
              <w:ind w:left="0" w:right="0" w:hanging="1440"/>
              <w:jc w:val="right"/>
              <w:rPr/>
            </w:pPr>
            <w:r>
              <w:rPr/>
              <w:t>40</w:t>
            </w:r>
          </w:p>
        </w:tc>
      </w:tr>
      <w:tr>
        <w:trPr/>
        <w:tc>
          <w:tcPr>
            <w:tcW w:w="1280" w:type="dxa"/>
            <w:tcBorders/>
            <w:vAlign w:val="center"/>
          </w:tcPr>
          <w:p>
            <w:pPr>
              <w:pStyle w:val="TableContents"/>
              <w:bidi w:val="0"/>
              <w:spacing w:before="0" w:after="283"/>
              <w:jc w:val="left"/>
              <w:rPr/>
            </w:pPr>
            <w:r>
              <w:rPr/>
              <w:t>Section 9.4 </w:t>
            </w:r>
          </w:p>
        </w:tc>
        <w:tc>
          <w:tcPr>
            <w:tcW w:w="6140" w:type="dxa"/>
            <w:tcBorders/>
            <w:vAlign w:val="center"/>
          </w:tcPr>
          <w:p>
            <w:pPr>
              <w:pStyle w:val="TableContents"/>
              <w:bidi w:val="0"/>
              <w:spacing w:before="0" w:after="283"/>
              <w:jc w:val="left"/>
              <w:rPr/>
            </w:pPr>
            <w:r>
              <w:rPr/>
              <w:t>Form of Amendments</w:t>
            </w:r>
          </w:p>
        </w:tc>
        <w:tc>
          <w:tcPr>
            <w:tcW w:w="275" w:type="dxa"/>
            <w:tcBorders/>
            <w:vAlign w:val="center"/>
          </w:tcPr>
          <w:p>
            <w:pPr>
              <w:pStyle w:val="TableContents"/>
              <w:bidi w:val="0"/>
              <w:spacing w:before="0" w:after="283"/>
              <w:ind w:left="0" w:right="0" w:hanging="1440"/>
              <w:jc w:val="right"/>
              <w:rPr/>
            </w:pPr>
            <w:r>
              <w:rPr/>
              <w:t>41</w:t>
            </w:r>
          </w:p>
        </w:tc>
      </w:tr>
      <w:tr>
        <w:trPr/>
        <w:tc>
          <w:tcPr>
            <w:tcW w:w="1280" w:type="dxa"/>
            <w:tcBorders/>
            <w:vAlign w:val="center"/>
          </w:tcPr>
          <w:p>
            <w:pPr>
              <w:pStyle w:val="TableContents"/>
              <w:bidi w:val="0"/>
              <w:spacing w:before="0" w:after="283"/>
              <w:jc w:val="left"/>
              <w:rPr/>
            </w:pPr>
            <w:r>
              <w:rPr/>
              <w:t>Section 9.5 </w:t>
            </w:r>
          </w:p>
        </w:tc>
        <w:tc>
          <w:tcPr>
            <w:tcW w:w="6140" w:type="dxa"/>
            <w:tcBorders/>
            <w:vAlign w:val="center"/>
          </w:tcPr>
          <w:p>
            <w:pPr>
              <w:pStyle w:val="TableContents"/>
              <w:bidi w:val="0"/>
              <w:spacing w:before="0" w:after="283"/>
              <w:jc w:val="left"/>
              <w:rPr/>
            </w:pPr>
            <w:r>
              <w:rPr/>
              <w:t>Revocation and Effect of Consents</w:t>
            </w:r>
          </w:p>
        </w:tc>
        <w:tc>
          <w:tcPr>
            <w:tcW w:w="275" w:type="dxa"/>
            <w:tcBorders/>
            <w:vAlign w:val="center"/>
          </w:tcPr>
          <w:p>
            <w:pPr>
              <w:pStyle w:val="TableContents"/>
              <w:bidi w:val="0"/>
              <w:spacing w:before="0" w:after="283"/>
              <w:ind w:left="0" w:right="0" w:hanging="1440"/>
              <w:jc w:val="right"/>
              <w:rPr/>
            </w:pPr>
            <w:r>
              <w:rPr/>
              <w:t>41</w:t>
            </w:r>
          </w:p>
        </w:tc>
      </w:tr>
      <w:tr>
        <w:trPr/>
        <w:tc>
          <w:tcPr>
            <w:tcW w:w="1280" w:type="dxa"/>
            <w:tcBorders/>
            <w:vAlign w:val="center"/>
          </w:tcPr>
          <w:p>
            <w:pPr>
              <w:pStyle w:val="TableContents"/>
              <w:bidi w:val="0"/>
              <w:spacing w:before="0" w:after="283"/>
              <w:jc w:val="left"/>
              <w:rPr/>
            </w:pPr>
            <w:r>
              <w:rPr/>
              <w:t>Section 9.6 </w:t>
            </w:r>
          </w:p>
        </w:tc>
        <w:tc>
          <w:tcPr>
            <w:tcW w:w="6140" w:type="dxa"/>
            <w:tcBorders/>
            <w:vAlign w:val="center"/>
          </w:tcPr>
          <w:p>
            <w:pPr>
              <w:pStyle w:val="TableContents"/>
              <w:bidi w:val="0"/>
              <w:spacing w:before="0" w:after="283"/>
              <w:jc w:val="left"/>
              <w:rPr/>
            </w:pPr>
            <w:r>
              <w:rPr/>
              <w:t>Notation on or Exchange of the Securities</w:t>
            </w:r>
          </w:p>
        </w:tc>
        <w:tc>
          <w:tcPr>
            <w:tcW w:w="275" w:type="dxa"/>
            <w:tcBorders/>
            <w:vAlign w:val="center"/>
          </w:tcPr>
          <w:p>
            <w:pPr>
              <w:pStyle w:val="TableContents"/>
              <w:bidi w:val="0"/>
              <w:spacing w:before="0" w:after="283"/>
              <w:ind w:left="0" w:right="0" w:hanging="1440"/>
              <w:jc w:val="right"/>
              <w:rPr/>
            </w:pPr>
            <w:r>
              <w:rPr/>
              <w:t>41</w:t>
            </w:r>
          </w:p>
        </w:tc>
      </w:tr>
      <w:tr>
        <w:trPr/>
        <w:tc>
          <w:tcPr>
            <w:tcW w:w="1280" w:type="dxa"/>
            <w:tcBorders/>
            <w:vAlign w:val="center"/>
          </w:tcPr>
          <w:p>
            <w:pPr>
              <w:pStyle w:val="TableContents"/>
              <w:bidi w:val="0"/>
              <w:spacing w:before="0" w:after="283"/>
              <w:jc w:val="left"/>
              <w:rPr/>
            </w:pPr>
            <w:r>
              <w:rPr/>
              <w:t>Section 9.7 </w:t>
            </w:r>
          </w:p>
        </w:tc>
        <w:tc>
          <w:tcPr>
            <w:tcW w:w="6140" w:type="dxa"/>
            <w:tcBorders/>
            <w:vAlign w:val="center"/>
          </w:tcPr>
          <w:p>
            <w:pPr>
              <w:pStyle w:val="TableContents"/>
              <w:bidi w:val="0"/>
              <w:spacing w:before="0" w:after="283"/>
              <w:jc w:val="left"/>
              <w:rPr/>
            </w:pPr>
            <w:r>
              <w:rPr/>
              <w:t>Trustee Protected</w:t>
            </w:r>
          </w:p>
        </w:tc>
        <w:tc>
          <w:tcPr>
            <w:tcW w:w="275" w:type="dxa"/>
            <w:tcBorders/>
            <w:vAlign w:val="center"/>
          </w:tcPr>
          <w:p>
            <w:pPr>
              <w:pStyle w:val="TableContents"/>
              <w:bidi w:val="0"/>
              <w:spacing w:before="0" w:after="283"/>
              <w:jc w:val="right"/>
              <w:rPr/>
            </w:pPr>
            <w:r>
              <w:rPr/>
              <w:t>41</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-ii-</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p>
      <w:pPr>
        <w:pStyle w:val="TextBody"/>
        <w:bidi w:val="0"/>
        <w:spacing w:before="0" w:after="0"/>
        <w:ind w:left="115" w:right="115"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ind w:left="115" w:right="115"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115" w:right="115"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115" w:right="115" w:hanging="0"/>
        <w:jc w:val="right"/>
        <w:rPr>
          <w:caps w:val="false"/>
          <w:smallCaps w:val="false"/>
        </w:rPr>
      </w:pPr>
      <w:r>
        <w:rPr>
          <w:caps w:val="false"/>
          <w:smallCaps w:val="false"/>
        </w:rPr>
        <w:t> </w:t>
      </w:r>
    </w:p>
    <w:tbl>
      <w:tblPr>
        <w:tblW w:w="8805" w:type="dxa"/>
        <w:jc w:val="left"/>
        <w:tblInd w:w="0" w:type="dxa"/>
        <w:tblLayout w:type="fixed"/>
        <w:tblCellMar>
          <w:top w:w="0" w:type="dxa"/>
          <w:left w:w="0" w:type="dxa"/>
          <w:bottom w:w="0" w:type="dxa"/>
          <w:right w:w="0" w:type="dxa"/>
        </w:tblCellMar>
      </w:tblPr>
      <w:tblGrid>
        <w:gridCol w:w="1400"/>
        <w:gridCol w:w="7130"/>
        <w:gridCol w:w="275"/>
      </w:tblGrid>
      <w:tr>
        <w:trPr/>
        <w:tc>
          <w:tcPr>
            <w:tcW w:w="8530" w:type="dxa"/>
            <w:gridSpan w:val="2"/>
            <w:tcBorders/>
            <w:vAlign w:val="center"/>
          </w:tcPr>
          <w:p>
            <w:pPr>
              <w:pStyle w:val="TableContents"/>
              <w:bidi w:val="0"/>
              <w:spacing w:before="0" w:after="283"/>
              <w:ind w:left="0" w:right="0" w:hanging="1800"/>
              <w:jc w:val="left"/>
              <w:rPr/>
            </w:pPr>
            <w:r>
              <w:rPr/>
              <w:t>ARTICLE X MISCELLANEOUS</w:t>
            </w:r>
          </w:p>
        </w:tc>
        <w:tc>
          <w:tcPr>
            <w:tcW w:w="275" w:type="dxa"/>
            <w:tcBorders/>
            <w:vAlign w:val="center"/>
          </w:tcPr>
          <w:p>
            <w:pPr>
              <w:pStyle w:val="TableContents"/>
              <w:bidi w:val="0"/>
              <w:spacing w:before="0" w:after="283"/>
              <w:ind w:left="0" w:right="0" w:hanging="1440"/>
              <w:jc w:val="right"/>
              <w:rPr/>
            </w:pPr>
            <w:r>
              <w:rPr/>
              <w:t>42</w:t>
            </w:r>
          </w:p>
        </w:tc>
      </w:tr>
      <w:tr>
        <w:trPr/>
        <w:tc>
          <w:tcPr>
            <w:tcW w:w="1400" w:type="dxa"/>
            <w:tcBorders/>
            <w:vAlign w:val="center"/>
          </w:tcPr>
          <w:p>
            <w:pPr>
              <w:pStyle w:val="TableContents"/>
              <w:bidi w:val="0"/>
              <w:spacing w:before="0" w:after="283"/>
              <w:jc w:val="left"/>
              <w:rPr/>
            </w:pPr>
            <w:r>
              <w:rPr/>
              <w:t>Section 10.1 </w:t>
            </w:r>
          </w:p>
        </w:tc>
        <w:tc>
          <w:tcPr>
            <w:tcW w:w="7130" w:type="dxa"/>
            <w:tcBorders/>
            <w:vAlign w:val="center"/>
          </w:tcPr>
          <w:p>
            <w:pPr>
              <w:pStyle w:val="TableContents"/>
              <w:bidi w:val="0"/>
              <w:spacing w:before="0" w:after="283"/>
              <w:jc w:val="left"/>
              <w:rPr/>
            </w:pPr>
            <w:r>
              <w:rPr/>
              <w:t>Notices</w:t>
            </w:r>
          </w:p>
        </w:tc>
        <w:tc>
          <w:tcPr>
            <w:tcW w:w="275" w:type="dxa"/>
            <w:tcBorders/>
            <w:vAlign w:val="center"/>
          </w:tcPr>
          <w:p>
            <w:pPr>
              <w:pStyle w:val="TableContents"/>
              <w:bidi w:val="0"/>
              <w:spacing w:before="0" w:after="283"/>
              <w:ind w:left="0" w:right="0" w:hanging="1440"/>
              <w:jc w:val="right"/>
              <w:rPr/>
            </w:pPr>
            <w:r>
              <w:rPr/>
              <w:t>42</w:t>
            </w:r>
          </w:p>
        </w:tc>
      </w:tr>
      <w:tr>
        <w:trPr/>
        <w:tc>
          <w:tcPr>
            <w:tcW w:w="1400" w:type="dxa"/>
            <w:tcBorders/>
            <w:vAlign w:val="center"/>
          </w:tcPr>
          <w:p>
            <w:pPr>
              <w:pStyle w:val="TableContents"/>
              <w:bidi w:val="0"/>
              <w:spacing w:before="0" w:after="283"/>
              <w:jc w:val="left"/>
              <w:rPr/>
            </w:pPr>
            <w:r>
              <w:rPr/>
              <w:t>Section 10.2 </w:t>
            </w:r>
          </w:p>
        </w:tc>
        <w:tc>
          <w:tcPr>
            <w:tcW w:w="7130" w:type="dxa"/>
            <w:tcBorders/>
            <w:vAlign w:val="center"/>
          </w:tcPr>
          <w:p>
            <w:pPr>
              <w:pStyle w:val="TableContents"/>
              <w:bidi w:val="0"/>
              <w:spacing w:before="0" w:after="283"/>
              <w:jc w:val="left"/>
              <w:rPr/>
            </w:pPr>
            <w:r>
              <w:rPr/>
              <w:t>Communication by Holders with Other Holders</w:t>
            </w:r>
          </w:p>
        </w:tc>
        <w:tc>
          <w:tcPr>
            <w:tcW w:w="275" w:type="dxa"/>
            <w:tcBorders/>
            <w:vAlign w:val="center"/>
          </w:tcPr>
          <w:p>
            <w:pPr>
              <w:pStyle w:val="TableContents"/>
              <w:bidi w:val="0"/>
              <w:spacing w:before="0" w:after="283"/>
              <w:ind w:left="0" w:right="0" w:hanging="1440"/>
              <w:jc w:val="right"/>
              <w:rPr/>
            </w:pPr>
            <w:r>
              <w:rPr/>
              <w:t>43</w:t>
            </w:r>
          </w:p>
        </w:tc>
      </w:tr>
      <w:tr>
        <w:trPr/>
        <w:tc>
          <w:tcPr>
            <w:tcW w:w="1400" w:type="dxa"/>
            <w:tcBorders/>
            <w:vAlign w:val="center"/>
          </w:tcPr>
          <w:p>
            <w:pPr>
              <w:pStyle w:val="TableContents"/>
              <w:bidi w:val="0"/>
              <w:spacing w:before="0" w:after="283"/>
              <w:jc w:val="left"/>
              <w:rPr/>
            </w:pPr>
            <w:r>
              <w:rPr/>
              <w:t>Section 10.3 </w:t>
            </w:r>
          </w:p>
        </w:tc>
        <w:tc>
          <w:tcPr>
            <w:tcW w:w="7130" w:type="dxa"/>
            <w:tcBorders/>
            <w:vAlign w:val="center"/>
          </w:tcPr>
          <w:p>
            <w:pPr>
              <w:pStyle w:val="TableContents"/>
              <w:bidi w:val="0"/>
              <w:spacing w:before="0" w:after="283"/>
              <w:jc w:val="left"/>
              <w:rPr/>
            </w:pPr>
            <w:r>
              <w:rPr/>
              <w:t>Certificate and Opinion as to Conditions Precedent</w:t>
            </w:r>
          </w:p>
        </w:tc>
        <w:tc>
          <w:tcPr>
            <w:tcW w:w="275" w:type="dxa"/>
            <w:tcBorders/>
            <w:vAlign w:val="center"/>
          </w:tcPr>
          <w:p>
            <w:pPr>
              <w:pStyle w:val="TableContents"/>
              <w:bidi w:val="0"/>
              <w:spacing w:before="0" w:after="283"/>
              <w:ind w:left="0" w:right="0" w:hanging="1440"/>
              <w:jc w:val="right"/>
              <w:rPr/>
            </w:pPr>
            <w:r>
              <w:rPr/>
              <w:t>43</w:t>
            </w:r>
          </w:p>
        </w:tc>
      </w:tr>
      <w:tr>
        <w:trPr/>
        <w:tc>
          <w:tcPr>
            <w:tcW w:w="1400" w:type="dxa"/>
            <w:tcBorders/>
            <w:vAlign w:val="center"/>
          </w:tcPr>
          <w:p>
            <w:pPr>
              <w:pStyle w:val="TableContents"/>
              <w:bidi w:val="0"/>
              <w:spacing w:before="0" w:after="283"/>
              <w:jc w:val="left"/>
              <w:rPr/>
            </w:pPr>
            <w:r>
              <w:rPr/>
              <w:t>Section 10.4 </w:t>
            </w:r>
          </w:p>
        </w:tc>
        <w:tc>
          <w:tcPr>
            <w:tcW w:w="7130" w:type="dxa"/>
            <w:tcBorders/>
            <w:vAlign w:val="center"/>
          </w:tcPr>
          <w:p>
            <w:pPr>
              <w:pStyle w:val="TableContents"/>
              <w:bidi w:val="0"/>
              <w:spacing w:before="0" w:after="283"/>
              <w:jc w:val="left"/>
              <w:rPr/>
            </w:pPr>
            <w:r>
              <w:rPr/>
              <w:t>Statements Required in Certificate or Opinion</w:t>
            </w:r>
          </w:p>
        </w:tc>
        <w:tc>
          <w:tcPr>
            <w:tcW w:w="275" w:type="dxa"/>
            <w:tcBorders/>
            <w:vAlign w:val="center"/>
          </w:tcPr>
          <w:p>
            <w:pPr>
              <w:pStyle w:val="TableContents"/>
              <w:bidi w:val="0"/>
              <w:spacing w:before="0" w:after="283"/>
              <w:ind w:left="0" w:right="0" w:hanging="1440"/>
              <w:jc w:val="right"/>
              <w:rPr/>
            </w:pPr>
            <w:r>
              <w:rPr/>
              <w:t>43</w:t>
            </w:r>
          </w:p>
        </w:tc>
      </w:tr>
      <w:tr>
        <w:trPr/>
        <w:tc>
          <w:tcPr>
            <w:tcW w:w="1400" w:type="dxa"/>
            <w:tcBorders/>
            <w:vAlign w:val="center"/>
          </w:tcPr>
          <w:p>
            <w:pPr>
              <w:pStyle w:val="TableContents"/>
              <w:bidi w:val="0"/>
              <w:spacing w:before="0" w:after="283"/>
              <w:jc w:val="left"/>
              <w:rPr/>
            </w:pPr>
            <w:r>
              <w:rPr/>
              <w:t>Section 10.5 </w:t>
            </w:r>
          </w:p>
        </w:tc>
        <w:tc>
          <w:tcPr>
            <w:tcW w:w="7130" w:type="dxa"/>
            <w:tcBorders/>
            <w:vAlign w:val="center"/>
          </w:tcPr>
          <w:p>
            <w:pPr>
              <w:pStyle w:val="TableContents"/>
              <w:bidi w:val="0"/>
              <w:spacing w:before="0" w:after="283"/>
              <w:jc w:val="left"/>
              <w:rPr/>
            </w:pPr>
            <w:r>
              <w:rPr/>
              <w:t>Rules by Trustee and Agents</w:t>
            </w:r>
          </w:p>
        </w:tc>
        <w:tc>
          <w:tcPr>
            <w:tcW w:w="275" w:type="dxa"/>
            <w:tcBorders/>
            <w:vAlign w:val="center"/>
          </w:tcPr>
          <w:p>
            <w:pPr>
              <w:pStyle w:val="TableContents"/>
              <w:bidi w:val="0"/>
              <w:spacing w:before="0" w:after="283"/>
              <w:ind w:left="0" w:right="0" w:hanging="1440"/>
              <w:jc w:val="right"/>
              <w:rPr/>
            </w:pPr>
            <w:r>
              <w:rPr/>
              <w:t>44</w:t>
            </w:r>
          </w:p>
        </w:tc>
      </w:tr>
      <w:tr>
        <w:trPr/>
        <w:tc>
          <w:tcPr>
            <w:tcW w:w="1400" w:type="dxa"/>
            <w:tcBorders/>
            <w:vAlign w:val="center"/>
          </w:tcPr>
          <w:p>
            <w:pPr>
              <w:pStyle w:val="TableContents"/>
              <w:bidi w:val="0"/>
              <w:spacing w:before="0" w:after="283"/>
              <w:jc w:val="left"/>
              <w:rPr/>
            </w:pPr>
            <w:r>
              <w:rPr/>
              <w:t>Section 10.6 </w:t>
            </w:r>
          </w:p>
        </w:tc>
        <w:tc>
          <w:tcPr>
            <w:tcW w:w="7130" w:type="dxa"/>
            <w:tcBorders/>
            <w:vAlign w:val="center"/>
          </w:tcPr>
          <w:p>
            <w:pPr>
              <w:pStyle w:val="TableContents"/>
              <w:bidi w:val="0"/>
              <w:spacing w:before="0" w:after="283"/>
              <w:jc w:val="left"/>
              <w:rPr/>
            </w:pPr>
            <w:r>
              <w:rPr/>
              <w:t>Legal Holidays</w:t>
            </w:r>
          </w:p>
        </w:tc>
        <w:tc>
          <w:tcPr>
            <w:tcW w:w="275" w:type="dxa"/>
            <w:tcBorders/>
            <w:vAlign w:val="center"/>
          </w:tcPr>
          <w:p>
            <w:pPr>
              <w:pStyle w:val="TableContents"/>
              <w:bidi w:val="0"/>
              <w:spacing w:before="0" w:after="283"/>
              <w:ind w:left="0" w:right="0" w:hanging="1440"/>
              <w:jc w:val="right"/>
              <w:rPr/>
            </w:pPr>
            <w:r>
              <w:rPr/>
              <w:t>44</w:t>
            </w:r>
          </w:p>
        </w:tc>
      </w:tr>
      <w:tr>
        <w:trPr/>
        <w:tc>
          <w:tcPr>
            <w:tcW w:w="1400" w:type="dxa"/>
            <w:tcBorders/>
            <w:vAlign w:val="center"/>
          </w:tcPr>
          <w:p>
            <w:pPr>
              <w:pStyle w:val="TableContents"/>
              <w:bidi w:val="0"/>
              <w:spacing w:before="0" w:after="283"/>
              <w:jc w:val="left"/>
              <w:rPr/>
            </w:pPr>
            <w:r>
              <w:rPr/>
              <w:t>Section 10.7 </w:t>
            </w:r>
          </w:p>
        </w:tc>
        <w:tc>
          <w:tcPr>
            <w:tcW w:w="7130" w:type="dxa"/>
            <w:tcBorders/>
            <w:vAlign w:val="center"/>
          </w:tcPr>
          <w:p>
            <w:pPr>
              <w:pStyle w:val="TableContents"/>
              <w:bidi w:val="0"/>
              <w:spacing w:before="0" w:after="283"/>
              <w:jc w:val="left"/>
              <w:rPr/>
            </w:pPr>
            <w:r>
              <w:rPr/>
              <w:t>No Personal Liability of Directors, Officers, Employees and Certain Others</w:t>
            </w:r>
          </w:p>
        </w:tc>
        <w:tc>
          <w:tcPr>
            <w:tcW w:w="275" w:type="dxa"/>
            <w:tcBorders/>
            <w:vAlign w:val="center"/>
          </w:tcPr>
          <w:p>
            <w:pPr>
              <w:pStyle w:val="TableContents"/>
              <w:bidi w:val="0"/>
              <w:spacing w:before="0" w:after="283"/>
              <w:ind w:left="0" w:right="0" w:hanging="1440"/>
              <w:jc w:val="right"/>
              <w:rPr/>
            </w:pPr>
            <w:r>
              <w:rPr/>
              <w:t>44</w:t>
            </w:r>
          </w:p>
        </w:tc>
      </w:tr>
      <w:tr>
        <w:trPr/>
        <w:tc>
          <w:tcPr>
            <w:tcW w:w="1400" w:type="dxa"/>
            <w:tcBorders/>
            <w:vAlign w:val="center"/>
          </w:tcPr>
          <w:p>
            <w:pPr>
              <w:pStyle w:val="TableContents"/>
              <w:bidi w:val="0"/>
              <w:spacing w:before="0" w:after="283"/>
              <w:jc w:val="left"/>
              <w:rPr/>
            </w:pPr>
            <w:r>
              <w:rPr/>
              <w:t>Section 10.8 </w:t>
            </w:r>
          </w:p>
        </w:tc>
        <w:tc>
          <w:tcPr>
            <w:tcW w:w="7130" w:type="dxa"/>
            <w:tcBorders/>
            <w:vAlign w:val="center"/>
          </w:tcPr>
          <w:p>
            <w:pPr>
              <w:pStyle w:val="TableContents"/>
              <w:bidi w:val="0"/>
              <w:spacing w:before="0" w:after="283"/>
              <w:jc w:val="left"/>
              <w:rPr/>
            </w:pPr>
            <w:r>
              <w:rPr/>
              <w:t>Counterparts</w:t>
            </w:r>
          </w:p>
        </w:tc>
        <w:tc>
          <w:tcPr>
            <w:tcW w:w="275" w:type="dxa"/>
            <w:tcBorders/>
            <w:vAlign w:val="center"/>
          </w:tcPr>
          <w:p>
            <w:pPr>
              <w:pStyle w:val="TableContents"/>
              <w:bidi w:val="0"/>
              <w:spacing w:before="0" w:after="283"/>
              <w:ind w:left="0" w:right="0" w:hanging="1440"/>
              <w:jc w:val="right"/>
              <w:rPr/>
            </w:pPr>
            <w:r>
              <w:rPr/>
              <w:t>44</w:t>
            </w:r>
          </w:p>
        </w:tc>
      </w:tr>
      <w:tr>
        <w:trPr/>
        <w:tc>
          <w:tcPr>
            <w:tcW w:w="1400" w:type="dxa"/>
            <w:tcBorders/>
            <w:vAlign w:val="center"/>
          </w:tcPr>
          <w:p>
            <w:pPr>
              <w:pStyle w:val="TableContents"/>
              <w:bidi w:val="0"/>
              <w:spacing w:before="0" w:after="283"/>
              <w:jc w:val="left"/>
              <w:rPr/>
            </w:pPr>
            <w:r>
              <w:rPr/>
              <w:t>Section 10.9 </w:t>
            </w:r>
          </w:p>
        </w:tc>
        <w:tc>
          <w:tcPr>
            <w:tcW w:w="7130" w:type="dxa"/>
            <w:tcBorders/>
            <w:vAlign w:val="center"/>
          </w:tcPr>
          <w:p>
            <w:pPr>
              <w:pStyle w:val="TableContents"/>
              <w:bidi w:val="0"/>
              <w:spacing w:before="0" w:after="283"/>
              <w:jc w:val="left"/>
              <w:rPr/>
            </w:pPr>
            <w:r>
              <w:rPr/>
              <w:t>Governing Laws</w:t>
            </w:r>
          </w:p>
        </w:tc>
        <w:tc>
          <w:tcPr>
            <w:tcW w:w="275" w:type="dxa"/>
            <w:tcBorders/>
            <w:vAlign w:val="center"/>
          </w:tcPr>
          <w:p>
            <w:pPr>
              <w:pStyle w:val="TableContents"/>
              <w:bidi w:val="0"/>
              <w:spacing w:before="0" w:after="283"/>
              <w:ind w:left="0" w:right="0" w:hanging="1440"/>
              <w:jc w:val="right"/>
              <w:rPr/>
            </w:pPr>
            <w:r>
              <w:rPr/>
              <w:t>45</w:t>
            </w:r>
          </w:p>
        </w:tc>
      </w:tr>
      <w:tr>
        <w:trPr/>
        <w:tc>
          <w:tcPr>
            <w:tcW w:w="1400" w:type="dxa"/>
            <w:tcBorders/>
            <w:vAlign w:val="center"/>
          </w:tcPr>
          <w:p>
            <w:pPr>
              <w:pStyle w:val="TableContents"/>
              <w:bidi w:val="0"/>
              <w:spacing w:before="0" w:after="283"/>
              <w:jc w:val="left"/>
              <w:rPr/>
            </w:pPr>
            <w:r>
              <w:rPr/>
              <w:t>Section 10.10 </w:t>
            </w:r>
          </w:p>
        </w:tc>
        <w:tc>
          <w:tcPr>
            <w:tcW w:w="7130" w:type="dxa"/>
            <w:tcBorders/>
            <w:vAlign w:val="center"/>
          </w:tcPr>
          <w:p>
            <w:pPr>
              <w:pStyle w:val="TableContents"/>
              <w:bidi w:val="0"/>
              <w:spacing w:before="0" w:after="283"/>
              <w:jc w:val="left"/>
              <w:rPr/>
            </w:pPr>
            <w:r>
              <w:rPr/>
              <w:t>No Adverse Interpretation of Other Agreements</w:t>
            </w:r>
          </w:p>
        </w:tc>
        <w:tc>
          <w:tcPr>
            <w:tcW w:w="275" w:type="dxa"/>
            <w:tcBorders/>
            <w:vAlign w:val="center"/>
          </w:tcPr>
          <w:p>
            <w:pPr>
              <w:pStyle w:val="TableContents"/>
              <w:bidi w:val="0"/>
              <w:spacing w:before="0" w:after="283"/>
              <w:ind w:left="0" w:right="0" w:hanging="1440"/>
              <w:jc w:val="right"/>
              <w:rPr/>
            </w:pPr>
            <w:r>
              <w:rPr/>
              <w:t>45</w:t>
            </w:r>
          </w:p>
        </w:tc>
      </w:tr>
      <w:tr>
        <w:trPr/>
        <w:tc>
          <w:tcPr>
            <w:tcW w:w="1400" w:type="dxa"/>
            <w:tcBorders/>
            <w:vAlign w:val="center"/>
          </w:tcPr>
          <w:p>
            <w:pPr>
              <w:pStyle w:val="TableContents"/>
              <w:bidi w:val="0"/>
              <w:spacing w:before="0" w:after="283"/>
              <w:jc w:val="left"/>
              <w:rPr/>
            </w:pPr>
            <w:r>
              <w:rPr/>
              <w:t>Section 10.11 </w:t>
            </w:r>
          </w:p>
        </w:tc>
        <w:tc>
          <w:tcPr>
            <w:tcW w:w="7130" w:type="dxa"/>
            <w:tcBorders/>
            <w:vAlign w:val="center"/>
          </w:tcPr>
          <w:p>
            <w:pPr>
              <w:pStyle w:val="TableContents"/>
              <w:bidi w:val="0"/>
              <w:spacing w:before="0" w:after="283"/>
              <w:jc w:val="left"/>
              <w:rPr/>
            </w:pPr>
            <w:r>
              <w:rPr/>
              <w:t>Successors</w:t>
            </w:r>
          </w:p>
        </w:tc>
        <w:tc>
          <w:tcPr>
            <w:tcW w:w="275" w:type="dxa"/>
            <w:tcBorders/>
            <w:vAlign w:val="center"/>
          </w:tcPr>
          <w:p>
            <w:pPr>
              <w:pStyle w:val="TableContents"/>
              <w:bidi w:val="0"/>
              <w:spacing w:before="0" w:after="283"/>
              <w:ind w:left="0" w:right="0" w:hanging="1440"/>
              <w:jc w:val="right"/>
              <w:rPr/>
            </w:pPr>
            <w:r>
              <w:rPr/>
              <w:t>45</w:t>
            </w:r>
          </w:p>
        </w:tc>
      </w:tr>
      <w:tr>
        <w:trPr/>
        <w:tc>
          <w:tcPr>
            <w:tcW w:w="1400" w:type="dxa"/>
            <w:tcBorders/>
            <w:vAlign w:val="center"/>
          </w:tcPr>
          <w:p>
            <w:pPr>
              <w:pStyle w:val="TableContents"/>
              <w:bidi w:val="0"/>
              <w:spacing w:before="0" w:after="283"/>
              <w:jc w:val="left"/>
              <w:rPr/>
            </w:pPr>
            <w:r>
              <w:rPr/>
              <w:t>Section 10.12 </w:t>
            </w:r>
          </w:p>
        </w:tc>
        <w:tc>
          <w:tcPr>
            <w:tcW w:w="7130" w:type="dxa"/>
            <w:tcBorders/>
            <w:vAlign w:val="center"/>
          </w:tcPr>
          <w:p>
            <w:pPr>
              <w:pStyle w:val="TableContents"/>
              <w:bidi w:val="0"/>
              <w:spacing w:before="0" w:after="283"/>
              <w:jc w:val="left"/>
              <w:rPr/>
            </w:pPr>
            <w:r>
              <w:rPr/>
              <w:t>Severability</w:t>
            </w:r>
          </w:p>
        </w:tc>
        <w:tc>
          <w:tcPr>
            <w:tcW w:w="275" w:type="dxa"/>
            <w:tcBorders/>
            <w:vAlign w:val="center"/>
          </w:tcPr>
          <w:p>
            <w:pPr>
              <w:pStyle w:val="TableContents"/>
              <w:bidi w:val="0"/>
              <w:spacing w:before="0" w:after="283"/>
              <w:ind w:left="0" w:right="0" w:hanging="1440"/>
              <w:jc w:val="right"/>
              <w:rPr/>
            </w:pPr>
            <w:r>
              <w:rPr/>
              <w:t>45</w:t>
            </w:r>
          </w:p>
        </w:tc>
      </w:tr>
      <w:tr>
        <w:trPr/>
        <w:tc>
          <w:tcPr>
            <w:tcW w:w="1400" w:type="dxa"/>
            <w:tcBorders/>
            <w:vAlign w:val="center"/>
          </w:tcPr>
          <w:p>
            <w:pPr>
              <w:pStyle w:val="TableContents"/>
              <w:bidi w:val="0"/>
              <w:spacing w:before="0" w:after="283"/>
              <w:jc w:val="left"/>
              <w:rPr/>
            </w:pPr>
            <w:r>
              <w:rPr/>
              <w:t>Section 10.13 </w:t>
            </w:r>
          </w:p>
        </w:tc>
        <w:tc>
          <w:tcPr>
            <w:tcW w:w="7130" w:type="dxa"/>
            <w:tcBorders/>
            <w:vAlign w:val="center"/>
          </w:tcPr>
          <w:p>
            <w:pPr>
              <w:pStyle w:val="TableContents"/>
              <w:bidi w:val="0"/>
              <w:spacing w:before="0" w:after="283"/>
              <w:jc w:val="left"/>
              <w:rPr/>
            </w:pPr>
            <w:r>
              <w:rPr/>
              <w:t>Table of Contents, Headings, Etc</w:t>
            </w:r>
          </w:p>
        </w:tc>
        <w:tc>
          <w:tcPr>
            <w:tcW w:w="275" w:type="dxa"/>
            <w:tcBorders/>
            <w:vAlign w:val="center"/>
          </w:tcPr>
          <w:p>
            <w:pPr>
              <w:pStyle w:val="TableContents"/>
              <w:bidi w:val="0"/>
              <w:spacing w:before="0" w:after="283"/>
              <w:ind w:left="0" w:right="0" w:hanging="1440"/>
              <w:jc w:val="right"/>
              <w:rPr/>
            </w:pPr>
            <w:r>
              <w:rPr/>
              <w:t>45</w:t>
            </w:r>
          </w:p>
        </w:tc>
      </w:tr>
      <w:tr>
        <w:trPr/>
        <w:tc>
          <w:tcPr>
            <w:tcW w:w="1400" w:type="dxa"/>
            <w:tcBorders/>
            <w:vAlign w:val="center"/>
          </w:tcPr>
          <w:p>
            <w:pPr>
              <w:pStyle w:val="TableContents"/>
              <w:bidi w:val="0"/>
              <w:spacing w:before="0" w:after="283"/>
              <w:jc w:val="left"/>
              <w:rPr/>
            </w:pPr>
            <w:r>
              <w:rPr/>
              <w:t>Section 10.14 </w:t>
            </w:r>
          </w:p>
        </w:tc>
        <w:tc>
          <w:tcPr>
            <w:tcW w:w="7130" w:type="dxa"/>
            <w:tcBorders/>
            <w:vAlign w:val="center"/>
          </w:tcPr>
          <w:p>
            <w:pPr>
              <w:pStyle w:val="TableContents"/>
              <w:bidi w:val="0"/>
              <w:spacing w:before="0" w:after="283"/>
              <w:jc w:val="left"/>
              <w:rPr/>
            </w:pPr>
            <w:r>
              <w:rPr/>
              <w:t>Judgment Currency</w:t>
            </w:r>
          </w:p>
        </w:tc>
        <w:tc>
          <w:tcPr>
            <w:tcW w:w="275" w:type="dxa"/>
            <w:tcBorders/>
            <w:vAlign w:val="center"/>
          </w:tcPr>
          <w:p>
            <w:pPr>
              <w:pStyle w:val="TableContents"/>
              <w:bidi w:val="0"/>
              <w:spacing w:before="0" w:after="283"/>
              <w:ind w:left="0" w:right="0" w:hanging="1440"/>
              <w:jc w:val="right"/>
              <w:rPr/>
            </w:pPr>
            <w:r>
              <w:rPr/>
              <w:t>45</w:t>
            </w:r>
          </w:p>
        </w:tc>
      </w:tr>
      <w:tr>
        <w:trPr/>
        <w:tc>
          <w:tcPr>
            <w:tcW w:w="1400" w:type="dxa"/>
            <w:tcBorders/>
            <w:vAlign w:val="center"/>
          </w:tcPr>
          <w:p>
            <w:pPr>
              <w:pStyle w:val="TableContents"/>
              <w:bidi w:val="0"/>
              <w:spacing w:before="0" w:after="283"/>
              <w:jc w:val="left"/>
              <w:rPr/>
            </w:pPr>
            <w:r>
              <w:rPr/>
              <w:t>Section 10.15 </w:t>
            </w:r>
          </w:p>
        </w:tc>
        <w:tc>
          <w:tcPr>
            <w:tcW w:w="7130" w:type="dxa"/>
            <w:tcBorders/>
            <w:vAlign w:val="center"/>
          </w:tcPr>
          <w:p>
            <w:pPr>
              <w:pStyle w:val="TableContents"/>
              <w:bidi w:val="0"/>
              <w:spacing w:before="0" w:after="283"/>
              <w:jc w:val="left"/>
              <w:rPr/>
            </w:pPr>
            <w:r>
              <w:rPr/>
              <w:t>English Language</w:t>
            </w:r>
          </w:p>
        </w:tc>
        <w:tc>
          <w:tcPr>
            <w:tcW w:w="275" w:type="dxa"/>
            <w:tcBorders/>
            <w:vAlign w:val="center"/>
          </w:tcPr>
          <w:p>
            <w:pPr>
              <w:pStyle w:val="TableContents"/>
              <w:bidi w:val="0"/>
              <w:spacing w:before="0" w:after="283"/>
              <w:ind w:left="0" w:right="0" w:hanging="1440"/>
              <w:jc w:val="right"/>
              <w:rPr/>
            </w:pPr>
            <w:r>
              <w:rPr/>
              <w:t>46</w:t>
            </w:r>
          </w:p>
        </w:tc>
      </w:tr>
      <w:tr>
        <w:trPr/>
        <w:tc>
          <w:tcPr>
            <w:tcW w:w="1400" w:type="dxa"/>
            <w:tcBorders/>
            <w:vAlign w:val="center"/>
          </w:tcPr>
          <w:p>
            <w:pPr>
              <w:pStyle w:val="TableContents"/>
              <w:bidi w:val="0"/>
              <w:spacing w:before="0" w:after="283"/>
              <w:jc w:val="left"/>
              <w:rPr/>
            </w:pPr>
            <w:r>
              <w:rPr/>
              <w:t>Section 10.16 </w:t>
            </w:r>
          </w:p>
        </w:tc>
        <w:tc>
          <w:tcPr>
            <w:tcW w:w="7130" w:type="dxa"/>
            <w:tcBorders/>
            <w:vAlign w:val="center"/>
          </w:tcPr>
          <w:p>
            <w:pPr>
              <w:pStyle w:val="TableContents"/>
              <w:bidi w:val="0"/>
              <w:spacing w:before="0" w:after="283"/>
              <w:jc w:val="left"/>
              <w:rPr/>
            </w:pPr>
            <w:r>
              <w:rPr/>
              <w:t>Submission to Jurisdiction</w:t>
            </w:r>
          </w:p>
        </w:tc>
        <w:tc>
          <w:tcPr>
            <w:tcW w:w="275" w:type="dxa"/>
            <w:tcBorders/>
            <w:vAlign w:val="center"/>
          </w:tcPr>
          <w:p>
            <w:pPr>
              <w:pStyle w:val="TableContents"/>
              <w:bidi w:val="0"/>
              <w:spacing w:before="0" w:after="283"/>
              <w:ind w:left="0" w:right="0" w:hanging="1440"/>
              <w:jc w:val="right"/>
              <w:rPr/>
            </w:pPr>
            <w:r>
              <w:rPr/>
              <w:t>46</w:t>
            </w:r>
          </w:p>
        </w:tc>
      </w:tr>
      <w:tr>
        <w:trPr/>
        <w:tc>
          <w:tcPr>
            <w:tcW w:w="1400" w:type="dxa"/>
            <w:tcBorders/>
            <w:vAlign w:val="center"/>
          </w:tcPr>
          <w:p>
            <w:pPr>
              <w:pStyle w:val="TableContents"/>
              <w:bidi w:val="0"/>
              <w:spacing w:before="0" w:after="283"/>
              <w:jc w:val="left"/>
              <w:rPr/>
            </w:pPr>
            <w:r>
              <w:rPr/>
              <w:t>Section 10.17 </w:t>
            </w:r>
          </w:p>
        </w:tc>
        <w:tc>
          <w:tcPr>
            <w:tcW w:w="7130" w:type="dxa"/>
            <w:tcBorders/>
            <w:vAlign w:val="center"/>
          </w:tcPr>
          <w:p>
            <w:pPr>
              <w:pStyle w:val="TableContents"/>
              <w:bidi w:val="0"/>
              <w:spacing w:before="0" w:after="283"/>
              <w:jc w:val="left"/>
              <w:rPr/>
            </w:pPr>
            <w:r>
              <w:rPr/>
              <w:t>Waiver of Immunity</w:t>
            </w:r>
          </w:p>
        </w:tc>
        <w:tc>
          <w:tcPr>
            <w:tcW w:w="275" w:type="dxa"/>
            <w:tcBorders/>
            <w:vAlign w:val="center"/>
          </w:tcPr>
          <w:p>
            <w:pPr>
              <w:pStyle w:val="TableContents"/>
              <w:bidi w:val="0"/>
              <w:spacing w:before="0" w:after="283"/>
              <w:ind w:left="0" w:right="0" w:hanging="1440"/>
              <w:jc w:val="right"/>
              <w:rPr/>
            </w:pPr>
            <w:r>
              <w:rPr/>
              <w:t>46</w:t>
            </w:r>
          </w:p>
        </w:tc>
      </w:tr>
      <w:tr>
        <w:trPr/>
        <w:tc>
          <w:tcPr>
            <w:tcW w:w="1400" w:type="dxa"/>
            <w:tcBorders/>
            <w:vAlign w:val="center"/>
          </w:tcPr>
          <w:p>
            <w:pPr>
              <w:pStyle w:val="TableContents"/>
              <w:bidi w:val="0"/>
              <w:spacing w:before="0" w:after="283"/>
              <w:jc w:val="left"/>
              <w:rPr/>
            </w:pPr>
            <w:r>
              <w:rPr/>
              <w:t>Section 10.18 </w:t>
            </w:r>
          </w:p>
        </w:tc>
        <w:tc>
          <w:tcPr>
            <w:tcW w:w="7130" w:type="dxa"/>
            <w:tcBorders/>
            <w:vAlign w:val="center"/>
          </w:tcPr>
          <w:p>
            <w:pPr>
              <w:pStyle w:val="TableContents"/>
              <w:bidi w:val="0"/>
              <w:spacing w:before="0" w:after="283"/>
              <w:jc w:val="left"/>
              <w:rPr/>
            </w:pPr>
            <w:r>
              <w:rPr/>
              <w:t>Waiver of Jury Trial</w:t>
            </w:r>
          </w:p>
        </w:tc>
        <w:tc>
          <w:tcPr>
            <w:tcW w:w="275" w:type="dxa"/>
            <w:tcBorders/>
            <w:vAlign w:val="center"/>
          </w:tcPr>
          <w:p>
            <w:pPr>
              <w:pStyle w:val="TableContents"/>
              <w:bidi w:val="0"/>
              <w:spacing w:before="0" w:after="283"/>
              <w:ind w:left="0" w:right="0" w:hanging="1440"/>
              <w:jc w:val="right"/>
              <w:rPr/>
            </w:pPr>
            <w:r>
              <w:rPr/>
              <w:t>47</w:t>
            </w:r>
          </w:p>
        </w:tc>
      </w:tr>
      <w:tr>
        <w:trPr/>
        <w:tc>
          <w:tcPr>
            <w:tcW w:w="1400" w:type="dxa"/>
            <w:tcBorders/>
            <w:vAlign w:val="center"/>
          </w:tcPr>
          <w:p>
            <w:pPr>
              <w:pStyle w:val="TableContents"/>
              <w:bidi w:val="0"/>
              <w:spacing w:before="0" w:after="283"/>
              <w:jc w:val="left"/>
              <w:rPr/>
            </w:pPr>
            <w:r>
              <w:rPr/>
              <w:t>Section 10.19 </w:t>
            </w:r>
          </w:p>
        </w:tc>
        <w:tc>
          <w:tcPr>
            <w:tcW w:w="7130" w:type="dxa"/>
            <w:tcBorders/>
            <w:vAlign w:val="center"/>
          </w:tcPr>
          <w:p>
            <w:pPr>
              <w:pStyle w:val="TableContents"/>
              <w:bidi w:val="0"/>
              <w:spacing w:before="0" w:after="283"/>
              <w:jc w:val="left"/>
              <w:rPr/>
            </w:pPr>
            <w:r>
              <w:rPr/>
              <w:t>USA Patriot Act</w:t>
            </w:r>
          </w:p>
        </w:tc>
        <w:tc>
          <w:tcPr>
            <w:tcW w:w="275" w:type="dxa"/>
            <w:tcBorders/>
            <w:vAlign w:val="center"/>
          </w:tcPr>
          <w:p>
            <w:pPr>
              <w:pStyle w:val="TableContents"/>
              <w:bidi w:val="0"/>
              <w:spacing w:before="0" w:after="283"/>
              <w:jc w:val="right"/>
              <w:rPr/>
            </w:pPr>
            <w:r>
              <w:rPr/>
              <w:t>47</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-iii-</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   ], 20[   ] between Westinghouse Air Brake Technologies Corporation, a Delaware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and U.S. Bank Trust Company, National Association, a national banking association, as trustee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as follows for the benefit of the other party and for the equal and ratable benefit of the Holders (as defined below) of the Securities (as defined below) issued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br/>
        <w:t>DEFINITIONS AND INCORPORATION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Agent</w:t>
      </w:r>
      <w:r>
        <w:rPr>
          <w:rFonts w:ascii="Times New Roman;Times;Serif" w:hAnsi="Times New Roman;Times;Serif"/>
          <w:b w:val="false"/>
          <w:i w:val="false"/>
          <w:caps w:val="false"/>
          <w:smallCaps w:val="false"/>
          <w:sz w:val="20"/>
        </w:rPr>
        <w:t>” means any Registrar, Paying Agent or Transfer Agent or any other agent appointed pursuant to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any duly authorized committee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adopted by the Board of Directors or pursuant to authorization by the Board of Directors and to be in full force and effect on the date of the certification and delivered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any day except a Saturday, Sunday or a Legal Holiday in the City of New York on which banking institutions or the Corporate Trust Office are authorized or required by law, regulation or executive order to be closed.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of any Person means any and all shares, interests, participations or other equivalents (however designated) in the equity of such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Certificated Securities</w:t>
      </w:r>
      <w:r>
        <w:rPr>
          <w:rFonts w:ascii="Times New Roman;Times;Serif" w:hAnsi="Times New Roman;Times;Serif"/>
          <w:b w:val="false"/>
          <w:i w:val="false"/>
          <w:caps w:val="false"/>
          <w:smallCaps w:val="false"/>
          <w:sz w:val="20"/>
        </w:rPr>
        <w:t>” means definitive Securities in registered non-global certificated form.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means the United States Internal Revenue Code of 1986,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means the Person named as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in the first paragraph of this instrument until a successor Person shall have become such pursuant to the applicable provisions of this Indenture, and thereafter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shall mean such successor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Company Order</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Company Request</w:t>
      </w:r>
      <w:r>
        <w:rPr>
          <w:rFonts w:ascii="Times New Roman;Times;Serif" w:hAnsi="Times New Roman;Times;Serif"/>
          <w:b w:val="false"/>
          <w:i w:val="false"/>
          <w:caps w:val="false"/>
          <w:smallCaps w:val="false"/>
          <w:sz w:val="20"/>
        </w:rPr>
        <w:t>” means a written order signed in the name of the Company by one of the Company’s Officers.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at any particular time its corporate trust business shall be principally administered, which, as of the date hereof is the address set forth in Section 10.1.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means any event which is, or after notice or passage of time or both would be, an Event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w:t>
      </w:r>
      <w:r>
        <w:rPr>
          <w:rFonts w:ascii="Times New Roman;Times;Serif" w:hAnsi="Times New Roman;Times;Serif"/>
          <w:b w:val="false"/>
          <w:i/>
          <w:caps w:val="false"/>
          <w:smallCaps w:val="false"/>
          <w:sz w:val="20"/>
        </w:rPr>
        <w:t>Depositary</w:t>
      </w:r>
      <w:r>
        <w:rPr>
          <w:rFonts w:ascii="Times New Roman;Times;Serif" w:hAnsi="Times New Roman;Times;Serif"/>
          <w:b w:val="false"/>
          <w:i w:val="false"/>
          <w:caps w:val="false"/>
          <w:smallCaps w:val="false"/>
          <w:sz w:val="20"/>
        </w:rPr>
        <w:t>” as used with respect to the Securities of any Series shall mean the Depositary with respect to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Discount Security</w:t>
      </w:r>
      <w:r>
        <w:rPr>
          <w:rFonts w:ascii="Times New Roman;Times;Serif" w:hAnsi="Times New Roman;Times;Serif"/>
          <w:b w:val="false"/>
          <w:i w:val="false"/>
          <w:caps w:val="false"/>
          <w:smallCaps w:val="false"/>
          <w:sz w:val="20"/>
        </w:rPr>
        <w:t>” means any Security that provides for an amount less than the stated principal amount thereof to be due and payable upon declaration of acceleration of the maturity thereof pursuant to Section 6.2.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Dollars</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means the currency of the United States of America.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means accounting principles generally accepted in the United States of America, which are in effect as of the date of application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Global Security</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Global Securities</w:t>
      </w:r>
      <w:r>
        <w:rPr>
          <w:rFonts w:ascii="Times New Roman;Times;Serif" w:hAnsi="Times New Roman;Times;Serif"/>
          <w:b w:val="false"/>
          <w:i w:val="false"/>
          <w:caps w:val="false"/>
          <w:smallCaps w:val="false"/>
          <w:sz w:val="20"/>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Government Obligations</w:t>
      </w:r>
      <w:r>
        <w:rPr>
          <w:rFonts w:ascii="Times New Roman;Times;Serif" w:hAnsi="Times New Roman;Times;Serif"/>
          <w:b w:val="false"/>
          <w:i w:val="false"/>
          <w:caps w:val="false"/>
          <w:smallCaps w:val="false"/>
          <w:sz w:val="20"/>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with respect to the Government Obligation evidenced by such depository receipt.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Securityholder</w:t>
      </w:r>
      <w:r>
        <w:rPr>
          <w:rFonts w:ascii="Times New Roman;Times;Serif" w:hAnsi="Times New Roman;Times;Serif"/>
          <w:b w:val="false"/>
          <w:i w:val="false"/>
          <w:caps w:val="false"/>
          <w:smallCaps w:val="false"/>
          <w:sz w:val="20"/>
        </w:rPr>
        <w:t>” means a Person in whose name a Security is registered in the register maintained by the Registrar.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means this Indenture as amended or supplemented from time to time and shall include the form and terms of each Series of Securities established as contemplated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Issue Date</w:t>
      </w:r>
      <w:r>
        <w:rPr>
          <w:rFonts w:ascii="Times New Roman;Times;Serif" w:hAnsi="Times New Roman;Times;Serif"/>
          <w:b w:val="false"/>
          <w:i w:val="false"/>
          <w:caps w:val="false"/>
          <w:smallCaps w:val="false"/>
          <w:sz w:val="20"/>
        </w:rPr>
        <w:t>” means, with respect to any Security, the date of original issuance of such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Maturity</w:t>
      </w:r>
      <w:r>
        <w:rPr>
          <w:rFonts w:ascii="Times New Roman;Times;Serif" w:hAnsi="Times New Roman;Times;Serif"/>
          <w:b w:val="false"/>
          <w:i w:val="false"/>
          <w:caps w:val="false"/>
          <w:smallCaps w:val="false"/>
          <w:sz w:val="20"/>
        </w:rPr>
        <w:t>” means, when used with respect to any Security, the date on which the principal of such Security becomes due and payable as therein or herein provided, whether at the Stated Maturity or by declaration of acceleration, call for redemption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Officer</w:t>
      </w:r>
      <w:r>
        <w:rPr>
          <w:rFonts w:ascii="Times New Roman;Times;Serif" w:hAnsi="Times New Roman;Times;Serif"/>
          <w:b w:val="false"/>
          <w:i w:val="false"/>
          <w:caps w:val="false"/>
          <w:smallCaps w:val="false"/>
          <w:sz w:val="20"/>
        </w:rPr>
        <w:t>” means the Chairman of the Board of Directors, the Chief Executive Officer, the President, any Vice-President, the Chief Operating Officer, the Chief Financial Officer, the Treasurer, the Secretary, the Controller, any Assistant Treasurer, any Assistant Secretary, or any Assistant Controller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means a certificate signed by (1) the Chairman of the Board of Directors, the Chief Executive Officer, the President, any Vice-President, the Chief Financial Officer or the Chief Operating Officer, and (2) the Treasurer, an Assistant Treasurer, the Controller, an Assistant Controller, the Secretary or an Assistant Secretary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Opinion of Counsel</w:t>
      </w:r>
      <w:r>
        <w:rPr>
          <w:rFonts w:ascii="Times New Roman;Times;Serif" w:hAnsi="Times New Roman;Times;Serif"/>
          <w:b w:val="false"/>
          <w:i w:val="false"/>
          <w:caps w:val="false"/>
          <w:smallCaps w:val="false"/>
          <w:sz w:val="20"/>
        </w:rPr>
        <w:t>” means a written opinion of legal counsel that is acceptable to the Trustee. The counsel may be a direct or indirect employee of or counsel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Periodic Offering</w:t>
      </w:r>
      <w:r>
        <w:rPr>
          <w:rFonts w:ascii="Times New Roman;Times;Serif" w:hAnsi="Times New Roman;Times;Serif"/>
          <w:b w:val="false"/>
          <w:i w:val="false"/>
          <w:caps w:val="false"/>
          <w:smallCaps w:val="false"/>
          <w:sz w:val="20"/>
        </w:rPr>
        <w:t>” means an offering of the Securities of a Series from time to time, during which any or all of the specific terms of the Securities, including the rate or rates of interest, if any, thereon, the maturity or maturities thereof and the redemption provisions, if any, with respect thereto, are to be determined by the Company or its agents upon the issuance of such Securities in accordance with the terms of the relevant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association, limited liability company, joint-stock company, trust, unincorporated organization or any other entity, including any government or any agency or political subdivision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Principal</w:t>
      </w:r>
      <w:r>
        <w:rPr>
          <w:rFonts w:ascii="Times New Roman;Times;Serif" w:hAnsi="Times New Roman;Times;Serif"/>
          <w:b w:val="false"/>
          <w:i w:val="false"/>
          <w:caps w:val="false"/>
          <w:smallCaps w:val="false"/>
          <w:sz w:val="20"/>
        </w:rPr>
        <w:t>” of a Security means the principal of the Security plus, when appropriate, the premium, if any, on the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Responsible Officer</w:t>
      </w:r>
      <w:r>
        <w:rPr>
          <w:rFonts w:ascii="Times New Roman;Times;Serif" w:hAnsi="Times New Roman;Times;Serif"/>
          <w:b w:val="false"/>
          <w:i w:val="false"/>
          <w:caps w:val="false"/>
          <w:smallCaps w:val="false"/>
          <w:sz w:val="20"/>
        </w:rPr>
        <w:t>” shall mean,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Restricted Security</w:t>
      </w:r>
      <w:r>
        <w:rPr>
          <w:rFonts w:ascii="Times New Roman;Times;Serif" w:hAnsi="Times New Roman;Times;Serif"/>
          <w:b w:val="false"/>
          <w:i w:val="false"/>
          <w:caps w:val="false"/>
          <w:smallCaps w:val="false"/>
          <w:sz w:val="20"/>
        </w:rPr>
        <w:t>” means, with respect to any Series of Securities, a Security of such Series, unless or until it has been (i) disposed of in a transaction registered under the Securities Act pursuant to a registration statement with respect to such Series or (ii) distributed to the public pursuant to Rule 144 under the Securities Act or any similar provision then in force.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Securities</w:t>
      </w:r>
      <w:r>
        <w:rPr>
          <w:rFonts w:ascii="Times New Roman;Times;Serif" w:hAnsi="Times New Roman;Times;Serif"/>
          <w:b w:val="false"/>
          <w:i w:val="false"/>
          <w:caps w:val="false"/>
          <w:smallCaps w:val="false"/>
          <w:sz w:val="20"/>
        </w:rPr>
        <w:t>” means the debentures, notes or other debt instruments of the Company of any Series authenticated and delivered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Series</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Series of Securities</w:t>
      </w:r>
      <w:r>
        <w:rPr>
          <w:rFonts w:ascii="Times New Roman;Times;Serif" w:hAnsi="Times New Roman;Times;Serif"/>
          <w:b w:val="false"/>
          <w:i w:val="false"/>
          <w:caps w:val="false"/>
          <w:smallCaps w:val="false"/>
          <w:sz w:val="20"/>
        </w:rPr>
        <w:t>” means each series of Securities of the Company created pursuant to Sections 2.1 and 2.2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Stated Maturity</w:t>
      </w:r>
      <w:r>
        <w:rPr>
          <w:rFonts w:ascii="Times New Roman;Times;Serif" w:hAnsi="Times New Roman;Times;Serif"/>
          <w:b w:val="false"/>
          <w:i w:val="false"/>
          <w:caps w:val="false"/>
          <w:smallCaps w:val="false"/>
          <w:sz w:val="20"/>
        </w:rPr>
        <w:t>” when used with respect to any Security, means the date specified in such Security as the fixed date on which the principal of such Security is due and payable.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Subsidiary</w:t>
      </w:r>
      <w:r>
        <w:rPr>
          <w:rFonts w:ascii="Times New Roman;Times;Serif" w:hAnsi="Times New Roman;Times;Serif"/>
          <w:b w:val="false"/>
          <w:i w:val="false"/>
          <w:caps w:val="false"/>
          <w:smallCaps w:val="false"/>
          <w:sz w:val="20"/>
        </w:rPr>
        <w:t>” of any specified Person means any corporation, partnership, limited liability company or other entity of which more than 50% of the total voting power of outstanding shares of Capital Stock entitled (without regard to the occurrence of any contingency) to vote in the election of directors, managers or trustees thereof (or Persons performing similar functions) is at the time owned (and, in the case of a partnership, more than 50% of whose total general partnership interests then outstanding is at the time owned), directly or indirectly, by such Person or other Subsidiaries of such Person or a combination thereof and, in the case of an entity other than a corporation or a partnership, such Person has the power to direct, directly or indirectly, the policies, management and affairs of such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Trust Indenture Act</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TIA</w:t>
      </w:r>
      <w:r>
        <w:rPr>
          <w:rFonts w:ascii="Times New Roman;Times;Serif" w:hAnsi="Times New Roman;Times;Serif"/>
          <w:b w:val="false"/>
          <w:i w:val="false"/>
          <w:caps w:val="false"/>
          <w:smallCaps w:val="false"/>
          <w:sz w:val="20"/>
        </w:rPr>
        <w:t>” means the Trust Indenture Act of 1939, as amended, and any reference herein to the Trust Indenture Act or a particular provision thereof shall mean such Trust Indenture Act or provision, as the case may be, as amended or replaced from time to time or as supplemented from time to time by rules or regulations adopted by the SEC under or in furtherance of the purpose of such Trust Indenture Act or provision,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means the Person named as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in the first paragraph of this instrument until a successor Trustee shall have become such pursuant to the applicable provisions of this Indenture, and thereafter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shall mean or include each Person who is then a Trustee hereunder, and if at any time there is more than one such Person,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as used with respect to the Securities of any Series shall mean the Trustee with respect to Securities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Unrestricted Securities</w:t>
      </w:r>
      <w:r>
        <w:rPr>
          <w:rFonts w:ascii="Times New Roman;Times;Serif" w:hAnsi="Times New Roman;Times;Serif"/>
          <w:b w:val="false"/>
          <w:i w:val="false"/>
          <w:caps w:val="false"/>
          <w:smallCaps w:val="false"/>
          <w:sz w:val="20"/>
        </w:rPr>
        <w:t>” means, with respect to any Series of Securities, a Security (i) disposed of in a transaction registered under the Securities Act pursuant to a registration statement with respect to such Series or (ii) distributed to the public pursuant to Rule 144 under the Securities Act or any similar provision then in force.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Other 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585"/>
        <w:gridCol w:w="1460"/>
        <w:gridCol w:w="60"/>
      </w:tblGrid>
      <w:tr>
        <w:trPr/>
        <w:tc>
          <w:tcPr>
            <w:tcW w:w="2585" w:type="dxa"/>
            <w:tcBorders/>
            <w:vAlign w:val="center"/>
          </w:tcPr>
          <w:p>
            <w:pPr>
              <w:pStyle w:val="TableContents"/>
              <w:bidi w:val="0"/>
              <w:spacing w:before="0" w:after="283"/>
              <w:jc w:val="left"/>
              <w:rPr/>
            </w:pPr>
            <w:r>
              <w:rPr/>
              <w:br/>
            </w:r>
            <w:r>
              <w:rPr>
                <w:b/>
                <w:u w:val="single"/>
              </w:rPr>
              <w:t>TERM</w:t>
            </w:r>
          </w:p>
        </w:tc>
        <w:tc>
          <w:tcPr>
            <w:tcW w:w="1460" w:type="dxa"/>
            <w:tcBorders/>
            <w:vAlign w:val="center"/>
          </w:tcPr>
          <w:p>
            <w:pPr>
              <w:pStyle w:val="TableContents"/>
              <w:bidi w:val="0"/>
              <w:spacing w:before="0" w:after="283"/>
              <w:jc w:val="center"/>
              <w:rPr/>
            </w:pPr>
            <w:r>
              <w:rPr>
                <w:b/>
              </w:rPr>
              <w:t>DEFINED IN</w:t>
            </w:r>
            <w:r>
              <w:rPr/>
              <w:br/>
            </w:r>
            <w:r>
              <w:rPr>
                <w:b/>
                <w:u w:val="single"/>
              </w:rPr>
              <w:t>SECTION</w:t>
            </w:r>
          </w:p>
        </w:tc>
        <w:tc>
          <w:tcPr>
            <w:tcW w:w="60" w:type="dxa"/>
            <w:tcBorders/>
            <w:vAlign w:val="center"/>
          </w:tcPr>
          <w:p>
            <w:pPr>
              <w:pStyle w:val="TableContents"/>
              <w:bidi w:val="0"/>
              <w:spacing w:before="0" w:after="283"/>
              <w:jc w:val="center"/>
              <w:rPr/>
            </w:pPr>
            <w:r>
              <w:rPr/>
              <w:t> </w:t>
            </w:r>
          </w:p>
        </w:tc>
      </w:tr>
      <w:tr>
        <w:trPr/>
        <w:tc>
          <w:tcPr>
            <w:tcW w:w="258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w:t>
            </w:r>
            <w:r>
              <w:rPr/>
              <w:t>Bankruptcy Law”</w:t>
            </w:r>
          </w:p>
        </w:tc>
        <w:tc>
          <w:tcPr>
            <w:tcW w:w="1460" w:type="dxa"/>
            <w:tcBorders/>
            <w:vAlign w:val="center"/>
          </w:tcPr>
          <w:p>
            <w:pPr>
              <w:pStyle w:val="TableContents"/>
              <w:bidi w:val="0"/>
              <w:spacing w:before="0" w:after="283"/>
              <w:jc w:val="left"/>
              <w:rPr/>
            </w:pPr>
            <w:r>
              <w:rPr/>
              <w:t>6.1</w:t>
            </w:r>
          </w:p>
        </w:tc>
        <w:tc>
          <w:tcPr>
            <w:tcW w:w="6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w:t>
            </w:r>
            <w:r>
              <w:rPr/>
              <w:t>covenant defeasance”</w:t>
            </w:r>
          </w:p>
        </w:tc>
        <w:tc>
          <w:tcPr>
            <w:tcW w:w="1460" w:type="dxa"/>
            <w:tcBorders/>
            <w:vAlign w:val="center"/>
          </w:tcPr>
          <w:p>
            <w:pPr>
              <w:pStyle w:val="TableContents"/>
              <w:bidi w:val="0"/>
              <w:spacing w:before="0" w:after="283"/>
              <w:jc w:val="left"/>
              <w:rPr/>
            </w:pPr>
            <w:r>
              <w:rPr/>
              <w:t>8.1(b)</w:t>
            </w:r>
          </w:p>
        </w:tc>
        <w:tc>
          <w:tcPr>
            <w:tcW w:w="6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w:t>
            </w:r>
            <w:r>
              <w:rPr/>
              <w:t>Custodian”</w:t>
            </w:r>
          </w:p>
        </w:tc>
        <w:tc>
          <w:tcPr>
            <w:tcW w:w="1460" w:type="dxa"/>
            <w:tcBorders/>
            <w:vAlign w:val="center"/>
          </w:tcPr>
          <w:p>
            <w:pPr>
              <w:pStyle w:val="TableContents"/>
              <w:bidi w:val="0"/>
              <w:spacing w:before="0" w:after="283"/>
              <w:jc w:val="left"/>
              <w:rPr/>
            </w:pPr>
            <w:r>
              <w:rPr/>
              <w:t>6.1</w:t>
            </w:r>
          </w:p>
        </w:tc>
        <w:tc>
          <w:tcPr>
            <w:tcW w:w="6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w:t>
            </w:r>
            <w:r>
              <w:rPr/>
              <w:t>Events of Default”</w:t>
            </w:r>
          </w:p>
        </w:tc>
        <w:tc>
          <w:tcPr>
            <w:tcW w:w="1460" w:type="dxa"/>
            <w:tcBorders/>
            <w:vAlign w:val="center"/>
          </w:tcPr>
          <w:p>
            <w:pPr>
              <w:pStyle w:val="TableContents"/>
              <w:bidi w:val="0"/>
              <w:spacing w:before="0" w:after="283"/>
              <w:jc w:val="left"/>
              <w:rPr/>
            </w:pPr>
            <w:r>
              <w:rPr/>
              <w:t>6.1</w:t>
            </w:r>
          </w:p>
        </w:tc>
        <w:tc>
          <w:tcPr>
            <w:tcW w:w="6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w:t>
            </w:r>
            <w:r>
              <w:rPr/>
              <w:t>Judgment Currency”</w:t>
            </w:r>
          </w:p>
        </w:tc>
        <w:tc>
          <w:tcPr>
            <w:tcW w:w="1460" w:type="dxa"/>
            <w:tcBorders/>
            <w:vAlign w:val="center"/>
          </w:tcPr>
          <w:p>
            <w:pPr>
              <w:pStyle w:val="TableContents"/>
              <w:bidi w:val="0"/>
              <w:spacing w:before="0" w:after="283"/>
              <w:jc w:val="left"/>
              <w:rPr/>
            </w:pPr>
            <w:r>
              <w:rPr/>
              <w:t>10.14</w:t>
            </w:r>
          </w:p>
        </w:tc>
        <w:tc>
          <w:tcPr>
            <w:tcW w:w="6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w:t>
            </w:r>
            <w:r>
              <w:rPr/>
              <w:t>legal defeasance”</w:t>
            </w:r>
          </w:p>
        </w:tc>
        <w:tc>
          <w:tcPr>
            <w:tcW w:w="1460" w:type="dxa"/>
            <w:tcBorders/>
            <w:vAlign w:val="center"/>
          </w:tcPr>
          <w:p>
            <w:pPr>
              <w:pStyle w:val="TableContents"/>
              <w:bidi w:val="0"/>
              <w:spacing w:before="0" w:after="283"/>
              <w:jc w:val="left"/>
              <w:rPr/>
            </w:pPr>
            <w:r>
              <w:rPr/>
              <w:t>8.1(c)</w:t>
            </w:r>
          </w:p>
        </w:tc>
        <w:tc>
          <w:tcPr>
            <w:tcW w:w="6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w:t>
            </w:r>
            <w:r>
              <w:rPr/>
              <w:t>Legal Holiday”</w:t>
            </w:r>
          </w:p>
        </w:tc>
        <w:tc>
          <w:tcPr>
            <w:tcW w:w="1460" w:type="dxa"/>
            <w:tcBorders/>
            <w:vAlign w:val="center"/>
          </w:tcPr>
          <w:p>
            <w:pPr>
              <w:pStyle w:val="TableContents"/>
              <w:bidi w:val="0"/>
              <w:spacing w:before="0" w:after="283"/>
              <w:jc w:val="left"/>
              <w:rPr/>
            </w:pPr>
            <w:r>
              <w:rPr/>
              <w:t>10.6</w:t>
            </w:r>
          </w:p>
        </w:tc>
        <w:tc>
          <w:tcPr>
            <w:tcW w:w="6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w:t>
            </w:r>
            <w:r>
              <w:rPr/>
              <w:t>New York Banking Day”</w:t>
            </w:r>
          </w:p>
        </w:tc>
        <w:tc>
          <w:tcPr>
            <w:tcW w:w="1460" w:type="dxa"/>
            <w:tcBorders/>
            <w:vAlign w:val="center"/>
          </w:tcPr>
          <w:p>
            <w:pPr>
              <w:pStyle w:val="TableContents"/>
              <w:bidi w:val="0"/>
              <w:spacing w:before="0" w:after="283"/>
              <w:jc w:val="left"/>
              <w:rPr/>
            </w:pPr>
            <w:r>
              <w:rPr/>
              <w:t>10.14</w:t>
            </w:r>
          </w:p>
        </w:tc>
        <w:tc>
          <w:tcPr>
            <w:tcW w:w="6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w:t>
            </w:r>
            <w:r>
              <w:rPr/>
              <w:t>Paying Agent”</w:t>
            </w:r>
          </w:p>
        </w:tc>
        <w:tc>
          <w:tcPr>
            <w:tcW w:w="1460" w:type="dxa"/>
            <w:tcBorders/>
            <w:vAlign w:val="center"/>
          </w:tcPr>
          <w:p>
            <w:pPr>
              <w:pStyle w:val="TableContents"/>
              <w:bidi w:val="0"/>
              <w:spacing w:before="0" w:after="283"/>
              <w:jc w:val="left"/>
              <w:rPr/>
            </w:pPr>
            <w:r>
              <w:rPr/>
              <w:t>2.4</w:t>
            </w:r>
          </w:p>
        </w:tc>
        <w:tc>
          <w:tcPr>
            <w:tcW w:w="6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w:t>
            </w:r>
            <w:r>
              <w:rPr/>
              <w:t>Registrar”</w:t>
            </w:r>
          </w:p>
        </w:tc>
        <w:tc>
          <w:tcPr>
            <w:tcW w:w="1460" w:type="dxa"/>
            <w:tcBorders/>
            <w:vAlign w:val="center"/>
          </w:tcPr>
          <w:p>
            <w:pPr>
              <w:pStyle w:val="TableContents"/>
              <w:bidi w:val="0"/>
              <w:spacing w:before="0" w:after="283"/>
              <w:jc w:val="left"/>
              <w:rPr/>
            </w:pPr>
            <w:r>
              <w:rPr/>
              <w:t>2.4</w:t>
            </w:r>
          </w:p>
        </w:tc>
        <w:tc>
          <w:tcPr>
            <w:tcW w:w="6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w:t>
            </w:r>
            <w:r>
              <w:rPr/>
              <w:t>Related Proceeding”</w:t>
            </w:r>
          </w:p>
        </w:tc>
        <w:tc>
          <w:tcPr>
            <w:tcW w:w="1460" w:type="dxa"/>
            <w:tcBorders/>
            <w:vAlign w:val="center"/>
          </w:tcPr>
          <w:p>
            <w:pPr>
              <w:pStyle w:val="TableContents"/>
              <w:bidi w:val="0"/>
              <w:spacing w:before="0" w:after="283"/>
              <w:jc w:val="left"/>
              <w:rPr/>
            </w:pPr>
            <w:r>
              <w:rPr/>
              <w:t>10.16</w:t>
            </w:r>
          </w:p>
        </w:tc>
        <w:tc>
          <w:tcPr>
            <w:tcW w:w="6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w:t>
            </w:r>
            <w:r>
              <w:rPr/>
              <w:t>Required Currency”</w:t>
            </w:r>
          </w:p>
        </w:tc>
        <w:tc>
          <w:tcPr>
            <w:tcW w:w="1460" w:type="dxa"/>
            <w:tcBorders/>
            <w:vAlign w:val="center"/>
          </w:tcPr>
          <w:p>
            <w:pPr>
              <w:pStyle w:val="TableContents"/>
              <w:bidi w:val="0"/>
              <w:spacing w:before="0" w:after="283"/>
              <w:jc w:val="left"/>
              <w:rPr/>
            </w:pPr>
            <w:r>
              <w:rPr/>
              <w:t>10.14</w:t>
            </w:r>
          </w:p>
        </w:tc>
        <w:tc>
          <w:tcPr>
            <w:tcW w:w="6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w:t>
            </w:r>
            <w:r>
              <w:rPr/>
              <w:t>Transfer Agent”</w:t>
            </w:r>
          </w:p>
        </w:tc>
        <w:tc>
          <w:tcPr>
            <w:tcW w:w="1460" w:type="dxa"/>
            <w:tcBorders/>
            <w:vAlign w:val="center"/>
          </w:tcPr>
          <w:p>
            <w:pPr>
              <w:pStyle w:val="TableContents"/>
              <w:bidi w:val="0"/>
              <w:spacing w:before="0" w:after="283"/>
              <w:jc w:val="left"/>
              <w:rPr/>
            </w:pPr>
            <w:r>
              <w:rPr/>
              <w:t>2.4</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term has the meaning assigned to it;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accounting term not otherwise defined has the meaning assigned to it in accordance with GAAP;</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“or” is not exclusive and “including” means including without limitation;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words in the singular include the plural, and in the plural include the singular;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provisions apply to successive events and transactions.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Conflict with Trust Indenture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hereof limits, qualifies or conflicts with the duties imposed by any of §§ 310 through 317, inclusive, of the TIA through the operation of § 318(c) thereof, such imposed duties shall control.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br/>
        <w:t>THE SECURITIES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Issuable in Series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the Securities that may be authenticated and delivered under this Indenture is unlimited. The Securities may be issued in one or more Series. All Securities of a Series shall be identical except as may be set forth in, or pursuant to a Board Resolution, Officers’ Certificate or supplemental indenture establishing the terms of such Series of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Establishment of Terms of Series of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2.2.28) by or pursuant to a Board Resolution, Officers’ Certificate or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the title of the Series of Securities (which shall distinguish the Securities of that particular Series from the Securities of any other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any limit upon the aggregate principal amount of the Securities of the Series which may be authenticated and delivered under this Indenture (except for the Securities authenticated and delivered upon registration of transfer of, or in exchange for, or in lieu of, other Securities of the Series pursuant to Section 2.7, 2.8, 2.11, 3.6 or 9.6);</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 the date or dates on which the principal of and premium, if any, on the Securities of the Series is payable;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 the rate or rates, which may be fixed or variable, at which the Securities of the Series shall bear interest or the manner of calculation of such rate or rates, if any, including any procedures to vary or reset such rate or rates, and the basis upon which interest will be calculated if other than that of a 360-day year or twelve 30-day months;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the date or dates from which interest shall accrue, the dates on which such interest will be payable or the manner of determination of such dates, and the record date for the determination of holders to whom interest is payable on any such dates;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 the place or places where the principal of, and premium, if any, and interest on, the Securities of the Series shall be payable, where the Securities of such Series may be surrendered for registration of transfer or exchange and where notices and demands to or upon the Company with respect to the Securities of such Series and this Indenture may be served, and the method of such payment, if by wire transfer, mail or other means if other than as set forth in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 the right, if any, to extend the interest payment periods or defer the payment of interest and the duration of such extension or deferral;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 if applicable, the period or periods within which, the price or prices at which and the terms and conditions upon which the Securities of the Series may be redeemed, in whole or in part, at the option of the Company if other than as set forth in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 the obligation, if any, of the Company to redeem or purchase, if other than as set forth herein, the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the Securities of the Series shall be redeemed, purchased or repaid, in whole or in part, pursuant to such obligation;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 the terms of any repurchase or remarketing rights;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 if other than denominations of $2,000 or integral multiples of $1,000 in excess thereof, the denominations in which the Securities of the Series shall be issuable;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 the forms of the Securities of the Series including the form of the Trustee’s certificate of authentication for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2.2.13 any trustees, authenticating agents or paying agents with respect to the Securities of the Series, if different from those set forth in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2.2.14 if the Securities of the Series shall be issued in whole or in part in the form of one or more Global Securities, the type of Global Securities to be issued; the terms and conditions, if different from those contained in this Indenture, upon which such Global Securities may be exchanged in whole or in part for other individual Securities in definitive registered form; the Depositary for such Global Securities; and the form of any legend or legends to be borne by any such Global Securities in addition to or in lieu of the legend referred to in Section 2.14.2;</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2.2.15 any provisions granting special rights to Holders when a specified event occurs;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 if the amount of principal of or any premium or interest on the Securities of any Series may be determined with reference to an index or pursuant to a formula, the manner in which such amounts will be determined;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2.2.17 any special tax implications of the Securities, including provisions for original issue discount securities, if offered;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2.2.18 whether and upon what terms the Securities of the Series may be defeased if different from the provisions set forth in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2.2.19 with regard to the Securities of any Series that do not bear interest, the dates for certain required reports to the Trustee;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 whether the Securities of any Series will be issued as Unrestricted Securities or Restricted Securities, and, if issued as Restricted Securities, the rule or regulation promulgated under the Securities Act in reliance on which they will be sold;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2.2.21 any guarantees on the Securities of the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2.2.22 the currency or currencies in which payment of the principal of, and premium, if any, and interest on, the Securities of the Series shall be payable;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2.2.23 if the principal amount payable at the Stated Maturity of the Securities of the Series will not be determinable as of any one or more dates prior to such Stated Maturity, the amount which will be deemed to be such principal amount as of any such date for any purpose, including the portion of the principal amount thereof that will be due and payable upon declaration of acceleration of the maturity thereof pursuant to Section 6.2 or upon any maturity other than the Stated Maturity or that will be deemed to be outstanding as of any such date, or, in any such case, the manner in which such deemed principal amount is to be determined;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 the provisions, if any, relating to any security provided for the Securities of the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 any additional restrictive covenants or Events of Default that will apply to the Securities of the Series, or any changes to the restrictive covenants set forth in Article IV or the Events of Default set forth in Section 6.1 that will apply to the Securities of the Series, which may consist of establishing different terms or provisions from those set forth in Article IV or Section 6.1 or eliminating any such restrictive covenant or Event of Default with respect to the Securities of the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 any Depositaries, interest rate calculation agents, exchange rate calculation agents or other agents with respect to the Securities of such Series if other than those appointed herein;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2.2.27 whether the Securities of the Series will be convertible into or exchangeable for other Securities, common shares or other securities of any kind of the Company or another obligor, and, if so, the terms and conditions upon which such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2.2.28 any and all additional, eliminated or changed terms that shall apply to the Securities of the Series, including any terms that may be required by or advisable under United States laws or regulations, including the Securities Act and the rules and regulations promulgated thereunder, or advisable in connection with the marketing of the Securities of that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any one Series need not be issued at the same time and may be issued from time to time, consistent with the terms of this Indenture, if so provided by or pursuant to the Board Resolution, Officers’ Certificate or supplemental indenture referred to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Execution and Authentication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Officer of the Company shall sign the Securities for the Company by manual or facsimile 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Security no longer holds that office at the time the Security is authenticated, the Security shall nevertheless be valid.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8</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by the manual signature of the Trustee or an authenticating agent. The signature shall be conclusive evidence that the Security has been authenticated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at any time, and from time to time, authenticate the Securities for original issue in the principal amount provided in the Board Resolution, Officers’ Certificate or supplemental indenture, upon receipt by the Trustee of a Company Order. Each Security shall be dated the date of its authentication unless otherwise provided by the relevant Board Resolution, Officers’ Certificate or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Section 2.2 and the preceding paragraph, in the case of Securities offered in a Periodic Offering, the Trustee shall authenticate and deliver such Securities from time to time in accordance with a Company Order or such other procedures acceptable to the Trustee as may be specified by or pursuant to a supplemental indenture or the written order of the Company delivered to the Trustee prior to the time of the first authentication of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the Securities of any Series outstanding at any time may not exceed any limit upon the maximum principal amount for such Series set forth in the Board Resolution, Officers’ Certificate or supplemental indenture delivered pursuant to Section 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issuance of the Securities of any Series, the Trustee shall have received and (subject to Section 7.2) shall be fully protected in relying on: (a) the Board Resolution, Officers’ Certificate or supplemental indenture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 With respect to Securities of a Series subject to a Periodic Offering, the Trustee conclusively may rely, as to the authorization by the Company of any of such Securities, the forms and terms thereof and the legality, validity, binding effect and enforceability thereof, upon the written order of the Company, Opinion of Counsel, Officers’ Certificate and other documents delivered pursuant to this Section 2.3 at or prior to the time of the first authentication of the Securities of such Series unless and until such written order, Opinion of Counsel, Officers’ Certificate or other documents have been superseded or revoked, and written notice thereof is provided to the Trustee, or expire by their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decline to authenticate and deliver the Securities of any Series: (a) if the Trustee, being advised by counsel, determines that such action may not be taken lawfully; or (b) if the Trustee in good faith shall determine that such action would expose the Trustee to personal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to authenticate the Securities. An authenticating agent may authenticate the Securities whenever the Trustee may do so. Each reference in this Indenture to authentication by the Trustee includes authentication by such agent. An authenticating agent has the same rights as an Agent to deal with the Company or an Affiliate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Registrar, Paying Agent and Transfer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maintain one or more paying agents (each, a “Paying Agent”) for the Securities at the Corporate Trust Office or such other office or agency as the Company may designate from time to time. The initial Paying Agent will be U.S. Bank Trust Company, National Association and thereafter “Paying Agent” shall mean or include each Person who is then a Paying Agent hereunder, and if at any time there is more than one such Person, “Paying Agent” as used with respect to the Securities of any Series shall mean the Paying Agent with respect to the Securities of that Series. The Company, upon written notice to the Trustee accompanied by an Officers’ Certificate, may appoint one or more paying agents, other than the Trustee, for all or any Series of the Securities. If the Company fails to appoint or maintain another entity as paying agent, the Trustee shall act as such. The Company or any of its Subsidiaries, upon written notice to the Trustee, may act as paying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maintain one or more registrars (each, a “Registrar”) for the Securities at the Corporate Trust Office or such other office or agency as the Company may designate from time to time. The initial Registrar will be U.S. Bank Trust Company, National Association and thereafter “Registrar” shall mean or include each Person who is then a Registrar hereunder, and if at any time there is more than one such Person, “Registrar” as used with respect to the Securities of any Series shall mean the Registrar with respect to the Securities of that Series. The Company, upon written notice to the Trustee accompanied by an Officers’ Certificate, may appoint one or more registrars, other than the Trustee, for all or any series of the Securities. If the Company fails to appoint or maintain another entity as registrar, the Trustee shall act as such. The Company or any of its Subsidiaries, upon written notice to the Trustee, may act as registrar.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also maintain a transfer agent (each, a “Transfer Agent”) for the Securities at the Corporate Trust Office or such other office or agency as the Company may designate from time to time. The initial Transfer Agent will be U.S. Bank Trust Company, National Association and thereafter “Transfer Agent” shall mean or include each Person who is then a Transfer Agent hereunder, and if at any time there is more than one such Person, “Transfer Agent” as used with respect to the Securities of any Series shall mean the Transfer Agent with respect to the Securities of that Series. The Company, upon written notice to the Trustee accompanied by an Officers’ Certificate, may appoint one or more transfer agents, other than the Trustee, for all or any series of the Securities. If the Company fails to appoint or maintain another entity as transfer agent, the Trustee shall act as such. The Company or any of its Subsidiaries, upon written notice to the Trustee, may act as transfer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change any Paying Agent, Registrar or Transfer Agent for its Securities without prior notice to the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Paying Agent to Hold Money in Trust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require each Paying Agent appointed by it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10</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Securityholder Lists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Securityholders of each Series of Securities.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of a Series are presented to the Registrar or a co-registrar with a request to register a transfer or to exchange them for an equal principal amount of Securities of the same Series, then the Registrar shall register the transfer or make the exchange; provided that the requirements for such transactions set forth in this Indenture are met. To permit registrations of transfers and exchanges, the Trustee shall authenticate the Securities at the Registrar’s request upon the Trustee’s receipt of a Company Order from the Company.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an exchange pursuant to Section 2.11, 3.6 or 9.6).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the Registrar shall be required (a) to issue, register the transfer of, or exchange the Securities of any Series for the period beginning at the opening of business fifteen days immediately preceding the delivery of a notice of redemption of the Securities of that Series selected for redemption and ending at the close of business on the day of such delivery, or (b) to register the transfer of or exchange the Securities of any Series selected, called or being called for redemption as a whole or the portion being redeemed of any such Securities selected, called or being called for redemption in part.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Mutilated, Destroyed, Lost and Stolen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Security is surrendered to the Trustee, the Company shall execute and the Trustee shall authenticate and deliver in exchange therefor a replacement Security of the same Series and of like tenor and principal amount and bearing a number not contemporaneously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the Trustee (a) evidence to their satisfaction of the destruction, loss or theft of any Security and (b) such security or indemnity to save each of them and any agent of either of them harmless, then, in the absence of written notice to the Company or the Trustee that such Security has been acquired by a protected purchaser, the Company shall execute and upon receipt of a Company Order, the Trustee shall authenticate and make available for delivery, in lieu of any such destroyed, lost or stolen Security, a replacement Security of the same Series and of like tenor and principal amount and bearing a number not contemporaneously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11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Security has become or is about to become due and payable, the Company in its discretion may, instead of issuing a replacement Security, pay such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replacement Security under this Section 2.8,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Security of any Series issued pursuant to this Section 2.8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2.8 are exclusive and shall preclude (to the extent lawful) all other rights and remedies with respect to the replacement or payment of mutilated, destroyed, lost or stolen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Outstanding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outstanding at any time are all the Securities authenticated by the Trustee except for those canceled by it, those delivered to it for cancellation, and those described in this Section 2.9 as not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replaced pursuant to Section 2.8, it ceases to be outstanding unless the Trustee receives proof satisfactory to it that the replaced Security is held by a protected purchaser.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purchase or otherwise acquire the Securities, whether by open market purchases, negotiated transactions or otherwise. Subject to Section 2.10, a Security does not cease to be outstanding because the Company or an Affiliate of the Company holds the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12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Treasury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principal amount of the Securities of a Series have concurred in any request, demand, authorization, direction, notice, consent or waiver, the Securities of a Series owned by the Company or any Affiliate of the Company shall be disregarded, except that for the purposes of determining whether the Trustee shall be protected in conclusively relying on any such request, demand, authorization, direction, notice, consent or waiver only the Securities of a Series that a Responsible Officer of the Trustee actually knows are so owned shall be so disregarded.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Temporary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 any time may deliver Securities to the Trustee for cancellation. The Agents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deliver evidence of such destruction to the Company upon its written request. The Company may not issue new Securities to replace the Securities that it has paid or delivered to the Trustee for cancellation.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deliver to the Trustee and to each Securityholder of the Series a notice that states the record date, the payment date and the amount of interest to be paid. The Company may pay defaulted interest in any other lawful manner.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2.14 </w:t>
      </w:r>
      <w:r>
        <w:rPr>
          <w:rFonts w:ascii="Times New Roman;Times;Serif" w:hAnsi="Times New Roman;Times;Serif"/>
          <w:b w:val="false"/>
          <w:i w:val="false"/>
          <w:caps w:val="false"/>
          <w:smallCaps w:val="false"/>
          <w:sz w:val="20"/>
          <w:u w:val="single"/>
        </w:rPr>
        <w:t>Global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2.14.1 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 Notwithstanding any provisions to the contrary contained in Section 2.7 of this Indenture and in addition thereto, any Global Security shall be exchangeable pursuant to Section 2.7 of this Indenture for the Securities registered in the names of Holders other than the Depositary for such Security or its nominee only if (a)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(b) the Company executes and delivers to the Trustee an Officers’ Certificate to the effect that such Global Security shall be so exchangeable. Any Global Security that is exchangeable pursuant to the preceding sentence shall be exchangeable for the Securities registered in such names as the Depositary shall direct in writing in an aggregate principal amount equal to the principal amount of the Global Security with like tenor and terms.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13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this Section 2.14.1,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Trustee and the Agents shall have any obligation or duty to monitor, determine or inquire as to compliance with any tax or securities laws with respect to any restrictions on transfer imposed under this Indenture or under applicable law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Trustee and the Agents shall have any responsibility or liability for any actions taken or not taken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2.14.2 </w:t>
      </w: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 Any Global Security issued hereunder shall bear a legend in substantially the following form: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2.14.3 </w:t>
      </w:r>
      <w:r>
        <w:rPr>
          <w:rFonts w:ascii="Times New Roman;Times;Serif" w:hAnsi="Times New Roman;Times;Serif"/>
          <w:b w:val="false"/>
          <w:i w:val="false"/>
          <w:caps w:val="false"/>
          <w:smallCaps w:val="false"/>
          <w:sz w:val="20"/>
          <w:u w:val="single"/>
        </w:rPr>
        <w:t>Acts of Holders</w:t>
      </w:r>
      <w:r>
        <w:rPr>
          <w:rFonts w:ascii="Times New Roman;Times;Serif" w:hAnsi="Times New Roman;Times;Serif"/>
          <w:b w:val="false"/>
          <w:i w:val="false"/>
          <w:caps w:val="false"/>
          <w:smallCaps w:val="false"/>
          <w:sz w:val="20"/>
        </w:rPr>
        <w:t>. The Depositary, as a Holder, may appoint agents and otherwise authorize participants to give or take any request, demand, authorization, direction, notice, consent, waiver or other action which a Holder is entitled to give or take under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14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2.14.4 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Notwithstanding the other provisions of this Indenture, unless otherwise specified as contemplated by Section 2.2, payment of the principal of and interest, if any, on any Global Security shall be made to the Holder thereof, which in the case of the Depositary will be made in accordance with its applicable procedures.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2.14.5 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The Company, the Trustee and each Agent shall treat the Person in whose name any Security is registered in the register maintained by the Registrar as the Holder for all purposes including for purposes of obtaining any consents, declarations, waivers or directions permitted or required to be given by the Holders pursuant to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2.14.6 None of the Trustee and the Agents shall have any responsibility or obligation to any beneficial owner of an interest in a Global Security, a member of, or a participant in, the Depositary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the payment of any amount or delivery of any Securities (or other security or property) under or with respect to such Securities. All notices and communications to be given to the Holders and all payments to be made to Holders with respect to the Securities shall be given or made only to or upon the order of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and each Agent may rely and shall be fully protected in relying upon information furnished by the Depositary with respect to its members, participants and any beneficial owners.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2.15 </w:t>
      </w:r>
      <w:r>
        <w:rPr>
          <w:rFonts w:ascii="Times New Roman;Times;Serif" w:hAnsi="Times New Roman;Times;Serif"/>
          <w:b w:val="false"/>
          <w:i w:val="false"/>
          <w:caps w:val="false"/>
          <w:smallCaps w:val="false"/>
          <w:sz w:val="20"/>
          <w:u w:val="single"/>
        </w:rPr>
        <w:t>CUSIP Numbers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“CUSIP,” “ISIN” and/or “Common Code” numbers (if then generally in use), and, if so, the Trustee shall use “CUSIP,” “ISIN” and/or “Common Code”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in writing of any change in the “CUSIP,” “ISIN” and/or “Common Code” numbers.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br/>
        <w:t>REDEMPTION OF SECURITIES AND SINKING FUND PROVISIONS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Notice to Trustee; No Liability for Calculations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with respect to any Series of Securities, reserve the right to redeem and pay such Series of Securities or may covenant to redeem and pay such Series of Securities or any part thereof prior to the Stated Maturity thereof at such time and on such terms as provided for in Section 3.9 hereof or, as applicable, in the Board Resolution, Officers’ Certificate or supplemental indenture relating to such Series.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Securities of such Series to be redeemed at least 45 days before a redemption date (or such shorter notice as may be acceptable to the Trustee). The Trustee shall have no liability with respect to or obligation to calculate the redemption price of any Securities to be redeemed pursuant to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15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Selection of Securities to be Redeemed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by a Board Resolution, Officers’ Certificate or a supplemental indenture, if less than all of the Securities of a Series are to be redeemed at any time, the Trustee will select the Securities of a Series to be redeemed by lot, in accordance with the Depositary’s applicable procedures unless otherwise required by law or applicable stock exchange requirements. The Trustee will not be liable for selections made by it as contemplated in this Section 3.2.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of purchase or redemption will be given to each Holder pursuant to Section 3.3 and Section 10.1.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by Board Resolution, Officers’ Certificate or supplemental indenture, at least 30 days but not more than 60 days before a redemption date, the Company will deliver a notice of redemption to each Holder whose Securities are to be redeemed in accordance with Section 10.1, except that redemption notices may be given more than 60 days prior to a redemption date if the notice is issued in connection with a defeasance of the Securities or a satisfaction and discharge of this Indenture pursuant to Article VIII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identify the Securities to be redeemed and corresponding CUSIP, ISIN or Common Code numbers, as applicable, and will state: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 and the amount of accrued interest, if any, to be paid;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Global Security is being redeemed in part, the portion of the principal amount of such Global Security to be redeemed and that, after the redemption date upon surrender of such Global Security, the principal amount thereof will be decreased by the portion thereof redeemed pursuant thereto;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Certificated Security is being redeemed in part, the portion of the principal amount of such Security to be redeemed, and that, after the redemption date, upon surrender of such Security, a new Certificated Security in principal amount equal to the unredeemed portion thereof will be issued in the name of the Holder thereof upon cancellation of the original Certificated Security;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16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name and address of the Paying Agent(s) to which the Securities are to be surrendered for redemption;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the Securities called for redemption must be surrendered to the relevant Paying Agent to collect the redemption price, plus accrued and unpaid interest, if 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that, unless the Company defaults in making such redemption payment, interest on the Securities called for redemption ceases to accrue on and after the redemption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paragraph of the Securities and/or Section of this Indenture or any supplemental indenture pursuant to which the Securities called for redemption are being redeemed;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no representation is made as to the correctness or accuracy of the CUSIP, ISIN or Common Code numbers, if any, listed in such notice or printed on the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written request, the Trustee shall give the notice of redemption in the Company’s name and at the Company’s expense; provided, however, that unless otherwise indicated for a particular Series by Board Resolution, Officers’ Certificate or supplemental indenture, the Company has delivered to the Trustee, at least 45 days prior to the redemption date (unless a shorter period is agreed to by the Trustee), an Officers’ Certificate requesting that the Trustee give such notice and setting forth the information to be stated in such notice as provided in the preceding paragraph.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Effect of Notice of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notice of redemption is mailed or published as provided in Section 3.3, the Securities of a Series called for redemption become due and payable on the redemption date and at the redemption price. Unless otherwise indicated for a particular Series by Board Resolution, Officers’ Certificate or supplemental indenture, a notice of redemption may not be conditional. Upon surrender to the Paying Agent, such Securities shall be paid at the redemption price plus accrued and unpaid interest up to but not including the redemption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any purchase or redemption date, unless the Company defaults in payment of the purchase or redemption price, interest shall cease to accrue on the Securities or portions thereof tendered for purchase or called for redemption.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Deposit of Redemption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any redemption date, the Company shall deposit with the Paying Agent money in immediately available funds sufficient to pay the redemption price of and accrued and unpaid interest, if any, on all Securities to be redeemed on that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17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Securities Redeemed in Part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of a Certificated Security that is redeemed in part, the Trustee shall authenticate for the Holder a new Certificated Security of the same Series and the same maturity equal in principal amount to the unredeemed portion of the Security surrendered and concurrently cancel the surrendered Certificated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Sinking Fund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by Board Resolution, Officers’ Certificate or supplemental indenture, the provisions of Sections 3.7, 3.8 and 3.9 shall be applicable to any sinking fund for the retirement of the Securities of a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the Securities of any Series is referred to as a “mandatory sinking fund payment,” and any payment in excess of such minimum amount provided for by the terms of the Securities of any Series is referred to as an “optional sinking fund payment.” If provided for by the terms of the Securities of any Series, the cash amount of any sinking fund payment may be subject to reduction as provided in Section 3.8. Each sinking fund payment shall be applied to the redemption of the Securities of any Series as provided for by the terms of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Satisfaction of Sinking Fund Payments with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 may deliver outstanding Securities of a Series other than any Securities previously called for redemption and (b) may apply as a credit the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Redemption of Securities for Sinking Fund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45 days prior to each sinking fund payment date for any Series of Securities (unless a shorter period is agreed to by the Trustee), the Company will deliver to the Trustee an Officers’ Certificate specifying the amount of the next ensuing sinking fund payment for that Series pursuant to the terms of the Series, the portion thereof, if any, that is to be satisfied by payment of cash in the currency in which the Securities of such Series are denominated (except as provided pursuant to Section 2.2), the portion thereof, if any, that is to be satisfied by delivering and crediting the Securities of that Series pursuant to Section 3.8 and the basis for such credit. Together with such Officers’ Certificate, the Company will deliver to the Trustee any Securities to be so delivered. Not less than 30 days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18</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br/>
        <w:t>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Payment of Principal, Premium and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for the benefit of the Holders of each Series of Securities that it will duly and punctually pay the principal of, and premium, if any, and interest on, the Securities of that Series in accordance with the terms of such Securities and this Indenture. Unless otherwise provided by Board Resolution, Officers’ Certificate or supplemental indenture for a particular Series, at or before 10:00 a.m., New York City time, on the applicable payment date, redemption date or repurchase date, the Company shall deposit with the Paying Agent money sufficient to pay the principal of, and premium, if any, and interest on, the Securities of each such Series in accordance with the terms of such Securities and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120 days after the end of the fiscal year of the Company (which as of the date of this Indenture is December 31, or if the fiscal year with respect to the Company is changed so that it ends on a date other than December 31, such other fiscal year end date as the Company shall notify to the Trustee in writing), an Officers’ Certificate (which need not contain the statements provided for in Section 10.4), signed by at least one of the principal executive, principal financial or principal accounting officer, stating that a review of the activities of the Company and its Subsidiaries during the preceding fiscal year has been made under the supervision of such signing Officer with a view to determining whether the Company has kept, observed, performed and fulfilled its obligations under this Indenture, and further stating, as to each Officer signing such certificate, that to his or her knowledge the Company is not in default in the performance or observance of any of the terms, provisions and conditions hereof (or, if a Default or Event of Default shall have occurred, describing all such Defaults or Events of Default of which he or she may have knowledge). Such Officers’ Certificate need not include a reference to any non-compliance that has been fully cured prior to the date as of which such certificate speaks.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so long as any of the Securities are outstanding, deliver to the Trustee, within 30 days upon becoming aware of any Default or Event of Default, an Officers’ Certificate specifying such Default or Event of Default and what action the Company is taking or proposes to take with respect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19</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V, the Company will do or cause to be done all things necessary to preserve and keep in full force and effect its corporate existence and rights (charter and statutory); provided, however, that the Company shall not be required to preserve any such right if its Board of Directors shall determine that the preservation thereof is no longer desirable in the conduct of its business and its Subsidiaries taken as a whole and that the loss thereof is not adverse in any material respect to the Holders of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Reports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Whether or not required by the rules and regulations of the SEC, so long as any Securities are outstanding, the Company shall file with the Trustee, within the time periods specified by the SEC’s rules and regulations, copies of the annual reports and of the information, documents and other reports (or copies of such portions of any of the foregoing as the SEC may from time to time by rules and regulations prescribe) that the Company would be required to file with the SEC pursuant to Section 13 or Section 15(d) of the Exchange Act. The Company shall be deemed to have complied with the previous sentence to the extent that such information, documents and reports are filed with the SEC via EDGAR (or any successor electronic delivery procedure). The Trustee shall have no obligation whatsoever to determine whether or not such information, documents or reports have been filed with the SEC via EDGAR (or any successor electronic delivery procedure).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br/>
        <w:t>SUCCESSORS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Consolidation, Merger and Sale of Assets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consolidate with or merge into any other Person or sell, assign, convey, transfer, lease or otherwise dispose of all or substantially all of the assets of the Company and its Subsidiaries, taken as a whole, to any Person unless either (i) the Company is the surviving corporation or (ii) the resulting, surviving or transferee entity is a corporation organized under the laws of the United States or, if such Person is not a corporation, a co-obligor of the Securities is a corporation organized under any such laws, and any such resulting, surviving or transferee entity expressly assumes the Company’s obligations under this Indenture and the Securities, by an indenture supplemental to this Indenture to which the Company is a party, and, in the case of (i) or (ii) above, immediately after which, no Default or Event of Default, shall have occurred and be continuing. An Officers’ Certificate and an Opinion of Counsel will be delivered to the Trustee, which will serve as conclusive evidence of compliance with this Section 5.1.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20</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br/>
        <w:t>DEFAULTS AND REMEDIES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“Events of Default” with respect to the Securities of any Series, unless in the establishing Board Resolution, Officers’ Certificate or supplemental indenture, it is provided that such Series shall not have the benefit of said Event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failure to pay any interest on the Securities within 30 days after such interest becomes due and payable by the terms of the Securities of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failure to pay principal of (or premium, if any, on) the Securities at maturity, or if applicable, the redemption price, when the same becomes due and payable;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failure to pay any sinking fund installment as and when the same shall become due and payable by the terms of the Securities, and continuance of such default for a period of 30 days;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failure to comply with any of the covenants or agreements in the Securities or this Indenture (other than an agreement or covenant that the Company has included in this Indenture solely for the benefit of another Series of Securities) for 90 days after there has been given, by registered or certified mail, to the Company by the Trustee or to the Company by the Holders of at least 25% in principal amount of all outstanding Securities of a Series affected by that failure a written notice specifying such failure and requiring it to be remedied and stating that such notice is a “Notice of Default” 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pursuant to or within the meaning of any Bankruptcy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commences a voluntary case,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consents to the entry of an order for relief against it in an involuntary case,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consents to the appointment of a Custodian of it or for all or substantially all of its property,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makes a general assignment for the benefit of its creditors, 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generally is unable to pay its debts as the same become due;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court of competent jurisdiction enters an order or decree under any Bankruptcy Law that: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for relief against the Company in an involuntary case,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appoints a Custodian of the Company or for all or substantially all of its property, 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200" w:after="200"/>
        <w:ind w:left="144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21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orders the liquidation of the Company,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order or decree remains unstayed and in effect for 90 days;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other Event of Default provided in the supplemental indenture, Officers’ Certificate or Board Resolution under which such Series of Securities is issued or in the form of Security for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“Bankruptcy Law” means title 11, U.S. Code or any similar Federal or State law for the relief of debtors. The term “Custodian” means any receiver, trustee, assignee, liquidator or similar official under any Bankruptcy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under one Series of Securities issued under this Indenture will not necessarily be a default under another Series of Securities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Acceleration of Maturity; Rescission and Annulment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for a Series of Securities occurs and is continuing (other than an Event of Default referred to in Section 6.1(e) or (f)), the Trustee or the Holders of at least 25% in principal amount of such Series of Securities may require the Company to pay immediately the principal amount plus accrued and unpaid interest on such Securities. If an Event of Default referred to in Section 6.1(e) or (f) occurs, the principal amount plus accrued and unpaid interest on such Series of Securities will become immediately due and payable without any action on the part of the Trustee or any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such a declaration of acceleration with respect to any Series has been made and before a judgment or decree for payment of the money due has been obtained by the Trustee as hereinafter in this Article VI provided, the Holders of a majority in principal amount of the outstanding Securities of that Series, by written notice to the Company and the Trustee, may rescind and annul such declaration and its consequences if: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paid or deposited with the Trustee a sum sufficient to pay: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overdue interest on all Securities of that Series,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principal of (and premium, if any, on) any Securities of that Series which have become due otherwise than by such declaration of acceleration and any interest thereon at the rate or rates prescribed therefor in such Securities,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that payment of such interest is lawful, interest upon overdue interest at the rate or rates prescribed therefor in such Securities,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sums paid or advanced by the Trustee hereunder and the reasonable compensation, expenses, disbursements and advances of the Trustee, its agents and counsel;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200" w:after="200"/>
        <w:ind w:left="144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22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Events of Default with respect to the Securities of that Series, other than the non-payment of the principal and interest, if any, of the Securities of that Series which have become due solely by such declaration of acceleration, have been cured or waived as provided in Section 6.13.</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shall affect any subsequent Default or impair any right consequent thereon.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Collection of Indebtedness and Suits for Enforcement by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if: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is made in the payment of any interest on any Security when such interest becomes due and payable and such default continues for a period of 30 days,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is made in the payment of principal of any Security at the Maturity thereof,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is made in the deposit of any sinking fund payment when and as due by the terms of a Security,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any Securities of any Series occurs and is continuing, the Trustee may in its discretion proceed to protect and enforce its rights and the rights of the Holders of the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Trustee May File Proofs of Claim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23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and prove a claim for the whole amount of principal and interest owing and unpaid with respect to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moneys or other property payable or deliverable on any such claims and to distribute the same,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with respect to the claim of any Holder in any such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6.5 </w:t>
      </w:r>
      <w:r>
        <w:rPr>
          <w:rFonts w:ascii="Times New Roman;Times;Serif" w:hAnsi="Times New Roman;Times;Serif"/>
          <w:b w:val="false"/>
          <w:i w:val="false"/>
          <w:caps w:val="false"/>
          <w:smallCaps w:val="false"/>
          <w:sz w:val="20"/>
          <w:u w:val="single"/>
        </w:rPr>
        <w:t>Trustee May Enforce Claims Without Possession of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with respect to which such judgment has been recovered.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6.6 </w:t>
      </w:r>
      <w:r>
        <w:rPr>
          <w:rFonts w:ascii="Times New Roman;Times;Serif" w:hAnsi="Times New Roman;Times;Serif"/>
          <w:b w:val="false"/>
          <w:i w:val="false"/>
          <w:caps w:val="false"/>
          <w:smallCaps w:val="false"/>
          <w:sz w:val="20"/>
          <w:u w:val="single"/>
        </w:rPr>
        <w:t>Application of Money Collected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collected by the Trustee pursuant to this Article VI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all amounts due the Trustee under this Indenture in all of its capacities;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24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for principal of, and premium, if any, and interest on, the Securities with respect to which or for the benefit of which such money has been collected, ratably, without preference or priority of any kind, according to the amounts due and payable on such Securities for principal and interest, respectively;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6.7 </w:t>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Securities of any Series may pursue any remedy under this Indenture applicable to the Securities of such Series only if: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Holder gives the Trustee written notice of a continuing Event of Default for the Securities of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at least 25% in principal amount of the outstanding Securities of such Series make a written request to the Trustee to pursue the remedy;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furnish to the Trustee indemnity reasonably satisfactory to the Trustee against the costs, expenses and liabilities which might be incurred by it in compliance with such request;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fails to act for a period of 60 days after receipt of notice and furnishing of indemnity;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that 60-day period, the Holders of a majority in principal amount of the outstanding Securities of such Series do not give the Trustee a direction inconsistent with the request.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provision does not, however, affect the right of a Holder of Securities to sue for enforcement of any overdue payment with respect to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6.8 </w:t>
      </w:r>
      <w:r>
        <w:rPr>
          <w:rFonts w:ascii="Times New Roman;Times;Serif" w:hAnsi="Times New Roman;Times;Serif"/>
          <w:b w:val="false"/>
          <w:i w:val="false"/>
          <w:caps w:val="false"/>
          <w:smallCaps w:val="false"/>
          <w:sz w:val="20"/>
          <w:u w:val="single"/>
        </w:rPr>
        <w:t>Unconditional Right of Holders to Receive Principal and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this Indenture, the Holder of any Security shall have the right, which is absolute and unconditional, to receive payment of the principal of and interest, if any, on such Security on the Stated Maturity expressed in such Security (or, in the case of redemption, on the redemption date) and to institute suit for the enforcement of any such payment, and such rights shall not be impaired without the consent of such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6.9 </w:t>
      </w:r>
      <w:r>
        <w:rPr>
          <w:rFonts w:ascii="Times New Roman;Times;Serif" w:hAnsi="Times New Roman;Times;Serif"/>
          <w:b w:val="false"/>
          <w:i w:val="false"/>
          <w:caps w:val="false"/>
          <w:smallCaps w:val="false"/>
          <w:sz w:val="20"/>
          <w:u w:val="single"/>
        </w:rPr>
        <w:t>Restoration of Rights and Remedies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25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val="false"/>
          <w:caps w:val="false"/>
          <w:smallCaps w:val="false"/>
          <w:sz w:val="20"/>
          <w:u w:val="single"/>
        </w:rPr>
        <w:t>Rights and Remedies Cumulative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val="false"/>
          <w:caps w:val="false"/>
          <w:smallCaps w:val="false"/>
          <w:sz w:val="20"/>
          <w:u w:val="single"/>
        </w:rPr>
        <w:t>Delay or Omission Not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6.12 </w:t>
      </w:r>
      <w:r>
        <w:rPr>
          <w:rFonts w:ascii="Times New Roman;Times;Serif" w:hAnsi="Times New Roman;Times;Serif"/>
          <w:b w:val="false"/>
          <w:i w:val="false"/>
          <w:caps w:val="false"/>
          <w:smallCaps w:val="false"/>
          <w:sz w:val="20"/>
          <w:u w:val="single"/>
        </w:rPr>
        <w:t>Control by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direction shall not be in conflict with any rule of law or with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take any other action deemed proper by the Trustee which is not inconsistent with such direction,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have the right to decline to follow any such direction if the Trustee in good faith shall, by a Responsible Officer of the Trustee, determine that the proceeding so directed would expose the Trustee to personal liability or that it will not be adequately indemnified against the costs, expenses and liabilities which might be incurred by it in complying with such direction.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6.13 </w:t>
      </w:r>
      <w:r>
        <w:rPr>
          <w:rFonts w:ascii="Times New Roman;Times;Serif" w:hAnsi="Times New Roman;Times;Serif"/>
          <w:b w:val="false"/>
          <w:i w:val="false"/>
          <w:caps w:val="false"/>
          <w:smallCaps w:val="false"/>
          <w:sz w:val="20"/>
          <w:u w:val="single"/>
        </w:rPr>
        <w:t>Waiver of Past Defaults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26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6.14 </w:t>
      </w:r>
      <w:r>
        <w:rPr>
          <w:rFonts w:ascii="Times New Roman;Times;Serif" w:hAnsi="Times New Roman;Times;Serif"/>
          <w:b w:val="false"/>
          <w:i w:val="false"/>
          <w:caps w:val="false"/>
          <w:smallCaps w:val="false"/>
          <w:sz w:val="20"/>
          <w:u w:val="single"/>
        </w:rPr>
        <w:t>Undertaking for Costs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Security by his, her or its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6.14 shall not apply to any suit instituted by any Holder for the enforcement of the payment of the principal and interest, if any, on any Security on or after the Stated Maturity expressed in such Security (or, in the case of redemption, on the redemption date) or to any suit instituted by the Company, the Trustee, or any Holder, or group of Holders, holding in the aggregate more than 10% in principal amount of the outstanding Securities of any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br/>
        <w:t>TRUSTEE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Duties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the Trustee shall exercise such of the rights and powers vested in it by this Indenture, and use the same degree of care and skill in such exercise, as a prudent person would exercise or use under the circumstances in the conduct of his or her own affairs.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 with respect to the Securities of any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need perform only those duties that are specifically set forth in this Indenture and no others, and no implied covenants or obligations shall be read into this Indenture against the Trustee, other than as required under the TIA;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such certificates and opinions to determine whether, on their face, they appear to conform to the requirements of this Indenture.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200" w:after="200"/>
        <w:ind w:left="144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27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liabilities for its own grossly negligent action, its own grossly negligent failure to act or its own willful misconduct, except that: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paragraph does not limit the effect of paragraph (b) of this Section 7.1;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unless it is proved in a court of competent jurisdiction that the Trustee was grossly negligent in ascertaining the pertinent facts.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therein expressly so provided, every provision of this Indenture that in any way relates to the Trustee is subject to the provisions of this Article VII.</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provision of this Indenture shall require the Trustee to expend or risk its own funds or incur any liability. The Trustee may refuse to perform any duty or exercise any right or power unless it receives indemnity reasonably satisfactory to it against any loss, liability or expense.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for interest on or investment of any money received by it except as the Trustee may agree in writing with the Company. Money held in trust by the Trustee need not be segregated from other funds except to the extent required by law. All money received by the Trustee shall, until applied as herein provided, be held in trust for the payment of the principal of, premium (if any) and interest on the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Rights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and shall be fully protected in acting or refraining from acting, upon any resolution, certificate, statement, instrument, opinion, report, notice, request, direction, consent, order, note, debenture or other paper or document believed by it to be genuine and to have been signed or presented by the proper Person. The Trustee need not investigate any fact or matter stated in any resolution, certificate, statement, instrument, opinion, report, notice, request, direction, consent, order, bond, security or other paper or document.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it may require an Officers’ Certificate and/or an Opinion of Counsel. The Trustee shall not be liable for any action it takes or omits to take in good faith in reliance on such instruction, Officers’ Certificate or Opinion of Counsel. The Trustee may consult with counsel of its selection and the advice of such counsel or any Opinion of Counsel shall be full and complete authorization and protection with respect to any action taken, suffered or omitted by it hereunder in good faith and in reliance thereon.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agents, attorneys, custodians or nominees and shall not be responsible for the misconduct or negligence of any agent, attorney, custodian or nominee appointed with due care.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not be liable for any action it takes or omits to take in good faith which it believes to be authorized or within its rights or powers conferred upon it by this Indenture or with respect to any action it takes or omits to take in good faith in accordance with a direction received by it from the Holders of a majority in aggregate principal amount of the relevant Series of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28</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Unless otherwise specifically provided in this Indenture, any demand, request, direction or notice from the Company shall be sufficient if signed by an Officer of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Anything in this Indenture to the contrary notwithstanding, in no event shall the Trustee be liable under or in connection with this Indenture for indirect, special, incidental, punitive or consequential losses or damages of any kind whatsoever, including but not limited to lost profits, whether or not foreseeable, even if the Trustee has been advised of the possibility thereof and regardless of the form of action in which such damages are sought.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shall be under no obligation to exercise any of the trusts or powers vested in it by this Indenture at the request, order or direction of any of the Holders of Securities pursuant to the provisions of this Indenture, unless such Holders of Securities shall have offered to the Trustee, security or indemnity reasonably satisfactory to the Trustee against the costs, expenses and liabilities which might be incurred therein or thereby.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not be deemed to have notice of any Event of Default with respect to the Securities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may at any time request, and the Company shall deliver an Officers’ Certificate setting forth the specimen signatures and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Notwithstanding any provision herein to the contrary, in no event shall the Trustee be liable for any failure or delay in the performance of its obligations under this Indenture because of circumstances beyond its control, including, but not limited to (i) any act or provision of any present or future law or regulation or governmental authority, (ii) any act of God, (iii) natural disaster, (iv) war, (v) terrorism, (vi) civil unrest, (vii) accidents, (viii) labor dispute, (ix) disease, (x) epidemic or pandemic, (xi) quarantine, (xii) national emergency, (xiii) loss or malfunction of utility or computer software or hardware, (xiv) communications system failure, (xv) malware or ransomware or (xvi) unavailability of the Federal Reserve Bank wire or telex system or other wire or other funds transfer systems, or (xvii) unavailability of any securities clearing system; it being understood that the Trustee shall use reasonable efforts that are consistent with accepted practices in the banking industry to resume performance as soon as practicable under the circumstances.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29</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rights, privileges, protections, immunities and benefits given to the Trustee, including its right to be indemnified, are extended to, and shall be enforceable by, the Trustee in each of its capacities hereunder, each Agent, and each other agent, custodian and other Person employed to act 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shall not be required to give any bond or surety in respect of the performance of its powers and duties 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May Hold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in its individual or any other capacity may become the owner or pledgee of the Securities and may otherwise deal with the Company or any of its Affiliates with the same rights it would have if it were not Trustee. Any Agent may do the same with like rights and duties. However, the Trustee is subject to Sections 7.9 and 7.10.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Trustee’s Disclaimer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representation as to the validity, sufficiency or adequacy of any offering materials, this Indenture or the Securities; it shall not be accountable for the Company’s use of the proceeds from the Securities or any money paid to the Company or upon the Company’s direction under any provision hereof; and it shall not be responsible for any statement or recital herein or any statement in any offering materials or the Securities other than its certificate of authentication.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Default or Event of Default with respect to the Securities of any Series occurs and is continuing and it is actually known to the Trustee, the Trustee shall mail to Holders of Securities of such Series a notice of the Default or Event of Default within 90 days after it occurs. Except in the case of a Default or Event of Default in payment of principal of, premium (if any) and interest on or any sinking fund installment with respect to the Securities of such Series, the Trustee may withhold the notice if and so long as a Responsible Officer in good faith determines that withholding the notice is in the interests of Holders of Securities of such Series to do so.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Compensation and Indemnity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pay to the Trustee for its acceptance of this Indenture and services hereunder such compensation as the Company and the Trustee shall from time to time agree in writing. The Trustee’s compensation shall not be limited by any law on compensation of a trustee of an express trust. The Company agrees to reimburse the Trustee upon request for all reasonable disbursements, advances and expenses incurred by it. Such expenses shall include court costs and the reasonable compensation, disbursements and expenses of the Trustee’s agents and counsel.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indemnifies the Trustee, including its officers, directors, employees and agents from, and hold it harmless against any damage, cost, claim, loss, liability or expense (including the reasonable fees and expenses of the Trustee’s agents and counsel) incurred by it arising out of or in connection with its acceptance and administration of the trusts set forth under this Indenture, the performance of its obligations and/or the exercise of its rights hereunder, including the reasonable costs and expenses of defending itself against any claim (whether asserted by the Company, any Holder, or any other Person) or liability except as set forth in the next following paragraph. The Trustee shall notify the Company promptly of any claim for which it may seek indemnity. The Company shall defend the claim, with counsel reasonably acceptable to the Trustee, and the Trustee shall cooperate in the defense, unless, the Trustee, in its reasonable discretion, determines that any actual or potential conflict of interest may exist, in which case the Trustee may have separate counsel, reasonably acceptable to the Company and the Company shall pay the reasonable fees and expenses of such counsel. The Company need not pay for any settlement made without its consent.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30</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obligated to reimburse any expense or indemnify against any loss or liability incurred by the Trustee through the Trustee’s own gross negligence or willful misconduct.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payment obligations of the Company in this Section 7.6, the Trustee shall have a lien prior to the Securities on all money or property held or collected by the Trustee, except that held in trust to pay principal of, premium (if any) and interest on the Securities of any Series. Such lien and the obligations of the Company under this Section 7.6 shall survive the satisfaction and discharge of this Indenture, the payment of the Securities and/or the resignation or removal of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in connection with an Event of Default, the expenses (including court costs and the reasonable charges and expenses of its counsel) and the compensation for the services are intended to constitute expenses of administration under any applicable Federal or State bankruptcy, insolvency or other similar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Replacement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resignation or removal of the Trustee and appointment of a successor Trustee shall become effective only upon the successor Trustee’s acceptance of appointment as provided in this Section 7.7.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and be discharged at any time with respect to the Securities of one or more Series by so notifying the Company in writing. The Holders of a majority in principal amount of the then outstanding Securities of any Series may remove the Trustee with respect to the Securities of such Series by so notifying the Trustee and the Company. The Company may remove the Trustee for any or all Series of the Securities if: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fails to comply with Section 7.9,</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is adjudged a bankrupt or an insolvent or an order for relief is entered with respect to the Trustee under any Bankruptcy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Custodian or public officer takes charge of the Trustee or its property,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becomes incapable of acting.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31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or if a vacancy exists in the office of Trustee for any reason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Within one year after the successor Trustee with respect to the Securities of any Series takes office, the Holders of a majority in principal amount of the Securities of such Series then outstanding may appoint a successor Trustee to replace the successor Trustee appointed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with respect to the Securities of any Series does not take office within 30 days after the retiring Trustee resigns or is removed, the retiring Trustee, the Company or the Holders of at least 10% in principal amount of the then outstanding Securities of such Series may petition any court of competent jurisdiction at the expense of the Company for the appointment of a successor Trustee with respect to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with respect to the Securities of a Series fails to comply with Section 7.9, any Holder of Securities of such Series may petition any court of competent jurisdiction for the removal of the Trustee and the appointment of a successor Trustee with respect to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of a successor Trustee with respect to the Securities of all Series, each such successor Trustee shall deliver a written acceptance of its appointment to the retiring Trustee and to the Company. Thereupon the resignation or removal of the retiring Trustee shall become effective, and the successor Trustee shall have all the rights, powers and duties of the retiring Trustee under this Indenture. The successor Trustee shall give a notice of its succession to Holders in accordance with Section 10.1. The retiring Trustee shall promptly transfer all property held by it as Trustee to the successor Trustee, subject to the lien provided for in Section 7.6.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of a successor Trustee with respect to the Securities of one or more (but not all) Series, the Company, the retiring Trustee and each successor Trustee with respect to the Securities of one or more Series shall execute and deliver an indenture supplemental hereto in which each successor Trustee shall accept such appointment and that (a) shall confer to each successor Trustee all the rights, powers and duties of the retiring Trustee with respect to the Securities of that or those Series to which the appointment of such successor Trustee relates, (b) if the retiring Trustee is not retiring with respect to all Securities, shall confirm that all the rights, powers and duties of the retiring Trustee with respect to the Securities of that or those Series as to which the retiring Trustee is not retiring shall continue to be vested in the retiring Trustee and (c) shall add to or change any of the provisions of this Indenture as shall be necessary to provide for or facilitate the administration of the trusts hereunder by more than one Trustee. Nothing herein or in such supplemental indenture shall constitute such Trustees co-trustees of the same trust, and each such Trustee shall be trustee of a trust or trusts hereunder separate and apart from any trust or trusts hereunder administered by any other such Trustee. Upon the execution and delivery of such supplemental indenture, the resignation or removal of the retiring Trustee shall become effective to the extent provided therein and each such successor Trustee shall have all the rights, powers and duties of the retiring Trustee with respect to the Securities of that or those Series to which the appointment of such successor Trustee relates. On request of the Company, or any successor Trustee, such retiring Trustee shall transfer to such successor Trustee all property held by such retiring Trustee as Trustee with respect to the Securities of that or those Series to which the appointment of such successor Trustee relates. Such retiring Trustee shall, however, have the right to deduct its unpaid fees and expenses, including attorneys’ fees.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32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replacement of the Trustee or Trustees pursuant to this Section 7.7, the obligations of the Company under Section 7.6 shall continue for the benefit of the retiring Trustee or Trustees.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Successor Trustee by Merger, Etc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7.9, if the Trustee consolidates, merges or converts into, sells or transfers all or substantially all of its corporate trust business (including this transaction) to, another corporation, the successor corporation without any further act shall be the successor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Securities shall have been authenticated, but not delivered, by the Trustee then in office, any successor by merger, conversion or consolidation to such authenticating Trustee may adopt such authentication and deliver the Securities so authenticated; and in case at that time any of the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val="false"/>
          <w:i w:val="false"/>
          <w:caps w:val="false"/>
          <w:smallCaps w:val="false"/>
          <w:sz w:val="20"/>
          <w:u w:val="single"/>
        </w:rPr>
        <w:t>Eligibility; Disqualification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hereunder which shall be a corporation organized and doing business under the laws of the United States, any State thereof or the District of Columbia and authorized under such laws to exercise corporate trust power, shall be subject to supervision or examination by Federal or State (or the District of Columbia) authority and shall have, or be a subsidiary of a bank or bank holding company having, a combined capital and surplus of at least $50 million as set forth in its most recent published annual report of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for the Securities shall be subject to the provisions of TIA § 310(b) during the period of time required thereby. Nothing herein shall prevent the Trustee from filing with the SEC the application referred to in the penultimate paragraph of TIA § 310(b). In determining whether the Trustee has a conflicting interest as defined in TIA § 310(b) with respect to the Securities of any Series, there shall be excluded Securities of any particular Series of Securities other than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Preferential Collection of Claims Against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subject to and shall comply with the provisions of TIA § 311(a), as if such section applied hereto, excluding any creditor relationship listed in TIA § 311(b). A Trustee that has resigned or been removed shall be subject to TIA § 311(a), as if such section applied hereto, to the extent indicated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33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Reports by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60 days after May 15 of each year commencing with the first May 15 following the first issuance of Securities pursuant to Section 2.1, if required by TIA § 313(a), the Trustee shall transmit, pursuant to TIA § 313(c), a brief report that complies with TIA § 313(a) which may have occurred since the later of the immediately preceding May 15 and the date of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transmit any reports required by TIA § 313(a) at the times specified therein.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copy of such report, if any, described in Section 7.11(a) and (b) shall, at the time of such transmission to Holders, be filed by the Trustee with each stock exchange, if any, upon which the Securities are listed, with the SEC and with the Company. The Company will promptly notify the Trustee in writing when the Securities are listed on any stock exchange and of any delisting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br/>
        <w:t>DISCHARGE OF INDENTURE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Termination of Company’s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Indenture shall cease to be of further effect with respect to the Securities of a Series (except that all obligations of the Company under Section 7.6, the Trustee’s and Paying Agent’s obligations under Section 8.3 and the rights, powers, protections and privileges accorded the Trustee under Article VII shall survive), and the Trustee, on written demand of the Company shall execute instruments acknowledging the satisfaction and discharge of this Indenture with respect to the Securities of such Series, when: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either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outstanding Securities of such Series theretofore authenticated and issued (other than destroyed, lost or stolen Securities that have been replaced or paid) have been delivered to the Trustee for cancellation; or</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outstanding Securities of such Series not theretofore delivered to the Trustee for cancellation:</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have become due and payable, or</w:t>
      </w:r>
    </w:p>
    <w:p>
      <w:pPr>
        <w:pStyle w:val="TextBody"/>
        <w:bidi w:val="0"/>
        <w:spacing w:before="0" w:after="0"/>
        <w:ind w:left="2880" w:right="0" w:firstLine="720"/>
        <w:jc w:val="left"/>
        <w:rPr>
          <w:caps w:val="false"/>
          <w:smallCaps w:val="false"/>
        </w:rPr>
      </w:pPr>
      <w:r>
        <w:rPr>
          <w:caps w:val="false"/>
          <w:smallCaps w:val="false"/>
        </w:rPr>
        <w:t> </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will become due and payable at their Stated Maturity within one year, or</w:t>
      </w:r>
    </w:p>
    <w:p>
      <w:pPr>
        <w:pStyle w:val="TextBody"/>
        <w:bidi w:val="0"/>
        <w:spacing w:before="0" w:after="0"/>
        <w:ind w:left="2880" w:right="0" w:firstLine="720"/>
        <w:jc w:val="left"/>
        <w:rPr>
          <w:caps w:val="false"/>
          <w:smallCaps w:val="false"/>
        </w:rPr>
      </w:pPr>
      <w:r>
        <w:rPr>
          <w:caps w:val="false"/>
          <w:smallCaps w:val="false"/>
        </w:rPr>
        <w:t> </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are to be called for redemption within one year under arrangements satisfactory to the Trustee for the giving of notice of redemption by the Trustee in the name, and at the expense, of the Company, and, in the case of clause (1), (2) or (3) above, the Company has irrevocably deposited or caused to be deposited with the Trustee as funds (immediately available to the Holders in the case of clause (1)) in trust for such purpose (x) cash in an amount, (y) Government Obligations, maturing as to principal and interest at such times and in such amounts as will ensure the availability of cash in an amount or (z) a combination thereof that will be sufficient, in the opinion (in the case of (y) or (z)) of a nationally recognized firm of independent public accountants expressed in a written certification thereof delivered to the Trustee, to pay and discharge the entire indebtedness on the Securities of such Series for principal and interest to the date of such deposit (in the case of Securities which have become due and payable) or for principal, premium, if any, and interest to the Stated Maturity or redemption date, as the case may be; or</w:t>
      </w:r>
    </w:p>
    <w:p>
      <w:pPr>
        <w:pStyle w:val="TextBody"/>
        <w:bidi w:val="0"/>
        <w:spacing w:before="0" w:after="0"/>
        <w:ind w:left="2880" w:right="0" w:firstLine="720"/>
        <w:jc w:val="left"/>
        <w:rPr>
          <w:caps w:val="false"/>
          <w:smallCaps w:val="false"/>
        </w:rPr>
      </w:pPr>
      <w:r>
        <w:rPr>
          <w:caps w:val="false"/>
          <w:smallCaps w:val="false"/>
        </w:rPr>
        <w:t> </w:t>
      </w:r>
    </w:p>
    <w:p>
      <w:pPr>
        <w:pStyle w:val="TextBody"/>
        <w:bidi w:val="0"/>
        <w:spacing w:before="200" w:after="200"/>
        <w:ind w:left="288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34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properly fulfilled such other means of satisfaction and discharge, as contemplated by Section 2.2 to be applicable to the Securities of such Series;</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paid or caused to be paid all other sums payable by it hereunder with respect to the Securities of such Series;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has delivered to the Trustee an Officers’ Certificate stating that all conditions precedent to satisfaction and discharge of this Indenture with respect to the Securities of such Series have been complied with, together with an Opinion of Counsel to the same effect.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 Unless this Section 8.1(b) is specified as not being applicable to the Securities of a Series as contemplated by Section 2.2, the Company may terminate certain of its obligations under this Indenture (“covenant defeasance”) with respect to the Securities of a Series if: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irrevocably deposited or caused to be deposited with the Trustee as funds in trust for the purpose of making the following payments, specifically pledged as security for and dedicated solely to the benefit of the Holders of Securities of such Series, (x) cash in an amount, (y) Government Obligations with respect to such Series, maturing as to principal and interest at such times and in such amounts as will ensure the availability of cash in an amount or (z) a combination thereof that will be sufficient, in the opinion (in the case of (y) or (z))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8.1(e))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200" w:after="200"/>
        <w:ind w:left="144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35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delivered to the Trustee an Officers’ Certificate stating that all conditions precedent to satisfaction and discharge of this Indenture with respect to the Securities of such Series have been complied with, and an Opinion of Counsel to the same effect;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Default or Event of Default with respect to the Securities of such Series shall have occurred and be continuing on the date of such deposit (other than a Default or Event of Default resulting from the borrowing of funds to be applied to such deposit and the grant of any lien securing such borrowings);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shall have delivered to the Trustee an Opinion of Counsel from a nationally recognized counsel acceptable to the Trustee or a binding tax ruling to the effect that the beneficial owners of the relevant Securities will not recognize income, gain or loss for federal income tax purposes as a result of such Company’s exercise of its option under this Section 8.1(b) and will be subject to federal income tax on the same amount and in the same manner and at the same times as would have been the case if such option had not been exercised;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has complied with any additional conditions specified pursuant to Section 2.2 to be applicable to the discharge of the Securities of such Series pursuant to this Section 8.1.</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event, this Indenture shall cease to be of further effect (except as set forth in this paragraph), and the Trustee, on written demand of the Company, shall execute instruments acknowledging satisfaction and discharge under this Indenture. However, the Company’s obligations in Sections 2.4, 2.5, 2.6, 2.7, 2.8, 4.1, 5.1, 7.6 and 7.7, the Events of Default described in Section 6.1(a), (b), (e) and (f), the Trustee’s and Paying Agent’s obligations in Section 8.3 and the rights, powers, protections and privileges accorded the Trustee under Article VII shall survive until all Securities of such Series are no longer outstanding. Thereafter, only the obligations of the Company in Section 7.6 and the Trustee’s and Paying Agent’s obligations in Section 8.3 shall survive with respect to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have money available on a payment date to pay principal of or premium (if any) or interest on the Securities, the Government Obligations shall be payable as to principal or interest on or before such payment date in such amounts as will provide the necessary money. Government Obligations shall not be callable at the issuer’s option.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36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has previously complied or is concurrently complying with the conditions set forth in Section 8.1(b) (other than any additional conditions specified pursuant to Section 2.2 that are expressly applicable only to covenant defeasance) with respect to the Securities of a Series, then unless this Section 8.1(c) is specified as not being applicable to the Securities of such Series as contemplated by Section 2.2, the Company may elect to be discharged (“legal defeasance”) from its obligations to make payments with respect to the Securities of such Series, if: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unless otherwise specified with respect to the Securities of such Series as contemplated by Section 2.2, the Company has delivered to the Trustee an Opinion of Counsel from a nationally recognized counsel acceptable to the Trustee to the effect referred to in Section 8.1(b)(iv) with respect to such legal defeasance, which opinion is based on (A) a binding private ruling of the Internal Revenue Service addressed to the Company, (B) a published ruling of the Internal Revenue Service or (C) a change in the applicable federal income tax law (including regulations) after the date of this Indenture;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complied with any other conditions specified pursuant to Section 2.2 to be applicable to the legal defeasance of Securities of such Series pursuant to this Section 8.1(c);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has delivered to the Trustee a Company Request requesting such legal defeasance of the Securities of such Series and an Officers’ Certificate stating that all conditions precedent with respect to such legal defeasance of the Securities of such Series have been complied with, together with an Opinion of Counsel to the same effect.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event, the Company will be discharged from its obligations under this Indenture and the Securities of such Series to pay principal of, premium (if any) and interest on, the Securities of such Series, the Company’s obligations under Sections 4.1 and 5.1 shall terminate with respect to such Securities, and the entire indebtedness of the Company evidenced by such Securities shall be deemed paid and discharged. However, the Company’s obligations in Sections 2.4, 2.5, 2.6, 2.7 and 2.8 shall survive until all Securities of such Series are no longer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and to the extent additional or alternative means of satisfaction, discharge or defeasance of the Securities of a Series are specified to be applicable to such Series as contemplated by Section 2.2, the Company may terminate any or all of its obligations under this Indenture with respect to its Securities of a Series and any or all of its obligations under the Securities of such Series if it fulfills such other means of satisfaction and discharge as may be so specified, as contemplated by Section 2.2, to be applicable to the Securities of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Securities of any Series subject to paragraphs (a), (b), (c) or (d) of this Section 8.1 are to be redeemed prior to their Stated Maturity, whether pursuant to any optional redemption provisions or in accordance with any mandatory or optional sinking fund provisions, the terms of the applicable trust arrangement shall provide for such redemption, and the Company shall make such arrangements as are reasonably satisfactory to the Trustee for the giving of notice of redemption in the name, and at the expense, of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Application of Trust Money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a trustee satisfactory to the Trustee and the Company shall hold in trust money or Government Obligations deposited with it pursuant to Section 8.1 hereof. It shall apply the deposited money and the money from Government Obligations through the Paying Agent and in accordance with this Indenture to the payment of principal of premium (if any) and interest on the Securities of the Series with respect to which the deposit was made.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37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8.3 </w:t>
      </w:r>
      <w:r>
        <w:rPr>
          <w:rFonts w:ascii="Times New Roman;Times;Serif" w:hAnsi="Times New Roman;Times;Serif"/>
          <w:b w:val="false"/>
          <w:i w:val="false"/>
          <w:caps w:val="false"/>
          <w:smallCaps w:val="false"/>
          <w:sz w:val="20"/>
          <w:u w:val="single"/>
        </w:rPr>
        <w:t>Repayment to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and the Paying Agent shall promptly pay to the Company upon written request any excess money or Government Obligations (or proceeds therefrom) held by them at any time upon the written request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any applicable abandoned property laws, the Trustee and the Paying Agent shall pay to the Company upon written request any money held by them for the payment of principal, premium (if any), and/or interest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8.4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the Paying Agent is unable to apply any money or Government Obligations deposited with respect to the Securities of any Series in accordance with Section 8.2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or Government Obligations in accordance with Section 8.2; provided, however, that if the Company has made any payment of principal of, premium (if any) or interest on any Securities because of the reinstatement of its obligations, the Company shall be subrogated to the rights of the Holders of such Securities to receive such payment from the money or Government Obligations held by the Trustee or the Paying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br/>
        <w:t>AMENDMENTS AND WAIVERS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Without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any Holder of Securities of a Series, the Company and the Trustee may amend or supplement this Indenture or the Series of Securities in the following circumstances: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omission, defect or inconsistency as evidenced in an Officers’ Certificate;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provide for the assumption of the Company’s obligations under this Indenture by a successor or transferee upon any permitted merger, consolidation or asset transfer;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38</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provide for uncertificated Securities in addition to or in place of Certificated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provide any security for or guarantees of its Securities or for the addition of an additional obligor on its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comply with any requirement to effect or maintain the qualification of this Indenture under the TIA, if applicable;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add covenants that would benefit the Holders of its Securities or to surrender any rights the Company has under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change or eliminate any of the provisions of this Indenture, provided that any such change or elimination shall not become effective with respect to any outstanding Securities of any Series created prior to the execution of such supplemental indenture which is entitled to the benefit of such provision;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provide for the issuance of and establish forms and terms and conditions of a new Series of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facilitate the defeasance and discharge of the Securities of any Series otherwise in accordance with Article VIII; provided that any such action does not adversely affect the rights of any Holder of outstanding Securities of such Series in any material respect as determined in good faith by the principal executive officer, the principal financial or accounting officer or the Treasurer of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issue additional Securities of any Series, provided that such additional Securities have the same terms as, and be deemed part of the same Series as, the applicable Series of Securities to the extent required under this Indenture; and provided further that if the additional Securities are not fungible with such Series for United States federal income tax purposes, the additional Securities will have a separate CUSIP number;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evidence and provide for the acceptance of and appointment of a successor trustee with respect to the Securities of one or more Series and to add to or change any of the provisions of this Indenture as shall be necessary to provide for or facilitate the administration of the trust by more than one trustee;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add additional Events of Default with respect to any Series of Securities;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make any change that does not adversely affect the rights of any Holder of any of its outstanding Securities in any material respect.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With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or the Securities of a Series may be amended or supplemented, and waivers may be obtained, with the consent of the Holders of at least a majority in aggregate principal amount of the then outstanding Securities of such Series voting as a single class (including consents obtained in connection with a tender offer or exchange offer for, or purchase of, such Securities of a Series), and any existing Default or Event of Default (other than a Default or Event of Default in the payment of the principal of, premium, if any, on or interest on, such Securities of a Series, except a payment Default resulting from an acceleration that has been rescinded) or compliance with any provision of this Indenture or the Securities of such Series may be waived with the consent of the Holders of at least a majority in aggregate principal amount of the then outstanding Securities of such Series voting as a single class (including consents obtained in connection with a purchase of, or tender offer or exchange offer for, such Securities of a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39</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a majority in principal amount of the outstanding Securities of a Series issued by the Company may waive any existing or past Default or Event of Default with respect to those Securities. Those Holders may not, however, waive any Default or Event of Default in any payment on any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any amendment, supplement or waiver to any Series of Securities made with the consent of Holders of such Series of Securities, shall be made with respect to that Series of Securities only, and not any other Series of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Limitations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each Holder of Securities of a Series affected thereby, an amendment, supplement or waiver may not (with respect to any Securities of such Series held by a non-consenting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reduce the percentage in principal amount of the Securities, the consent of whose Holders is required for any amendment, supplement or waiver;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rate of or change the time for payment of interest on the Securities of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principal of the Securities of such Series or change the Stated Maturity of the Securities of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reduce any premium payable on the redemption of the Securities of such Series or change the time at which the Securities of such Series may or must be redeemed or alter or waive any of the provisions with respect to the redemption of the Securities of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payments on the Security of such Series payable in currency other than as originally stated in such Security;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impair the Holder’s right to institute suit for the enforcement of any payment on the Security of such Series;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waive a continuing Default or Event of Default regarding any payment on the Securities of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40</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Form of Amendments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amendment to this Indenture or the Securities of one or more Series shall be set forth in a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Revocation and Effect of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her or its Security or portion of a Security if the Trustee receives the written notice of revocation before the date of the supplemental indenture or the date the waiver becomes effective.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or waiver once effective shall bind every Securityholder of each Series affected by such amendment or waiver unless it is of the type described in any of clauses (a) through (g) of Section 9.3. In that case, the amendment or waiver shall bind each Holder of a Security that has consented to it and every subsequent Holder of a Security or portion of a Security that evidences the same debt as the consenting Holder’s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Notation on or Exchange of the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place an appropriate notation about an amendment or waiver on any Security of any Series thereafter authenticated. The Company, in exchange for its Securities of that Series, may issue and the Trustee shall authenticate upon request new Securities of that Series that reflect the amendment or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9.7 </w:t>
      </w:r>
      <w:r>
        <w:rPr>
          <w:rFonts w:ascii="Times New Roman;Times;Serif" w:hAnsi="Times New Roman;Times;Serif"/>
          <w:b w:val="false"/>
          <w:i w:val="false"/>
          <w:caps w:val="false"/>
          <w:smallCaps w:val="false"/>
          <w:sz w:val="20"/>
          <w:u w:val="single"/>
        </w:rPr>
        <w:t>Trustee Protected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executing, or accepting the additional trusts created by, any supplemental indenture permitted by this Article IX or the modifications thereby of the trusts created by this Indenture, the Trustee shall be entitled to receive, and (subject to Section 7.1) shall be fully protected in relying upon, an Officers’ Certificate and an Opinion of Counsel stating that the execution of such supplemental indenture is authorized or permitted by this Indenture and constitutes the legal, valid and binding obligation of the Company enforceable against the Company in accordance with such supplemental indenture’s terms. The Trustee may, but shall not be obligated to, enter into any supplemental indentures which affect the Trustee’s own rights, duties, immunities, or indemnities under this Indenture, the Securities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41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w:t>
        <w:b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direction, instruction, demand, document, notice or communication by the Company or the Trustee to the other, or by a Holder to the Company or the Trustee, shall be in English and in writing and delivered in person, mailed by first-class mail, or delivered by overnight courier as provided below, or if sent by facsimile transmission or email in PDF format, to a facsimile number or email address, as the case may be, provided by the Company or the Trustee, with a copy, mailed by first-class mail, to the Company or the Trustee, as provided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Westinghouse Air Brake Technologies Corporation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Isabella Street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Pittsburgh, PA 15212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No: (412) 825-1501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Jones Day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Vesey Street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10281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No.: (212) 326-3978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Peter E. Devlin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Thornall Street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Edison, New Jersey 08837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No.: (732) 321-2516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Global Corporate Trust Services – Administrator, Westinghouse Air Brake Technologies Corporation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shall be effective upon the recipient’s actual receipt thereof. Any party by notice to the other parties may designate additional or different addresses for subsequent notices or communications.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to (a) a Securityholder of a Certificated Security shall be mailed by first-class mail to his, her or its address shown on the register kept by the Registrar and (b) a Securityholder of a Global Security shall be delivered to the Depositary in accordance with its applicable procedures. Failure to mail a notice or communication to a Securityholder of any Series or any defect in it shall not affect its sufficiency with respect to other Securityholders of that or any other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to any Securityholder is mailed or published in the manner provided above, within the time prescribed, it is duly given, whether or not the Securityholder receives 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mails a notice or communication to Securityholders, it shall mail a copy to the Trustee and each Agent at the same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this Indenture, the Trustee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Trustee shall not have any liability for any losses, liabilities, costs or expenses incurred or sustained by any party as a result of such reliance upon or compliance with such instructions, directions, reports, notices or other communications or information. Each other party agrees to assume all risks arising out of the use of electronic methods to submit instructions, directions, reports, notices or other communications or information to the Trustee, including the risk of the Trustee acting on unauthorized instructions, directions, reports, notices or other communications or information, and the risk of interception and misuse by third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42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Communication by Holders with Other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Securityholders of a Series may communicate pursuant to TIA § 312(b), as if such section applied hereto, with other Securityholders of such Series with respect to their rights under this Indenture or the Securities. The Trustee shall comply with the obligations imposed upon it by TIA § 312.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Certificate and Opinion as to Conditions Precedent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the Company to the Trustee to take any action under this Indenture, the Company shall furnish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stating that, in the opinion of the signer, all conditions precedent, if any, provided for in this Indenture relating to the proposed action have been complied with;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Opinion of Counsel stating that, in the opinion of such counsel, all such conditions precedent have been complied with.</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Statements Required in Certificate or Opinion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with respect to compliance with a condition or covenant provided for in this Indenture shall include: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the Person making such certificate or opinion has read such covenant or condition;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in such certificate or opinion are based;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such Person, he or she has made such examination or investigation as is necessary to enable him or her to express an informed opinion as to whether or not such covenant or condition has been complied with;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statement as to whether or not, in the opinion of such person, such condition or covenant has been complied with.</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43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Rules by Trustee and Agents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 meeting of Securityholders of one or more Series. Any Agent may make reasonable rules and set reasonable requirements for its functions.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Legal Holidays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by Board Resolution, Officers’ Certificate or supplemental indenture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10.7 </w:t>
      </w:r>
      <w:r>
        <w:rPr>
          <w:rFonts w:ascii="Times New Roman;Times;Serif" w:hAnsi="Times New Roman;Times;Serif"/>
          <w:b w:val="false"/>
          <w:i w:val="false"/>
          <w:caps w:val="false"/>
          <w:smallCaps w:val="false"/>
          <w:sz w:val="20"/>
          <w:u w:val="single"/>
        </w:rPr>
        <w:t>No Personal Liability of Directors, Officers, Employees and Certain Others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incorporator or similar founder, stockholder or member of the Company will have any liability for or any obligations of the Company under this Indenture or the Securities or for any claim based on, with respect to or by reason of, such obligations or their creation. Each Holder of the Securities by accepting a Security waives and releases all such liability. The waiver and release are part of the consideration for issuance of the Securities. The waiver may not be effective to waive liabilities under the federal securities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transmission shall be deemed to be their original signatures for all purposes. This Indenture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Code/UCC (collectively, “Signature Law”);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UCC or other Signature Law due to the character or intended character of the writings.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44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THE SECURITIES, INCLUDING ANY CLAIM OR CONTROVERSY ARISING OUT OF OR RELATING TO THIS INDENTURE OR THE SECURITIES, SHALL BE GOVERNED BY THE LAWS OF THE STATE OF NEW YORK WITHOUT REGARD TO CONFLICT OF LAW PRINCIPLES THAT WOULD RESULT IN THE APPLICATION OF ANY LAW OTHER THAN THE LAW OF THE STATE OF NEW YORK.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val="false"/>
          <w:caps w:val="false"/>
          <w:smallCaps w:val="false"/>
          <w:sz w:val="20"/>
          <w:u w:val="single"/>
        </w:rPr>
        <w:t>No Adverse Interpretation of Other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not be used to interpret another indenture, loan or debt agreement of the Company or any Subsidiary of the Company. Any such indenture, loan or debt agreement may not be used to interpret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Company in this Indenture and the Securities shall bind its respective successors. All agreements of the Trustee in this Indenture shall bind its successor.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10.13 </w:t>
      </w:r>
      <w:r>
        <w:rPr>
          <w:rFonts w:ascii="Times New Roman;Times;Serif" w:hAnsi="Times New Roman;Times;Serif"/>
          <w:b w:val="false"/>
          <w:i w:val="false"/>
          <w:caps w:val="false"/>
          <w:smallCaps w:val="false"/>
          <w:sz w:val="20"/>
          <w:u w:val="single"/>
        </w:rPr>
        <w:t>Table of Contents, Headings, Etc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10.14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the fullest extent that it may effectively do so under applicable law, that (a) if for the purpose of obtaining judgment in any court it is necessary to convert the sum due with respect to the principal of or interest or other amount on the Securities of any Series (the “Required Currency”) into a currency in which a judgment will be rendered (the “Judgment Currency”), the rate of exchange used shall be the rate at which in accordance with normal banking procedures the recipient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recipient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of this clause), in any currency other than the Required Currency, except to the extent that such tender or recovery shall result in the actual receipt, by the payee, of the full amount of the Required Currency expressed to be payable with respect to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45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10.15 </w:t>
      </w:r>
      <w:r>
        <w:rPr>
          <w:rFonts w:ascii="Times New Roman;Times;Serif" w:hAnsi="Times New Roman;Times;Serif"/>
          <w:b w:val="false"/>
          <w:i w:val="false"/>
          <w:caps w:val="false"/>
          <w:smallCaps w:val="false"/>
          <w:sz w:val="20"/>
          <w:u w:val="single"/>
        </w:rPr>
        <w:t>English Language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has been negotiated and executed in the English language. All certificates, reports, notices and other documents and communications delivered pursuant to this Indenture (including any modifications or supplements hereto), shall be in the English language, or accompanied by a certified English translation thereof. In the case of any document originally issued in a language other than English, the English language version of any such document shall for purposes of this Indenture, and absent manifest error, control the meaning of the matters set out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10.16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suit, action or proceeding against the Company or its respective properties, assets or revenues with respect to this Indenture or the Securities (a “Related Proceeding”) may be brought in any state or Federal court in the Borough of Manhattan in The City of New York, New York, as the Person bringing such Related Proceeding may elect in its sole discretion. The Company hereby consents to the non-exclusive jurisdiction of each such court for the purpose of any Related Proceeding and has irrevocably waived any objection to the laying of venue of any Related Proceeding brought in any such court and to the fullest extent it may effectively do so and the defense of an inconvenient forum to the maintenance of any Related Proceeding or any such suit, action or proceeding in any such court.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10.17 </w:t>
      </w:r>
      <w:r>
        <w:rPr>
          <w:rFonts w:ascii="Times New Roman;Times;Serif" w:hAnsi="Times New Roman;Times;Serif"/>
          <w:b w:val="false"/>
          <w:i w:val="false"/>
          <w:caps w:val="false"/>
          <w:smallCaps w:val="false"/>
          <w:sz w:val="20"/>
          <w:u w:val="single"/>
        </w:rPr>
        <w:t>Waiver of Immunity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Company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permitted by applicable law, such immunity with respect to its obligations under this Indenture, and,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46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10.18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THE TRUSTEE HERETO HEREBY IRREVOCABLY WAIVES ALL RIGHTS TO TRIAL BY JURY IN ANY ACTION, PROCEEDING OR COUNTERCLAIM (WHETHER BASED ON CONTRACT, TORT OR OTHERWISE) ARISING OUT OF OR RELATING TO THIS INDENTURE, THE SECURITIES, OR THE TRANSACTIONS CONTEMPLATED HEREBY OR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10.19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that in accordance with §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reasonably request in order for the Trustee to satisfy the requirements of the USA Patriot Act as such requirements pertain to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47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day and year first above written.</w:t>
      </w:r>
    </w:p>
    <w:p>
      <w:pPr>
        <w:pStyle w:val="TextBody"/>
        <w:bidi w:val="0"/>
        <w:spacing w:before="0" w:after="0"/>
        <w:ind w:left="0" w:right="0" w:firstLine="720"/>
        <w:jc w:val="left"/>
        <w:rPr>
          <w:caps w:val="false"/>
          <w:smallCaps w:val="false"/>
        </w:rPr>
      </w:pPr>
      <w:r>
        <w:rPr>
          <w:caps w:val="false"/>
          <w:smallCaps w:val="false"/>
        </w:rPr>
        <w:t> </w:t>
      </w:r>
    </w:p>
    <w:tbl>
      <w:tblPr>
        <w:tblW w:w="5839" w:type="dxa"/>
        <w:jc w:val="left"/>
        <w:tblInd w:w="0" w:type="dxa"/>
        <w:tblLayout w:type="fixed"/>
        <w:tblCellMar>
          <w:top w:w="0" w:type="dxa"/>
          <w:left w:w="0" w:type="dxa"/>
          <w:bottom w:w="0" w:type="dxa"/>
          <w:right w:w="0" w:type="dxa"/>
        </w:tblCellMar>
      </w:tblPr>
      <w:tblGrid>
        <w:gridCol w:w="75"/>
        <w:gridCol w:w="1931"/>
        <w:gridCol w:w="3833"/>
      </w:tblGrid>
      <w:tr>
        <w:trPr/>
        <w:tc>
          <w:tcPr>
            <w:tcW w:w="75" w:type="dxa"/>
            <w:tcBorders/>
            <w:vAlign w:val="center"/>
          </w:tcPr>
          <w:p>
            <w:pPr>
              <w:pStyle w:val="TableContents"/>
              <w:bidi w:val="0"/>
              <w:spacing w:before="0" w:after="283"/>
              <w:jc w:val="left"/>
              <w:rPr/>
            </w:pPr>
            <w:r>
              <w:rPr/>
              <w:t> </w:t>
            </w:r>
          </w:p>
        </w:tc>
        <w:tc>
          <w:tcPr>
            <w:tcW w:w="5764" w:type="dxa"/>
            <w:gridSpan w:val="2"/>
            <w:tcBorders/>
            <w:vAlign w:val="center"/>
          </w:tcPr>
          <w:p>
            <w:pPr>
              <w:pStyle w:val="TableContents"/>
              <w:bidi w:val="0"/>
              <w:spacing w:before="0" w:after="283"/>
              <w:jc w:val="left"/>
              <w:rPr/>
            </w:pPr>
            <w:r>
              <w:rPr/>
              <w:t>Westinghouse Air Brake Technologies Corporation</w:t>
            </w:r>
          </w:p>
        </w:tc>
      </w:tr>
      <w:tr>
        <w:trPr/>
        <w:tc>
          <w:tcPr>
            <w:tcW w:w="75"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left"/>
              <w:rPr/>
            </w:pPr>
            <w:r>
              <w:rPr/>
              <w:t> </w:t>
            </w:r>
          </w:p>
        </w:tc>
        <w:tc>
          <w:tcPr>
            <w:tcW w:w="38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left"/>
              <w:rPr/>
            </w:pPr>
            <w:r>
              <w:rPr/>
              <w:t>By: </w:t>
            </w:r>
          </w:p>
        </w:tc>
        <w:tc>
          <w:tcPr>
            <w:tcW w:w="383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left"/>
              <w:rPr/>
            </w:pPr>
            <w:r>
              <w:rPr/>
              <w:t> </w:t>
            </w:r>
          </w:p>
        </w:tc>
        <w:tc>
          <w:tcPr>
            <w:tcW w:w="3833"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left"/>
              <w:rPr/>
            </w:pPr>
            <w:r>
              <w:rPr/>
              <w:t> </w:t>
            </w:r>
          </w:p>
        </w:tc>
        <w:tc>
          <w:tcPr>
            <w:tcW w:w="3833" w:type="dxa"/>
            <w:tcBorders/>
            <w:vAlign w:val="center"/>
          </w:tcPr>
          <w:p>
            <w:pPr>
              <w:pStyle w:val="TableContents"/>
              <w:bidi w:val="0"/>
              <w:spacing w:before="0" w:after="283"/>
              <w:jc w:val="left"/>
              <w:rPr/>
            </w:pPr>
            <w:r>
              <w:rPr/>
              <w:t>Title:</w:t>
            </w:r>
          </w:p>
        </w:tc>
      </w:tr>
      <w:tr>
        <w:trPr/>
        <w:tc>
          <w:tcPr>
            <w:tcW w:w="75"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left"/>
              <w:rPr/>
            </w:pPr>
            <w:r>
              <w:rPr/>
              <w:t> </w:t>
            </w:r>
          </w:p>
        </w:tc>
        <w:tc>
          <w:tcPr>
            <w:tcW w:w="38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64" w:type="dxa"/>
            <w:gridSpan w:val="2"/>
            <w:tcBorders/>
            <w:vAlign w:val="center"/>
          </w:tcPr>
          <w:p>
            <w:pPr>
              <w:pStyle w:val="TableContents"/>
              <w:bidi w:val="0"/>
              <w:spacing w:before="0" w:after="283"/>
              <w:jc w:val="left"/>
              <w:rPr/>
            </w:pPr>
            <w:r>
              <w:rPr/>
              <w:t>U.S. Bank Trust Company, National Association, as Trustee</w:t>
            </w:r>
          </w:p>
        </w:tc>
      </w:tr>
      <w:tr>
        <w:trPr/>
        <w:tc>
          <w:tcPr>
            <w:tcW w:w="75"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left"/>
              <w:rPr/>
            </w:pPr>
            <w:r>
              <w:rPr/>
              <w:t> </w:t>
            </w:r>
          </w:p>
        </w:tc>
        <w:tc>
          <w:tcPr>
            <w:tcW w:w="38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left"/>
              <w:rPr/>
            </w:pPr>
            <w:r>
              <w:rPr/>
              <w:t>By:</w:t>
            </w:r>
          </w:p>
        </w:tc>
        <w:tc>
          <w:tcPr>
            <w:tcW w:w="383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left"/>
              <w:rPr/>
            </w:pPr>
            <w:r>
              <w:rPr/>
              <w:t> </w:t>
            </w:r>
          </w:p>
        </w:tc>
        <w:tc>
          <w:tcPr>
            <w:tcW w:w="3833"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left"/>
              <w:rPr/>
            </w:pPr>
            <w:r>
              <w:rPr/>
              <w:t> </w:t>
            </w:r>
          </w:p>
        </w:tc>
        <w:tc>
          <w:tcPr>
            <w:tcW w:w="3833" w:type="dxa"/>
            <w:tcBorders/>
            <w:vAlign w:val="center"/>
          </w:tcPr>
          <w:p>
            <w:pPr>
              <w:pStyle w:val="TableContents"/>
              <w:bidi w:val="0"/>
              <w:spacing w:before="0" w:after="283"/>
              <w:jc w:val="left"/>
              <w:rPr/>
            </w:pPr>
            <w:r>
              <w:rPr/>
              <w:t>Title: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p>
      <w:pPr>
        <w:pStyle w:val="TextBody"/>
        <w:bidi w:val="0"/>
        <w:spacing w:before="60" w:after="60"/>
        <w:jc w:val="center"/>
        <w:rPr>
          <w:caps w:val="false"/>
          <w:smallCaps w:val="false"/>
          <w:bdr w:val="single" w:sz="16" w:space="1" w:color="000000"/>
        </w:rPr>
      </w:pPr>
      <w:r>
        <w:rPr>
          <w:caps w:val="false"/>
          <w:smallCaps w:val="false"/>
          <w:bdr w:val="single" w:sz="16" w:space="1" w:color="000000"/>
        </w:rPr>
        <w:t> </w:t>
      </w:r>
    </w:p>
    <w:p>
      <w:pPr>
        <w:pStyle w:val="TextBody"/>
        <w:bidi w:val="0"/>
        <w:jc w:val="center"/>
        <w:rPr>
          <w:caps w:val="false"/>
          <w:smallCaps w:val="false"/>
          <w:bdr w:val="single" w:sz="32" w:space="1" w:color="000000"/>
        </w:rPr>
      </w:pPr>
      <w:bookmarkStart w:id="64" w:name="ny20083847x1_ex4-23.htm"/>
      <w:bookmarkStart w:id="65" w:name="ksny20083847x1_ex423"/>
      <w:bookmarkEnd w:id="64"/>
      <w:bookmarkEnd w:id="65"/>
      <w:r>
        <w:rPr>
          <w:caps w:val="false"/>
          <w:smallCaps w:val="false"/>
          <w:bdr w:val="single" w:sz="32" w:space="1" w:color="000000"/>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4.23</w:t>
      </w:r>
    </w:p>
    <w:p>
      <w:pPr>
        <w:pStyle w:val="TextBody"/>
        <w:bidi w:val="0"/>
        <w:jc w:val="center"/>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WESTINGHOUSE AIR BRAKE TECHNOLOGIES CORPORATION</w:t>
      </w:r>
    </w:p>
    <w:p>
      <w:pPr>
        <w:pStyle w:val="TextBody"/>
        <w:bidi w:val="0"/>
        <w:jc w:val="center"/>
        <w:rPr>
          <w:caps w:val="false"/>
          <w:smallCaps w:val="false"/>
        </w:rPr>
      </w:pPr>
      <w:r>
        <w:rPr>
          <w:caps w:val="false"/>
          <w:smallCaps w:val="false"/>
        </w:rPr>
        <w:t> </w:t>
      </w:r>
    </w:p>
    <w:p>
      <w:pPr>
        <w:pStyle w:val="TextBody"/>
        <w:bidi w:val="0"/>
        <w:spacing w:before="60" w:after="60"/>
        <w:jc w:val="center"/>
        <w:rPr>
          <w:caps w:val="false"/>
          <w:smallCaps w:val="false"/>
          <w:bdr w:val="single" w:sz="8" w:space="1" w:color="000000"/>
        </w:rPr>
      </w:pPr>
      <w:r>
        <w:rPr>
          <w:caps w:val="false"/>
          <w:smallCaps w:val="false"/>
          <w:bdr w:val="single" w:sz="8" w:space="1" w:color="000000"/>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as of [   ], 20[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WESTINGHOUSE AIR BRAKE TECHNOLOGIES CORPORATION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and tie showing the location in the Indenture dated as of [ ], 20[ ], of the provisions inserted pursuant to Sections 310 to 318(a), inclusive, of the Trust Indenture Act of 1939, as amended.</w:t>
      </w:r>
    </w:p>
    <w:p>
      <w:pPr>
        <w:pStyle w:val="TextBody"/>
        <w:bidi w:val="0"/>
        <w:spacing w:before="0" w:after="0"/>
        <w:ind w:left="0" w:right="0" w:firstLine="720"/>
        <w:jc w:val="left"/>
        <w:rPr>
          <w:caps w:val="false"/>
          <w:smallCaps w:val="false"/>
        </w:rPr>
      </w:pPr>
      <w:r>
        <w:rPr>
          <w:caps w:val="false"/>
          <w:smallCaps w:val="false"/>
        </w:rPr>
        <w:t> </w:t>
      </w:r>
    </w:p>
    <w:tbl>
      <w:tblPr>
        <w:tblW w:w="4478" w:type="dxa"/>
        <w:jc w:val="left"/>
        <w:tblInd w:w="0" w:type="dxa"/>
        <w:tblLayout w:type="fixed"/>
        <w:tblCellMar>
          <w:top w:w="0" w:type="dxa"/>
          <w:left w:w="0" w:type="dxa"/>
          <w:bottom w:w="0" w:type="dxa"/>
          <w:right w:w="0" w:type="dxa"/>
        </w:tblCellMar>
      </w:tblPr>
      <w:tblGrid>
        <w:gridCol w:w="2248"/>
        <w:gridCol w:w="355"/>
        <w:gridCol w:w="355"/>
        <w:gridCol w:w="1520"/>
      </w:tblGrid>
      <w:tr>
        <w:trPr/>
        <w:tc>
          <w:tcPr>
            <w:tcW w:w="2603" w:type="dxa"/>
            <w:gridSpan w:val="2"/>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Trust Indenture Act Section</w:t>
            </w:r>
          </w:p>
        </w:tc>
        <w:tc>
          <w:tcPr>
            <w:tcW w:w="355"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rFonts w:ascii="Times New Roman;Times;Serif" w:hAnsi="Times New Roman;Times;Serif"/>
                <w:b/>
                <w:sz w:val="20"/>
                <w:u w:val="single"/>
              </w:rPr>
            </w:pPr>
            <w:r>
              <w:rPr>
                <w:rFonts w:ascii="Times New Roman;Times;Serif" w:hAnsi="Times New Roman;Times;Serif"/>
                <w:b/>
                <w:sz w:val="20"/>
                <w:u w:val="single"/>
              </w:rPr>
              <w:t>Indenture Section</w:t>
            </w:r>
          </w:p>
        </w:tc>
      </w:tr>
      <w:tr>
        <w:trPr/>
        <w:tc>
          <w:tcPr>
            <w:tcW w:w="2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2248"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(a)(1)</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2248"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7.7, 7.9</w:t>
            </w:r>
          </w:p>
        </w:tc>
      </w:tr>
      <w:tr>
        <w:trPr/>
        <w:tc>
          <w:tcPr>
            <w:tcW w:w="2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7.10</w:t>
            </w:r>
          </w:p>
        </w:tc>
      </w:tr>
      <w:tr>
        <w:trPr/>
        <w:tc>
          <w:tcPr>
            <w:tcW w:w="2248"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7.10</w:t>
            </w:r>
          </w:p>
        </w:tc>
      </w:tr>
      <w:tr>
        <w:trPr/>
        <w:tc>
          <w:tcPr>
            <w:tcW w:w="2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312</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2248"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2248"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2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7.11</w:t>
            </w:r>
          </w:p>
        </w:tc>
      </w:tr>
      <w:tr>
        <w:trPr/>
        <w:tc>
          <w:tcPr>
            <w:tcW w:w="2248"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7.11</w:t>
            </w:r>
          </w:p>
        </w:tc>
      </w:tr>
      <w:tr>
        <w:trPr/>
        <w:tc>
          <w:tcPr>
            <w:tcW w:w="2248"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7.11</w:t>
            </w:r>
          </w:p>
        </w:tc>
      </w:tr>
      <w:tr>
        <w:trPr/>
        <w:tc>
          <w:tcPr>
            <w:tcW w:w="2248"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7.11</w:t>
            </w:r>
          </w:p>
        </w:tc>
      </w:tr>
      <w:tr>
        <w:trPr/>
        <w:tc>
          <w:tcPr>
            <w:tcW w:w="2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314</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4.2, 4.5</w:t>
            </w:r>
          </w:p>
        </w:tc>
      </w:tr>
      <w:tr>
        <w:trPr/>
        <w:tc>
          <w:tcPr>
            <w:tcW w:w="2248"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(c)(1)</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r>
        <w:trPr/>
        <w:tc>
          <w:tcPr>
            <w:tcW w:w="2248"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(c)(2)</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r>
        <w:trPr/>
        <w:tc>
          <w:tcPr>
            <w:tcW w:w="2248"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2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316</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2248"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(a)(1)(A)</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6.12</w:t>
            </w:r>
          </w:p>
        </w:tc>
      </w:tr>
      <w:tr>
        <w:trPr/>
        <w:tc>
          <w:tcPr>
            <w:tcW w:w="2248"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(a)(1)(B)</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6.13</w:t>
            </w:r>
          </w:p>
        </w:tc>
      </w:tr>
      <w:tr>
        <w:trPr/>
        <w:tc>
          <w:tcPr>
            <w:tcW w:w="2248"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2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317</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(a)(1)</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r>
      <w:tr>
        <w:trPr/>
        <w:tc>
          <w:tcPr>
            <w:tcW w:w="2248"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2248"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2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318</w:t>
            </w:r>
          </w:p>
        </w:tc>
        <w:tc>
          <w:tcPr>
            <w:tcW w:w="7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5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2248"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reconciliation and tie shall not, for any purpose, be deemed to be a part of the Indenture.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p>
      <w:pPr>
        <w:pStyle w:val="TextBody"/>
        <w:bidi w:val="0"/>
        <w:spacing w:before="0" w:after="0"/>
        <w:ind w:left="115" w:right="115"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115" w:right="115" w:hanging="0"/>
        <w:jc w:val="center"/>
        <w:rPr>
          <w:caps w:val="false"/>
          <w:smallCaps w:val="false"/>
        </w:rPr>
      </w:pPr>
      <w:r>
        <w:rPr>
          <w:caps w:val="false"/>
          <w:smallCaps w:val="false"/>
        </w:rPr>
        <w:t> </w:t>
      </w:r>
    </w:p>
    <w:p>
      <w:pPr>
        <w:pStyle w:val="TextBody"/>
        <w:bidi w:val="0"/>
        <w:spacing w:before="0" w:after="0"/>
        <w:ind w:left="115"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jc w:val="left"/>
        <w:rPr>
          <w:caps w:val="false"/>
          <w:smallCaps w:val="false"/>
        </w:rPr>
      </w:pPr>
      <w:r>
        <w:rPr>
          <w:caps w:val="false"/>
          <w:smallCaps w:val="false"/>
        </w:rPr>
        <w:t> </w:t>
      </w:r>
    </w:p>
    <w:tbl>
      <w:tblPr>
        <w:tblW w:w="8969" w:type="dxa"/>
        <w:jc w:val="left"/>
        <w:tblInd w:w="0" w:type="dxa"/>
        <w:tblLayout w:type="fixed"/>
        <w:tblCellMar>
          <w:top w:w="0" w:type="dxa"/>
          <w:left w:w="0" w:type="dxa"/>
          <w:bottom w:w="0" w:type="dxa"/>
          <w:right w:w="0" w:type="dxa"/>
        </w:tblCellMar>
      </w:tblPr>
      <w:tblGrid>
        <w:gridCol w:w="80"/>
        <w:gridCol w:w="1304"/>
        <w:gridCol w:w="7310"/>
        <w:gridCol w:w="275"/>
      </w:tblGrid>
      <w:tr>
        <w:trPr/>
        <w:tc>
          <w:tcPr>
            <w:tcW w:w="1384" w:type="dxa"/>
            <w:gridSpan w:val="2"/>
            <w:tcBorders/>
            <w:vAlign w:val="center"/>
          </w:tcPr>
          <w:p>
            <w:pPr>
              <w:pStyle w:val="TableContents"/>
              <w:bidi w:val="0"/>
              <w:spacing w:before="0" w:after="283"/>
              <w:jc w:val="left"/>
              <w:rPr/>
            </w:pPr>
            <w:r>
              <w:rPr/>
              <w:t>ARTICLE I</w:t>
            </w:r>
          </w:p>
        </w:tc>
        <w:tc>
          <w:tcPr>
            <w:tcW w:w="7310" w:type="dxa"/>
            <w:tcBorders/>
            <w:vAlign w:val="center"/>
          </w:tcPr>
          <w:p>
            <w:pPr>
              <w:pStyle w:val="TableContents"/>
              <w:bidi w:val="0"/>
              <w:spacing w:before="0" w:after="283"/>
              <w:jc w:val="left"/>
              <w:rPr/>
            </w:pPr>
            <w:r>
              <w:rPr/>
              <w:t>DEFINITIONS AND INCORPORATION BY REFERENCE</w:t>
            </w:r>
          </w:p>
        </w:tc>
        <w:tc>
          <w:tcPr>
            <w:tcW w:w="275" w:type="dxa"/>
            <w:tcBorders/>
            <w:vAlign w:val="center"/>
          </w:tcPr>
          <w:p>
            <w:pPr>
              <w:pStyle w:val="TableContents"/>
              <w:bidi w:val="0"/>
              <w:spacing w:before="0" w:after="283"/>
              <w:jc w:val="right"/>
              <w:rPr/>
            </w:pPr>
            <w:r>
              <w:rPr/>
              <w:t>1</w:t>
            </w:r>
          </w:p>
        </w:tc>
      </w:tr>
      <w:tr>
        <w:trPr/>
        <w:tc>
          <w:tcPr>
            <w:tcW w:w="1384" w:type="dxa"/>
            <w:gridSpan w:val="2"/>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1.1</w:t>
            </w:r>
          </w:p>
        </w:tc>
        <w:tc>
          <w:tcPr>
            <w:tcW w:w="7310" w:type="dxa"/>
            <w:tcBorders/>
            <w:vAlign w:val="center"/>
          </w:tcPr>
          <w:p>
            <w:pPr>
              <w:pStyle w:val="TableContents"/>
              <w:bidi w:val="0"/>
              <w:spacing w:before="0" w:after="283"/>
              <w:jc w:val="left"/>
              <w:rPr/>
            </w:pPr>
            <w:r>
              <w:rPr/>
              <w:t>Definitions</w:t>
            </w:r>
          </w:p>
        </w:tc>
        <w:tc>
          <w:tcPr>
            <w:tcW w:w="275" w:type="dxa"/>
            <w:tcBorders/>
            <w:vAlign w:val="center"/>
          </w:tcPr>
          <w:p>
            <w:pPr>
              <w:pStyle w:val="TableContents"/>
              <w:bidi w:val="0"/>
              <w:spacing w:before="0" w:after="283"/>
              <w:jc w:val="right"/>
              <w:rPr/>
            </w:pPr>
            <w:r>
              <w:rPr/>
              <w:t>1</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1.2</w:t>
            </w:r>
          </w:p>
        </w:tc>
        <w:tc>
          <w:tcPr>
            <w:tcW w:w="7310" w:type="dxa"/>
            <w:tcBorders/>
            <w:vAlign w:val="center"/>
          </w:tcPr>
          <w:p>
            <w:pPr>
              <w:pStyle w:val="TableContents"/>
              <w:bidi w:val="0"/>
              <w:spacing w:before="0" w:after="283"/>
              <w:jc w:val="left"/>
              <w:rPr/>
            </w:pPr>
            <w:r>
              <w:rPr/>
              <w:t>Other Definitions</w:t>
            </w:r>
          </w:p>
        </w:tc>
        <w:tc>
          <w:tcPr>
            <w:tcW w:w="275" w:type="dxa"/>
            <w:tcBorders/>
            <w:vAlign w:val="center"/>
          </w:tcPr>
          <w:p>
            <w:pPr>
              <w:pStyle w:val="TableContents"/>
              <w:bidi w:val="0"/>
              <w:spacing w:before="0" w:after="283"/>
              <w:jc w:val="right"/>
              <w:rPr/>
            </w:pPr>
            <w:r>
              <w:rPr/>
              <w:t>5</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1.3</w:t>
            </w:r>
          </w:p>
        </w:tc>
        <w:tc>
          <w:tcPr>
            <w:tcW w:w="7310" w:type="dxa"/>
            <w:tcBorders/>
            <w:vAlign w:val="center"/>
          </w:tcPr>
          <w:p>
            <w:pPr>
              <w:pStyle w:val="TableContents"/>
              <w:bidi w:val="0"/>
              <w:spacing w:before="0" w:after="283"/>
              <w:jc w:val="left"/>
              <w:rPr/>
            </w:pPr>
            <w:r>
              <w:rPr/>
              <w:t>Rules of Construction</w:t>
            </w:r>
          </w:p>
        </w:tc>
        <w:tc>
          <w:tcPr>
            <w:tcW w:w="275" w:type="dxa"/>
            <w:tcBorders/>
            <w:vAlign w:val="center"/>
          </w:tcPr>
          <w:p>
            <w:pPr>
              <w:pStyle w:val="TableContents"/>
              <w:bidi w:val="0"/>
              <w:spacing w:before="0" w:after="283"/>
              <w:jc w:val="right"/>
              <w:rPr/>
            </w:pPr>
            <w:r>
              <w:rPr/>
              <w:t>6</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1.4</w:t>
            </w:r>
          </w:p>
        </w:tc>
        <w:tc>
          <w:tcPr>
            <w:tcW w:w="7310" w:type="dxa"/>
            <w:tcBorders/>
            <w:vAlign w:val="center"/>
          </w:tcPr>
          <w:p>
            <w:pPr>
              <w:pStyle w:val="TableContents"/>
              <w:bidi w:val="0"/>
              <w:spacing w:before="0" w:after="283"/>
              <w:jc w:val="left"/>
              <w:rPr/>
            </w:pPr>
            <w:r>
              <w:rPr/>
              <w:t>Conflict with Trust Indenture Act</w:t>
            </w:r>
          </w:p>
        </w:tc>
        <w:tc>
          <w:tcPr>
            <w:tcW w:w="275" w:type="dxa"/>
            <w:tcBorders/>
            <w:vAlign w:val="center"/>
          </w:tcPr>
          <w:p>
            <w:pPr>
              <w:pStyle w:val="TableContents"/>
              <w:bidi w:val="0"/>
              <w:spacing w:before="0" w:after="283"/>
              <w:jc w:val="right"/>
              <w:rPr/>
            </w:pPr>
            <w:r>
              <w:rPr/>
              <w:t>6</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384" w:type="dxa"/>
            <w:gridSpan w:val="2"/>
            <w:tcBorders/>
            <w:vAlign w:val="center"/>
          </w:tcPr>
          <w:p>
            <w:pPr>
              <w:pStyle w:val="TableContents"/>
              <w:bidi w:val="0"/>
              <w:spacing w:before="0" w:after="283"/>
              <w:jc w:val="left"/>
              <w:rPr/>
            </w:pPr>
            <w:r>
              <w:rPr/>
              <w:t>ARTICLE II</w:t>
            </w:r>
          </w:p>
        </w:tc>
        <w:tc>
          <w:tcPr>
            <w:tcW w:w="7310" w:type="dxa"/>
            <w:tcBorders/>
            <w:vAlign w:val="center"/>
          </w:tcPr>
          <w:p>
            <w:pPr>
              <w:pStyle w:val="TableContents"/>
              <w:bidi w:val="0"/>
              <w:spacing w:before="0" w:after="283"/>
              <w:jc w:val="left"/>
              <w:rPr/>
            </w:pPr>
            <w:r>
              <w:rPr/>
              <w:t>THE SECURITIES</w:t>
            </w:r>
          </w:p>
        </w:tc>
        <w:tc>
          <w:tcPr>
            <w:tcW w:w="275" w:type="dxa"/>
            <w:tcBorders/>
            <w:vAlign w:val="center"/>
          </w:tcPr>
          <w:p>
            <w:pPr>
              <w:pStyle w:val="TableContents"/>
              <w:bidi w:val="0"/>
              <w:spacing w:before="0" w:after="283"/>
              <w:jc w:val="right"/>
              <w:rPr/>
            </w:pPr>
            <w:r>
              <w:rPr/>
              <w:t>6</w:t>
            </w:r>
          </w:p>
        </w:tc>
      </w:tr>
      <w:tr>
        <w:trPr/>
        <w:tc>
          <w:tcPr>
            <w:tcW w:w="1384" w:type="dxa"/>
            <w:gridSpan w:val="2"/>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2.1</w:t>
            </w:r>
          </w:p>
        </w:tc>
        <w:tc>
          <w:tcPr>
            <w:tcW w:w="7310" w:type="dxa"/>
            <w:tcBorders/>
            <w:vAlign w:val="center"/>
          </w:tcPr>
          <w:p>
            <w:pPr>
              <w:pStyle w:val="TableContents"/>
              <w:bidi w:val="0"/>
              <w:spacing w:before="0" w:after="283"/>
              <w:jc w:val="left"/>
              <w:rPr/>
            </w:pPr>
            <w:r>
              <w:rPr/>
              <w:t>Issuable in Series</w:t>
            </w:r>
          </w:p>
        </w:tc>
        <w:tc>
          <w:tcPr>
            <w:tcW w:w="275" w:type="dxa"/>
            <w:tcBorders/>
            <w:vAlign w:val="center"/>
          </w:tcPr>
          <w:p>
            <w:pPr>
              <w:pStyle w:val="TableContents"/>
              <w:bidi w:val="0"/>
              <w:spacing w:before="0" w:after="283"/>
              <w:jc w:val="right"/>
              <w:rPr/>
            </w:pPr>
            <w:r>
              <w:rPr/>
              <w:t>6</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2.2</w:t>
            </w:r>
          </w:p>
        </w:tc>
        <w:tc>
          <w:tcPr>
            <w:tcW w:w="7310" w:type="dxa"/>
            <w:tcBorders/>
            <w:vAlign w:val="center"/>
          </w:tcPr>
          <w:p>
            <w:pPr>
              <w:pStyle w:val="TableContents"/>
              <w:bidi w:val="0"/>
              <w:spacing w:before="0" w:after="283"/>
              <w:jc w:val="left"/>
              <w:rPr/>
            </w:pPr>
            <w:r>
              <w:rPr/>
              <w:t>Establishment of Terms of Series of Securities</w:t>
            </w:r>
          </w:p>
        </w:tc>
        <w:tc>
          <w:tcPr>
            <w:tcW w:w="275" w:type="dxa"/>
            <w:tcBorders/>
            <w:vAlign w:val="center"/>
          </w:tcPr>
          <w:p>
            <w:pPr>
              <w:pStyle w:val="TableContents"/>
              <w:bidi w:val="0"/>
              <w:spacing w:before="0" w:after="283"/>
              <w:jc w:val="right"/>
              <w:rPr/>
            </w:pPr>
            <w:r>
              <w:rPr/>
              <w:t>6</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2.3</w:t>
            </w:r>
          </w:p>
        </w:tc>
        <w:tc>
          <w:tcPr>
            <w:tcW w:w="7310" w:type="dxa"/>
            <w:tcBorders/>
            <w:vAlign w:val="center"/>
          </w:tcPr>
          <w:p>
            <w:pPr>
              <w:pStyle w:val="TableContents"/>
              <w:bidi w:val="0"/>
              <w:spacing w:before="0" w:after="283"/>
              <w:jc w:val="left"/>
              <w:rPr/>
            </w:pPr>
            <w:r>
              <w:rPr/>
              <w:t>Execution and Authentication</w:t>
            </w:r>
          </w:p>
        </w:tc>
        <w:tc>
          <w:tcPr>
            <w:tcW w:w="275" w:type="dxa"/>
            <w:tcBorders/>
            <w:vAlign w:val="center"/>
          </w:tcPr>
          <w:p>
            <w:pPr>
              <w:pStyle w:val="TableContents"/>
              <w:bidi w:val="0"/>
              <w:spacing w:before="0" w:after="283"/>
              <w:jc w:val="right"/>
              <w:rPr/>
            </w:pPr>
            <w:r>
              <w:rPr/>
              <w:t>9</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2.4</w:t>
            </w:r>
          </w:p>
        </w:tc>
        <w:tc>
          <w:tcPr>
            <w:tcW w:w="7310" w:type="dxa"/>
            <w:tcBorders/>
            <w:vAlign w:val="center"/>
          </w:tcPr>
          <w:p>
            <w:pPr>
              <w:pStyle w:val="TableContents"/>
              <w:bidi w:val="0"/>
              <w:spacing w:before="0" w:after="283"/>
              <w:jc w:val="left"/>
              <w:rPr/>
            </w:pPr>
            <w:r>
              <w:rPr/>
              <w:t>Registrar, Paying Agent and Transfer Agent</w:t>
            </w:r>
          </w:p>
        </w:tc>
        <w:tc>
          <w:tcPr>
            <w:tcW w:w="275" w:type="dxa"/>
            <w:tcBorders/>
            <w:vAlign w:val="center"/>
          </w:tcPr>
          <w:p>
            <w:pPr>
              <w:pStyle w:val="TableContents"/>
              <w:bidi w:val="0"/>
              <w:spacing w:before="0" w:after="283"/>
              <w:jc w:val="right"/>
              <w:rPr/>
            </w:pPr>
            <w:r>
              <w:rPr/>
              <w:t>10</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2.5</w:t>
            </w:r>
          </w:p>
        </w:tc>
        <w:tc>
          <w:tcPr>
            <w:tcW w:w="7310" w:type="dxa"/>
            <w:tcBorders/>
            <w:vAlign w:val="center"/>
          </w:tcPr>
          <w:p>
            <w:pPr>
              <w:pStyle w:val="TableContents"/>
              <w:bidi w:val="0"/>
              <w:spacing w:before="0" w:after="283"/>
              <w:jc w:val="left"/>
              <w:rPr/>
            </w:pPr>
            <w:r>
              <w:rPr/>
              <w:t>Paying Agent to Hold Money in Trust</w:t>
            </w:r>
          </w:p>
        </w:tc>
        <w:tc>
          <w:tcPr>
            <w:tcW w:w="275" w:type="dxa"/>
            <w:tcBorders/>
            <w:vAlign w:val="center"/>
          </w:tcPr>
          <w:p>
            <w:pPr>
              <w:pStyle w:val="TableContents"/>
              <w:bidi w:val="0"/>
              <w:spacing w:before="0" w:after="283"/>
              <w:jc w:val="right"/>
              <w:rPr/>
            </w:pPr>
            <w:r>
              <w:rPr/>
              <w:t>11</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2.6</w:t>
            </w:r>
          </w:p>
        </w:tc>
        <w:tc>
          <w:tcPr>
            <w:tcW w:w="7310" w:type="dxa"/>
            <w:tcBorders/>
            <w:vAlign w:val="center"/>
          </w:tcPr>
          <w:p>
            <w:pPr>
              <w:pStyle w:val="TableContents"/>
              <w:bidi w:val="0"/>
              <w:spacing w:before="0" w:after="283"/>
              <w:jc w:val="left"/>
              <w:rPr/>
            </w:pPr>
            <w:r>
              <w:rPr/>
              <w:t>Securityholder Lists</w:t>
            </w:r>
          </w:p>
        </w:tc>
        <w:tc>
          <w:tcPr>
            <w:tcW w:w="275" w:type="dxa"/>
            <w:tcBorders/>
            <w:vAlign w:val="center"/>
          </w:tcPr>
          <w:p>
            <w:pPr>
              <w:pStyle w:val="TableContents"/>
              <w:bidi w:val="0"/>
              <w:spacing w:before="0" w:after="283"/>
              <w:jc w:val="right"/>
              <w:rPr/>
            </w:pPr>
            <w:r>
              <w:rPr/>
              <w:t>11</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2.7</w:t>
            </w:r>
          </w:p>
        </w:tc>
        <w:tc>
          <w:tcPr>
            <w:tcW w:w="7310" w:type="dxa"/>
            <w:tcBorders/>
            <w:vAlign w:val="center"/>
          </w:tcPr>
          <w:p>
            <w:pPr>
              <w:pStyle w:val="TableContents"/>
              <w:bidi w:val="0"/>
              <w:spacing w:before="0" w:after="283"/>
              <w:jc w:val="left"/>
              <w:rPr/>
            </w:pPr>
            <w:r>
              <w:rPr/>
              <w:t>Transfer and Exchange</w:t>
            </w:r>
          </w:p>
        </w:tc>
        <w:tc>
          <w:tcPr>
            <w:tcW w:w="275" w:type="dxa"/>
            <w:tcBorders/>
            <w:vAlign w:val="center"/>
          </w:tcPr>
          <w:p>
            <w:pPr>
              <w:pStyle w:val="TableContents"/>
              <w:bidi w:val="0"/>
              <w:spacing w:before="0" w:after="283"/>
              <w:jc w:val="right"/>
              <w:rPr/>
            </w:pPr>
            <w:r>
              <w:rPr/>
              <w:t>12</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2.8</w:t>
            </w:r>
          </w:p>
        </w:tc>
        <w:tc>
          <w:tcPr>
            <w:tcW w:w="7310" w:type="dxa"/>
            <w:tcBorders/>
            <w:vAlign w:val="center"/>
          </w:tcPr>
          <w:p>
            <w:pPr>
              <w:pStyle w:val="TableContents"/>
              <w:bidi w:val="0"/>
              <w:spacing w:before="0" w:after="283"/>
              <w:jc w:val="left"/>
              <w:rPr/>
            </w:pPr>
            <w:r>
              <w:rPr/>
              <w:t>Mutilated, Destroyed, Lost and Stolen Securities</w:t>
            </w:r>
          </w:p>
        </w:tc>
        <w:tc>
          <w:tcPr>
            <w:tcW w:w="275" w:type="dxa"/>
            <w:tcBorders/>
            <w:vAlign w:val="center"/>
          </w:tcPr>
          <w:p>
            <w:pPr>
              <w:pStyle w:val="TableContents"/>
              <w:bidi w:val="0"/>
              <w:spacing w:before="0" w:after="283"/>
              <w:jc w:val="right"/>
              <w:rPr/>
            </w:pPr>
            <w:r>
              <w:rPr/>
              <w:t>12</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2.9</w:t>
            </w:r>
          </w:p>
        </w:tc>
        <w:tc>
          <w:tcPr>
            <w:tcW w:w="7310" w:type="dxa"/>
            <w:tcBorders/>
            <w:vAlign w:val="center"/>
          </w:tcPr>
          <w:p>
            <w:pPr>
              <w:pStyle w:val="TableContents"/>
              <w:bidi w:val="0"/>
              <w:spacing w:before="0" w:after="283"/>
              <w:jc w:val="left"/>
              <w:rPr/>
            </w:pPr>
            <w:r>
              <w:rPr/>
              <w:t>Outstanding Securities</w:t>
            </w:r>
          </w:p>
        </w:tc>
        <w:tc>
          <w:tcPr>
            <w:tcW w:w="275" w:type="dxa"/>
            <w:tcBorders/>
            <w:vAlign w:val="center"/>
          </w:tcPr>
          <w:p>
            <w:pPr>
              <w:pStyle w:val="TableContents"/>
              <w:bidi w:val="0"/>
              <w:spacing w:before="0" w:after="283"/>
              <w:jc w:val="right"/>
              <w:rPr/>
            </w:pPr>
            <w:r>
              <w:rPr/>
              <w:t>13</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2.10</w:t>
            </w:r>
          </w:p>
        </w:tc>
        <w:tc>
          <w:tcPr>
            <w:tcW w:w="7310" w:type="dxa"/>
            <w:tcBorders/>
            <w:vAlign w:val="center"/>
          </w:tcPr>
          <w:p>
            <w:pPr>
              <w:pStyle w:val="TableContents"/>
              <w:bidi w:val="0"/>
              <w:spacing w:before="0" w:after="283"/>
              <w:jc w:val="left"/>
              <w:rPr/>
            </w:pPr>
            <w:r>
              <w:rPr/>
              <w:t>Treasury Securities</w:t>
            </w:r>
          </w:p>
        </w:tc>
        <w:tc>
          <w:tcPr>
            <w:tcW w:w="275" w:type="dxa"/>
            <w:tcBorders/>
            <w:vAlign w:val="center"/>
          </w:tcPr>
          <w:p>
            <w:pPr>
              <w:pStyle w:val="TableContents"/>
              <w:bidi w:val="0"/>
              <w:spacing w:before="0" w:after="283"/>
              <w:jc w:val="right"/>
              <w:rPr/>
            </w:pPr>
            <w:r>
              <w:rPr/>
              <w:t>13</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2.11</w:t>
            </w:r>
          </w:p>
        </w:tc>
        <w:tc>
          <w:tcPr>
            <w:tcW w:w="7310" w:type="dxa"/>
            <w:tcBorders/>
            <w:vAlign w:val="center"/>
          </w:tcPr>
          <w:p>
            <w:pPr>
              <w:pStyle w:val="TableContents"/>
              <w:bidi w:val="0"/>
              <w:spacing w:before="0" w:after="283"/>
              <w:jc w:val="left"/>
              <w:rPr/>
            </w:pPr>
            <w:r>
              <w:rPr/>
              <w:t>Temporary Securities</w:t>
            </w:r>
          </w:p>
        </w:tc>
        <w:tc>
          <w:tcPr>
            <w:tcW w:w="275" w:type="dxa"/>
            <w:tcBorders/>
            <w:vAlign w:val="center"/>
          </w:tcPr>
          <w:p>
            <w:pPr>
              <w:pStyle w:val="TableContents"/>
              <w:bidi w:val="0"/>
              <w:spacing w:before="0" w:after="283"/>
              <w:jc w:val="right"/>
              <w:rPr/>
            </w:pPr>
            <w:r>
              <w:rPr/>
              <w:t>13</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2.12</w:t>
            </w:r>
          </w:p>
        </w:tc>
        <w:tc>
          <w:tcPr>
            <w:tcW w:w="7310" w:type="dxa"/>
            <w:tcBorders/>
            <w:vAlign w:val="center"/>
          </w:tcPr>
          <w:p>
            <w:pPr>
              <w:pStyle w:val="TableContents"/>
              <w:bidi w:val="0"/>
              <w:spacing w:before="0" w:after="283"/>
              <w:jc w:val="left"/>
              <w:rPr/>
            </w:pPr>
            <w:r>
              <w:rPr/>
              <w:t>Cancellation</w:t>
            </w:r>
          </w:p>
        </w:tc>
        <w:tc>
          <w:tcPr>
            <w:tcW w:w="275" w:type="dxa"/>
            <w:tcBorders/>
            <w:vAlign w:val="center"/>
          </w:tcPr>
          <w:p>
            <w:pPr>
              <w:pStyle w:val="TableContents"/>
              <w:bidi w:val="0"/>
              <w:spacing w:before="0" w:after="283"/>
              <w:jc w:val="right"/>
              <w:rPr/>
            </w:pPr>
            <w:r>
              <w:rPr/>
              <w:t>14</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2.13</w:t>
            </w:r>
          </w:p>
        </w:tc>
        <w:tc>
          <w:tcPr>
            <w:tcW w:w="7310" w:type="dxa"/>
            <w:tcBorders/>
            <w:vAlign w:val="center"/>
          </w:tcPr>
          <w:p>
            <w:pPr>
              <w:pStyle w:val="TableContents"/>
              <w:bidi w:val="0"/>
              <w:spacing w:before="0" w:after="283"/>
              <w:jc w:val="left"/>
              <w:rPr/>
            </w:pPr>
            <w:r>
              <w:rPr/>
              <w:t>Defaulted Interest</w:t>
            </w:r>
          </w:p>
        </w:tc>
        <w:tc>
          <w:tcPr>
            <w:tcW w:w="275" w:type="dxa"/>
            <w:tcBorders/>
            <w:vAlign w:val="center"/>
          </w:tcPr>
          <w:p>
            <w:pPr>
              <w:pStyle w:val="TableContents"/>
              <w:bidi w:val="0"/>
              <w:spacing w:before="0" w:after="283"/>
              <w:jc w:val="right"/>
              <w:rPr/>
            </w:pPr>
            <w:r>
              <w:rPr/>
              <w:t>14</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2.14</w:t>
            </w:r>
          </w:p>
        </w:tc>
        <w:tc>
          <w:tcPr>
            <w:tcW w:w="7310" w:type="dxa"/>
            <w:tcBorders/>
            <w:vAlign w:val="center"/>
          </w:tcPr>
          <w:p>
            <w:pPr>
              <w:pStyle w:val="TableContents"/>
              <w:bidi w:val="0"/>
              <w:spacing w:before="0" w:after="283"/>
              <w:jc w:val="left"/>
              <w:rPr/>
            </w:pPr>
            <w:r>
              <w:rPr/>
              <w:t>Global Securities</w:t>
            </w:r>
          </w:p>
        </w:tc>
        <w:tc>
          <w:tcPr>
            <w:tcW w:w="275" w:type="dxa"/>
            <w:tcBorders/>
            <w:vAlign w:val="center"/>
          </w:tcPr>
          <w:p>
            <w:pPr>
              <w:pStyle w:val="TableContents"/>
              <w:bidi w:val="0"/>
              <w:spacing w:before="0" w:after="283"/>
              <w:jc w:val="right"/>
              <w:rPr/>
            </w:pPr>
            <w:r>
              <w:rPr/>
              <w:t>14</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2.15</w:t>
            </w:r>
          </w:p>
        </w:tc>
        <w:tc>
          <w:tcPr>
            <w:tcW w:w="7310" w:type="dxa"/>
            <w:tcBorders/>
            <w:vAlign w:val="center"/>
          </w:tcPr>
          <w:p>
            <w:pPr>
              <w:pStyle w:val="TableContents"/>
              <w:bidi w:val="0"/>
              <w:spacing w:before="0" w:after="283"/>
              <w:jc w:val="left"/>
              <w:rPr/>
            </w:pPr>
            <w:r>
              <w:rPr/>
              <w:t>CUSIP Numbers</w:t>
            </w:r>
          </w:p>
        </w:tc>
        <w:tc>
          <w:tcPr>
            <w:tcW w:w="275" w:type="dxa"/>
            <w:tcBorders/>
            <w:vAlign w:val="center"/>
          </w:tcPr>
          <w:p>
            <w:pPr>
              <w:pStyle w:val="TableContents"/>
              <w:bidi w:val="0"/>
              <w:spacing w:before="0" w:after="283"/>
              <w:jc w:val="right"/>
              <w:rPr/>
            </w:pPr>
            <w:r>
              <w:rPr/>
              <w:t>16</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384" w:type="dxa"/>
            <w:gridSpan w:val="2"/>
            <w:tcBorders/>
            <w:vAlign w:val="center"/>
          </w:tcPr>
          <w:p>
            <w:pPr>
              <w:pStyle w:val="TableContents"/>
              <w:bidi w:val="0"/>
              <w:spacing w:before="0" w:after="283"/>
              <w:jc w:val="left"/>
              <w:rPr/>
            </w:pPr>
            <w:r>
              <w:rPr/>
              <w:t>ARTICLE III</w:t>
            </w:r>
          </w:p>
        </w:tc>
        <w:tc>
          <w:tcPr>
            <w:tcW w:w="7310" w:type="dxa"/>
            <w:tcBorders/>
            <w:vAlign w:val="center"/>
          </w:tcPr>
          <w:p>
            <w:pPr>
              <w:pStyle w:val="TableContents"/>
              <w:bidi w:val="0"/>
              <w:spacing w:before="0" w:after="283"/>
              <w:jc w:val="left"/>
              <w:rPr/>
            </w:pPr>
            <w:r>
              <w:rPr/>
              <w:t>REDEMPTION OF SECURITIES AND SINKING FUND PROVISIONS</w:t>
            </w:r>
          </w:p>
        </w:tc>
        <w:tc>
          <w:tcPr>
            <w:tcW w:w="275" w:type="dxa"/>
            <w:tcBorders/>
            <w:vAlign w:val="center"/>
          </w:tcPr>
          <w:p>
            <w:pPr>
              <w:pStyle w:val="TableContents"/>
              <w:bidi w:val="0"/>
              <w:spacing w:before="0" w:after="283"/>
              <w:jc w:val="right"/>
              <w:rPr/>
            </w:pPr>
            <w:r>
              <w:rPr/>
              <w:t>16</w:t>
            </w:r>
          </w:p>
        </w:tc>
      </w:tr>
      <w:tr>
        <w:trPr/>
        <w:tc>
          <w:tcPr>
            <w:tcW w:w="1384" w:type="dxa"/>
            <w:gridSpan w:val="2"/>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3.1</w:t>
            </w:r>
          </w:p>
        </w:tc>
        <w:tc>
          <w:tcPr>
            <w:tcW w:w="7310" w:type="dxa"/>
            <w:tcBorders/>
            <w:vAlign w:val="center"/>
          </w:tcPr>
          <w:p>
            <w:pPr>
              <w:pStyle w:val="TableContents"/>
              <w:bidi w:val="0"/>
              <w:spacing w:before="0" w:after="283"/>
              <w:jc w:val="left"/>
              <w:rPr/>
            </w:pPr>
            <w:r>
              <w:rPr/>
              <w:t>Notice to Trustee; No Liability for Calculations</w:t>
            </w:r>
          </w:p>
        </w:tc>
        <w:tc>
          <w:tcPr>
            <w:tcW w:w="275" w:type="dxa"/>
            <w:tcBorders/>
            <w:vAlign w:val="center"/>
          </w:tcPr>
          <w:p>
            <w:pPr>
              <w:pStyle w:val="TableContents"/>
              <w:bidi w:val="0"/>
              <w:spacing w:before="0" w:after="283"/>
              <w:jc w:val="right"/>
              <w:rPr/>
            </w:pPr>
            <w:r>
              <w:rPr/>
              <w:t>16</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3.2</w:t>
            </w:r>
          </w:p>
        </w:tc>
        <w:tc>
          <w:tcPr>
            <w:tcW w:w="7310" w:type="dxa"/>
            <w:tcBorders/>
            <w:vAlign w:val="center"/>
          </w:tcPr>
          <w:p>
            <w:pPr>
              <w:pStyle w:val="TableContents"/>
              <w:bidi w:val="0"/>
              <w:spacing w:before="0" w:after="283"/>
              <w:jc w:val="left"/>
              <w:rPr/>
            </w:pPr>
            <w:r>
              <w:rPr/>
              <w:t>Selection of Securities to be Redeemed</w:t>
            </w:r>
          </w:p>
        </w:tc>
        <w:tc>
          <w:tcPr>
            <w:tcW w:w="275" w:type="dxa"/>
            <w:tcBorders/>
            <w:vAlign w:val="center"/>
          </w:tcPr>
          <w:p>
            <w:pPr>
              <w:pStyle w:val="TableContents"/>
              <w:bidi w:val="0"/>
              <w:spacing w:before="0" w:after="283"/>
              <w:jc w:val="right"/>
              <w:rPr/>
            </w:pPr>
            <w:r>
              <w:rPr/>
              <w:t>16</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3.3</w:t>
            </w:r>
          </w:p>
        </w:tc>
        <w:tc>
          <w:tcPr>
            <w:tcW w:w="7310" w:type="dxa"/>
            <w:tcBorders/>
            <w:vAlign w:val="center"/>
          </w:tcPr>
          <w:p>
            <w:pPr>
              <w:pStyle w:val="TableContents"/>
              <w:bidi w:val="0"/>
              <w:spacing w:before="0" w:after="283"/>
              <w:jc w:val="left"/>
              <w:rPr/>
            </w:pPr>
            <w:r>
              <w:rPr/>
              <w:t>Notice of Redemption</w:t>
            </w:r>
          </w:p>
        </w:tc>
        <w:tc>
          <w:tcPr>
            <w:tcW w:w="275" w:type="dxa"/>
            <w:tcBorders/>
            <w:vAlign w:val="center"/>
          </w:tcPr>
          <w:p>
            <w:pPr>
              <w:pStyle w:val="TableContents"/>
              <w:bidi w:val="0"/>
              <w:spacing w:before="0" w:after="283"/>
              <w:jc w:val="right"/>
              <w:rPr/>
            </w:pPr>
            <w:r>
              <w:rPr/>
              <w:t>17</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3.4</w:t>
            </w:r>
          </w:p>
        </w:tc>
        <w:tc>
          <w:tcPr>
            <w:tcW w:w="7310" w:type="dxa"/>
            <w:tcBorders/>
            <w:vAlign w:val="center"/>
          </w:tcPr>
          <w:p>
            <w:pPr>
              <w:pStyle w:val="TableContents"/>
              <w:bidi w:val="0"/>
              <w:spacing w:before="0" w:after="283"/>
              <w:jc w:val="left"/>
              <w:rPr/>
            </w:pPr>
            <w:r>
              <w:rPr/>
              <w:t>Effect of Notice of Redemption</w:t>
            </w:r>
          </w:p>
        </w:tc>
        <w:tc>
          <w:tcPr>
            <w:tcW w:w="275" w:type="dxa"/>
            <w:tcBorders/>
            <w:vAlign w:val="center"/>
          </w:tcPr>
          <w:p>
            <w:pPr>
              <w:pStyle w:val="TableContents"/>
              <w:bidi w:val="0"/>
              <w:spacing w:before="0" w:after="283"/>
              <w:jc w:val="right"/>
              <w:rPr/>
            </w:pPr>
            <w:r>
              <w:rPr/>
              <w:t>18</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3.5</w:t>
            </w:r>
          </w:p>
        </w:tc>
        <w:tc>
          <w:tcPr>
            <w:tcW w:w="7310" w:type="dxa"/>
            <w:tcBorders/>
            <w:vAlign w:val="center"/>
          </w:tcPr>
          <w:p>
            <w:pPr>
              <w:pStyle w:val="TableContents"/>
              <w:bidi w:val="0"/>
              <w:spacing w:before="0" w:after="283"/>
              <w:jc w:val="left"/>
              <w:rPr/>
            </w:pPr>
            <w:r>
              <w:rPr/>
              <w:t>Deposit of Redemption Price</w:t>
            </w:r>
          </w:p>
        </w:tc>
        <w:tc>
          <w:tcPr>
            <w:tcW w:w="275" w:type="dxa"/>
            <w:tcBorders/>
            <w:vAlign w:val="center"/>
          </w:tcPr>
          <w:p>
            <w:pPr>
              <w:pStyle w:val="TableContents"/>
              <w:bidi w:val="0"/>
              <w:spacing w:before="0" w:after="283"/>
              <w:jc w:val="right"/>
              <w:rPr/>
            </w:pPr>
            <w:r>
              <w:rPr/>
              <w:t>18</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3.6</w:t>
            </w:r>
          </w:p>
        </w:tc>
        <w:tc>
          <w:tcPr>
            <w:tcW w:w="7310" w:type="dxa"/>
            <w:tcBorders/>
            <w:vAlign w:val="center"/>
          </w:tcPr>
          <w:p>
            <w:pPr>
              <w:pStyle w:val="TableContents"/>
              <w:bidi w:val="0"/>
              <w:spacing w:before="0" w:after="283"/>
              <w:jc w:val="left"/>
              <w:rPr/>
            </w:pPr>
            <w:r>
              <w:rPr/>
              <w:t>Securities Redeemed in Part</w:t>
            </w:r>
          </w:p>
        </w:tc>
        <w:tc>
          <w:tcPr>
            <w:tcW w:w="275" w:type="dxa"/>
            <w:tcBorders/>
            <w:vAlign w:val="center"/>
          </w:tcPr>
          <w:p>
            <w:pPr>
              <w:pStyle w:val="TableContents"/>
              <w:bidi w:val="0"/>
              <w:spacing w:before="0" w:after="283"/>
              <w:jc w:val="right"/>
              <w:rPr/>
            </w:pPr>
            <w:r>
              <w:rPr/>
              <w:t>18</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3.7</w:t>
            </w:r>
          </w:p>
        </w:tc>
        <w:tc>
          <w:tcPr>
            <w:tcW w:w="7310" w:type="dxa"/>
            <w:tcBorders/>
            <w:vAlign w:val="center"/>
          </w:tcPr>
          <w:p>
            <w:pPr>
              <w:pStyle w:val="TableContents"/>
              <w:bidi w:val="0"/>
              <w:spacing w:before="0" w:after="283"/>
              <w:jc w:val="left"/>
              <w:rPr/>
            </w:pPr>
            <w:r>
              <w:rPr/>
              <w:t>Sinking Fund</w:t>
            </w:r>
          </w:p>
        </w:tc>
        <w:tc>
          <w:tcPr>
            <w:tcW w:w="275" w:type="dxa"/>
            <w:tcBorders/>
            <w:vAlign w:val="center"/>
          </w:tcPr>
          <w:p>
            <w:pPr>
              <w:pStyle w:val="TableContents"/>
              <w:bidi w:val="0"/>
              <w:spacing w:before="0" w:after="283"/>
              <w:jc w:val="right"/>
              <w:rPr/>
            </w:pPr>
            <w:r>
              <w:rPr/>
              <w:t>18</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3.8</w:t>
            </w:r>
          </w:p>
        </w:tc>
        <w:tc>
          <w:tcPr>
            <w:tcW w:w="7310" w:type="dxa"/>
            <w:tcBorders/>
            <w:vAlign w:val="center"/>
          </w:tcPr>
          <w:p>
            <w:pPr>
              <w:pStyle w:val="TableContents"/>
              <w:bidi w:val="0"/>
              <w:spacing w:before="0" w:after="283"/>
              <w:jc w:val="left"/>
              <w:rPr/>
            </w:pPr>
            <w:r>
              <w:rPr/>
              <w:t>Satisfaction of Sinking Fund Payments with Securities</w:t>
            </w:r>
          </w:p>
        </w:tc>
        <w:tc>
          <w:tcPr>
            <w:tcW w:w="275" w:type="dxa"/>
            <w:tcBorders/>
            <w:vAlign w:val="center"/>
          </w:tcPr>
          <w:p>
            <w:pPr>
              <w:pStyle w:val="TableContents"/>
              <w:bidi w:val="0"/>
              <w:spacing w:before="0" w:after="283"/>
              <w:jc w:val="right"/>
              <w:rPr/>
            </w:pPr>
            <w:r>
              <w:rPr/>
              <w:t>19</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3.9</w:t>
            </w:r>
          </w:p>
        </w:tc>
        <w:tc>
          <w:tcPr>
            <w:tcW w:w="7310" w:type="dxa"/>
            <w:tcBorders/>
            <w:vAlign w:val="center"/>
          </w:tcPr>
          <w:p>
            <w:pPr>
              <w:pStyle w:val="TableContents"/>
              <w:bidi w:val="0"/>
              <w:spacing w:before="0" w:after="283"/>
              <w:jc w:val="left"/>
              <w:rPr/>
            </w:pPr>
            <w:r>
              <w:rPr/>
              <w:t>Redemption of Securities for Sinking Fund</w:t>
            </w:r>
          </w:p>
        </w:tc>
        <w:tc>
          <w:tcPr>
            <w:tcW w:w="275" w:type="dxa"/>
            <w:tcBorders/>
            <w:vAlign w:val="center"/>
          </w:tcPr>
          <w:p>
            <w:pPr>
              <w:pStyle w:val="TableContents"/>
              <w:bidi w:val="0"/>
              <w:spacing w:before="0" w:after="283"/>
              <w:jc w:val="right"/>
              <w:rPr/>
            </w:pPr>
            <w:r>
              <w:rPr/>
              <w:t>19</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384" w:type="dxa"/>
            <w:gridSpan w:val="2"/>
            <w:tcBorders/>
            <w:vAlign w:val="center"/>
          </w:tcPr>
          <w:p>
            <w:pPr>
              <w:pStyle w:val="TableContents"/>
              <w:bidi w:val="0"/>
              <w:spacing w:before="0" w:after="283"/>
              <w:jc w:val="left"/>
              <w:rPr/>
            </w:pPr>
            <w:r>
              <w:rPr/>
              <w:t>ARTICLE IV</w:t>
            </w:r>
          </w:p>
        </w:tc>
        <w:tc>
          <w:tcPr>
            <w:tcW w:w="7310" w:type="dxa"/>
            <w:tcBorders/>
            <w:vAlign w:val="center"/>
          </w:tcPr>
          <w:p>
            <w:pPr>
              <w:pStyle w:val="TableContents"/>
              <w:bidi w:val="0"/>
              <w:spacing w:before="0" w:after="283"/>
              <w:jc w:val="left"/>
              <w:rPr/>
            </w:pPr>
            <w:r>
              <w:rPr/>
              <w:t>COVENANTS</w:t>
            </w:r>
          </w:p>
        </w:tc>
        <w:tc>
          <w:tcPr>
            <w:tcW w:w="275" w:type="dxa"/>
            <w:tcBorders/>
            <w:vAlign w:val="center"/>
          </w:tcPr>
          <w:p>
            <w:pPr>
              <w:pStyle w:val="TableContents"/>
              <w:bidi w:val="0"/>
              <w:spacing w:before="0" w:after="283"/>
              <w:jc w:val="right"/>
              <w:rPr/>
            </w:pPr>
            <w:r>
              <w:rPr/>
              <w:t>19</w:t>
            </w:r>
          </w:p>
        </w:tc>
      </w:tr>
      <w:tr>
        <w:trPr/>
        <w:tc>
          <w:tcPr>
            <w:tcW w:w="1384" w:type="dxa"/>
            <w:gridSpan w:val="2"/>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4.1</w:t>
            </w:r>
          </w:p>
        </w:tc>
        <w:tc>
          <w:tcPr>
            <w:tcW w:w="7310" w:type="dxa"/>
            <w:tcBorders/>
            <w:vAlign w:val="center"/>
          </w:tcPr>
          <w:p>
            <w:pPr>
              <w:pStyle w:val="TableContents"/>
              <w:bidi w:val="0"/>
              <w:spacing w:before="0" w:after="283"/>
              <w:jc w:val="left"/>
              <w:rPr/>
            </w:pPr>
            <w:r>
              <w:rPr/>
              <w:t>Payment of Principal, Premium and Interest</w:t>
            </w:r>
          </w:p>
        </w:tc>
        <w:tc>
          <w:tcPr>
            <w:tcW w:w="275" w:type="dxa"/>
            <w:tcBorders/>
            <w:vAlign w:val="center"/>
          </w:tcPr>
          <w:p>
            <w:pPr>
              <w:pStyle w:val="TableContents"/>
              <w:bidi w:val="0"/>
              <w:spacing w:before="0" w:after="283"/>
              <w:jc w:val="right"/>
              <w:rPr/>
            </w:pPr>
            <w:r>
              <w:rPr/>
              <w:t>19</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4.2</w:t>
            </w:r>
          </w:p>
        </w:tc>
        <w:tc>
          <w:tcPr>
            <w:tcW w:w="7310" w:type="dxa"/>
            <w:tcBorders/>
            <w:vAlign w:val="center"/>
          </w:tcPr>
          <w:p>
            <w:pPr>
              <w:pStyle w:val="TableContents"/>
              <w:bidi w:val="0"/>
              <w:spacing w:before="0" w:after="283"/>
              <w:jc w:val="left"/>
              <w:rPr/>
            </w:pPr>
            <w:r>
              <w:rPr/>
              <w:t>Compliance Certificate</w:t>
            </w:r>
          </w:p>
        </w:tc>
        <w:tc>
          <w:tcPr>
            <w:tcW w:w="275" w:type="dxa"/>
            <w:tcBorders/>
            <w:vAlign w:val="center"/>
          </w:tcPr>
          <w:p>
            <w:pPr>
              <w:pStyle w:val="TableContents"/>
              <w:bidi w:val="0"/>
              <w:spacing w:before="0" w:after="283"/>
              <w:jc w:val="right"/>
              <w:rPr/>
            </w:pPr>
            <w:r>
              <w:rPr/>
              <w:t>20</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4.3</w:t>
            </w:r>
          </w:p>
        </w:tc>
        <w:tc>
          <w:tcPr>
            <w:tcW w:w="7310" w:type="dxa"/>
            <w:tcBorders/>
            <w:vAlign w:val="center"/>
          </w:tcPr>
          <w:p>
            <w:pPr>
              <w:pStyle w:val="TableContents"/>
              <w:bidi w:val="0"/>
              <w:spacing w:before="0" w:after="283"/>
              <w:jc w:val="left"/>
              <w:rPr/>
            </w:pPr>
            <w:r>
              <w:rPr/>
              <w:t>Stay, Extension and Usury Laws</w:t>
            </w:r>
          </w:p>
        </w:tc>
        <w:tc>
          <w:tcPr>
            <w:tcW w:w="275" w:type="dxa"/>
            <w:tcBorders/>
            <w:vAlign w:val="center"/>
          </w:tcPr>
          <w:p>
            <w:pPr>
              <w:pStyle w:val="TableContents"/>
              <w:bidi w:val="0"/>
              <w:spacing w:before="0" w:after="283"/>
              <w:jc w:val="right"/>
              <w:rPr/>
            </w:pPr>
            <w:r>
              <w:rPr/>
              <w:t>20</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4.4</w:t>
            </w:r>
          </w:p>
        </w:tc>
        <w:tc>
          <w:tcPr>
            <w:tcW w:w="7310" w:type="dxa"/>
            <w:tcBorders/>
            <w:vAlign w:val="center"/>
          </w:tcPr>
          <w:p>
            <w:pPr>
              <w:pStyle w:val="TableContents"/>
              <w:bidi w:val="0"/>
              <w:spacing w:before="0" w:after="283"/>
              <w:jc w:val="left"/>
              <w:rPr/>
            </w:pPr>
            <w:r>
              <w:rPr/>
              <w:t>Corporate Existence</w:t>
            </w:r>
          </w:p>
        </w:tc>
        <w:tc>
          <w:tcPr>
            <w:tcW w:w="275" w:type="dxa"/>
            <w:tcBorders/>
            <w:vAlign w:val="center"/>
          </w:tcPr>
          <w:p>
            <w:pPr>
              <w:pStyle w:val="TableContents"/>
              <w:bidi w:val="0"/>
              <w:spacing w:before="0" w:after="283"/>
              <w:jc w:val="right"/>
              <w:rPr/>
            </w:pPr>
            <w:r>
              <w:rPr/>
              <w:t>20</w:t>
            </w:r>
          </w:p>
        </w:tc>
      </w:tr>
      <w:tr>
        <w:trPr/>
        <w:tc>
          <w:tcPr>
            <w:tcW w:w="8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Section 4.5</w:t>
            </w:r>
          </w:p>
        </w:tc>
        <w:tc>
          <w:tcPr>
            <w:tcW w:w="7310" w:type="dxa"/>
            <w:tcBorders/>
            <w:vAlign w:val="center"/>
          </w:tcPr>
          <w:p>
            <w:pPr>
              <w:pStyle w:val="TableContents"/>
              <w:bidi w:val="0"/>
              <w:spacing w:before="0" w:after="283"/>
              <w:jc w:val="left"/>
              <w:rPr/>
            </w:pPr>
            <w:r>
              <w:rPr/>
              <w:t>Reports</w:t>
            </w:r>
          </w:p>
        </w:tc>
        <w:tc>
          <w:tcPr>
            <w:tcW w:w="275" w:type="dxa"/>
            <w:tcBorders/>
            <w:vAlign w:val="center"/>
          </w:tcPr>
          <w:p>
            <w:pPr>
              <w:pStyle w:val="TableContents"/>
              <w:bidi w:val="0"/>
              <w:spacing w:before="0" w:after="283"/>
              <w:jc w:val="right"/>
              <w:rPr/>
            </w:pPr>
            <w:r>
              <w:rPr/>
              <w:t>20</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115" w:right="115" w:hanging="0"/>
        <w:jc w:val="center"/>
        <w:rPr>
          <w:caps w:val="false"/>
          <w:smallCaps w:val="false"/>
        </w:rPr>
      </w:pPr>
      <w:r>
        <w:rPr>
          <w:caps w:val="false"/>
          <w:smallCaps w:val="false"/>
        </w:rPr>
        <w:t> </w:t>
      </w:r>
    </w:p>
    <w:p>
      <w:pPr>
        <w:pStyle w:val="TextBody"/>
        <w:bidi w:val="0"/>
        <w:spacing w:before="0" w:after="0"/>
        <w:ind w:left="115"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jc w:val="left"/>
        <w:rPr>
          <w:caps w:val="false"/>
          <w:smallCaps w:val="false"/>
        </w:rPr>
      </w:pPr>
      <w:r>
        <w:rPr>
          <w:caps w:val="false"/>
          <w:smallCaps w:val="false"/>
        </w:rPr>
        <w:t> </w:t>
      </w:r>
    </w:p>
    <w:tbl>
      <w:tblPr>
        <w:tblW w:w="8069" w:type="dxa"/>
        <w:jc w:val="left"/>
        <w:tblInd w:w="0" w:type="dxa"/>
        <w:tblLayout w:type="fixed"/>
        <w:tblCellMar>
          <w:top w:w="0" w:type="dxa"/>
          <w:left w:w="0" w:type="dxa"/>
          <w:bottom w:w="0" w:type="dxa"/>
          <w:right w:w="0" w:type="dxa"/>
        </w:tblCellMar>
      </w:tblPr>
      <w:tblGrid>
        <w:gridCol w:w="91"/>
        <w:gridCol w:w="1503"/>
        <w:gridCol w:w="6140"/>
        <w:gridCol w:w="335"/>
      </w:tblGrid>
      <w:tr>
        <w:trPr/>
        <w:tc>
          <w:tcPr>
            <w:tcW w:w="1594" w:type="dxa"/>
            <w:gridSpan w:val="2"/>
            <w:tcBorders/>
            <w:vAlign w:val="center"/>
          </w:tcPr>
          <w:p>
            <w:pPr>
              <w:pStyle w:val="TableContents"/>
              <w:bidi w:val="0"/>
              <w:spacing w:before="0" w:after="283"/>
              <w:jc w:val="left"/>
              <w:rPr/>
            </w:pPr>
            <w:r>
              <w:rPr/>
              <w:t>ARTICLE V</w:t>
            </w:r>
          </w:p>
        </w:tc>
        <w:tc>
          <w:tcPr>
            <w:tcW w:w="6140" w:type="dxa"/>
            <w:tcBorders/>
            <w:vAlign w:val="center"/>
          </w:tcPr>
          <w:p>
            <w:pPr>
              <w:pStyle w:val="TableContents"/>
              <w:bidi w:val="0"/>
              <w:spacing w:before="0" w:after="283"/>
              <w:jc w:val="left"/>
              <w:rPr/>
            </w:pPr>
            <w:r>
              <w:rPr/>
              <w:t> </w:t>
            </w:r>
            <w:r>
              <w:rPr/>
              <w:t>SUCCESSORS</w:t>
            </w:r>
          </w:p>
        </w:tc>
        <w:tc>
          <w:tcPr>
            <w:tcW w:w="335" w:type="dxa"/>
            <w:tcBorders/>
            <w:vAlign w:val="center"/>
          </w:tcPr>
          <w:p>
            <w:pPr>
              <w:pStyle w:val="TableContents"/>
              <w:bidi w:val="0"/>
              <w:spacing w:before="0" w:after="283"/>
              <w:jc w:val="right"/>
              <w:rPr/>
            </w:pPr>
            <w:r>
              <w:rPr/>
              <w:t xml:space="preserve">21 </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5.1</w:t>
            </w:r>
          </w:p>
        </w:tc>
        <w:tc>
          <w:tcPr>
            <w:tcW w:w="6140" w:type="dxa"/>
            <w:tcBorders/>
            <w:vAlign w:val="center"/>
          </w:tcPr>
          <w:p>
            <w:pPr>
              <w:pStyle w:val="TableContents"/>
              <w:bidi w:val="0"/>
              <w:spacing w:before="0" w:after="283"/>
              <w:jc w:val="left"/>
              <w:rPr/>
            </w:pPr>
            <w:r>
              <w:rPr/>
              <w:t>Consolidation, Merger and Sale of Assets</w:t>
            </w:r>
          </w:p>
        </w:tc>
        <w:tc>
          <w:tcPr>
            <w:tcW w:w="335" w:type="dxa"/>
            <w:tcBorders/>
            <w:vAlign w:val="center"/>
          </w:tcPr>
          <w:p>
            <w:pPr>
              <w:pStyle w:val="TableContents"/>
              <w:bidi w:val="0"/>
              <w:spacing w:before="0" w:after="283"/>
              <w:jc w:val="right"/>
              <w:rPr/>
            </w:pPr>
            <w:r>
              <w:rPr/>
              <w:t>21</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 </w:t>
            </w:r>
          </w:p>
        </w:tc>
      </w:tr>
      <w:tr>
        <w:trPr/>
        <w:tc>
          <w:tcPr>
            <w:tcW w:w="1594" w:type="dxa"/>
            <w:gridSpan w:val="2"/>
            <w:tcBorders/>
            <w:vAlign w:val="center"/>
          </w:tcPr>
          <w:p>
            <w:pPr>
              <w:pStyle w:val="TableContents"/>
              <w:bidi w:val="0"/>
              <w:spacing w:before="0" w:after="283"/>
              <w:jc w:val="left"/>
              <w:rPr/>
            </w:pPr>
            <w:r>
              <w:rPr/>
              <w:t>ARTICLE VI</w:t>
            </w:r>
          </w:p>
        </w:tc>
        <w:tc>
          <w:tcPr>
            <w:tcW w:w="6140" w:type="dxa"/>
            <w:tcBorders/>
            <w:vAlign w:val="center"/>
          </w:tcPr>
          <w:p>
            <w:pPr>
              <w:pStyle w:val="TableContents"/>
              <w:bidi w:val="0"/>
              <w:spacing w:before="0" w:after="283"/>
              <w:jc w:val="left"/>
              <w:rPr/>
            </w:pPr>
            <w:r>
              <w:rPr/>
              <w:t>DEFAULTS AND REMEDIES</w:t>
            </w:r>
          </w:p>
        </w:tc>
        <w:tc>
          <w:tcPr>
            <w:tcW w:w="335" w:type="dxa"/>
            <w:tcBorders/>
            <w:vAlign w:val="center"/>
          </w:tcPr>
          <w:p>
            <w:pPr>
              <w:pStyle w:val="TableContents"/>
              <w:bidi w:val="0"/>
              <w:spacing w:before="0" w:after="283"/>
              <w:jc w:val="right"/>
              <w:rPr/>
            </w:pPr>
            <w:r>
              <w:rPr/>
              <w:t>21</w:t>
            </w:r>
          </w:p>
        </w:tc>
      </w:tr>
      <w:tr>
        <w:trPr/>
        <w:tc>
          <w:tcPr>
            <w:tcW w:w="1594" w:type="dxa"/>
            <w:gridSpan w:val="2"/>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 </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6.1</w:t>
            </w:r>
          </w:p>
        </w:tc>
        <w:tc>
          <w:tcPr>
            <w:tcW w:w="6140" w:type="dxa"/>
            <w:tcBorders/>
            <w:vAlign w:val="center"/>
          </w:tcPr>
          <w:p>
            <w:pPr>
              <w:pStyle w:val="TableContents"/>
              <w:bidi w:val="0"/>
              <w:spacing w:before="0" w:after="283"/>
              <w:jc w:val="left"/>
              <w:rPr/>
            </w:pPr>
            <w:r>
              <w:rPr/>
              <w:t>Events of Default</w:t>
            </w:r>
          </w:p>
        </w:tc>
        <w:tc>
          <w:tcPr>
            <w:tcW w:w="335" w:type="dxa"/>
            <w:tcBorders/>
            <w:vAlign w:val="center"/>
          </w:tcPr>
          <w:p>
            <w:pPr>
              <w:pStyle w:val="TableContents"/>
              <w:bidi w:val="0"/>
              <w:spacing w:before="0" w:after="283"/>
              <w:jc w:val="right"/>
              <w:rPr/>
            </w:pPr>
            <w:r>
              <w:rPr/>
              <w:t>21</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6.2</w:t>
            </w:r>
          </w:p>
        </w:tc>
        <w:tc>
          <w:tcPr>
            <w:tcW w:w="6140" w:type="dxa"/>
            <w:tcBorders/>
            <w:vAlign w:val="center"/>
          </w:tcPr>
          <w:p>
            <w:pPr>
              <w:pStyle w:val="TableContents"/>
              <w:bidi w:val="0"/>
              <w:spacing w:before="0" w:after="283"/>
              <w:jc w:val="left"/>
              <w:rPr/>
            </w:pPr>
            <w:r>
              <w:rPr/>
              <w:t>Acceleration of Maturity; Rescission and Annulment</w:t>
            </w:r>
          </w:p>
        </w:tc>
        <w:tc>
          <w:tcPr>
            <w:tcW w:w="335" w:type="dxa"/>
            <w:tcBorders/>
            <w:vAlign w:val="center"/>
          </w:tcPr>
          <w:p>
            <w:pPr>
              <w:pStyle w:val="TableContents"/>
              <w:bidi w:val="0"/>
              <w:spacing w:before="0" w:after="283"/>
              <w:jc w:val="right"/>
              <w:rPr/>
            </w:pPr>
            <w:r>
              <w:rPr/>
              <w:t>22</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6.3</w:t>
            </w:r>
          </w:p>
        </w:tc>
        <w:tc>
          <w:tcPr>
            <w:tcW w:w="6140" w:type="dxa"/>
            <w:tcBorders/>
            <w:vAlign w:val="center"/>
          </w:tcPr>
          <w:p>
            <w:pPr>
              <w:pStyle w:val="TableContents"/>
              <w:bidi w:val="0"/>
              <w:spacing w:before="0" w:after="283"/>
              <w:jc w:val="left"/>
              <w:rPr/>
            </w:pPr>
            <w:r>
              <w:rPr/>
              <w:t>Collection of Indebtedness and Suits for Enforcement by Trustee</w:t>
            </w:r>
          </w:p>
        </w:tc>
        <w:tc>
          <w:tcPr>
            <w:tcW w:w="335" w:type="dxa"/>
            <w:tcBorders/>
            <w:vAlign w:val="center"/>
          </w:tcPr>
          <w:p>
            <w:pPr>
              <w:pStyle w:val="TableContents"/>
              <w:bidi w:val="0"/>
              <w:spacing w:before="0" w:after="283"/>
              <w:jc w:val="right"/>
              <w:rPr/>
            </w:pPr>
            <w:r>
              <w:rPr/>
              <w:t>23</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6.4</w:t>
            </w:r>
          </w:p>
        </w:tc>
        <w:tc>
          <w:tcPr>
            <w:tcW w:w="6140" w:type="dxa"/>
            <w:tcBorders/>
            <w:vAlign w:val="center"/>
          </w:tcPr>
          <w:p>
            <w:pPr>
              <w:pStyle w:val="TableContents"/>
              <w:bidi w:val="0"/>
              <w:spacing w:before="0" w:after="283"/>
              <w:jc w:val="left"/>
              <w:rPr/>
            </w:pPr>
            <w:r>
              <w:rPr/>
              <w:t>Trustee May File Proofs of Claim</w:t>
            </w:r>
          </w:p>
        </w:tc>
        <w:tc>
          <w:tcPr>
            <w:tcW w:w="335" w:type="dxa"/>
            <w:tcBorders/>
            <w:vAlign w:val="center"/>
          </w:tcPr>
          <w:p>
            <w:pPr>
              <w:pStyle w:val="TableContents"/>
              <w:bidi w:val="0"/>
              <w:spacing w:before="0" w:after="283"/>
              <w:jc w:val="right"/>
              <w:rPr/>
            </w:pPr>
            <w:r>
              <w:rPr/>
              <w:t>24</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6.5</w:t>
            </w:r>
          </w:p>
        </w:tc>
        <w:tc>
          <w:tcPr>
            <w:tcW w:w="6140" w:type="dxa"/>
            <w:tcBorders/>
            <w:vAlign w:val="center"/>
          </w:tcPr>
          <w:p>
            <w:pPr>
              <w:pStyle w:val="TableContents"/>
              <w:bidi w:val="0"/>
              <w:spacing w:before="0" w:after="283"/>
              <w:jc w:val="left"/>
              <w:rPr/>
            </w:pPr>
            <w:r>
              <w:rPr/>
              <w:t>Trustee May Enforce Claims Without Possession of Securities</w:t>
            </w:r>
          </w:p>
        </w:tc>
        <w:tc>
          <w:tcPr>
            <w:tcW w:w="335" w:type="dxa"/>
            <w:tcBorders/>
            <w:vAlign w:val="center"/>
          </w:tcPr>
          <w:p>
            <w:pPr>
              <w:pStyle w:val="TableContents"/>
              <w:bidi w:val="0"/>
              <w:spacing w:before="0" w:after="283"/>
              <w:jc w:val="right"/>
              <w:rPr/>
            </w:pPr>
            <w:r>
              <w:rPr/>
              <w:t>25</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6.6</w:t>
            </w:r>
          </w:p>
        </w:tc>
        <w:tc>
          <w:tcPr>
            <w:tcW w:w="6140" w:type="dxa"/>
            <w:tcBorders/>
            <w:vAlign w:val="center"/>
          </w:tcPr>
          <w:p>
            <w:pPr>
              <w:pStyle w:val="TableContents"/>
              <w:bidi w:val="0"/>
              <w:spacing w:before="0" w:after="283"/>
              <w:jc w:val="left"/>
              <w:rPr/>
            </w:pPr>
            <w:r>
              <w:rPr/>
              <w:t>Application of Money Collected</w:t>
            </w:r>
          </w:p>
        </w:tc>
        <w:tc>
          <w:tcPr>
            <w:tcW w:w="335" w:type="dxa"/>
            <w:tcBorders/>
            <w:vAlign w:val="center"/>
          </w:tcPr>
          <w:p>
            <w:pPr>
              <w:pStyle w:val="TableContents"/>
              <w:bidi w:val="0"/>
              <w:spacing w:before="0" w:after="283"/>
              <w:jc w:val="right"/>
              <w:rPr/>
            </w:pPr>
            <w:r>
              <w:rPr/>
              <w:t>25</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6.7</w:t>
            </w:r>
          </w:p>
        </w:tc>
        <w:tc>
          <w:tcPr>
            <w:tcW w:w="6140" w:type="dxa"/>
            <w:tcBorders/>
            <w:vAlign w:val="center"/>
          </w:tcPr>
          <w:p>
            <w:pPr>
              <w:pStyle w:val="TableContents"/>
              <w:bidi w:val="0"/>
              <w:spacing w:before="0" w:after="283"/>
              <w:jc w:val="left"/>
              <w:rPr/>
            </w:pPr>
            <w:r>
              <w:rPr/>
              <w:t>Limitation on Suits</w:t>
            </w:r>
          </w:p>
        </w:tc>
        <w:tc>
          <w:tcPr>
            <w:tcW w:w="335" w:type="dxa"/>
            <w:tcBorders/>
            <w:vAlign w:val="center"/>
          </w:tcPr>
          <w:p>
            <w:pPr>
              <w:pStyle w:val="TableContents"/>
              <w:bidi w:val="0"/>
              <w:spacing w:before="0" w:after="283"/>
              <w:jc w:val="right"/>
              <w:rPr/>
            </w:pPr>
            <w:r>
              <w:rPr/>
              <w:t>25</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6.8</w:t>
            </w:r>
          </w:p>
        </w:tc>
        <w:tc>
          <w:tcPr>
            <w:tcW w:w="6140" w:type="dxa"/>
            <w:tcBorders/>
            <w:vAlign w:val="center"/>
          </w:tcPr>
          <w:p>
            <w:pPr>
              <w:pStyle w:val="TableContents"/>
              <w:bidi w:val="0"/>
              <w:spacing w:before="0" w:after="283"/>
              <w:jc w:val="left"/>
              <w:rPr/>
            </w:pPr>
            <w:r>
              <w:rPr/>
              <w:t>Unconditional Right of Holders to Receive Principal and Interest</w:t>
            </w:r>
          </w:p>
        </w:tc>
        <w:tc>
          <w:tcPr>
            <w:tcW w:w="335" w:type="dxa"/>
            <w:tcBorders/>
            <w:vAlign w:val="center"/>
          </w:tcPr>
          <w:p>
            <w:pPr>
              <w:pStyle w:val="TableContents"/>
              <w:bidi w:val="0"/>
              <w:spacing w:before="0" w:after="283"/>
              <w:jc w:val="right"/>
              <w:rPr/>
            </w:pPr>
            <w:r>
              <w:rPr/>
              <w:t>26</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6.9</w:t>
            </w:r>
          </w:p>
        </w:tc>
        <w:tc>
          <w:tcPr>
            <w:tcW w:w="6140" w:type="dxa"/>
            <w:tcBorders/>
            <w:vAlign w:val="center"/>
          </w:tcPr>
          <w:p>
            <w:pPr>
              <w:pStyle w:val="TableContents"/>
              <w:bidi w:val="0"/>
              <w:spacing w:before="0" w:after="283"/>
              <w:jc w:val="left"/>
              <w:rPr/>
            </w:pPr>
            <w:r>
              <w:rPr/>
              <w:t>Restoration of Rights and Remedies</w:t>
            </w:r>
          </w:p>
        </w:tc>
        <w:tc>
          <w:tcPr>
            <w:tcW w:w="335" w:type="dxa"/>
            <w:tcBorders/>
            <w:vAlign w:val="center"/>
          </w:tcPr>
          <w:p>
            <w:pPr>
              <w:pStyle w:val="TableContents"/>
              <w:bidi w:val="0"/>
              <w:spacing w:before="0" w:after="283"/>
              <w:jc w:val="right"/>
              <w:rPr/>
            </w:pPr>
            <w:r>
              <w:rPr/>
              <w:t>26</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6.10</w:t>
            </w:r>
          </w:p>
        </w:tc>
        <w:tc>
          <w:tcPr>
            <w:tcW w:w="6140" w:type="dxa"/>
            <w:tcBorders/>
            <w:vAlign w:val="center"/>
          </w:tcPr>
          <w:p>
            <w:pPr>
              <w:pStyle w:val="TableContents"/>
              <w:bidi w:val="0"/>
              <w:spacing w:before="0" w:after="283"/>
              <w:jc w:val="left"/>
              <w:rPr/>
            </w:pPr>
            <w:r>
              <w:rPr/>
              <w:t>Rights and Remedies Cumulative</w:t>
            </w:r>
          </w:p>
        </w:tc>
        <w:tc>
          <w:tcPr>
            <w:tcW w:w="335" w:type="dxa"/>
            <w:tcBorders/>
            <w:vAlign w:val="center"/>
          </w:tcPr>
          <w:p>
            <w:pPr>
              <w:pStyle w:val="TableContents"/>
              <w:bidi w:val="0"/>
              <w:spacing w:before="0" w:after="283"/>
              <w:jc w:val="right"/>
              <w:rPr/>
            </w:pPr>
            <w:r>
              <w:rPr/>
              <w:t>26</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6.11</w:t>
            </w:r>
          </w:p>
        </w:tc>
        <w:tc>
          <w:tcPr>
            <w:tcW w:w="6140" w:type="dxa"/>
            <w:tcBorders/>
            <w:vAlign w:val="center"/>
          </w:tcPr>
          <w:p>
            <w:pPr>
              <w:pStyle w:val="TableContents"/>
              <w:bidi w:val="0"/>
              <w:spacing w:before="0" w:after="283"/>
              <w:jc w:val="left"/>
              <w:rPr/>
            </w:pPr>
            <w:r>
              <w:rPr/>
              <w:t>Delay or Omission Not Waiver</w:t>
            </w:r>
          </w:p>
        </w:tc>
        <w:tc>
          <w:tcPr>
            <w:tcW w:w="335" w:type="dxa"/>
            <w:tcBorders/>
            <w:vAlign w:val="center"/>
          </w:tcPr>
          <w:p>
            <w:pPr>
              <w:pStyle w:val="TableContents"/>
              <w:bidi w:val="0"/>
              <w:spacing w:before="0" w:after="283"/>
              <w:jc w:val="right"/>
              <w:rPr/>
            </w:pPr>
            <w:r>
              <w:rPr/>
              <w:t>27</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6.12</w:t>
            </w:r>
          </w:p>
        </w:tc>
        <w:tc>
          <w:tcPr>
            <w:tcW w:w="6140" w:type="dxa"/>
            <w:tcBorders/>
            <w:vAlign w:val="center"/>
          </w:tcPr>
          <w:p>
            <w:pPr>
              <w:pStyle w:val="TableContents"/>
              <w:bidi w:val="0"/>
              <w:spacing w:before="0" w:after="283"/>
              <w:jc w:val="left"/>
              <w:rPr/>
            </w:pPr>
            <w:r>
              <w:rPr/>
              <w:t>Control by Holders</w:t>
            </w:r>
          </w:p>
        </w:tc>
        <w:tc>
          <w:tcPr>
            <w:tcW w:w="335" w:type="dxa"/>
            <w:tcBorders/>
            <w:vAlign w:val="center"/>
          </w:tcPr>
          <w:p>
            <w:pPr>
              <w:pStyle w:val="TableContents"/>
              <w:bidi w:val="0"/>
              <w:spacing w:before="0" w:after="283"/>
              <w:jc w:val="right"/>
              <w:rPr/>
            </w:pPr>
            <w:r>
              <w:rPr/>
              <w:t>27</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6.13</w:t>
            </w:r>
          </w:p>
        </w:tc>
        <w:tc>
          <w:tcPr>
            <w:tcW w:w="6140" w:type="dxa"/>
            <w:tcBorders/>
            <w:vAlign w:val="center"/>
          </w:tcPr>
          <w:p>
            <w:pPr>
              <w:pStyle w:val="TableContents"/>
              <w:bidi w:val="0"/>
              <w:spacing w:before="0" w:after="283"/>
              <w:jc w:val="left"/>
              <w:rPr/>
            </w:pPr>
            <w:r>
              <w:rPr/>
              <w:t>Waiver of Past Defaults</w:t>
            </w:r>
          </w:p>
        </w:tc>
        <w:tc>
          <w:tcPr>
            <w:tcW w:w="335" w:type="dxa"/>
            <w:tcBorders/>
            <w:vAlign w:val="center"/>
          </w:tcPr>
          <w:p>
            <w:pPr>
              <w:pStyle w:val="TableContents"/>
              <w:bidi w:val="0"/>
              <w:spacing w:before="0" w:after="283"/>
              <w:jc w:val="right"/>
              <w:rPr/>
            </w:pPr>
            <w:r>
              <w:rPr/>
              <w:t>27</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6.14</w:t>
            </w:r>
          </w:p>
        </w:tc>
        <w:tc>
          <w:tcPr>
            <w:tcW w:w="6140" w:type="dxa"/>
            <w:tcBorders/>
            <w:vAlign w:val="center"/>
          </w:tcPr>
          <w:p>
            <w:pPr>
              <w:pStyle w:val="TableContents"/>
              <w:bidi w:val="0"/>
              <w:spacing w:before="0" w:after="283"/>
              <w:jc w:val="left"/>
              <w:rPr/>
            </w:pPr>
            <w:r>
              <w:rPr/>
              <w:t>Undertaking for Costs</w:t>
            </w:r>
          </w:p>
        </w:tc>
        <w:tc>
          <w:tcPr>
            <w:tcW w:w="335" w:type="dxa"/>
            <w:tcBorders/>
            <w:vAlign w:val="center"/>
          </w:tcPr>
          <w:p>
            <w:pPr>
              <w:pStyle w:val="TableContents"/>
              <w:bidi w:val="0"/>
              <w:spacing w:before="0" w:after="283"/>
              <w:jc w:val="right"/>
              <w:rPr/>
            </w:pPr>
            <w:r>
              <w:rPr/>
              <w:t>27</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 </w:t>
            </w:r>
          </w:p>
        </w:tc>
      </w:tr>
      <w:tr>
        <w:trPr/>
        <w:tc>
          <w:tcPr>
            <w:tcW w:w="1594" w:type="dxa"/>
            <w:gridSpan w:val="2"/>
            <w:tcBorders/>
            <w:vAlign w:val="center"/>
          </w:tcPr>
          <w:p>
            <w:pPr>
              <w:pStyle w:val="TableContents"/>
              <w:bidi w:val="0"/>
              <w:spacing w:before="0" w:after="283"/>
              <w:jc w:val="left"/>
              <w:rPr/>
            </w:pPr>
            <w:r>
              <w:rPr/>
              <w:t> </w:t>
            </w:r>
            <w:r>
              <w:rPr/>
              <w:t>ARTICLE VII</w:t>
            </w:r>
          </w:p>
        </w:tc>
        <w:tc>
          <w:tcPr>
            <w:tcW w:w="6140" w:type="dxa"/>
            <w:tcBorders/>
            <w:vAlign w:val="center"/>
          </w:tcPr>
          <w:p>
            <w:pPr>
              <w:pStyle w:val="TableContents"/>
              <w:bidi w:val="0"/>
              <w:spacing w:before="0" w:after="283"/>
              <w:jc w:val="left"/>
              <w:rPr/>
            </w:pPr>
            <w:r>
              <w:rPr/>
              <w:t>TRUSTEE</w:t>
            </w:r>
          </w:p>
        </w:tc>
        <w:tc>
          <w:tcPr>
            <w:tcW w:w="335" w:type="dxa"/>
            <w:tcBorders/>
            <w:vAlign w:val="center"/>
          </w:tcPr>
          <w:p>
            <w:pPr>
              <w:pStyle w:val="TableContents"/>
              <w:bidi w:val="0"/>
              <w:spacing w:before="0" w:after="283"/>
              <w:jc w:val="right"/>
              <w:rPr/>
            </w:pPr>
            <w:r>
              <w:rPr/>
              <w:t>28</w:t>
            </w:r>
          </w:p>
        </w:tc>
      </w:tr>
      <w:tr>
        <w:trPr/>
        <w:tc>
          <w:tcPr>
            <w:tcW w:w="1594" w:type="dxa"/>
            <w:gridSpan w:val="2"/>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 </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7.1</w:t>
            </w:r>
          </w:p>
        </w:tc>
        <w:tc>
          <w:tcPr>
            <w:tcW w:w="6140" w:type="dxa"/>
            <w:tcBorders/>
            <w:vAlign w:val="center"/>
          </w:tcPr>
          <w:p>
            <w:pPr>
              <w:pStyle w:val="TableContents"/>
              <w:bidi w:val="0"/>
              <w:spacing w:before="0" w:after="283"/>
              <w:jc w:val="left"/>
              <w:rPr/>
            </w:pPr>
            <w:r>
              <w:rPr/>
              <w:t>Duties of Trustee</w:t>
            </w:r>
          </w:p>
        </w:tc>
        <w:tc>
          <w:tcPr>
            <w:tcW w:w="335" w:type="dxa"/>
            <w:tcBorders/>
            <w:vAlign w:val="center"/>
          </w:tcPr>
          <w:p>
            <w:pPr>
              <w:pStyle w:val="TableContents"/>
              <w:bidi w:val="0"/>
              <w:spacing w:before="0" w:after="283"/>
              <w:jc w:val="right"/>
              <w:rPr/>
            </w:pPr>
            <w:r>
              <w:rPr/>
              <w:t>28</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7.2</w:t>
            </w:r>
          </w:p>
        </w:tc>
        <w:tc>
          <w:tcPr>
            <w:tcW w:w="6140" w:type="dxa"/>
            <w:tcBorders/>
            <w:vAlign w:val="center"/>
          </w:tcPr>
          <w:p>
            <w:pPr>
              <w:pStyle w:val="TableContents"/>
              <w:bidi w:val="0"/>
              <w:spacing w:before="0" w:after="283"/>
              <w:jc w:val="left"/>
              <w:rPr/>
            </w:pPr>
            <w:r>
              <w:rPr/>
              <w:t>Rights of Trustee</w:t>
            </w:r>
          </w:p>
        </w:tc>
        <w:tc>
          <w:tcPr>
            <w:tcW w:w="335" w:type="dxa"/>
            <w:tcBorders/>
            <w:vAlign w:val="center"/>
          </w:tcPr>
          <w:p>
            <w:pPr>
              <w:pStyle w:val="TableContents"/>
              <w:bidi w:val="0"/>
              <w:spacing w:before="0" w:after="283"/>
              <w:jc w:val="right"/>
              <w:rPr/>
            </w:pPr>
            <w:r>
              <w:rPr/>
              <w:t>29</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7.3</w:t>
            </w:r>
          </w:p>
        </w:tc>
        <w:tc>
          <w:tcPr>
            <w:tcW w:w="6140" w:type="dxa"/>
            <w:tcBorders/>
            <w:vAlign w:val="center"/>
          </w:tcPr>
          <w:p>
            <w:pPr>
              <w:pStyle w:val="TableContents"/>
              <w:bidi w:val="0"/>
              <w:spacing w:before="0" w:after="283"/>
              <w:jc w:val="left"/>
              <w:rPr/>
            </w:pPr>
            <w:r>
              <w:rPr/>
              <w:t>May Hold Securities</w:t>
            </w:r>
          </w:p>
        </w:tc>
        <w:tc>
          <w:tcPr>
            <w:tcW w:w="335" w:type="dxa"/>
            <w:tcBorders/>
            <w:vAlign w:val="center"/>
          </w:tcPr>
          <w:p>
            <w:pPr>
              <w:pStyle w:val="TableContents"/>
              <w:bidi w:val="0"/>
              <w:spacing w:before="0" w:after="283"/>
              <w:jc w:val="right"/>
              <w:rPr/>
            </w:pPr>
            <w:r>
              <w:rPr/>
              <w:t>30</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7.4</w:t>
            </w:r>
          </w:p>
        </w:tc>
        <w:tc>
          <w:tcPr>
            <w:tcW w:w="6140" w:type="dxa"/>
            <w:tcBorders/>
            <w:vAlign w:val="center"/>
          </w:tcPr>
          <w:p>
            <w:pPr>
              <w:pStyle w:val="TableContents"/>
              <w:bidi w:val="0"/>
              <w:spacing w:before="0" w:after="283"/>
              <w:jc w:val="left"/>
              <w:rPr/>
            </w:pPr>
            <w:r>
              <w:rPr/>
              <w:t>Trustee’s Disclaimer</w:t>
            </w:r>
          </w:p>
        </w:tc>
        <w:tc>
          <w:tcPr>
            <w:tcW w:w="335" w:type="dxa"/>
            <w:tcBorders/>
            <w:vAlign w:val="center"/>
          </w:tcPr>
          <w:p>
            <w:pPr>
              <w:pStyle w:val="TableContents"/>
              <w:bidi w:val="0"/>
              <w:spacing w:before="0" w:after="283"/>
              <w:jc w:val="right"/>
              <w:rPr/>
            </w:pPr>
            <w:r>
              <w:rPr/>
              <w:t>31</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7.5</w:t>
            </w:r>
          </w:p>
        </w:tc>
        <w:tc>
          <w:tcPr>
            <w:tcW w:w="6140" w:type="dxa"/>
            <w:tcBorders/>
            <w:vAlign w:val="center"/>
          </w:tcPr>
          <w:p>
            <w:pPr>
              <w:pStyle w:val="TableContents"/>
              <w:bidi w:val="0"/>
              <w:spacing w:before="0" w:after="283"/>
              <w:jc w:val="left"/>
              <w:rPr/>
            </w:pPr>
            <w:r>
              <w:rPr/>
              <w:t>Notice of Defaults</w:t>
            </w:r>
          </w:p>
        </w:tc>
        <w:tc>
          <w:tcPr>
            <w:tcW w:w="335" w:type="dxa"/>
            <w:tcBorders/>
            <w:vAlign w:val="center"/>
          </w:tcPr>
          <w:p>
            <w:pPr>
              <w:pStyle w:val="TableContents"/>
              <w:bidi w:val="0"/>
              <w:spacing w:before="0" w:after="283"/>
              <w:jc w:val="right"/>
              <w:rPr/>
            </w:pPr>
            <w:r>
              <w:rPr/>
              <w:t>31</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7.6</w:t>
            </w:r>
          </w:p>
        </w:tc>
        <w:tc>
          <w:tcPr>
            <w:tcW w:w="6140" w:type="dxa"/>
            <w:tcBorders/>
            <w:vAlign w:val="center"/>
          </w:tcPr>
          <w:p>
            <w:pPr>
              <w:pStyle w:val="TableContents"/>
              <w:bidi w:val="0"/>
              <w:spacing w:before="0" w:after="283"/>
              <w:jc w:val="left"/>
              <w:rPr/>
            </w:pPr>
            <w:r>
              <w:rPr/>
              <w:t>Compensation and Indemnity</w:t>
            </w:r>
          </w:p>
        </w:tc>
        <w:tc>
          <w:tcPr>
            <w:tcW w:w="335" w:type="dxa"/>
            <w:tcBorders/>
            <w:vAlign w:val="center"/>
          </w:tcPr>
          <w:p>
            <w:pPr>
              <w:pStyle w:val="TableContents"/>
              <w:bidi w:val="0"/>
              <w:spacing w:before="0" w:after="283"/>
              <w:jc w:val="right"/>
              <w:rPr/>
            </w:pPr>
            <w:r>
              <w:rPr/>
              <w:t>31</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7.7</w:t>
            </w:r>
          </w:p>
        </w:tc>
        <w:tc>
          <w:tcPr>
            <w:tcW w:w="6140" w:type="dxa"/>
            <w:tcBorders/>
            <w:vAlign w:val="center"/>
          </w:tcPr>
          <w:p>
            <w:pPr>
              <w:pStyle w:val="TableContents"/>
              <w:bidi w:val="0"/>
              <w:spacing w:before="0" w:after="283"/>
              <w:jc w:val="left"/>
              <w:rPr/>
            </w:pPr>
            <w:r>
              <w:rPr/>
              <w:t>Replacement of Trustee</w:t>
            </w:r>
          </w:p>
        </w:tc>
        <w:tc>
          <w:tcPr>
            <w:tcW w:w="335" w:type="dxa"/>
            <w:tcBorders/>
            <w:vAlign w:val="center"/>
          </w:tcPr>
          <w:p>
            <w:pPr>
              <w:pStyle w:val="TableContents"/>
              <w:bidi w:val="0"/>
              <w:spacing w:before="0" w:after="283"/>
              <w:jc w:val="right"/>
              <w:rPr/>
            </w:pPr>
            <w:r>
              <w:rPr/>
              <w:t>32</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7.8</w:t>
            </w:r>
          </w:p>
        </w:tc>
        <w:tc>
          <w:tcPr>
            <w:tcW w:w="6140" w:type="dxa"/>
            <w:tcBorders/>
            <w:vAlign w:val="center"/>
          </w:tcPr>
          <w:p>
            <w:pPr>
              <w:pStyle w:val="TableContents"/>
              <w:bidi w:val="0"/>
              <w:spacing w:before="0" w:after="283"/>
              <w:jc w:val="left"/>
              <w:rPr/>
            </w:pPr>
            <w:r>
              <w:rPr/>
              <w:t>Successor Trustee by Merger, Etc.</w:t>
            </w:r>
          </w:p>
        </w:tc>
        <w:tc>
          <w:tcPr>
            <w:tcW w:w="335" w:type="dxa"/>
            <w:tcBorders/>
            <w:vAlign w:val="center"/>
          </w:tcPr>
          <w:p>
            <w:pPr>
              <w:pStyle w:val="TableContents"/>
              <w:bidi w:val="0"/>
              <w:spacing w:before="0" w:after="283"/>
              <w:jc w:val="right"/>
              <w:rPr/>
            </w:pPr>
            <w:r>
              <w:rPr/>
              <w:t>33</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7.9</w:t>
            </w:r>
          </w:p>
        </w:tc>
        <w:tc>
          <w:tcPr>
            <w:tcW w:w="6140" w:type="dxa"/>
            <w:tcBorders/>
            <w:vAlign w:val="center"/>
          </w:tcPr>
          <w:p>
            <w:pPr>
              <w:pStyle w:val="TableContents"/>
              <w:bidi w:val="0"/>
              <w:spacing w:before="0" w:after="283"/>
              <w:jc w:val="left"/>
              <w:rPr/>
            </w:pPr>
            <w:r>
              <w:rPr/>
              <w:t>Eligibility; Disqualification</w:t>
            </w:r>
          </w:p>
        </w:tc>
        <w:tc>
          <w:tcPr>
            <w:tcW w:w="335" w:type="dxa"/>
            <w:tcBorders/>
            <w:vAlign w:val="center"/>
          </w:tcPr>
          <w:p>
            <w:pPr>
              <w:pStyle w:val="TableContents"/>
              <w:bidi w:val="0"/>
              <w:spacing w:before="0" w:after="283"/>
              <w:jc w:val="right"/>
              <w:rPr/>
            </w:pPr>
            <w:r>
              <w:rPr/>
              <w:t>34</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7.10</w:t>
            </w:r>
          </w:p>
        </w:tc>
        <w:tc>
          <w:tcPr>
            <w:tcW w:w="6140" w:type="dxa"/>
            <w:tcBorders/>
            <w:vAlign w:val="center"/>
          </w:tcPr>
          <w:p>
            <w:pPr>
              <w:pStyle w:val="TableContents"/>
              <w:bidi w:val="0"/>
              <w:spacing w:before="0" w:after="283"/>
              <w:jc w:val="left"/>
              <w:rPr/>
            </w:pPr>
            <w:r>
              <w:rPr/>
              <w:t>Preferential Collection of Claims Against Company</w:t>
            </w:r>
          </w:p>
        </w:tc>
        <w:tc>
          <w:tcPr>
            <w:tcW w:w="335" w:type="dxa"/>
            <w:tcBorders/>
            <w:vAlign w:val="center"/>
          </w:tcPr>
          <w:p>
            <w:pPr>
              <w:pStyle w:val="TableContents"/>
              <w:bidi w:val="0"/>
              <w:spacing w:before="0" w:after="283"/>
              <w:jc w:val="right"/>
              <w:rPr/>
            </w:pPr>
            <w:r>
              <w:rPr/>
              <w:t>34</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7.11</w:t>
            </w:r>
          </w:p>
        </w:tc>
        <w:tc>
          <w:tcPr>
            <w:tcW w:w="6140" w:type="dxa"/>
            <w:tcBorders/>
            <w:vAlign w:val="center"/>
          </w:tcPr>
          <w:p>
            <w:pPr>
              <w:pStyle w:val="TableContents"/>
              <w:bidi w:val="0"/>
              <w:spacing w:before="0" w:after="283"/>
              <w:jc w:val="left"/>
              <w:rPr/>
            </w:pPr>
            <w:r>
              <w:rPr/>
              <w:t>Reports by Trustee</w:t>
            </w:r>
          </w:p>
        </w:tc>
        <w:tc>
          <w:tcPr>
            <w:tcW w:w="335" w:type="dxa"/>
            <w:tcBorders/>
            <w:vAlign w:val="center"/>
          </w:tcPr>
          <w:p>
            <w:pPr>
              <w:pStyle w:val="TableContents"/>
              <w:bidi w:val="0"/>
              <w:spacing w:before="0" w:after="283"/>
              <w:jc w:val="right"/>
              <w:rPr/>
            </w:pPr>
            <w:r>
              <w:rPr/>
              <w:t>34</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 </w:t>
            </w:r>
          </w:p>
        </w:tc>
      </w:tr>
      <w:tr>
        <w:trPr/>
        <w:tc>
          <w:tcPr>
            <w:tcW w:w="1594" w:type="dxa"/>
            <w:gridSpan w:val="2"/>
            <w:tcBorders/>
            <w:vAlign w:val="center"/>
          </w:tcPr>
          <w:p>
            <w:pPr>
              <w:pStyle w:val="TableContents"/>
              <w:bidi w:val="0"/>
              <w:spacing w:before="0" w:after="283"/>
              <w:jc w:val="left"/>
              <w:rPr/>
            </w:pPr>
            <w:r>
              <w:rPr/>
              <w:t> </w:t>
            </w:r>
            <w:r>
              <w:rPr/>
              <w:t>ARTICLE VIII</w:t>
            </w:r>
          </w:p>
        </w:tc>
        <w:tc>
          <w:tcPr>
            <w:tcW w:w="6140" w:type="dxa"/>
            <w:tcBorders/>
            <w:vAlign w:val="center"/>
          </w:tcPr>
          <w:p>
            <w:pPr>
              <w:pStyle w:val="TableContents"/>
              <w:bidi w:val="0"/>
              <w:spacing w:before="0" w:after="283"/>
              <w:jc w:val="left"/>
              <w:rPr/>
            </w:pPr>
            <w:r>
              <w:rPr/>
              <w:t>DISCHARGE OF INDENTURE</w:t>
            </w:r>
          </w:p>
        </w:tc>
        <w:tc>
          <w:tcPr>
            <w:tcW w:w="335" w:type="dxa"/>
            <w:tcBorders/>
            <w:vAlign w:val="center"/>
          </w:tcPr>
          <w:p>
            <w:pPr>
              <w:pStyle w:val="TableContents"/>
              <w:bidi w:val="0"/>
              <w:spacing w:before="0" w:after="283"/>
              <w:jc w:val="right"/>
              <w:rPr/>
            </w:pPr>
            <w:r>
              <w:rPr/>
              <w:t>35</w:t>
            </w:r>
          </w:p>
        </w:tc>
      </w:tr>
      <w:tr>
        <w:trPr/>
        <w:tc>
          <w:tcPr>
            <w:tcW w:w="1594" w:type="dxa"/>
            <w:gridSpan w:val="2"/>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 </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8.1</w:t>
            </w:r>
          </w:p>
        </w:tc>
        <w:tc>
          <w:tcPr>
            <w:tcW w:w="6140" w:type="dxa"/>
            <w:tcBorders/>
            <w:vAlign w:val="center"/>
          </w:tcPr>
          <w:p>
            <w:pPr>
              <w:pStyle w:val="TableContents"/>
              <w:bidi w:val="0"/>
              <w:spacing w:before="0" w:after="283"/>
              <w:jc w:val="left"/>
              <w:rPr/>
            </w:pPr>
            <w:r>
              <w:rPr/>
              <w:t>Termination of Company’s Obligations</w:t>
            </w:r>
          </w:p>
        </w:tc>
        <w:tc>
          <w:tcPr>
            <w:tcW w:w="335" w:type="dxa"/>
            <w:tcBorders/>
            <w:vAlign w:val="center"/>
          </w:tcPr>
          <w:p>
            <w:pPr>
              <w:pStyle w:val="TableContents"/>
              <w:bidi w:val="0"/>
              <w:spacing w:before="0" w:after="283"/>
              <w:jc w:val="right"/>
              <w:rPr/>
            </w:pPr>
            <w:r>
              <w:rPr/>
              <w:t>35</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8.2</w:t>
            </w:r>
          </w:p>
        </w:tc>
        <w:tc>
          <w:tcPr>
            <w:tcW w:w="6140" w:type="dxa"/>
            <w:tcBorders/>
            <w:vAlign w:val="center"/>
          </w:tcPr>
          <w:p>
            <w:pPr>
              <w:pStyle w:val="TableContents"/>
              <w:bidi w:val="0"/>
              <w:spacing w:before="0" w:after="283"/>
              <w:jc w:val="left"/>
              <w:rPr/>
            </w:pPr>
            <w:r>
              <w:rPr/>
              <w:t>Application of Trust Money</w:t>
            </w:r>
          </w:p>
        </w:tc>
        <w:tc>
          <w:tcPr>
            <w:tcW w:w="335" w:type="dxa"/>
            <w:tcBorders/>
            <w:vAlign w:val="center"/>
          </w:tcPr>
          <w:p>
            <w:pPr>
              <w:pStyle w:val="TableContents"/>
              <w:bidi w:val="0"/>
              <w:spacing w:before="0" w:after="283"/>
              <w:jc w:val="right"/>
              <w:rPr/>
            </w:pPr>
            <w:r>
              <w:rPr/>
              <w:t>38</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8.3</w:t>
            </w:r>
          </w:p>
        </w:tc>
        <w:tc>
          <w:tcPr>
            <w:tcW w:w="6140" w:type="dxa"/>
            <w:tcBorders/>
            <w:vAlign w:val="center"/>
          </w:tcPr>
          <w:p>
            <w:pPr>
              <w:pStyle w:val="TableContents"/>
              <w:bidi w:val="0"/>
              <w:spacing w:before="0" w:after="283"/>
              <w:jc w:val="left"/>
              <w:rPr/>
            </w:pPr>
            <w:r>
              <w:rPr/>
              <w:t>Repayment to Company</w:t>
            </w:r>
          </w:p>
        </w:tc>
        <w:tc>
          <w:tcPr>
            <w:tcW w:w="335" w:type="dxa"/>
            <w:tcBorders/>
            <w:vAlign w:val="center"/>
          </w:tcPr>
          <w:p>
            <w:pPr>
              <w:pStyle w:val="TableContents"/>
              <w:bidi w:val="0"/>
              <w:spacing w:before="0" w:after="283"/>
              <w:jc w:val="right"/>
              <w:rPr/>
            </w:pPr>
            <w:r>
              <w:rPr/>
              <w:t>38</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8.4</w:t>
            </w:r>
          </w:p>
        </w:tc>
        <w:tc>
          <w:tcPr>
            <w:tcW w:w="6140" w:type="dxa"/>
            <w:tcBorders/>
            <w:vAlign w:val="center"/>
          </w:tcPr>
          <w:p>
            <w:pPr>
              <w:pStyle w:val="TableContents"/>
              <w:bidi w:val="0"/>
              <w:spacing w:before="0" w:after="283"/>
              <w:jc w:val="left"/>
              <w:rPr/>
            </w:pPr>
            <w:r>
              <w:rPr/>
              <w:t>Reinstatement</w:t>
            </w:r>
          </w:p>
        </w:tc>
        <w:tc>
          <w:tcPr>
            <w:tcW w:w="335" w:type="dxa"/>
            <w:tcBorders/>
            <w:vAlign w:val="center"/>
          </w:tcPr>
          <w:p>
            <w:pPr>
              <w:pStyle w:val="TableContents"/>
              <w:bidi w:val="0"/>
              <w:spacing w:before="0" w:after="283"/>
              <w:jc w:val="right"/>
              <w:rPr/>
            </w:pPr>
            <w:r>
              <w:rPr/>
              <w:t>39</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 </w:t>
            </w:r>
          </w:p>
        </w:tc>
      </w:tr>
      <w:tr>
        <w:trPr/>
        <w:tc>
          <w:tcPr>
            <w:tcW w:w="1594" w:type="dxa"/>
            <w:gridSpan w:val="2"/>
            <w:tcBorders/>
            <w:vAlign w:val="center"/>
          </w:tcPr>
          <w:p>
            <w:pPr>
              <w:pStyle w:val="TableContents"/>
              <w:bidi w:val="0"/>
              <w:spacing w:before="0" w:after="283"/>
              <w:jc w:val="left"/>
              <w:rPr/>
            </w:pPr>
            <w:r>
              <w:rPr/>
              <w:t> </w:t>
            </w:r>
            <w:r>
              <w:rPr/>
              <w:t>ARTICLE IX</w:t>
            </w:r>
          </w:p>
        </w:tc>
        <w:tc>
          <w:tcPr>
            <w:tcW w:w="6140" w:type="dxa"/>
            <w:tcBorders/>
            <w:vAlign w:val="center"/>
          </w:tcPr>
          <w:p>
            <w:pPr>
              <w:pStyle w:val="TableContents"/>
              <w:bidi w:val="0"/>
              <w:spacing w:before="0" w:after="283"/>
              <w:jc w:val="left"/>
              <w:rPr/>
            </w:pPr>
            <w:r>
              <w:rPr/>
              <w:t>AMENDMENTS AND WAIVERS</w:t>
            </w:r>
          </w:p>
        </w:tc>
        <w:tc>
          <w:tcPr>
            <w:tcW w:w="335" w:type="dxa"/>
            <w:tcBorders/>
            <w:vAlign w:val="center"/>
          </w:tcPr>
          <w:p>
            <w:pPr>
              <w:pStyle w:val="TableContents"/>
              <w:bidi w:val="0"/>
              <w:spacing w:before="0" w:after="283"/>
              <w:jc w:val="right"/>
              <w:rPr/>
            </w:pPr>
            <w:r>
              <w:rPr/>
              <w:t>39</w:t>
            </w:r>
          </w:p>
        </w:tc>
      </w:tr>
      <w:tr>
        <w:trPr/>
        <w:tc>
          <w:tcPr>
            <w:tcW w:w="1594" w:type="dxa"/>
            <w:gridSpan w:val="2"/>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 </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9.1</w:t>
            </w:r>
          </w:p>
        </w:tc>
        <w:tc>
          <w:tcPr>
            <w:tcW w:w="6140" w:type="dxa"/>
            <w:tcBorders/>
            <w:vAlign w:val="center"/>
          </w:tcPr>
          <w:p>
            <w:pPr>
              <w:pStyle w:val="TableContents"/>
              <w:bidi w:val="0"/>
              <w:spacing w:before="0" w:after="283"/>
              <w:jc w:val="left"/>
              <w:rPr/>
            </w:pPr>
            <w:r>
              <w:rPr/>
              <w:t>Without Consent of Holders</w:t>
            </w:r>
          </w:p>
        </w:tc>
        <w:tc>
          <w:tcPr>
            <w:tcW w:w="335" w:type="dxa"/>
            <w:tcBorders/>
            <w:vAlign w:val="center"/>
          </w:tcPr>
          <w:p>
            <w:pPr>
              <w:pStyle w:val="TableContents"/>
              <w:bidi w:val="0"/>
              <w:spacing w:before="0" w:after="283"/>
              <w:jc w:val="right"/>
              <w:rPr/>
            </w:pPr>
            <w:r>
              <w:rPr/>
              <w:t>39</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9.2</w:t>
            </w:r>
          </w:p>
        </w:tc>
        <w:tc>
          <w:tcPr>
            <w:tcW w:w="6140" w:type="dxa"/>
            <w:tcBorders/>
            <w:vAlign w:val="center"/>
          </w:tcPr>
          <w:p>
            <w:pPr>
              <w:pStyle w:val="TableContents"/>
              <w:bidi w:val="0"/>
              <w:spacing w:before="0" w:after="283"/>
              <w:jc w:val="left"/>
              <w:rPr/>
            </w:pPr>
            <w:r>
              <w:rPr/>
              <w:t>With Consent of Holders</w:t>
            </w:r>
          </w:p>
        </w:tc>
        <w:tc>
          <w:tcPr>
            <w:tcW w:w="335" w:type="dxa"/>
            <w:tcBorders/>
            <w:vAlign w:val="center"/>
          </w:tcPr>
          <w:p>
            <w:pPr>
              <w:pStyle w:val="TableContents"/>
              <w:bidi w:val="0"/>
              <w:spacing w:before="0" w:after="283"/>
              <w:jc w:val="right"/>
              <w:rPr/>
            </w:pPr>
            <w:r>
              <w:rPr/>
              <w:t>40</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9.3</w:t>
            </w:r>
          </w:p>
        </w:tc>
        <w:tc>
          <w:tcPr>
            <w:tcW w:w="6140" w:type="dxa"/>
            <w:tcBorders/>
            <w:vAlign w:val="center"/>
          </w:tcPr>
          <w:p>
            <w:pPr>
              <w:pStyle w:val="TableContents"/>
              <w:bidi w:val="0"/>
              <w:spacing w:before="0" w:after="283"/>
              <w:jc w:val="left"/>
              <w:rPr/>
            </w:pPr>
            <w:r>
              <w:rPr/>
              <w:t>Limitations</w:t>
            </w:r>
          </w:p>
        </w:tc>
        <w:tc>
          <w:tcPr>
            <w:tcW w:w="335" w:type="dxa"/>
            <w:tcBorders/>
            <w:vAlign w:val="center"/>
          </w:tcPr>
          <w:p>
            <w:pPr>
              <w:pStyle w:val="TableContents"/>
              <w:bidi w:val="0"/>
              <w:spacing w:before="0" w:after="283"/>
              <w:jc w:val="right"/>
              <w:rPr/>
            </w:pPr>
            <w:r>
              <w:rPr/>
              <w:t>41</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9.4</w:t>
            </w:r>
          </w:p>
        </w:tc>
        <w:tc>
          <w:tcPr>
            <w:tcW w:w="6140" w:type="dxa"/>
            <w:tcBorders/>
            <w:vAlign w:val="center"/>
          </w:tcPr>
          <w:p>
            <w:pPr>
              <w:pStyle w:val="TableContents"/>
              <w:bidi w:val="0"/>
              <w:spacing w:before="0" w:after="283"/>
              <w:jc w:val="left"/>
              <w:rPr/>
            </w:pPr>
            <w:r>
              <w:rPr/>
              <w:t>Form of Amendments</w:t>
            </w:r>
          </w:p>
        </w:tc>
        <w:tc>
          <w:tcPr>
            <w:tcW w:w="335" w:type="dxa"/>
            <w:tcBorders/>
            <w:vAlign w:val="center"/>
          </w:tcPr>
          <w:p>
            <w:pPr>
              <w:pStyle w:val="TableContents"/>
              <w:bidi w:val="0"/>
              <w:spacing w:before="0" w:after="283"/>
              <w:jc w:val="right"/>
              <w:rPr/>
            </w:pPr>
            <w:r>
              <w:rPr/>
              <w:t>41</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9.5</w:t>
            </w:r>
          </w:p>
        </w:tc>
        <w:tc>
          <w:tcPr>
            <w:tcW w:w="6140" w:type="dxa"/>
            <w:tcBorders/>
            <w:vAlign w:val="center"/>
          </w:tcPr>
          <w:p>
            <w:pPr>
              <w:pStyle w:val="TableContents"/>
              <w:bidi w:val="0"/>
              <w:spacing w:before="0" w:after="283"/>
              <w:jc w:val="left"/>
              <w:rPr/>
            </w:pPr>
            <w:r>
              <w:rPr/>
              <w:t>Revocation and Effect of Consents</w:t>
            </w:r>
          </w:p>
        </w:tc>
        <w:tc>
          <w:tcPr>
            <w:tcW w:w="335" w:type="dxa"/>
            <w:tcBorders/>
            <w:vAlign w:val="center"/>
          </w:tcPr>
          <w:p>
            <w:pPr>
              <w:pStyle w:val="TableContents"/>
              <w:bidi w:val="0"/>
              <w:spacing w:before="0" w:after="283"/>
              <w:jc w:val="right"/>
              <w:rPr/>
            </w:pPr>
            <w:r>
              <w:rPr/>
              <w:t>41</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9.6</w:t>
            </w:r>
          </w:p>
        </w:tc>
        <w:tc>
          <w:tcPr>
            <w:tcW w:w="6140" w:type="dxa"/>
            <w:tcBorders/>
            <w:vAlign w:val="center"/>
          </w:tcPr>
          <w:p>
            <w:pPr>
              <w:pStyle w:val="TableContents"/>
              <w:bidi w:val="0"/>
              <w:spacing w:before="0" w:after="283"/>
              <w:jc w:val="left"/>
              <w:rPr/>
            </w:pPr>
            <w:r>
              <w:rPr/>
              <w:t>Notation on or Exchange of the Securities</w:t>
            </w:r>
          </w:p>
        </w:tc>
        <w:tc>
          <w:tcPr>
            <w:tcW w:w="335" w:type="dxa"/>
            <w:tcBorders/>
            <w:vAlign w:val="center"/>
          </w:tcPr>
          <w:p>
            <w:pPr>
              <w:pStyle w:val="TableContents"/>
              <w:bidi w:val="0"/>
              <w:spacing w:before="0" w:after="283"/>
              <w:jc w:val="right"/>
              <w:rPr/>
            </w:pPr>
            <w:r>
              <w:rPr/>
              <w:t>42</w:t>
            </w:r>
          </w:p>
        </w:tc>
      </w:tr>
      <w:tr>
        <w:trPr/>
        <w:tc>
          <w:tcPr>
            <w:tcW w:w="91"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Section 9.7</w:t>
            </w:r>
          </w:p>
        </w:tc>
        <w:tc>
          <w:tcPr>
            <w:tcW w:w="6140" w:type="dxa"/>
            <w:tcBorders/>
            <w:vAlign w:val="center"/>
          </w:tcPr>
          <w:p>
            <w:pPr>
              <w:pStyle w:val="TableContents"/>
              <w:bidi w:val="0"/>
              <w:spacing w:before="0" w:after="283"/>
              <w:jc w:val="left"/>
              <w:rPr/>
            </w:pPr>
            <w:r>
              <w:rPr/>
              <w:t>Trustee Protected</w:t>
            </w:r>
          </w:p>
        </w:tc>
        <w:tc>
          <w:tcPr>
            <w:tcW w:w="335" w:type="dxa"/>
            <w:tcBorders/>
            <w:vAlign w:val="center"/>
          </w:tcPr>
          <w:p>
            <w:pPr>
              <w:pStyle w:val="TableContents"/>
              <w:bidi w:val="0"/>
              <w:spacing w:before="0" w:after="283"/>
              <w:jc w:val="right"/>
              <w:rPr/>
            </w:pPr>
            <w:r>
              <w:rPr/>
              <w:t xml:space="preserve">42 </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115" w:right="115" w:hanging="0"/>
        <w:jc w:val="center"/>
        <w:rPr>
          <w:caps w:val="false"/>
          <w:smallCaps w:val="false"/>
        </w:rPr>
      </w:pPr>
      <w:r>
        <w:rPr>
          <w:caps w:val="false"/>
          <w:smallCaps w:val="false"/>
        </w:rPr>
        <w:t> </w:t>
      </w:r>
    </w:p>
    <w:p>
      <w:pPr>
        <w:pStyle w:val="TextBody"/>
        <w:bidi w:val="0"/>
        <w:spacing w:before="0" w:after="0"/>
        <w:ind w:left="115"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jc w:val="left"/>
        <w:rPr>
          <w:caps w:val="false"/>
          <w:smallCaps w:val="false"/>
        </w:rPr>
      </w:pPr>
      <w:r>
        <w:rPr>
          <w:caps w:val="false"/>
          <w:smallCaps w:val="false"/>
        </w:rPr>
        <w:t> </w:t>
      </w:r>
    </w:p>
    <w:tbl>
      <w:tblPr>
        <w:tblW w:w="9719" w:type="dxa"/>
        <w:jc w:val="left"/>
        <w:tblInd w:w="0" w:type="dxa"/>
        <w:tblLayout w:type="fixed"/>
        <w:tblCellMar>
          <w:top w:w="0" w:type="dxa"/>
          <w:left w:w="0" w:type="dxa"/>
          <w:bottom w:w="0" w:type="dxa"/>
          <w:right w:w="0" w:type="dxa"/>
        </w:tblCellMar>
      </w:tblPr>
      <w:tblGrid>
        <w:gridCol w:w="77"/>
        <w:gridCol w:w="1367"/>
        <w:gridCol w:w="8000"/>
        <w:gridCol w:w="275"/>
      </w:tblGrid>
      <w:tr>
        <w:trPr/>
        <w:tc>
          <w:tcPr>
            <w:tcW w:w="1444" w:type="dxa"/>
            <w:gridSpan w:val="2"/>
            <w:tcBorders/>
            <w:vAlign w:val="center"/>
          </w:tcPr>
          <w:p>
            <w:pPr>
              <w:pStyle w:val="TableContents"/>
              <w:bidi w:val="0"/>
              <w:spacing w:before="0" w:after="283"/>
              <w:jc w:val="left"/>
              <w:rPr/>
            </w:pPr>
            <w:r>
              <w:rPr/>
              <w:t> </w:t>
            </w:r>
            <w:r>
              <w:rPr/>
              <w:t>ARTICLE X</w:t>
            </w:r>
          </w:p>
        </w:tc>
        <w:tc>
          <w:tcPr>
            <w:tcW w:w="8000" w:type="dxa"/>
            <w:tcBorders/>
            <w:vAlign w:val="center"/>
          </w:tcPr>
          <w:p>
            <w:pPr>
              <w:pStyle w:val="TableContents"/>
              <w:bidi w:val="0"/>
              <w:spacing w:before="0" w:after="283"/>
              <w:jc w:val="left"/>
              <w:rPr/>
            </w:pPr>
            <w:r>
              <w:rPr/>
              <w:t>MISCELLANEOUS</w:t>
            </w:r>
          </w:p>
        </w:tc>
        <w:tc>
          <w:tcPr>
            <w:tcW w:w="275" w:type="dxa"/>
            <w:tcBorders/>
            <w:vAlign w:val="center"/>
          </w:tcPr>
          <w:p>
            <w:pPr>
              <w:pStyle w:val="TableContents"/>
              <w:bidi w:val="0"/>
              <w:spacing w:before="0" w:after="283"/>
              <w:jc w:val="right"/>
              <w:rPr/>
            </w:pPr>
            <w:r>
              <w:rPr/>
              <w:t>42</w:t>
            </w:r>
          </w:p>
        </w:tc>
      </w:tr>
      <w:tr>
        <w:trPr/>
        <w:tc>
          <w:tcPr>
            <w:tcW w:w="1444" w:type="dxa"/>
            <w:gridSpan w:val="2"/>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10.1</w:t>
            </w:r>
          </w:p>
        </w:tc>
        <w:tc>
          <w:tcPr>
            <w:tcW w:w="8000" w:type="dxa"/>
            <w:tcBorders/>
            <w:vAlign w:val="center"/>
          </w:tcPr>
          <w:p>
            <w:pPr>
              <w:pStyle w:val="TableContents"/>
              <w:bidi w:val="0"/>
              <w:spacing w:before="0" w:after="283"/>
              <w:jc w:val="left"/>
              <w:rPr/>
            </w:pPr>
            <w:r>
              <w:rPr/>
              <w:t>Notices</w:t>
            </w:r>
          </w:p>
        </w:tc>
        <w:tc>
          <w:tcPr>
            <w:tcW w:w="275" w:type="dxa"/>
            <w:tcBorders/>
            <w:vAlign w:val="center"/>
          </w:tcPr>
          <w:p>
            <w:pPr>
              <w:pStyle w:val="TableContents"/>
              <w:bidi w:val="0"/>
              <w:spacing w:before="0" w:after="283"/>
              <w:jc w:val="right"/>
              <w:rPr/>
            </w:pPr>
            <w:r>
              <w:rPr/>
              <w:t>42</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10.2</w:t>
            </w:r>
          </w:p>
        </w:tc>
        <w:tc>
          <w:tcPr>
            <w:tcW w:w="8000" w:type="dxa"/>
            <w:tcBorders/>
            <w:vAlign w:val="center"/>
          </w:tcPr>
          <w:p>
            <w:pPr>
              <w:pStyle w:val="TableContents"/>
              <w:bidi w:val="0"/>
              <w:spacing w:before="0" w:after="283"/>
              <w:jc w:val="left"/>
              <w:rPr/>
            </w:pPr>
            <w:r>
              <w:rPr/>
              <w:t>Communication by Holders with Other Holders</w:t>
            </w:r>
          </w:p>
        </w:tc>
        <w:tc>
          <w:tcPr>
            <w:tcW w:w="275" w:type="dxa"/>
            <w:tcBorders/>
            <w:vAlign w:val="center"/>
          </w:tcPr>
          <w:p>
            <w:pPr>
              <w:pStyle w:val="TableContents"/>
              <w:bidi w:val="0"/>
              <w:spacing w:before="0" w:after="283"/>
              <w:jc w:val="right"/>
              <w:rPr/>
            </w:pPr>
            <w:r>
              <w:rPr/>
              <w:t>44</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10.3</w:t>
            </w:r>
          </w:p>
        </w:tc>
        <w:tc>
          <w:tcPr>
            <w:tcW w:w="8000" w:type="dxa"/>
            <w:tcBorders/>
            <w:vAlign w:val="center"/>
          </w:tcPr>
          <w:p>
            <w:pPr>
              <w:pStyle w:val="TableContents"/>
              <w:bidi w:val="0"/>
              <w:spacing w:before="0" w:after="283"/>
              <w:jc w:val="left"/>
              <w:rPr/>
            </w:pPr>
            <w:r>
              <w:rPr/>
              <w:t>Certificate and Opinion as to Conditions Precedent</w:t>
            </w:r>
          </w:p>
        </w:tc>
        <w:tc>
          <w:tcPr>
            <w:tcW w:w="275" w:type="dxa"/>
            <w:tcBorders/>
            <w:vAlign w:val="center"/>
          </w:tcPr>
          <w:p>
            <w:pPr>
              <w:pStyle w:val="TableContents"/>
              <w:bidi w:val="0"/>
              <w:spacing w:before="0" w:after="283"/>
              <w:jc w:val="right"/>
              <w:rPr/>
            </w:pPr>
            <w:r>
              <w:rPr/>
              <w:t>44</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10.4</w:t>
            </w:r>
          </w:p>
        </w:tc>
        <w:tc>
          <w:tcPr>
            <w:tcW w:w="8000" w:type="dxa"/>
            <w:tcBorders/>
            <w:vAlign w:val="center"/>
          </w:tcPr>
          <w:p>
            <w:pPr>
              <w:pStyle w:val="TableContents"/>
              <w:bidi w:val="0"/>
              <w:spacing w:before="0" w:after="283"/>
              <w:jc w:val="left"/>
              <w:rPr/>
            </w:pPr>
            <w:r>
              <w:rPr/>
              <w:t>Statements Required in Certificate or Opinion</w:t>
            </w:r>
          </w:p>
        </w:tc>
        <w:tc>
          <w:tcPr>
            <w:tcW w:w="275" w:type="dxa"/>
            <w:tcBorders/>
            <w:vAlign w:val="center"/>
          </w:tcPr>
          <w:p>
            <w:pPr>
              <w:pStyle w:val="TableContents"/>
              <w:bidi w:val="0"/>
              <w:spacing w:before="0" w:after="283"/>
              <w:jc w:val="right"/>
              <w:rPr/>
            </w:pPr>
            <w:r>
              <w:rPr/>
              <w:t>44</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10.5</w:t>
            </w:r>
          </w:p>
        </w:tc>
        <w:tc>
          <w:tcPr>
            <w:tcW w:w="8000" w:type="dxa"/>
            <w:tcBorders/>
            <w:vAlign w:val="center"/>
          </w:tcPr>
          <w:p>
            <w:pPr>
              <w:pStyle w:val="TableContents"/>
              <w:bidi w:val="0"/>
              <w:spacing w:before="0" w:after="283"/>
              <w:jc w:val="left"/>
              <w:rPr/>
            </w:pPr>
            <w:r>
              <w:rPr/>
              <w:t>Rules by Trustee and Agents</w:t>
            </w:r>
          </w:p>
        </w:tc>
        <w:tc>
          <w:tcPr>
            <w:tcW w:w="275" w:type="dxa"/>
            <w:tcBorders/>
            <w:vAlign w:val="center"/>
          </w:tcPr>
          <w:p>
            <w:pPr>
              <w:pStyle w:val="TableContents"/>
              <w:bidi w:val="0"/>
              <w:spacing w:before="0" w:after="283"/>
              <w:jc w:val="right"/>
              <w:rPr/>
            </w:pPr>
            <w:r>
              <w:rPr/>
              <w:t>44</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10.6</w:t>
            </w:r>
          </w:p>
        </w:tc>
        <w:tc>
          <w:tcPr>
            <w:tcW w:w="8000" w:type="dxa"/>
            <w:tcBorders/>
            <w:vAlign w:val="center"/>
          </w:tcPr>
          <w:p>
            <w:pPr>
              <w:pStyle w:val="TableContents"/>
              <w:bidi w:val="0"/>
              <w:spacing w:before="0" w:after="283"/>
              <w:jc w:val="left"/>
              <w:rPr/>
            </w:pPr>
            <w:r>
              <w:rPr/>
              <w:t>Legal Holidays</w:t>
            </w:r>
          </w:p>
        </w:tc>
        <w:tc>
          <w:tcPr>
            <w:tcW w:w="275" w:type="dxa"/>
            <w:tcBorders/>
            <w:vAlign w:val="center"/>
          </w:tcPr>
          <w:p>
            <w:pPr>
              <w:pStyle w:val="TableContents"/>
              <w:bidi w:val="0"/>
              <w:spacing w:before="0" w:after="283"/>
              <w:jc w:val="right"/>
              <w:rPr/>
            </w:pPr>
            <w:r>
              <w:rPr/>
              <w:t>44</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10.7</w:t>
            </w:r>
          </w:p>
        </w:tc>
        <w:tc>
          <w:tcPr>
            <w:tcW w:w="8000" w:type="dxa"/>
            <w:tcBorders/>
            <w:vAlign w:val="center"/>
          </w:tcPr>
          <w:p>
            <w:pPr>
              <w:pStyle w:val="TableContents"/>
              <w:bidi w:val="0"/>
              <w:spacing w:before="0" w:after="283"/>
              <w:jc w:val="left"/>
              <w:rPr/>
            </w:pPr>
            <w:r>
              <w:rPr/>
              <w:t>No Personal Liability of Directors, Officers, Employees and Certain Others</w:t>
            </w:r>
          </w:p>
        </w:tc>
        <w:tc>
          <w:tcPr>
            <w:tcW w:w="275" w:type="dxa"/>
            <w:tcBorders/>
            <w:vAlign w:val="center"/>
          </w:tcPr>
          <w:p>
            <w:pPr>
              <w:pStyle w:val="TableContents"/>
              <w:bidi w:val="0"/>
              <w:spacing w:before="0" w:after="283"/>
              <w:jc w:val="right"/>
              <w:rPr/>
            </w:pPr>
            <w:r>
              <w:rPr/>
              <w:t>45</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10.8</w:t>
            </w:r>
          </w:p>
        </w:tc>
        <w:tc>
          <w:tcPr>
            <w:tcW w:w="8000" w:type="dxa"/>
            <w:tcBorders/>
            <w:vAlign w:val="center"/>
          </w:tcPr>
          <w:p>
            <w:pPr>
              <w:pStyle w:val="TableContents"/>
              <w:bidi w:val="0"/>
              <w:spacing w:before="0" w:after="283"/>
              <w:jc w:val="left"/>
              <w:rPr/>
            </w:pPr>
            <w:r>
              <w:rPr/>
              <w:t>Counterparts</w:t>
            </w:r>
          </w:p>
        </w:tc>
        <w:tc>
          <w:tcPr>
            <w:tcW w:w="275" w:type="dxa"/>
            <w:tcBorders/>
            <w:vAlign w:val="center"/>
          </w:tcPr>
          <w:p>
            <w:pPr>
              <w:pStyle w:val="TableContents"/>
              <w:bidi w:val="0"/>
              <w:spacing w:before="0" w:after="283"/>
              <w:jc w:val="right"/>
              <w:rPr/>
            </w:pPr>
            <w:r>
              <w:rPr/>
              <w:t>45</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10.9</w:t>
            </w:r>
          </w:p>
        </w:tc>
        <w:tc>
          <w:tcPr>
            <w:tcW w:w="8000" w:type="dxa"/>
            <w:tcBorders/>
            <w:vAlign w:val="center"/>
          </w:tcPr>
          <w:p>
            <w:pPr>
              <w:pStyle w:val="TableContents"/>
              <w:bidi w:val="0"/>
              <w:spacing w:before="0" w:after="283"/>
              <w:jc w:val="left"/>
              <w:rPr/>
            </w:pPr>
            <w:r>
              <w:rPr/>
              <w:t>Governing Laws</w:t>
            </w:r>
          </w:p>
        </w:tc>
        <w:tc>
          <w:tcPr>
            <w:tcW w:w="275" w:type="dxa"/>
            <w:tcBorders/>
            <w:vAlign w:val="center"/>
          </w:tcPr>
          <w:p>
            <w:pPr>
              <w:pStyle w:val="TableContents"/>
              <w:bidi w:val="0"/>
              <w:spacing w:before="0" w:after="283"/>
              <w:jc w:val="right"/>
              <w:rPr/>
            </w:pPr>
            <w:r>
              <w:rPr/>
              <w:t>45</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10.10</w:t>
            </w:r>
          </w:p>
        </w:tc>
        <w:tc>
          <w:tcPr>
            <w:tcW w:w="8000" w:type="dxa"/>
            <w:tcBorders/>
            <w:vAlign w:val="center"/>
          </w:tcPr>
          <w:p>
            <w:pPr>
              <w:pStyle w:val="TableContents"/>
              <w:bidi w:val="0"/>
              <w:spacing w:before="0" w:after="283"/>
              <w:jc w:val="left"/>
              <w:rPr/>
            </w:pPr>
            <w:r>
              <w:rPr/>
              <w:t>No Adverse Interpretation of Other Agreements</w:t>
            </w:r>
          </w:p>
        </w:tc>
        <w:tc>
          <w:tcPr>
            <w:tcW w:w="275" w:type="dxa"/>
            <w:tcBorders/>
            <w:vAlign w:val="center"/>
          </w:tcPr>
          <w:p>
            <w:pPr>
              <w:pStyle w:val="TableContents"/>
              <w:bidi w:val="0"/>
              <w:spacing w:before="0" w:after="283"/>
              <w:jc w:val="right"/>
              <w:rPr/>
            </w:pPr>
            <w:r>
              <w:rPr/>
              <w:t>46</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10.11</w:t>
            </w:r>
          </w:p>
        </w:tc>
        <w:tc>
          <w:tcPr>
            <w:tcW w:w="8000" w:type="dxa"/>
            <w:tcBorders/>
            <w:vAlign w:val="center"/>
          </w:tcPr>
          <w:p>
            <w:pPr>
              <w:pStyle w:val="TableContents"/>
              <w:bidi w:val="0"/>
              <w:spacing w:before="0" w:after="283"/>
              <w:jc w:val="left"/>
              <w:rPr/>
            </w:pPr>
            <w:r>
              <w:rPr/>
              <w:t>Successors</w:t>
            </w:r>
          </w:p>
        </w:tc>
        <w:tc>
          <w:tcPr>
            <w:tcW w:w="275" w:type="dxa"/>
            <w:tcBorders/>
            <w:vAlign w:val="center"/>
          </w:tcPr>
          <w:p>
            <w:pPr>
              <w:pStyle w:val="TableContents"/>
              <w:bidi w:val="0"/>
              <w:spacing w:before="0" w:after="283"/>
              <w:jc w:val="right"/>
              <w:rPr/>
            </w:pPr>
            <w:r>
              <w:rPr/>
              <w:t>46</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10.12</w:t>
            </w:r>
          </w:p>
        </w:tc>
        <w:tc>
          <w:tcPr>
            <w:tcW w:w="8000" w:type="dxa"/>
            <w:tcBorders/>
            <w:vAlign w:val="center"/>
          </w:tcPr>
          <w:p>
            <w:pPr>
              <w:pStyle w:val="TableContents"/>
              <w:bidi w:val="0"/>
              <w:spacing w:before="0" w:after="283"/>
              <w:jc w:val="left"/>
              <w:rPr/>
            </w:pPr>
            <w:r>
              <w:rPr/>
              <w:t>Severability</w:t>
            </w:r>
          </w:p>
        </w:tc>
        <w:tc>
          <w:tcPr>
            <w:tcW w:w="275" w:type="dxa"/>
            <w:tcBorders/>
            <w:vAlign w:val="center"/>
          </w:tcPr>
          <w:p>
            <w:pPr>
              <w:pStyle w:val="TableContents"/>
              <w:bidi w:val="0"/>
              <w:spacing w:before="0" w:after="283"/>
              <w:jc w:val="right"/>
              <w:rPr/>
            </w:pPr>
            <w:r>
              <w:rPr/>
              <w:t>46</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10.13</w:t>
            </w:r>
          </w:p>
        </w:tc>
        <w:tc>
          <w:tcPr>
            <w:tcW w:w="8000" w:type="dxa"/>
            <w:tcBorders/>
            <w:vAlign w:val="center"/>
          </w:tcPr>
          <w:p>
            <w:pPr>
              <w:pStyle w:val="TableContents"/>
              <w:bidi w:val="0"/>
              <w:spacing w:before="0" w:after="283"/>
              <w:jc w:val="left"/>
              <w:rPr/>
            </w:pPr>
            <w:r>
              <w:rPr/>
              <w:t>Table of Contents, Headings, Etc.</w:t>
            </w:r>
          </w:p>
        </w:tc>
        <w:tc>
          <w:tcPr>
            <w:tcW w:w="275" w:type="dxa"/>
            <w:tcBorders/>
            <w:vAlign w:val="center"/>
          </w:tcPr>
          <w:p>
            <w:pPr>
              <w:pStyle w:val="TableContents"/>
              <w:bidi w:val="0"/>
              <w:spacing w:before="0" w:after="283"/>
              <w:jc w:val="right"/>
              <w:rPr/>
            </w:pPr>
            <w:r>
              <w:rPr/>
              <w:t>46</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10.14</w:t>
            </w:r>
          </w:p>
        </w:tc>
        <w:tc>
          <w:tcPr>
            <w:tcW w:w="8000" w:type="dxa"/>
            <w:tcBorders/>
            <w:vAlign w:val="center"/>
          </w:tcPr>
          <w:p>
            <w:pPr>
              <w:pStyle w:val="TableContents"/>
              <w:bidi w:val="0"/>
              <w:spacing w:before="0" w:after="283"/>
              <w:jc w:val="left"/>
              <w:rPr/>
            </w:pPr>
            <w:r>
              <w:rPr/>
              <w:t>Judgment Currency</w:t>
            </w:r>
          </w:p>
        </w:tc>
        <w:tc>
          <w:tcPr>
            <w:tcW w:w="275" w:type="dxa"/>
            <w:tcBorders/>
            <w:vAlign w:val="center"/>
          </w:tcPr>
          <w:p>
            <w:pPr>
              <w:pStyle w:val="TableContents"/>
              <w:bidi w:val="0"/>
              <w:spacing w:before="0" w:after="283"/>
              <w:jc w:val="right"/>
              <w:rPr/>
            </w:pPr>
            <w:r>
              <w:rPr/>
              <w:t>46</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10.15</w:t>
            </w:r>
          </w:p>
        </w:tc>
        <w:tc>
          <w:tcPr>
            <w:tcW w:w="8000" w:type="dxa"/>
            <w:tcBorders/>
            <w:vAlign w:val="center"/>
          </w:tcPr>
          <w:p>
            <w:pPr>
              <w:pStyle w:val="TableContents"/>
              <w:bidi w:val="0"/>
              <w:spacing w:before="0" w:after="283"/>
              <w:jc w:val="left"/>
              <w:rPr/>
            </w:pPr>
            <w:r>
              <w:rPr/>
              <w:t>English Language</w:t>
            </w:r>
          </w:p>
        </w:tc>
        <w:tc>
          <w:tcPr>
            <w:tcW w:w="275" w:type="dxa"/>
            <w:tcBorders/>
            <w:vAlign w:val="center"/>
          </w:tcPr>
          <w:p>
            <w:pPr>
              <w:pStyle w:val="TableContents"/>
              <w:bidi w:val="0"/>
              <w:spacing w:before="0" w:after="283"/>
              <w:jc w:val="right"/>
              <w:rPr/>
            </w:pPr>
            <w:r>
              <w:rPr/>
              <w:t>47</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10.16</w:t>
            </w:r>
          </w:p>
        </w:tc>
        <w:tc>
          <w:tcPr>
            <w:tcW w:w="8000" w:type="dxa"/>
            <w:tcBorders/>
            <w:vAlign w:val="center"/>
          </w:tcPr>
          <w:p>
            <w:pPr>
              <w:pStyle w:val="TableContents"/>
              <w:bidi w:val="0"/>
              <w:spacing w:before="0" w:after="283"/>
              <w:jc w:val="left"/>
              <w:rPr/>
            </w:pPr>
            <w:r>
              <w:rPr/>
              <w:t>Submission to Jurisdiction</w:t>
            </w:r>
          </w:p>
        </w:tc>
        <w:tc>
          <w:tcPr>
            <w:tcW w:w="275" w:type="dxa"/>
            <w:tcBorders/>
            <w:vAlign w:val="center"/>
          </w:tcPr>
          <w:p>
            <w:pPr>
              <w:pStyle w:val="TableContents"/>
              <w:bidi w:val="0"/>
              <w:spacing w:before="0" w:after="283"/>
              <w:jc w:val="right"/>
              <w:rPr/>
            </w:pPr>
            <w:r>
              <w:rPr/>
              <w:t>47</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10.17</w:t>
            </w:r>
          </w:p>
        </w:tc>
        <w:tc>
          <w:tcPr>
            <w:tcW w:w="8000" w:type="dxa"/>
            <w:tcBorders/>
            <w:vAlign w:val="center"/>
          </w:tcPr>
          <w:p>
            <w:pPr>
              <w:pStyle w:val="TableContents"/>
              <w:bidi w:val="0"/>
              <w:spacing w:before="0" w:after="283"/>
              <w:jc w:val="left"/>
              <w:rPr/>
            </w:pPr>
            <w:r>
              <w:rPr/>
              <w:t>Waiver of Immunity</w:t>
            </w:r>
          </w:p>
        </w:tc>
        <w:tc>
          <w:tcPr>
            <w:tcW w:w="275" w:type="dxa"/>
            <w:tcBorders/>
            <w:vAlign w:val="center"/>
          </w:tcPr>
          <w:p>
            <w:pPr>
              <w:pStyle w:val="TableContents"/>
              <w:bidi w:val="0"/>
              <w:spacing w:before="0" w:after="283"/>
              <w:jc w:val="right"/>
              <w:rPr/>
            </w:pPr>
            <w:r>
              <w:rPr/>
              <w:t>47</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10.18</w:t>
            </w:r>
          </w:p>
        </w:tc>
        <w:tc>
          <w:tcPr>
            <w:tcW w:w="8000" w:type="dxa"/>
            <w:tcBorders/>
            <w:vAlign w:val="center"/>
          </w:tcPr>
          <w:p>
            <w:pPr>
              <w:pStyle w:val="TableContents"/>
              <w:bidi w:val="0"/>
              <w:spacing w:before="0" w:after="283"/>
              <w:jc w:val="left"/>
              <w:rPr/>
            </w:pPr>
            <w:r>
              <w:rPr/>
              <w:t>Waiver of Jury Trial</w:t>
            </w:r>
          </w:p>
        </w:tc>
        <w:tc>
          <w:tcPr>
            <w:tcW w:w="275" w:type="dxa"/>
            <w:tcBorders/>
            <w:vAlign w:val="center"/>
          </w:tcPr>
          <w:p>
            <w:pPr>
              <w:pStyle w:val="TableContents"/>
              <w:bidi w:val="0"/>
              <w:spacing w:before="0" w:after="283"/>
              <w:jc w:val="right"/>
              <w:rPr/>
            </w:pPr>
            <w:r>
              <w:rPr/>
              <w:t>47</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10.19</w:t>
            </w:r>
          </w:p>
        </w:tc>
        <w:tc>
          <w:tcPr>
            <w:tcW w:w="8000" w:type="dxa"/>
            <w:tcBorders/>
            <w:vAlign w:val="center"/>
          </w:tcPr>
          <w:p>
            <w:pPr>
              <w:pStyle w:val="TableContents"/>
              <w:bidi w:val="0"/>
              <w:spacing w:before="0" w:after="283"/>
              <w:jc w:val="left"/>
              <w:rPr/>
            </w:pPr>
            <w:r>
              <w:rPr/>
              <w:t>USA Patriot Act</w:t>
            </w:r>
          </w:p>
        </w:tc>
        <w:tc>
          <w:tcPr>
            <w:tcW w:w="275" w:type="dxa"/>
            <w:tcBorders/>
            <w:vAlign w:val="center"/>
          </w:tcPr>
          <w:p>
            <w:pPr>
              <w:pStyle w:val="TableContents"/>
              <w:bidi w:val="0"/>
              <w:spacing w:before="0" w:after="283"/>
              <w:jc w:val="right"/>
              <w:rPr/>
            </w:pPr>
            <w:r>
              <w:rPr/>
              <w:t>47</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444" w:type="dxa"/>
            <w:gridSpan w:val="2"/>
            <w:tcBorders/>
            <w:vAlign w:val="center"/>
          </w:tcPr>
          <w:p>
            <w:pPr>
              <w:pStyle w:val="TableContents"/>
              <w:bidi w:val="0"/>
              <w:spacing w:before="0" w:after="283"/>
              <w:jc w:val="left"/>
              <w:rPr/>
            </w:pPr>
            <w:r>
              <w:rPr/>
              <w:t> </w:t>
            </w:r>
            <w:r>
              <w:rPr/>
              <w:t>ARTICLE XI</w:t>
            </w:r>
          </w:p>
        </w:tc>
        <w:tc>
          <w:tcPr>
            <w:tcW w:w="8000" w:type="dxa"/>
            <w:tcBorders/>
            <w:vAlign w:val="center"/>
          </w:tcPr>
          <w:p>
            <w:pPr>
              <w:pStyle w:val="TableContents"/>
              <w:bidi w:val="0"/>
              <w:spacing w:before="0" w:after="283"/>
              <w:jc w:val="left"/>
              <w:rPr/>
            </w:pPr>
            <w:r>
              <w:rPr/>
              <w:t>SUBORDINATION</w:t>
            </w:r>
          </w:p>
        </w:tc>
        <w:tc>
          <w:tcPr>
            <w:tcW w:w="275" w:type="dxa"/>
            <w:tcBorders/>
            <w:vAlign w:val="center"/>
          </w:tcPr>
          <w:p>
            <w:pPr>
              <w:pStyle w:val="TableContents"/>
              <w:bidi w:val="0"/>
              <w:spacing w:before="0" w:after="283"/>
              <w:jc w:val="right"/>
              <w:rPr/>
            </w:pPr>
            <w:r>
              <w:rPr/>
              <w:t>48</w:t>
            </w:r>
          </w:p>
        </w:tc>
      </w:tr>
      <w:tr>
        <w:trPr/>
        <w:tc>
          <w:tcPr>
            <w:tcW w:w="1444" w:type="dxa"/>
            <w:gridSpan w:val="2"/>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11.1</w:t>
            </w:r>
          </w:p>
        </w:tc>
        <w:tc>
          <w:tcPr>
            <w:tcW w:w="8000" w:type="dxa"/>
            <w:tcBorders/>
            <w:vAlign w:val="center"/>
          </w:tcPr>
          <w:p>
            <w:pPr>
              <w:pStyle w:val="TableContents"/>
              <w:bidi w:val="0"/>
              <w:spacing w:before="0" w:after="283"/>
              <w:jc w:val="left"/>
              <w:rPr/>
            </w:pPr>
            <w:r>
              <w:rPr/>
              <w:t>Subordination Terms</w:t>
            </w:r>
          </w:p>
        </w:tc>
        <w:tc>
          <w:tcPr>
            <w:tcW w:w="275" w:type="dxa"/>
            <w:tcBorders/>
            <w:vAlign w:val="center"/>
          </w:tcPr>
          <w:p>
            <w:pPr>
              <w:pStyle w:val="TableContents"/>
              <w:bidi w:val="0"/>
              <w:spacing w:before="0" w:after="283"/>
              <w:jc w:val="right"/>
              <w:rPr/>
            </w:pPr>
            <w:r>
              <w:rPr/>
              <w:t>48</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11.2</w:t>
            </w:r>
          </w:p>
        </w:tc>
        <w:tc>
          <w:tcPr>
            <w:tcW w:w="8000" w:type="dxa"/>
            <w:tcBorders/>
            <w:vAlign w:val="center"/>
          </w:tcPr>
          <w:p>
            <w:pPr>
              <w:pStyle w:val="TableContents"/>
              <w:bidi w:val="0"/>
              <w:spacing w:before="0" w:after="283"/>
              <w:jc w:val="left"/>
              <w:rPr/>
            </w:pPr>
            <w:r>
              <w:rPr/>
              <w:t>Notice to Trustee</w:t>
            </w:r>
          </w:p>
        </w:tc>
        <w:tc>
          <w:tcPr>
            <w:tcW w:w="275" w:type="dxa"/>
            <w:tcBorders/>
            <w:vAlign w:val="center"/>
          </w:tcPr>
          <w:p>
            <w:pPr>
              <w:pStyle w:val="TableContents"/>
              <w:bidi w:val="0"/>
              <w:spacing w:before="0" w:after="283"/>
              <w:jc w:val="right"/>
              <w:rPr/>
            </w:pPr>
            <w:r>
              <w:rPr/>
              <w:t>48</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11.3</w:t>
            </w:r>
          </w:p>
        </w:tc>
        <w:tc>
          <w:tcPr>
            <w:tcW w:w="8000" w:type="dxa"/>
            <w:tcBorders/>
            <w:vAlign w:val="center"/>
          </w:tcPr>
          <w:p>
            <w:pPr>
              <w:pStyle w:val="TableContents"/>
              <w:bidi w:val="0"/>
              <w:spacing w:before="0" w:after="283"/>
              <w:jc w:val="left"/>
              <w:rPr/>
            </w:pPr>
            <w:r>
              <w:rPr/>
              <w:t>Reliance on Judicial Order or Certificate of Liquidating Agent</w:t>
            </w:r>
          </w:p>
        </w:tc>
        <w:tc>
          <w:tcPr>
            <w:tcW w:w="275" w:type="dxa"/>
            <w:tcBorders/>
            <w:vAlign w:val="center"/>
          </w:tcPr>
          <w:p>
            <w:pPr>
              <w:pStyle w:val="TableContents"/>
              <w:bidi w:val="0"/>
              <w:spacing w:before="0" w:after="283"/>
              <w:jc w:val="right"/>
              <w:rPr/>
            </w:pPr>
            <w:r>
              <w:rPr/>
              <w:t>49</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11.4</w:t>
            </w:r>
          </w:p>
        </w:tc>
        <w:tc>
          <w:tcPr>
            <w:tcW w:w="8000" w:type="dxa"/>
            <w:tcBorders/>
            <w:vAlign w:val="center"/>
          </w:tcPr>
          <w:p>
            <w:pPr>
              <w:pStyle w:val="TableContents"/>
              <w:bidi w:val="0"/>
              <w:spacing w:before="0" w:after="283"/>
              <w:jc w:val="left"/>
              <w:rPr/>
            </w:pPr>
            <w:r>
              <w:rPr/>
              <w:t>Trustee Not Fiduciary for Holders of Senior Indebtedness</w:t>
            </w:r>
          </w:p>
        </w:tc>
        <w:tc>
          <w:tcPr>
            <w:tcW w:w="275" w:type="dxa"/>
            <w:tcBorders/>
            <w:vAlign w:val="center"/>
          </w:tcPr>
          <w:p>
            <w:pPr>
              <w:pStyle w:val="TableContents"/>
              <w:bidi w:val="0"/>
              <w:spacing w:before="0" w:after="283"/>
              <w:jc w:val="right"/>
              <w:rPr/>
            </w:pPr>
            <w:r>
              <w:rPr/>
              <w:t>49</w:t>
            </w:r>
          </w:p>
        </w:tc>
      </w:tr>
      <w:tr>
        <w:trPr/>
        <w:tc>
          <w:tcPr>
            <w:tcW w:w="7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Section 11.5</w:t>
            </w:r>
          </w:p>
        </w:tc>
        <w:tc>
          <w:tcPr>
            <w:tcW w:w="8000" w:type="dxa"/>
            <w:tcBorders/>
            <w:vAlign w:val="center"/>
          </w:tcPr>
          <w:p>
            <w:pPr>
              <w:pStyle w:val="TableContents"/>
              <w:bidi w:val="0"/>
              <w:spacing w:before="0" w:after="283"/>
              <w:jc w:val="left"/>
              <w:rPr/>
            </w:pPr>
            <w:r>
              <w:rPr/>
              <w:t>Rights of Trustee as Holder of Senior Indebtedness; Preservation of Trustee’s Rights</w:t>
            </w:r>
          </w:p>
        </w:tc>
        <w:tc>
          <w:tcPr>
            <w:tcW w:w="275" w:type="dxa"/>
            <w:tcBorders/>
            <w:vAlign w:val="center"/>
          </w:tcPr>
          <w:p>
            <w:pPr>
              <w:pStyle w:val="TableContents"/>
              <w:bidi w:val="0"/>
              <w:spacing w:before="0" w:after="283"/>
              <w:jc w:val="right"/>
              <w:rPr/>
            </w:pPr>
            <w:r>
              <w:rPr/>
              <w:t>49</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000000"/>
          <w:sz w:val="20"/>
        </w:rPr>
        <w:t>iii-</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    ], 20[       ] between Westinghouse Air Brake Technologies Corporation, a Delaware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and U.S. Bank Trust Company, National Association, a national banking association, as trustee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as follows for the benefit of the other party and for the equal and ratable benefit of the Holders (as defined below) of the Securities (as defined below) issued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br/>
        <w:t>DEFINITIONS AND INCORPORATION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Agent</w:t>
      </w:r>
      <w:r>
        <w:rPr>
          <w:rFonts w:ascii="Times New Roman;Times;Serif" w:hAnsi="Times New Roman;Times;Serif"/>
          <w:b w:val="false"/>
          <w:i w:val="false"/>
          <w:caps w:val="false"/>
          <w:smallCaps w:val="false"/>
          <w:sz w:val="20"/>
        </w:rPr>
        <w:t>” means any Registrar, Paying Agent or Transfer Agent or any other agent appointed pursuant to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any duly authorized committee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adopted by the Board of Directors or pursuant to authorization by the Board of Directors and to be in full force and effect on the date of the certification and delivered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any day except a Saturday, Sunday or a Legal Holiday in the City of New York on which banking institutions or the Corporate Trust Office are authorized or required by law, regulation or executive order to be closed.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of any Person means any and all shares, interests, participations or other equivalents (however designated) in the equity of such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Certificated Securities</w:t>
      </w:r>
      <w:r>
        <w:rPr>
          <w:rFonts w:ascii="Times New Roman;Times;Serif" w:hAnsi="Times New Roman;Times;Serif"/>
          <w:b w:val="false"/>
          <w:i w:val="false"/>
          <w:caps w:val="false"/>
          <w:smallCaps w:val="false"/>
          <w:sz w:val="20"/>
        </w:rPr>
        <w:t>” means definitive Securities in registered non-global certificated form.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means the United States Internal Revenue Code of 1986,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means the Person named as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in the first paragraph of this instrument until a successor Person shall have become such pursuant to the applicable provisions of this Indenture, and thereafter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shall mean such successor Person.</w:t>
      </w:r>
    </w:p>
    <w:p>
      <w:pPr>
        <w:pStyle w:val="TextBody"/>
        <w:bidi w:val="0"/>
        <w:spacing w:before="0" w:after="0"/>
        <w:ind w:left="0" w:right="0" w:firstLine="72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Company Order</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Company Request</w:t>
      </w:r>
      <w:r>
        <w:rPr>
          <w:rFonts w:ascii="Times New Roman;Times;Serif" w:hAnsi="Times New Roman;Times;Serif"/>
          <w:b w:val="false"/>
          <w:i w:val="false"/>
          <w:caps w:val="false"/>
          <w:smallCaps w:val="false"/>
          <w:sz w:val="20"/>
        </w:rPr>
        <w:t>” means a written order signed in the name of the Company by one of the Company’s Officers.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at any particular time its corporate trust business shall be principally administered, which, as of the date hereof is the address set forth in Section 10.1.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means any event which is, or after notice or passage of time or both would be, an Event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w:t>
      </w:r>
      <w:r>
        <w:rPr>
          <w:rFonts w:ascii="Times New Roman;Times;Serif" w:hAnsi="Times New Roman;Times;Serif"/>
          <w:b w:val="false"/>
          <w:i/>
          <w:caps w:val="false"/>
          <w:smallCaps w:val="false"/>
          <w:sz w:val="20"/>
        </w:rPr>
        <w:t>Depositary</w:t>
      </w:r>
      <w:r>
        <w:rPr>
          <w:rFonts w:ascii="Times New Roman;Times;Serif" w:hAnsi="Times New Roman;Times;Serif"/>
          <w:b w:val="false"/>
          <w:i w:val="false"/>
          <w:caps w:val="false"/>
          <w:smallCaps w:val="false"/>
          <w:sz w:val="20"/>
        </w:rPr>
        <w:t>” as used with respect to the Securities of any Series shall mean the Depositary with respect to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Discount Security</w:t>
      </w:r>
      <w:r>
        <w:rPr>
          <w:rFonts w:ascii="Times New Roman;Times;Serif" w:hAnsi="Times New Roman;Times;Serif"/>
          <w:b w:val="false"/>
          <w:i w:val="false"/>
          <w:caps w:val="false"/>
          <w:smallCaps w:val="false"/>
          <w:sz w:val="20"/>
        </w:rPr>
        <w:t>” means any Security that provides for an amount less than the stated principal amount thereof to be due and payable upon declaration of acceleration of the maturity thereof pursuant to Section 6.2.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Dollars</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means the currency of the United States of America.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means accounting principles generally accepted in the United States of America, which are in effect as of the date of application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Global Security</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Global Securities</w:t>
      </w:r>
      <w:r>
        <w:rPr>
          <w:rFonts w:ascii="Times New Roman;Times;Serif" w:hAnsi="Times New Roman;Times;Serif"/>
          <w:b w:val="false"/>
          <w:i w:val="false"/>
          <w:caps w:val="false"/>
          <w:smallCaps w:val="false"/>
          <w:sz w:val="20"/>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Government Obligations</w:t>
      </w:r>
      <w:r>
        <w:rPr>
          <w:rFonts w:ascii="Times New Roman;Times;Serif" w:hAnsi="Times New Roman;Times;Serif"/>
          <w:b w:val="false"/>
          <w:i w:val="false"/>
          <w:caps w:val="false"/>
          <w:smallCaps w:val="false"/>
          <w:sz w:val="20"/>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with respect to the Government Obligation evidenced by such depository receipt.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Securityholder</w:t>
      </w:r>
      <w:r>
        <w:rPr>
          <w:rFonts w:ascii="Times New Roman;Times;Serif" w:hAnsi="Times New Roman;Times;Serif"/>
          <w:b w:val="false"/>
          <w:i w:val="false"/>
          <w:caps w:val="false"/>
          <w:smallCaps w:val="false"/>
          <w:sz w:val="20"/>
        </w:rPr>
        <w:t>” means a Person in whose name a Security is registered in the register maintained by the Registrar.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means this Indenture as amended or supplemented from time to time and shall include the form and terms of each Series of Securities established as contemplated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Issue Date</w:t>
      </w:r>
      <w:r>
        <w:rPr>
          <w:rFonts w:ascii="Times New Roman;Times;Serif" w:hAnsi="Times New Roman;Times;Serif"/>
          <w:b w:val="false"/>
          <w:i w:val="false"/>
          <w:caps w:val="false"/>
          <w:smallCaps w:val="false"/>
          <w:sz w:val="20"/>
        </w:rPr>
        <w:t>” means, with respect to any Security, the date of original issuance of such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Maturity</w:t>
      </w:r>
      <w:r>
        <w:rPr>
          <w:rFonts w:ascii="Times New Roman;Times;Serif" w:hAnsi="Times New Roman;Times;Serif"/>
          <w:b w:val="false"/>
          <w:i w:val="false"/>
          <w:caps w:val="false"/>
          <w:smallCaps w:val="false"/>
          <w:sz w:val="20"/>
        </w:rPr>
        <w:t>” means, when used with respect to any Security, the date on which the principal of such Security becomes due and payable as therein or herein provided, whether at the Stated Maturity or by declaration of acceleration, call for redemption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Officer</w:t>
      </w:r>
      <w:r>
        <w:rPr>
          <w:rFonts w:ascii="Times New Roman;Times;Serif" w:hAnsi="Times New Roman;Times;Serif"/>
          <w:b w:val="false"/>
          <w:i w:val="false"/>
          <w:caps w:val="false"/>
          <w:smallCaps w:val="false"/>
          <w:sz w:val="20"/>
        </w:rPr>
        <w:t>” means the Chairman of the Board of Directors, the Chief Executive Officer, the President, any Vice-President, the Chief Operating Officer, the Chief Financial Officer, the Treasurer, the Secretary, the Controller, any Assistant Treasurer, any Assistant Secretary, or any Assistant Controller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means a certificate signed by (1) the Chairman of the Board of Directors, the Chief Executive Officer, the President, any Vice-President, the Chief Financial Officer or the Chief Operating Officer, and (2) the Treasurer, an Assistant Treasurer, the Controller, an Assistant Controller, the Secretary or an Assistant Secretary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Opinion of Counsel</w:t>
      </w:r>
      <w:r>
        <w:rPr>
          <w:rFonts w:ascii="Times New Roman;Times;Serif" w:hAnsi="Times New Roman;Times;Serif"/>
          <w:b w:val="false"/>
          <w:i w:val="false"/>
          <w:caps w:val="false"/>
          <w:smallCaps w:val="false"/>
          <w:sz w:val="20"/>
        </w:rPr>
        <w:t>” means a written opinion of legal counsel that is acceptable to the Trustee. The counsel may be a direct or indirect employee of or counsel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Periodic Offering</w:t>
      </w:r>
      <w:r>
        <w:rPr>
          <w:rFonts w:ascii="Times New Roman;Times;Serif" w:hAnsi="Times New Roman;Times;Serif"/>
          <w:b w:val="false"/>
          <w:i w:val="false"/>
          <w:caps w:val="false"/>
          <w:smallCaps w:val="false"/>
          <w:sz w:val="20"/>
        </w:rPr>
        <w:t>” means an offering of the Securities of a Series from time to time, during which any or all of the specific terms of the Securities, including the rate or rates of interest, if any, thereon, the maturity or maturities thereof and the redemption provisions, if any, with respect thereto, are to be determined by the Company or its agents upon the issuance of such Securities in accordance with the terms of the relevant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association, limited liability company, joint-stock company, trust, unincorporated organization or any other entity, including any government or any agency or political subdivision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Principal</w:t>
      </w:r>
      <w:r>
        <w:rPr>
          <w:rFonts w:ascii="Times New Roman;Times;Serif" w:hAnsi="Times New Roman;Times;Serif"/>
          <w:b w:val="false"/>
          <w:i w:val="false"/>
          <w:caps w:val="false"/>
          <w:smallCaps w:val="false"/>
          <w:sz w:val="20"/>
        </w:rPr>
        <w:t>” of a Security means the principal of the Security plus, when appropriate, the premium, if any, on the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Responsible Officer</w:t>
      </w:r>
      <w:r>
        <w:rPr>
          <w:rFonts w:ascii="Times New Roman;Times;Serif" w:hAnsi="Times New Roman;Times;Serif"/>
          <w:b w:val="false"/>
          <w:i w:val="false"/>
          <w:caps w:val="false"/>
          <w:smallCaps w:val="false"/>
          <w:sz w:val="20"/>
        </w:rPr>
        <w:t>” shall mean,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Restricted Security</w:t>
      </w:r>
      <w:r>
        <w:rPr>
          <w:rFonts w:ascii="Times New Roman;Times;Serif" w:hAnsi="Times New Roman;Times;Serif"/>
          <w:b w:val="false"/>
          <w:i w:val="false"/>
          <w:caps w:val="false"/>
          <w:smallCaps w:val="false"/>
          <w:sz w:val="20"/>
        </w:rPr>
        <w:t>” means, with respect to any Series of Securities, a Security of such Series, unless or until it has been (i) disposed of in a transaction registered under the Securities Act pursuant to a registration statement with respect to such Series or (ii) distributed to the public pursuant to Rule 144 under the Securities Act or any similar provision then in force.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Securities</w:t>
      </w:r>
      <w:r>
        <w:rPr>
          <w:rFonts w:ascii="Times New Roman;Times;Serif" w:hAnsi="Times New Roman;Times;Serif"/>
          <w:b w:val="false"/>
          <w:i w:val="false"/>
          <w:caps w:val="false"/>
          <w:smallCaps w:val="false"/>
          <w:sz w:val="20"/>
        </w:rPr>
        <w:t>” means the debentures, notes or other debt instruments of the Company of any Series authenticated and delivered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Senior Indebtedness</w:t>
      </w:r>
      <w:r>
        <w:rPr>
          <w:rFonts w:ascii="Times New Roman;Times;Serif" w:hAnsi="Times New Roman;Times;Serif"/>
          <w:b w:val="false"/>
          <w:i w:val="false"/>
          <w:caps w:val="false"/>
          <w:smallCaps w:val="false"/>
          <w:sz w:val="20"/>
        </w:rPr>
        <w:t>” means, without duplication, the principal, premium (if any) and unpaid interest on all present and future (i) indebtedness of the Company for borrowed money, (ii) obligations of the Company evidenced by bonds, debentures, notes or similar instruments, (iii) all obligations of the Company under (a) interest rate swaps, caps, collars, options and similar arrangements, (b) any foreign exchange contract, currency swap contract, futures contract, currency option contract, or other foreign currency hedge, and (c) credit swaps, caps, floors, collars and similar arrangements, (iv) indebtedness incurred, assumed or guaranteed by the Company in connection with the acquisition by it or a Subsidiary of any business, properties or assets (except purchase money indebtedness classified as accounts payable under generally accepted accounting principles), (v) all obligations and liabilities (contingent or otherwise) in respect of leases of the Company required, in conformity with generally accepted accounting principles, to be accounted for as capitalized lease obligations on the balance sheet of the Company and all obligations and liabilities (contingent or otherwise) under any lease or related document (including a purchase agreement) in connection with the lease of real property which provides that the Company is contractually obligated to purchase or cause a third party to purchase the leased property and thereby guarantee a minimum residual value of the leased property to the lessor and the obligations of the Company under such lease or related document to purchase or to cause a third party to purchase such leased property, (vi) reimbursement obligations of the Company in respect of letters of credit relating to indebtedness or other obligations of the Company that qualify as indebtedness or obligations of the kind referred to in clauses (i) through (v) above, and (vii) obligations of the Company under direct or indirect guaranties in respect of, and obligations (contingent or otherwise) to purchase or otherwise acquire, or otherwise assure a creditor against loss in respect of, indebtedness or obligations of others of the kinds referred to in clauses (i) through (vi) above, in each case unless the instrument creating or evidencing the indebtedness or obligation or pursuant to which the same is outstanding expressly provides that such indebtedness or obligation is not senior in right of payment to the Securities or expressly provides that such indebtedness is subordinate to other indebtedness and obligations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Series</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Series of Securities</w:t>
      </w:r>
      <w:r>
        <w:rPr>
          <w:rFonts w:ascii="Times New Roman;Times;Serif" w:hAnsi="Times New Roman;Times;Serif"/>
          <w:b w:val="false"/>
          <w:i w:val="false"/>
          <w:caps w:val="false"/>
          <w:smallCaps w:val="false"/>
          <w:sz w:val="20"/>
        </w:rPr>
        <w:t>” means each series of Securities of the Company created pursuant to Sections 2.1 and 2.2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Stated Maturity</w:t>
      </w:r>
      <w:r>
        <w:rPr>
          <w:rFonts w:ascii="Times New Roman;Times;Serif" w:hAnsi="Times New Roman;Times;Serif"/>
          <w:b w:val="false"/>
          <w:i w:val="false"/>
          <w:caps w:val="false"/>
          <w:smallCaps w:val="false"/>
          <w:sz w:val="20"/>
        </w:rPr>
        <w:t>” when used with respect to any Security, means the date specified in such Security as the fixed date on which the principal of such Security is due and payable.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Subsidiary</w:t>
      </w:r>
      <w:r>
        <w:rPr>
          <w:rFonts w:ascii="Times New Roman;Times;Serif" w:hAnsi="Times New Roman;Times;Serif"/>
          <w:b w:val="false"/>
          <w:i w:val="false"/>
          <w:caps w:val="false"/>
          <w:smallCaps w:val="false"/>
          <w:sz w:val="20"/>
        </w:rPr>
        <w:t>” of any specified Person means any corporation, partnership, limited liability company or other entity of which more than 50% of the total voting power of outstanding shares of Capital Stock entitled (without regard to the occurrence of any contingency) to vote in the election of directors, managers or trustees thereof (or Persons performing similar functions) is at the time owned (and, in the case of a partnership, more than 50% of whose total general partnership interests then outstanding is at the time owned), directly or indirectly, by such Person or other Subsidiaries of such Person or a combination thereof and, in the case of an entity other than a corporation or a partnership, such Person has the power to direct, directly or indirectly, the policies, management and affairs of such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Trust Indenture Act</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TIA</w:t>
      </w:r>
      <w:r>
        <w:rPr>
          <w:rFonts w:ascii="Times New Roman;Times;Serif" w:hAnsi="Times New Roman;Times;Serif"/>
          <w:b w:val="false"/>
          <w:i w:val="false"/>
          <w:caps w:val="false"/>
          <w:smallCaps w:val="false"/>
          <w:sz w:val="20"/>
        </w:rPr>
        <w:t>” means the Trust Indenture Act of 1939, as amended, and any reference herein to the Trust Indenture Act or a particular provision thereof shall mean such Trust Indenture Act or provision, as the case may be, as amended or replaced from time to time or as supplemented from time to time by rules or regulations adopted by the SEC under or in furtherance of the purpose of such Trust Indenture Act or provision,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means the Person named as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in the first paragraph of this instrument until a successor Trustee shall have become such pursuant to the applicable provisions of this Indenture, and thereafter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shall mean or include each Person who is then a Trustee hereunder, and if at any time there is more than one such Person,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as used with respect to the Securities of any Series shall mean the Trustee with respect to Securities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Unrestricted Securities</w:t>
      </w:r>
      <w:r>
        <w:rPr>
          <w:rFonts w:ascii="Times New Roman;Times;Serif" w:hAnsi="Times New Roman;Times;Serif"/>
          <w:b w:val="false"/>
          <w:i w:val="false"/>
          <w:caps w:val="false"/>
          <w:smallCaps w:val="false"/>
          <w:sz w:val="20"/>
        </w:rPr>
        <w:t>” means, with respect to any Series of Securities, a Security (i) disposed of in a transaction registered under the Securities Act pursuant to a registration statement with respect to such Series or (ii) distributed to the public pursuant to Rule 144 under the Securities Act or any similar provision then in force.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Other 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2165"/>
        <w:gridCol w:w="1145"/>
        <w:gridCol w:w="75"/>
      </w:tblGrid>
      <w:tr>
        <w:trPr/>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br/>
            </w:r>
            <w:r>
              <w:rPr>
                <w:rFonts w:ascii="Times New Roman;Times;Serif" w:hAnsi="Times New Roman;Times;Serif"/>
                <w:b/>
                <w:sz w:val="20"/>
                <w:u w:val="single"/>
              </w:rPr>
              <w:t>TERM</w:t>
            </w:r>
          </w:p>
        </w:tc>
        <w:tc>
          <w:tcPr>
            <w:tcW w:w="11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DEFINED IN</w:t>
            </w:r>
            <w:r>
              <w:rPr>
                <w:rFonts w:ascii="Times New Roman;Times;Serif" w:hAnsi="Times New Roman;Times;Serif"/>
                <w:sz w:val="20"/>
              </w:rPr>
              <w:br/>
            </w:r>
            <w:r>
              <w:rPr>
                <w:rFonts w:ascii="Times New Roman;Times;Serif" w:hAnsi="Times New Roman;Times;Serif"/>
                <w:b/>
                <w:sz w:val="20"/>
                <w:u w:val="single"/>
              </w:rPr>
              <w:t>SECTION</w:t>
            </w:r>
          </w:p>
        </w:tc>
        <w:tc>
          <w:tcPr>
            <w:tcW w:w="75" w:type="dxa"/>
            <w:tcBorders/>
            <w:vAlign w:val="center"/>
          </w:tcPr>
          <w:p>
            <w:pPr>
              <w:pStyle w:val="TableContents"/>
              <w:bidi w:val="0"/>
              <w:spacing w:before="0" w:after="283"/>
              <w:jc w:val="center"/>
              <w:rPr/>
            </w:pPr>
            <w:r>
              <w:rPr/>
              <w:t> </w:t>
            </w:r>
          </w:p>
        </w:tc>
      </w:tr>
      <w:tr>
        <w:trPr/>
        <w:tc>
          <w:tcPr>
            <w:tcW w:w="216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w:t>
            </w:r>
            <w:r>
              <w:rPr>
                <w:rFonts w:ascii="Times New Roman;Times;Serif" w:hAnsi="Times New Roman;Times;Serif"/>
                <w:sz w:val="20"/>
              </w:rPr>
              <w:t>Bankruptcy Law”</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w:t>
            </w:r>
            <w:r>
              <w:rPr>
                <w:rFonts w:ascii="Times New Roman;Times;Serif" w:hAnsi="Times New Roman;Times;Serif"/>
                <w:sz w:val="20"/>
              </w:rPr>
              <w:t>covenant defeasance”</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8.1(b)</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w:t>
            </w:r>
            <w:r>
              <w:rPr>
                <w:rFonts w:ascii="Times New Roman;Times;Serif" w:hAnsi="Times New Roman;Times;Serif"/>
                <w:sz w:val="20"/>
              </w:rPr>
              <w:t>Custodian”</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w:t>
            </w:r>
            <w:r>
              <w:rPr>
                <w:rFonts w:ascii="Times New Roman;Times;Serif" w:hAnsi="Times New Roman;Times;Serif"/>
                <w:sz w:val="20"/>
              </w:rPr>
              <w:t>Events of Default”</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w:t>
            </w:r>
            <w:r>
              <w:rPr>
                <w:rFonts w:ascii="Times New Roman;Times;Serif" w:hAnsi="Times New Roman;Times;Serif"/>
                <w:sz w:val="20"/>
              </w:rPr>
              <w:t>Judgment Currency”</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w:t>
            </w:r>
            <w:r>
              <w:rPr>
                <w:rFonts w:ascii="Times New Roman;Times;Serif" w:hAnsi="Times New Roman;Times;Serif"/>
                <w:sz w:val="20"/>
              </w:rPr>
              <w:t>legal defeasance”</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8.1(c)</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w:t>
            </w:r>
            <w:r>
              <w:rPr>
                <w:rFonts w:ascii="Times New Roman;Times;Serif" w:hAnsi="Times New Roman;Times;Serif"/>
                <w:sz w:val="20"/>
              </w:rPr>
              <w:t>Legal Holiday”</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w:t>
            </w:r>
            <w:r>
              <w:rPr>
                <w:rFonts w:ascii="Times New Roman;Times;Serif" w:hAnsi="Times New Roman;Times;Serif"/>
                <w:sz w:val="20"/>
              </w:rPr>
              <w:t>New York Banking Day”</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w:t>
            </w:r>
            <w:r>
              <w:rPr>
                <w:rFonts w:ascii="Times New Roman;Times;Serif" w:hAnsi="Times New Roman;Times;Serif"/>
                <w:sz w:val="20"/>
              </w:rPr>
              <w:t>Paying Agent”</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w:t>
            </w:r>
            <w:r>
              <w:rPr>
                <w:rFonts w:ascii="Times New Roman;Times;Serif" w:hAnsi="Times New Roman;Times;Serif"/>
                <w:sz w:val="20"/>
              </w:rPr>
              <w:t>Registrar”</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w:t>
            </w:r>
            <w:r>
              <w:rPr>
                <w:rFonts w:ascii="Times New Roman;Times;Serif" w:hAnsi="Times New Roman;Times;Serif"/>
                <w:sz w:val="20"/>
              </w:rPr>
              <w:t>Related Proceeding”</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10.16</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w:t>
            </w:r>
            <w:r>
              <w:rPr>
                <w:rFonts w:ascii="Times New Roman;Times;Serif" w:hAnsi="Times New Roman;Times;Serif"/>
                <w:sz w:val="20"/>
              </w:rPr>
              <w:t>Required Currency”</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w:t>
            </w:r>
            <w:r>
              <w:rPr>
                <w:rFonts w:ascii="Times New Roman;Times;Serif" w:hAnsi="Times New Roman;Times;Serif"/>
                <w:sz w:val="20"/>
              </w:rPr>
              <w:t>Transfer Agent”</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term has the meaning assigned to it;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accounting term not otherwise defined has the meaning assigned to it in accordance with GAAP;</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“or” is not exclusive and “including” means including without limitation;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words in the singular include the plural, and in the plural include the singular;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provisions apply to successive events and transactions.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Conflict with Trust Indenture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hereof limits, qualifies or conflicts with the duties imposed by any of §§ 310 through 317, inclusive, of the TIA through the operation of § 318(c) thereof, such imposed duties shall control.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br/>
        <w:t>THE SECURITIES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Issuable in Series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the Securities that may be authenticated and delivered under this Indenture is unlimited. The Securities may be issued in one or more Series. All Securities of a Series shall be identical except as may be set forth in, or pursuant to a Board Resolution, Officers’ Certificate or supplemental indenture establishing the terms of such Series of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Establishment of Terms of Series of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2.2.29) by or pursuant to a Board Resolution, Officers’ Certificate or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the title of the Series of Securities (which shall distinguish the Securities of that particular Series from the Securities of any other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any limit upon the aggregate principal amount of the Securities of the Series which may be authenticated and delivered under this Indenture (except for the Securities authenticated and delivered upon registration of transfer of, or in exchange for, or in lieu of, other Securities of the Series pursuant to Section 2.7, 2.8, 2.11, 3.6 or 9.6);</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 the date or dates on which the principal of and premium, if any, on the Securities of the Series is payable;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 the rate or rates, which may be fixed or variable, at which the Securities of the Series shall bear interest or the manner of calculation of such rate or rates, if any, including any procedures to vary or reset such rate or rates, and the basis upon which interest will be calculated if other than that of a 360-day year or twelve 30-day months;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the date or dates from which interest shall accrue, the dates on which such interest will be payable or the manner of determination of such dates, and the record date for the determination of holders to whom interest is payable on any such dates;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 the place or places where the principal of, and premium, if any, and interest on, the Securities of the Series shall be payable, where the Securities of such Series may be surrendered for registration of transfer or exchange and where notices and demands to or upon the Company with respect to the Securities of such Series and this Indenture may be served, and the method of such payment, if by wire transfer, mail or other means if other than as set forth in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 the right, if any, to extend the interest payment periods or defer the payment of interest and the duration of such extension or deferral;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 if applicable, the period or periods within which, the price or prices at which and the terms and conditions upon which the Securities of the Series may be redeemed, in whole or in part, at the option of the Company if other than as set forth in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 the obligation, if any, of the Company to redeem or purchase, if other than as set forth herein, the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the Securities of the Series shall be redeemed, purchased or repaid, in whole or in part, pursuant to such obligation;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 the terms of any repurchase or remarketing rights;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 if other than denominations of $2,000 or integral multiples of $1,000 in excess thereof, the denominations in which the Securities of the Series shall be issuable;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 the forms of the Securities of the Series including the form of the Trustee’s certificate of authentication for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2.2.13 any trustees, authenticating agents or paying agents with respect to the Securities of the Series, if different from those set forth in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2.2.14 if the Securities of the Series shall be issued in whole or in part in the form of one or more Global Securities, the type of Global Securities to be issued; the terms and conditions, if different from those contained in this Indenture, upon which such Global Securities may be exchanged in whole or in part for other individual Securities in definitive registered form; the Depositary for such Global Securities; and the form of any legend or legends to be borne by any such Global Securities in addition to or in lieu of the legend referred to in Section 2.14.2;</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2.2.15 any provisions granting special rights to Holders when a specified event occurs;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 if the amount of principal of or any premium or interest on the Securities of any Series may be determined with reference to an index or pursuant to a formula, the manner in which such amounts will be determined;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2.2.17 any special tax implications of the Securities, including provisions for original issue discount securities, if offered;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2.2.18 whether and upon what terms the Securities of the Series may be defeased if different from the provisions set forth in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2.2.19 with regard to the Securities of any Series that do not bear interest, the dates for certain required reports to the Trustee;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 whether the Securities of any Series will be issued as Unrestricted Securities or Restricted Securities, and, if issued as Restricted Securities, the rule or regulation promulgated under the Securities Act in reliance on which they will be sold;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2.2.21 any guarantees on the Securities of the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2.2.22 the currency or currencies in which payment of the principal of, and premium, if any, and interest on, the Securities of the Series shall be payable;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2.2.23 if the principal amount payable at the Stated Maturity of the Securities of the Series will not be determinable as of any one or more dates prior to such Stated Maturity, the amount which will be deemed to be such principal amount as of any such date for any purpose, including the portion of the principal amount thereof that will be due and payable upon declaration of acceleration of the maturity thereof pursuant to Section 6.2 or upon any maturity other than the Stated Maturity or that will be deemed to be outstanding as of any such date, or, in any such case, the manner in which such deemed principal amount is to be determined;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 the provisions, if any, relating to any security provided for the Securities of the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 any additional restrictive covenants or Events of Default that will apply to the Securities of the Series, or any changes to the restrictive covenants set forth in Article IV or the Events of Default set forth in Section 6.1 that will apply to the Securities of the Series, which may consist of establishing different terms or provisions from those set forth in Article IV or Section 6.1 or eliminating any such restrictive covenant or Event of Default with respect to the Securities of the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 any Depositaries, interest rate calculation agents, exchange rate calculation agents or other agents with respect to the Securities of such Series if other than those appointed herein;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2.2.27 whether the Securities of the Series will be convertible into or exchangeable for other Securities, common shares or other securities of any kind of the Company or another obligor, and, if so, the terms and conditions upon which such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2.2.28 the subordination terms of the Securities of the Series;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2.2.29 any and all additional, eliminated or changed terms that shall apply to the Securities of the Series, including any terms that may be required by or advisable under United States laws or regulations, including the Securities Act and the rules and regulations promulgated thereunder, or advisable in connection with the marketing of the Securities of that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any one Series need not be issued at the same time and may be issued from time to time, consistent with the terms of this Indenture, if so provided by or pursuant to the Board Resolution, Officers’ Certificate or supplemental indenture referred to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Execution and Authentication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Officer of the Company shall sign the Securities for the Company by manual or facsimile 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Security no longer holds that office at the time the Security is authenticated, the Security shall nevertheless be valid.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by the manual signature of the Trustee or an authenticating agent. The signature shall be conclusive evidence that the Security has been authenticated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at any time, and from time to time, authenticate the Securities for original issue in the principal amount provided in the Board Resolution, Officers’ Certificate or supplemental indenture, upon receipt by the Trustee of a Company Order. Each Security shall be dated the date of its authentication unless otherwise provided by the relevant Board Resolution, Officers’ Certificate or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Section 2.2 and the preceding paragraph, in the case of Securities offered in a Periodic Offering, the Trustee shall authenticate and deliver such Securities from time to time in accordance with a Company Order or such other procedures acceptable to the Trustee as may be specified by or pursuant to a supplemental indenture or the written order of the Company delivered to the Trustee prior to the time of the first authentication of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the Securities of any Series outstanding at any time may not exceed any limit upon the maximum principal amount for such Series set forth in the Board Resolution, Officers’ Certificate or supplemental indenture delivered pursuant to Section 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issuance of the Securities of any Series, the Trustee shall have received and (subject to Section 7.2) shall be fully protected in relying on: (a) the Board Resolution, Officers’ Certificate or supplemental indenture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 With respect to Securities of a Series subject to a Periodic Offering, the Trustee conclusively may rely, as to the authorization by the Company of any of such Securities, the forms and terms thereof and the legality, validity, binding effect and enforceability thereof, upon the written order of the Company, Opinion of Counsel, Officers’ Certificate and other documents delivered pursuant to this Section 2.3 at or prior to the time of the first authentication of the Securities of such Series unless and until such written order, Opinion of Counsel, Officers’ Certificate or other documents have been superseded or revoked, and written notice thereof is provided to the Trustee, or expire by their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decline to authenticate and deliver the Securities of any Series: (a) if the Trustee, being advised by counsel, determines that such action may not be taken lawfully; or (b) if the Trustee in good faith shall determine that such action would expose the Trustee to personal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to authenticate the Securities. An authenticating agent may authenticate the Securities whenever the Trustee may do so. Each reference in this Indenture to authentication by the Trustee includes authentication by such agent. An authenticating agent has the same rights as an Agent to deal with the Company or an Affiliate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Registrar, Paying Agent and Transfer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maintain one or more paying agents (each, a “Paying Agent”) for the Securities at the Corporate Trust Office or such other office or agency as the Company may designate from time to time. The initial Paying Agent will be U.S. Bank Trust Company, National Association and thereafter “Paying Agent” shall mean or include each Person who is then a Paying Agent hereunder, and if at any time there is more than one such Person, “Paying Agent” as used with respect to the Securities of any Series shall mean the Paying Agent with respect to the Securities of that Series. The Company, upon written notice to the Trustee accompanied by an Officers’ Certificate, may appoint one or more paying agents, other than the Trustee, for all or any Series of the Securities. If the Company fails to appoint or maintain another entity as paying agent, the Trustee shall act as such. The Company or any of its Subsidiaries, upon written notice to the Trustee, may act as paying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maintain one or more registrars (each, a “Registrar”) for the Securities at the Corporate Trust Office or such other office or agency as the Company may designate from time to time. The initial Registrar will be U.S. Bank Trust Company, National Association and thereafter “Registrar” shall mean or include each Person who is then a Registrar hereunder, and if at any time there is more than one such Person, “Registrar” as used with respect to the Securities of any Series shall mean the Registrar with respect to the Securities of that Series. The Company, upon written notice to the Trustee accompanied by an Officers’ Certificate, may appoint one or more registrars, other than the Trustee, for all or any series of the Securities. If the Company fails to appoint or maintain another entity as registrar, the Trustee shall act as such. The Company or any of its Subsidiaries, upon written notice to the Trustee, may act as registrar.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also maintain a transfer agent (each, a “Transfer Agent”) for the Securities at the Corporate Trust Office or such other office or agency as the Company may designate from time to time. The initial Transfer Agent will be U.S. Bank Trust Company, National Association and thereafter “Transfer Agent” shall mean or include each Person who is then a Transfer Agent hereunder, and if at any time there is more than one such Person, “Transfer Agent” as used with respect to the Securities of any Series shall mean the Transfer Agent with respect to the Securities of that Series. The Company, upon written notice to the Trustee accompanied by an Officers’ Certificate, may appoint one or more transfer agents, other than the Trustee, for all or any series of the Securities. If the Company fails to appoint or maintain another entity as transfer agent, the Trustee shall act as such. The Company or any of its Subsidiaries, upon written notice to the Trustee, may act as transfer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change any Paying Agent, Registrar or Transfer Agent for its Securities without prior notice to the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Paying Agent to Hold Money in Trust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require each Paying Agent appointed by it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Securityholder Lists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Securityholders of each Series of Securities.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of a Series are presented to the Registrar or a co-registrar with a request to register a transfer or to exchange them for an equal principal amount of Securities of the same Series, then the Registrar shall register the transfer or make the exchange; provided that the requirements for such transactions set forth in this Indenture are met. To permit registrations of transfers and exchanges, the Trustee shall authenticate the Securities at the Registrar’s request upon the Trustee’s receipt of a Company Order from the Company.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an exchange pursuant to Section 2.11, 3.6 or 9.6).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the Registrar shall be required (a) to issue, register the transfer of, or exchange the Securities of any Series for the period beginning at the opening of business fifteen days immediately preceding the delivery of a notice of redemption of the Securities of that Series selected for redemption and ending at the close of business on the day of such delivery, or (b) to register the transfer of or exchange the Securities of any Series selected, called or being called for redemption as a whole or the portion being redeemed of any such Securities selected, called or being called for redemption in part.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Mutilated, Destroyed, Lost and Stolen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Security is surrendered to the Trustee, the Company shall execute and the Trustee shall authenticate and deliver in exchange therefor a replacement Security of the same Series and of like tenor and principal amount and bearing a number not contemporaneously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the Trustee (a) evidence to their satisfaction of the destruction, loss or theft of any Security and (b) such security or indemnity to save each of them and any agent of either of them harmless, then, in the absence of written notice to the Company or the Trustee that such Security has been acquired by a protected purchaser, the Company shall execute and upon receipt of a Company Order, the Trustee shall authenticate and make available for delivery, in lieu of any such destroyed, lost or stolen Security, a replacement Security of the same Series and of like tenor and principal amount and bearing a number not contemporaneously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Security has become or is about to become due and payable, the Company in its discretion may, instead of issuing a replacement Security, pay such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replacement Security under this Section 2.8,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Security of any Series issued pursuant to this Section 2.8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2.8 are exclusive and shall preclude (to the extent lawful) all other rights and remedies with respect to the replacement or payment of mutilated, destroyed, lost or stolen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Outstanding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outstanding at any time are all the Securities authenticated by the Trustee except for those canceled by it, those delivered to it for cancellation, and those described in this Section 2.9 as not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replaced pursuant to Section 2.8, it ceases to be outstanding unless the Trustee receives proof satisfactory to it that the replaced Security is held by a protected purchaser.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purchase or otherwise acquire the Securities, whether by open market purchases, negotiated transactions or otherwise. Subject to Section 2.10, a Security does not cease to be outstanding because the Company or an Affiliate of the Company holds the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Treasury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principal amount of the Securities of a Series have concurred in any request, demand, authorization, direction, notice, consent or waiver, the Securities of a Series owned by the Company or any Affiliate of the Company shall be disregarded, except that for the purposes of determining whether the Trustee shall be protected in conclusively relying on any such request, demand, authorization, direction, notice, consent or waiver only the Securities of a Series that a Responsible Officer of the Trustee actually knows are so owned shall be so disregarded.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Temporary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 any time may deliver Securities to the Trustee for cancellation. The Agents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deliver evidence of such destruction to the Company upon its written request. The Company may not issue new Securities to replace the Securities that it has paid or delivered to the Trustee for cancellation.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deliver to the Trustee and to each Securityholder of the Series a notice that states the record date, the payment date and the amount of interest to be paid. The Company may pay defaulted interest in any other lawful manner.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2.14 </w:t>
      </w:r>
      <w:r>
        <w:rPr>
          <w:rFonts w:ascii="Times New Roman;Times;Serif" w:hAnsi="Times New Roman;Times;Serif"/>
          <w:b w:val="false"/>
          <w:i w:val="false"/>
          <w:caps w:val="false"/>
          <w:smallCaps w:val="false"/>
          <w:sz w:val="20"/>
          <w:u w:val="single"/>
        </w:rPr>
        <w:t>Global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2.14.1 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 Notwithstanding any provisions to the contrary contained in Section 2.7 of this Indenture and in addition thereto, any Global Security shall be exchangeable pursuant to Section 2.7 of this Indenture for the Securities registered in the names of Holders other than the Depositary for such Security or its nominee only if (a)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(b) the Company executes and delivers to the Trustee an Officers’ Certificate to the effect that such Global Security shall be so exchangeable. Any Global Security that is exchangeable pursuant to the preceding sentence shall be exchangeable for the Securities registered in such names as the Depositary shall direct in writing in an aggregate principal amount equal to the principal amount of the Global Security with like tenor and terms.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this Section 2.14.1,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Trustee and the Agents shall have any obligation or duty to monitor, determine or inquire as to compliance with any tax or securities laws with respect to any restrictions on transfer imposed under this Indenture or under applicable law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Trustee and the Agents shall have any responsibility or liability for any actions taken or not taken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2.14.2 </w:t>
      </w: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 Any Global Security issued hereunder shall bear a legend in substantially the following form: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2.14.3 </w:t>
      </w:r>
      <w:r>
        <w:rPr>
          <w:rFonts w:ascii="Times New Roman;Times;Serif" w:hAnsi="Times New Roman;Times;Serif"/>
          <w:b w:val="false"/>
          <w:i w:val="false"/>
          <w:caps w:val="false"/>
          <w:smallCaps w:val="false"/>
          <w:sz w:val="20"/>
          <w:u w:val="single"/>
        </w:rPr>
        <w:t>Acts of Holders</w:t>
      </w:r>
      <w:r>
        <w:rPr>
          <w:rFonts w:ascii="Times New Roman;Times;Serif" w:hAnsi="Times New Roman;Times;Serif"/>
          <w:b w:val="false"/>
          <w:i w:val="false"/>
          <w:caps w:val="false"/>
          <w:smallCaps w:val="false"/>
          <w:sz w:val="20"/>
        </w:rPr>
        <w:t>. The Depositary, as a Holder, may appoint agents and otherwise authorize participants to give or take any request, demand, authorization, direction, notice, consent, waiver or other action which a Holder is entitled to give or take under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2.14.4 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Notwithstanding the other provisions of this Indenture, unless otherwise specified as contemplated by Section 2.2, payment of the principal of and interest, if any, on any Global Security shall be made to the Holder thereof, which in the case of the Depositary will be made in accordance with its applicable procedures.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2.14.5 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The Company, the Trustee and each Agent shall treat the Person in whose name any Security is registered in the register maintained by the Registrar as the Holder for all purposes including for purposes of obtaining any consents, declarations, waivers or directions permitted or required to be given by the Holders pursuant to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2.14.6 None of the Trustee and the Agents shall have any responsibility or obligation to any beneficial owner of an interest in a Global Security, a member of, or a participant in, the Depositary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the payment of any amount or delivery of any Securities (or other security or property) under or with respect to such Securities. All notices and communications to be given to the Holders and all payments to be made to Holders with respect to the Securities shall be given or made only to or upon the order of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and each Agent may rely and shall be fully protected in relying upon information furnished by the Depositary with respect to its members, participants and any beneficial owners.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2.15 </w:t>
      </w:r>
      <w:r>
        <w:rPr>
          <w:rFonts w:ascii="Times New Roman;Times;Serif" w:hAnsi="Times New Roman;Times;Serif"/>
          <w:b w:val="false"/>
          <w:i w:val="false"/>
          <w:caps w:val="false"/>
          <w:smallCaps w:val="false"/>
          <w:sz w:val="20"/>
          <w:u w:val="single"/>
        </w:rPr>
        <w:t>CUSIP Numbers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“CUSIP,” “ISIN” and/or “Common Code” numbers (if then generally in use), and, if so, the Trustee shall use “CUSIP,” “ISIN” and/or “Common Code”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in writing of any change in the “CUSIP,” “ISIN” and/or “Common Code” numbers.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br/>
        <w:t>REDEMPTION OF SECURITIES AND SINKING FUND PROVISIONS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Notice to Trustee; No Liability for Calculations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with respect to any Series of Securities, reserve the right to redeem and pay such Series of Securities or may covenant to redeem and pay such Series of Securities or any part thereof prior to the Stated Maturity thereof at such time and on such terms as provided for in Section 3.9 hereof or, as applicable, in the Board Resolution, Officers’ Certificate or supplemental indenture relating to such Series.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Securities of such Series to be redeemed at least 45 days before a redemption date (or such shorter notice as may be acceptable to the Trustee). The Trustee shall have no liability with respect to or obligation to calculate the redemption price of any Securities to be redeemed pursuant to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Selection of Securities to be Redeemed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indicated for a particular Series by a Board Resolution, Officers’ Certificate or a supplemental indenture, if less than all of the Securities of a Series are to be redeemed at any time, the Trustee will select the Securities of a Series to be redeemed by lot, in accordance with the Depositary’s applicable procedures unless otherwise required by law or applicable stock exchange requirements. The Trustee will not be liable for selections made by it as contemplated in this Section 3.2.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of purchase or redemption will be given to each Holder pursuant to Section 3.3 and Section 10.1.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by Board Resolution, Officers’ Certificate or supplemental indenture, at least 30 days but not more than 60 days before a redemption date, the Company will deliver a notice of redemption to each Holder whose Securities are to be redeemed in accordance with Section 10.1, except that redemption notices may be given more than 60 days prior to a redemption date if the notice is issued in connection with a defeasance of the Securities or a satisfaction and discharge of this Indenture pursuant to Article VIII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identify the Securities to be redeemed and corresponding CUSIP, ISIN or Common Code numbers, as applicable, and will state: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 and the amount of accrued interest, if any, to be paid;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Global Security is being redeemed in part, the portion of the principal amount of such Global Security to be redeemed and that, after the redemption date upon surrender of such Global Security, the principal amount thereof will be decreased by the portion thereof redeemed pursuant thereto;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Certificated Security is being redeemed in part, the portion of the principal amount of such Security to be redeemed, and that, after the redemption date, upon surrender of such Security, a new Certificated Security in principal amount equal to the unredeemed portion thereof will be issued in the name of the Holder thereof upon cancellation of the original Certificated Security;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name and address of the Paying Agent(s) to which the Securities are to be surrendered for redemption;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the Securities called for redemption must be surrendered to the relevant Paying Agent to collect the redemption price, plus accrued and unpaid interest, if 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that, unless the Company defaults in making such redemption payment, interest on the Securities called for redemption ceases to accrue on and after the redemption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paragraph of the Securities and/or Section of this Indenture or any supplemental indenture pursuant to which the Securities called for redemption are being redeemed;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no representation is made as to the correctness or accuracy of the CUSIP, ISIN or Common Code numbers, if any, listed in such notice or printed on the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written request, the Trustee shall give the notice of redemption in the Company’s name and at the Company’s expense; provided, however, that unless otherwise indicated for a particular Series by Board Resolution, Officers’ Certificate or supplemental indenture, the Company has delivered to the Trustee, at least 45 days prior to the redemption date (unless a shorter period is agreed to by the Trustee), an Officers’ Certificate requesting that the Trustee give such notice and setting forth the information to be stated in such notice as provided in the preceding paragraph.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Effect of Notice of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notice of redemption is mailed or published as provided in Section 3.3, the Securities of a Series called for redemption become due and payable on the redemption date and at the redemption price. Unless otherwise indicated for a particular Series by Board Resolution, Officers’ Certificate or supplemental indenture, a notice of redemption may not be conditional. Upon surrender to the Paying Agent, such Securities shall be paid at the redemption price plus accrued and unpaid interest up to but not including the redemption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any purchase or redemption date, unless the Company defaults in payment of the purchase or redemption price, interest shall cease to accrue on the Securities or portions thereof tendered for purchase or called for redemption.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Deposit of Redemption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any redemption date, the Company shall deposit with the Paying Agent money in immediately available funds sufficient to pay the redemption price of and accrued and unpaid interest, if any, on all Securities to be redeemed on that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Securities Redeemed in Part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of a Certificated Security that is redeemed in part, the Trustee shall authenticate for the Holder a new Certificated Security of the same Series and the same maturity equal in principal amount to the unredeemed portion of the Security surrendered and concurrently cancel the surrendered Certificated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Sinking Fund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by Board Resolution, Officers’ Certificate or supplemental indenture, the provisions of Sections 3.7, 3.8 and 3.9 shall be applicable to any sinking fund for the retirement of the Securities of a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the Securities of any Series is referred to as a “mandatory sinking fund payment,” and any payment in excess of such minimum amount provided for by the terms of the Securities of any Series is referred to as an “optional sinking fund payment.” If provided for by the terms of the Securities of any Series, the cash amount of any sinking fund payment may be subject to reduction as provided in Section 3.8. Each sinking fund payment shall be applied to the redemption of the Securities of any Series as provided for by the terms of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Satisfaction of Sinking Fund Payments with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 may deliver outstanding Securities of a Series other than any Securities previously called for redemption and (b) may apply as a credit the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Redemption of Securities for Sinking Fund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45 days prior to each sinking fund payment date for any Series of Securities (unless a shorter period is agreed to by the Trustee), the Company will deliver to the Trustee an Officers’ Certificate specifying the amount of the next ensuing sinking fund payment for that Series pursuant to the terms of the Series, the portion thereof, if any, that is to be satisfied by payment of cash in the currency in which the Securities of such Series are denominated (except as provided pursuant to Section 2.2), the portion thereof, if any, that is to be satisfied by delivering and crediting the Securities of that Series pursuant to Section 3.8 and the basis for such credit. Together with such Officers’ Certificate, the Company will deliver to the Trustee any Securities to be so delivered. Not less than 30 days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br/>
        <w:t>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Payment of Principal, Premium and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for the benefit of the Holders of each Series of Securities that it will duly and punctually pay the principal of, and premium, if any, and interest on, the Securities of that Series in accordance with the terms of such Securities and this Indenture. Unless otherwise provided by Board Resolution, Officers’ Certificate or supplemental indenture for a particular Series, at or before 10:00 a.m., New York City time, on the applicable payment date, redemption date or repurchase date, the Company shall deposit with the Paying Agent money sufficient to pay the principal of, and premium, if any, and interest on, the Securities of each such Series in accordance with the terms of such Securities and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120 days after the end of the fiscal year of the Company (which as of the date of this Indenture is December 31, or if the fiscal year with respect to the Company is changed so that it ends on a date other than December 31, such other fiscal year end date as the Company shall notify to the Trustee in writing,) an Officers’ Certificate (which need not contain the statements provided for in Section 10.4), signed by at least one of the principal executive, principal financial or principal accounting officer, stating that a review of the activities of the Company and its Subsidiaries during the preceding fiscal year has been made under the supervision of such signing Officer with a view to determining whether the Company has kept, observed, performed and fulfilled its obligations under this Indenture, and further stating, as to each Officer signing such certificate, that to his or her knowledge the Company is not in default in the performance or observance of any of the terms, provisions and conditions hereof (or, if a Default or Event of Default shall have occurred, describing all such Defaults or Events of Default of which he or she may have knowledge). Such Officers’ Certificate need not include a reference to any non-compliance that has been fully cured prior to the date as of which such certificate speaks.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so long as any of the Securities are outstanding, deliver to the Trustee, within 30 days upon becoming aware of any Default or Event of Default, an Officers’ Certificate specifying such Default or Event of Default and what action the Company is taking or proposes to take with respect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V, the Company will do or cause to be done all things necessary to preserve and keep in full force and effect its corporate existence and rights (charter and statutory); provided, however, that the Company shall not be required to preserve any such right if its Board of Directors shall determine that the preservation thereof is no longer desirable in the conduct of its business and its Subsidiaries taken as a whole and that the loss thereof is not adverse in any material respect to the Holders of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Reports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Whether or not required by the rules and regulations of the SEC, so long as any Securities are outstanding, the Company shall file with the Trustee, within the time periods specified by the SEC’s rules and regulations, copies of the annual reports and of the information, documents and other reports (or copies of such portions of any of the foregoing as the SEC may from time to time by rules and regulations prescribe) that the Company would be required to file with the SEC pursuant to Section 13 or Section 15(d) of the Exchange Act. The Company shall be deemed to have complied with the previous sentence to the extent that such information, documents and reports are filed with the SEC via EDGAR (or any successor electronic delivery procedure). The Trustee shall have no obligation whatsoever to determine whether or not such information, documents or reports have been filed with the SEC via EDGAR (or any successor electronic delivery procedure).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br/>
        <w:t>SUCCESSORS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Consolidation, Merger and Sale of Assets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consolidate with or merge into any other Person or sell, assign, convey, transfer, lease or otherwise dispose of all or substantially all of the assets of the Company and its Subsidiaries, taken as a whole, to any Person unless either (i) the Company is the surviving corporation or (ii) the resulting, surviving or transferee entity is a corporation organized under the laws of the United States or, if such Person is not a corporation, a co-obligor of the Securities is a corporation organized under any such laws, and any such resulting, surviving or transferee entity expressly assumes the Company’s obligations under this Indenture and the Securities, by an indenture supplemental to this Indenture to which the Company is a party, and, in the case of (i) or (ii) above, immediately after which, no Default or Event of Default, shall have occurred and be continuing. An Officers’ Certificate and an Opinion of Counsel will be delivered to the Trustee, which will serve as conclusive evidence of compliance with this Section 5.1.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br/>
        <w:t>DEFAULTS AND REMEDIES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“Events of Default” with respect to the Securities of any Series, unless in the establishing Board Resolution, Officers’ Certificate or supplemental indenture, it is provided that such Series shall not have the benefit of said Event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failure to pay any interest on the Securities within 30 days after such interest becomes due and payable by the terms of the Securities of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failure to pay principal of (or premium, if any, on) the Securities at maturity, or if applicable, the redemption price, when the same becomes due and payable;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failure to pay any sinking fund installment as and when the same shall become due and payable by the terms of the Securities, and continuance of such default for a period of 30 days;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failure to comply with any of the covenants or agreements in the Securities or this Indenture (other than an agreement or covenant that the Company has included in this Indenture solely for the benefit of another Series of Securities) for 90 days after there has been given, by registered or certified mail, to the Company by the Trustee or to the Company by the Holders of at least 25% in principal amount of all outstanding Securities of a Series affected by that failure a written notice specifying such failure and requiring it to be remedied and stating that such notice is a “Notice of Default” 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pursuant to or within the meaning of any Bankruptcy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commences a voluntary case,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consents to the entry of an order for relief against it in an involuntary case,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consents to the appointment of a Custodian of it or for all or substantially all of its property,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makes a general assignment for the benefit of its creditors,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generally is unable to pay its debts as the same become due;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court of competent jurisdiction enters an order or decree under any Bankruptcy Law that: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for relief against the Company in an involuntary case,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appoints a Custodian of the Company or for all or substantially all of its property, 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orders the liquidation of the Company,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order or decree remains unstayed and in effect for 90 days;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other Event of Default provided in the supplemental indenture, Officers’ Certificate or Board Resolution under which such Series of Securities is issued or in the form of Security for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“Bankruptcy Law” means title 11, U.S. Code or any similar Federal or State law for the relief of debtors. The term “Custodian” means any receiver, trustee, assignee, liquidator or similar official under any Bankruptcy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under one Series of Securities issued under this Indenture will not necessarily be a default under another Series of Securities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Acceleration of Maturity; Rescission and Annulment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for a Series of Securities occurs and is continuing (other than an Event of Default referred to in Section 6.1(e) or (f)), the Trustee or the Holders of at least 25% in principal amount of such Series of Securities may require the Company to pay immediately the principal amount plus accrued and unpaid interest on such Securities. If an Event of Default referred to in Section 6.1(e) or (f) occurs, the principal amount plus accrued and unpaid interest on such Series of Securities will become immediately due and payable without any action on the part of the Trustee or any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such a declaration of acceleration with respect to any Series has been made and before a judgment or decree for payment of the money due has been obtained by the Trustee as hereinafter in this Article VI provided, the Holders of a majority in principal amount of the outstanding Securities of that Series, by written notice to the Company and the Trustee, may rescind and annul such declaration and its consequences if: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paid or deposited with the Trustee a sum sufficient to pay: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overdue interest on all Securities of that Series,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principal of (and premium, if any, on) any Securities of that Series which have become due otherwise than by such declaration of acceleration and any interest thereon at the rate or rates prescribed therefor in such Securities,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that payment of such interest is lawful, interest upon overdue interest at the rate or rates prescribed therefor in such Securities,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sums paid or advanced by the Trustee hereunder and the reasonable compensation, expenses, disbursements and advances of the Trustee, its agents and counsel;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Events of Default with respect to the Securities of that Series, other than the non-payment of the principal and interest, if any, of the Securities of that Series which have become due solely by such declaration of acceleration, have been cured or waived as provided in Section 6.13.</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shall affect any subsequent Default or impair any right consequent thereon.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Collection of Indebtedness and Suits for Enforcement by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if: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is made in the payment of any interest on any Security when such interest becomes due and payable and such default continues for a period of 30 days,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is made in the payment of principal of any Security at the Maturity thereof,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is made in the deposit of any sinking fund payment when and as due by the terms of a Security,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any Securities of any Series occurs and is continuing, the Trustee may in its discretion proceed to protect and enforce its rights and the rights of the Holders of the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Trustee May File Proofs of Claim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and prove a claim for the whole amount of principal and interest owing and unpaid with respect to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collect and receive any moneys or other property payable or deliverable on any such claims and to distribute the same,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with respect to the claim of any Holder in any such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6.5 </w:t>
      </w:r>
      <w:r>
        <w:rPr>
          <w:rFonts w:ascii="Times New Roman;Times;Serif" w:hAnsi="Times New Roman;Times;Serif"/>
          <w:b w:val="false"/>
          <w:i w:val="false"/>
          <w:caps w:val="false"/>
          <w:smallCaps w:val="false"/>
          <w:sz w:val="20"/>
          <w:u w:val="single"/>
        </w:rPr>
        <w:t>Trustee May Enforce Claims Without Possession of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with respect to which such judgment has been recovered.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6.6 </w:t>
      </w:r>
      <w:r>
        <w:rPr>
          <w:rFonts w:ascii="Times New Roman;Times;Serif" w:hAnsi="Times New Roman;Times;Serif"/>
          <w:b w:val="false"/>
          <w:i w:val="false"/>
          <w:caps w:val="false"/>
          <w:smallCaps w:val="false"/>
          <w:sz w:val="20"/>
          <w:u w:val="single"/>
        </w:rPr>
        <w:t>Application of Money Collected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collected by the Trustee pursuant to this Article VI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all amounts due the Trustee under this Indenture in all of its capacities;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all senior indebtedness of the Company if and to the extent required by Article XI;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payment of the amounts then due and unpaid for principal of, and premium, if any, and interest on, the Securities with respect to which or for the benefit of which such money has been collected, ratably, without preference or priority of any kind, according to the amounts due and payable on such Securities for principal and interest, respectively;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6.7 </w:t>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Securities of any Series may pursue any remedy under this Indenture applicable to the Securities of such Series only if: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Holder gives the Trustee written notice of a continuing Event of Default for the Securities of such Series;</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at least 25% in principal amount of the outstanding Securities of such Series make a written request to the Trustee to pursue the remedy;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furnish to the Trustee indemnity reasonably satisfactory to the Trustee against the costs, expenses and liabilities which might be incurred by it in compliance with such request;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fails to act for a period of 60 days after receipt of notice and furnishing of indemnity;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that 60-day period, the Holders of a majority in principal amount of the outstanding Securities of such Series do not give the Trustee a direction inconsistent with the request.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provision does not, however, affect the right of a Holder of Securities to sue for enforcement of any overdue payment with respect to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6.8 </w:t>
      </w:r>
      <w:r>
        <w:rPr>
          <w:rFonts w:ascii="Times New Roman;Times;Serif" w:hAnsi="Times New Roman;Times;Serif"/>
          <w:b w:val="false"/>
          <w:i w:val="false"/>
          <w:caps w:val="false"/>
          <w:smallCaps w:val="false"/>
          <w:sz w:val="20"/>
          <w:u w:val="single"/>
        </w:rPr>
        <w:t>Unconditional Right of Holders to Receive Principal and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this Indenture, the Holder of any Security shall have the right, which is absolute and unconditional, to receive payment of the principal of and interest, if any, on such Security on the Stated Maturity expressed in such Security (or, in the case of redemption, on the redemption date) and to institute suit for the enforcement of any such payment, and such rights shall not be impaired without the consent of such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6.9 </w:t>
      </w:r>
      <w:r>
        <w:rPr>
          <w:rFonts w:ascii="Times New Roman;Times;Serif" w:hAnsi="Times New Roman;Times;Serif"/>
          <w:b w:val="false"/>
          <w:i w:val="false"/>
          <w:caps w:val="false"/>
          <w:smallCaps w:val="false"/>
          <w:sz w:val="20"/>
          <w:u w:val="single"/>
        </w:rPr>
        <w:t>Restoration of Rights and Remedies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val="false"/>
          <w:caps w:val="false"/>
          <w:smallCaps w:val="false"/>
          <w:sz w:val="20"/>
          <w:u w:val="single"/>
        </w:rPr>
        <w:t>Rights and Remedies Cumulative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val="false"/>
          <w:caps w:val="false"/>
          <w:smallCaps w:val="false"/>
          <w:sz w:val="20"/>
          <w:u w:val="single"/>
        </w:rPr>
        <w:t>Delay or Omission Not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6.12 </w:t>
      </w:r>
      <w:r>
        <w:rPr>
          <w:rFonts w:ascii="Times New Roman;Times;Serif" w:hAnsi="Times New Roman;Times;Serif"/>
          <w:b w:val="false"/>
          <w:i w:val="false"/>
          <w:caps w:val="false"/>
          <w:smallCaps w:val="false"/>
          <w:sz w:val="20"/>
          <w:u w:val="single"/>
        </w:rPr>
        <w:t>Control by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direction shall not be in conflict with any rule of law or with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take any other action deemed proper by the Trustee which is not inconsistent with such direction,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have the right to decline to follow any such direction if the Trustee in good faith shall, by a Responsible Officer of the Trustee, determine that the proceeding so directed would expose the Trustee to personal liability or that it will not be adequately indemnified against the costs, expenses and liabilities which might be incurred by it in complying with such direction.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6.13 </w:t>
      </w:r>
      <w:r>
        <w:rPr>
          <w:rFonts w:ascii="Times New Roman;Times;Serif" w:hAnsi="Times New Roman;Times;Serif"/>
          <w:b w:val="false"/>
          <w:i w:val="false"/>
          <w:caps w:val="false"/>
          <w:smallCaps w:val="false"/>
          <w:sz w:val="20"/>
          <w:u w:val="single"/>
        </w:rPr>
        <w:t>Waiver of Past Defaults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6.14 </w:t>
      </w:r>
      <w:r>
        <w:rPr>
          <w:rFonts w:ascii="Times New Roman;Times;Serif" w:hAnsi="Times New Roman;Times;Serif"/>
          <w:b w:val="false"/>
          <w:i w:val="false"/>
          <w:caps w:val="false"/>
          <w:smallCaps w:val="false"/>
          <w:sz w:val="20"/>
          <w:u w:val="single"/>
        </w:rPr>
        <w:t>Undertaking for Costs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Security by his, her or its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6.14 shall not apply to any suit instituted by any Holder for the enforcement of the payment of the principal and interest, if any, on any Security on or after the Stated Maturity expressed in such Security (or, in the case of redemption, on the redemption date) or to any suit instituted by the Company, the Trustee, or any Holder, or group of Holders, holding in the aggregate more than 10% in principal amount of the outstanding Securities of any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br/>
        <w:t>TRUSTEE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Duties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the Trustee shall exercise such of the rights and powers vested in it by this Indenture, and use the same degree of care and skill in such exercise, as a prudent person would exercise or use under the circumstances in the conduct of his or her own affairs.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 with respect to the Securities of any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need perform only those duties that are specifically set forth in this Indenture and no others, and no implied covenants or obligations shall be read into this Indenture against the Trustee, other than as required under the TIA;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such certificates and opinions to determine whether, on their face, they appear to conform to the requirements of this Indenture.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liabilities for its own grossly negligent action, its own grossly negligent failure to act or its own willful misconduct, except that: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paragraph does not limit the effect of paragraph (b) of this Section 7.1;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unless it is proved in a court of competent jurisdiction that the Trustee was grossly negligent in ascertaining the pertinent facts.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therein expressly so provided, every provision of this Indenture that in any way relates to the Trustee is subject to the provisions of this Article VII.</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provision of this Indenture shall require the Trustee to expend or risk its own funds or incur any liability. The Trustee may refuse to perform any duty or exercise any right or power unless it receives indemnity reasonably satisfactory to it against any loss, liability or expense.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for interest on or investment of any money received by it except as the Trustee may agree in writing with the Company. Money held in trust by the Trustee need not be segregated from other funds except to the extent required by law. All money received by the Trustee shall, until applied as herein provided, be held in trust for the payment of the principal of, premium (if any) and interest on the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Rights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and shall be fully protected in acting or refraining from acting, upon any resolution, certificate, statement, instrument, opinion, report, notice, request, direction, consent, order, note, debenture or other paper or document believed by it to be genuine and to have been signed or presented by the proper Person. The Trustee need not investigate any fact or matter stated in any resolution, certificate, statement, instrument, opinion, report, notice, request, direction, consent, order, bond, security or other paper or document.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it may require an Officers’ Certificate and/or an Opinion of Counsel. The Trustee shall not be liable for any action it takes or omits to take in good faith in reliance on such instruction, Officers’ Certificate or Opinion of Counsel. The Trustee may consult with counsel of its selection and the advice of such counsel or any Opinion of Counsel shall be full and complete authorization and protection with respect to any action taken, suffered or omitted by it hereunder in good faith and in reliance thereon.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agents, attorneys, custodians or nominees and shall not be responsible for the misconduct or negligence of any agent, attorney, custodian or nominee appointed with due care.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not be liable for any action it takes or omits to take in good faith which it believes to be authorized or within its rights or powers conferred upon it by this Indenture or with respect to any action it takes or omits to take in good faith in accordance with a direction received by it from the Holders of a majority in aggregate principal amount of the relevant Series of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Unless otherwise specifically provided in this Indenture, any demand, request, direction or notice from the Company shall be sufficient if signed by an Officer of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Anything in this Indenture to the contrary notwithstanding, in no event shall the Trustee be liable under or in connection with this Indenture for indirect, special, incidental, punitive or consequential losses or damages of any kind whatsoever, including but not limited to lost profits, whether or not foreseeable, even if the Trustee has been advised of the possibility thereof and regardless of the form of action in which such damages are sought.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shall be under no obligation to exercise any of the trusts or powers vested in it by this Indenture at the request, order or direction of any of the Holders of Securities pursuant to the provisions of this Indenture, unless such Holders of Securities shall have offered to the Trustee, security or indemnity reasonably satisfactory to the Trustee against the costs, expenses and liabilities which might be incurred therein or thereby.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not be deemed to have notice of any Event of Default with respect to the Securities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may at any time request, and the Company shall deliver an Officers’ Certificate setting forth the specimen signatures and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Notwithstanding any provision herein to the contrary, in no event shall the Trustee be liable for any failure or delay in the performance of its obligations under this Indenture because of circumstances beyond its control, including, but not limited to (i) any act or provision of any present or future law or regulation or governmental authority, (ii) any act of God, (iii) natural disaster, (iv) war, (v) terrorism, (vi) civil unrest, (vii) accidents, (viii) labor dispute, (ix) disease, (x) epidemic or pandemic, (xi) quarantine, (xii) national emergency, (xiii) loss or malfunction of utility or computer software or hardware, (xiv) communications system failure, (xv) malware or ransomware or (xvi) unavailability of the Federal Reserve Bank wire or telex system or other wire or other funds transfer systems, or (xvii) unavailability of any securities clearing system; it being understood that the Trustee shall use reasonable efforts that are consistent with accepted practices in the banking industry to resume performance as soon as practicable under the circumstances.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rights, privileges, protections, immunities and benefits given to the Trustee, including its right to be indemnified, are extended to, and shall be enforceable by, the Trustee in each of its capacities hereunder, each Agent, and each other agent, custodian and other Person employed to act 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shall not be required to give any bond or surety in respect of the performance of its powers and duties 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May Hold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in its individual or any other capacity may become the owner or pledgee of the Securities and may otherwise deal with the Company or any of its Affiliates with the same rights it would have if it were not Trustee. Any Agent may do the same with like rights and duties. However, the Trustee is subject to Sections 7.9 and 7.10.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Trustee’s Disclaimer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representation as to the validity, sufficiency or adequacy of any offering materials, this Indenture or the Securities; it shall not be accountable for the Company’s use of the proceeds from the Securities or any money paid to the Company or upon the Company’s direction under any provision hereof; and it shall not be responsible for any statement or recital herein or any statement in any offering materials or the Securities other than its certificate of authentication.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Default or Event of Default with respect to the Securities of any Series occurs and is continuing and it is actually known to the Trustee, the Trustee shall mail to Holders of Securities of such Series a notice of the Default or Event of Default within 90 days after it occurs. Except in the case of a Default or Event of Default in payment of principal of, premium (if any) and interest on or any sinking fund installment with respect to the Securities of such Series, the Trustee may withhold the notice if and so long as a Responsible Officer in good faith determines that withholding the notice is in the interests of Holders of Securities of such Series to do so.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Compensation and Indemnity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pay to the Trustee for its acceptance of this Indenture and services hereunder such compensation as the Company and the Trustee shall from time to time agree in writing. The Trustee’s compensation shall not be limited by any law on compensation of a trustee of an express trust. The Company agrees to reimburse the Trustee upon request for all reasonable disbursements, advances and expenses incurred by it. Such expenses shall include court costs and the reasonable compensation, disbursements and expenses of the Trustee’s agents and counsel.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indemnifies the Trustee, including its officers, directors, employees and agents from, and hold it harmless against any damage, cost, claim, loss, liability or expense (including the reasonable fees and expenses of the Trustee’s agents and counsel) incurred by it arising out of or in connection with its acceptance and administration of the trusts set forth under this Indenture, the performance of its obligations and/or the exercise of its rights hereunder, including the reasonable costs and expenses of defending itself against any claim (whether asserted by the Company, any Holder, or any other Person) or liability except as set forth in the next following paragraph. The Trustee shall notify the Company promptly of any claim for which it may seek indemnity. The Company shall defend the claim, with counsel reasonably acceptable to the Trustee, and the Trustee shall cooperate in the defense, unless, the Trustee, in its reasonable discretion, determines that any actual or potential conflict of interest may exist, in which case the Trustee may have separate counsel, reasonably acceptable to the Company and the Company shall pay the reasonable fees and expenses of such counsel. The Company need not pay for any settlement made without its consent.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obligated to reimburse any expense or indemnify against any loss or liability incurred by the Trustee through the Trustee’s own gross negligence or willful misconduct.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payment obligations of the Company in this Section 7.6, the Trustee shall have a lien prior to the Securities on all money or property held or collected by the Trustee, except that held in trust to pay principal of, premium (if any) and interest on the Securities of any Series. Such lien and the obligations of the Company under this Section 7.6 shall survive the satisfaction and discharge of this Indenture, the payment of the Securities and/or the resignation or removal of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in connection with an Event of Default, the expenses (including court costs and the reasonable charges and expenses of its counsel) and the compensation for the services are intended to constitute expenses of administration under any applicable Federal or State bankruptcy, insolvency or other similar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Replacement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resignation or removal of the Trustee and appointment of a successor Trustee shall become effective only upon the successor Trustee’s acceptance of appointment as provided in this Section 7.7.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and be discharged at any time with respect to the Securities of one or more Series by so notifying the Company in writing. The Holders of a majority in principal amount of the then outstanding Securities of any Series may remove the Trustee with respect to the Securities of such Series by so notifying the Trustee and the Company. The Company may remove the Trustee for any or all Series of the Securities if: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fails to comply with Section 7.9,</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is adjudged a bankrupt or an insolvent or an order for relief is entered with respect to the Trustee under any Bankruptcy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Custodian or public officer takes charge of the Trustee or its property,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becomes incapable of acting.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or if a vacancy exists in the office of Trustee for any reason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Within one year after the successor Trustee with respect to the Securities of any Series takes office, the Holders of a majority in principal amount of the Securities of such Series then outstanding may appoint a successor Trustee to replace the successor Trustee appointed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with respect to the Securities of any Series does not take office within 30 days after the retiring Trustee resigns or is removed, the retiring Trustee, the Company or the Holders of at least 10% in principal amount of the then outstanding Securities of such Series may petition any court of competent jurisdiction at the expense of the Company for the appointment of a successor Trustee with respect to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with respect to the Securities of a Series fails to comply with Section 7.9, any Holder of Securities of such Series may petition any court of competent jurisdiction for the removal of the Trustee and the appointment of a successor Trustee with respect to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of a successor Trustee with respect to the Securities of all Series, each such successor Trustee shall deliver a written acceptance of its appointment to the retiring Trustee and to the Company. Thereupon the resignation or removal of the retiring Trustee shall become effective, and the successor Trustee shall have all the rights, powers and duties of the retiring Trustee under this Indenture. The successor Trustee shall give a notice of its succession to Holders in accordance with Section 10.1. The retiring Trustee shall promptly transfer all property held by it as Trustee to the successor Trustee, subject to the lien provided for in Section 7.6.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of a successor Trustee with respect to the Securities of one or more (but not all) Series, the Company, the retiring Trustee and each successor Trustee with respect to the Securities of one or more Series shall execute and deliver an indenture supplemental hereto in which each successor Trustee shall accept such appointment and that (a) shall confer to each successor Trustee all the rights, powers and duties of the retiring Trustee with respect to the Securities of that or those Series to which the appointment of such successor Trustee relates, (b) if the retiring Trustee is not retiring with respect to all Securities, shall confirm that all the rights, powers and duties of the retiring Trustee with respect to the Securities of that or those Series as to which the retiring Trustee is not retiring shall continue to be vested in the retiring Trustee and (c) shall add to or change any of the provisions of this Indenture as shall be necessary to provide for or facilitate the administration of the trusts hereunder by more than one Trustee. Nothing herein or in such supplemental indenture shall constitute such Trustees co-trustees of the same trust, and each such Trustee shall be trustee of a trust or trusts hereunder separate and apart from any trust or trusts hereunder administered by any other such Trustee. Upon the execution and delivery of such supplemental indenture, the resignation or removal of the retiring Trustee shall become effective to the extent provided therein and each such successor Trustee shall have all the rights, powers and duties of the retiring Trustee with respect to the Securities of that or those Series to which the appointment of such successor Trustee relates. On request of the Company, or any successor Trustee, such retiring Trustee shall transfer to such successor Trustee all property held by such retiring Trustee as Trustee with respect to the Securities of that or those Series to which the appointment of such successor Trustee relates. Such retiring Trustee shall, however, have the right to deduct its unpaid fees and expenses, including attorneys’ fees.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replacement of the Trustee or Trustees pursuant to this Section 7.7, the obligations of the Company under Section 7.6 shall continue for the benefit of the retiring Trustee or Trustees.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Successor Trustee by Merger, Etc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7.9, if the Trustee consolidates, merges or converts into, sells or transfers all or substantially all of its corporate trust business (including this transaction) to, another corporation, the successor corporation without any further act shall be the successor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Securities shall have been authenticated, but not delivered, by the Trustee then in office, any successor by merger, conversion or consolidation to such authenticating Trustee may adopt such authentication and deliver the Securities so authenticated; and in case at that time any of the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val="false"/>
          <w:i w:val="false"/>
          <w:caps w:val="false"/>
          <w:smallCaps w:val="false"/>
          <w:sz w:val="20"/>
          <w:u w:val="single"/>
        </w:rPr>
        <w:t>Eligibility; Disqualification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hereunder which shall be a corporation organized and doing business under the laws of the United States, any State thereof or the District of Columbia and authorized under such laws to exercise corporate trust power, shall be subject to supervision or examination by Federal or State (or the District of Columbia) authority and shall have, or be a subsidiary of a bank or bank holding company having, a combined capital and surplus of at least $50 million as set forth in its most recent published annual report of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for the Securities shall be subject to the provisions of TIA § 310(b) during the period of time required thereby. Nothing herein shall prevent the Trustee from filing with the SEC the application referred to in the penultimate paragraph of TIA § 310(b). In determining whether the Trustee has a conflicting interest as defined in TIA § 310(b) with respect to the Securities of any Series, there shall be excluded Securities of any particular Series of Securities other than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Preferential Collection of Claims Against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subject to and shall comply with the provisions of TIA § 311(a), as if such section applied hereto, excluding any creditor relationship listed in TIA § 311(b). A Trustee that has resigned or been removed shall be subject to TIA § 311(a), as if such section applied hereto, to the extent indicated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Reports by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60 days after May 15 of each year commencing with the first May 15 following the first issuance of Securities pursuant to Section 2.1, if required by TIA § 313(a), the Trustee shall transmit, pursuant to TIA § 313(c), a brief report that complies with TIA § 313(a) which may have occurred since the later of the immediately preceding May 15 and the date of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transmit any reports required by TIA § 313(a) at the times specified therein.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copy of such report, if any, described in Section 7.11(a) and (b) shall, at the time of such transmission to Holders, be filed by the Trustee with each stock exchange, if any, upon which the Securities are listed, with the SEC and with the Company. The Company will promptly notify the Trustee in writing when the Securities are listed on any stock exchange and of any delisting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br/>
        <w:t>DISCHARGE OF INDENTURE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Termination of Company’s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Indenture shall cease to be of further effect with respect to the Securities of a Series (except that all obligations of the Company under Section 7.6, the Trustee’s and Paying Agent’s obligations under Section 8.3 and the rights, powers, protections and privileges accorded the Trustee under Article VII shall survive), and the Trustee, on written demand of the Company shall execute instruments acknowledging the satisfaction and discharge of this Indenture with respect to the Securities of such Series, when: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either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outstanding Securities of such Series theretofore authenticated and issued (other than destroyed, lost or stolen Securities that have been replaced or paid) have been delivered to the Trustee for cancellation; or</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outstanding Securities of such Series not theretofore delivered to the Trustee for cancellation:</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have become due and payable, or</w:t>
      </w:r>
    </w:p>
    <w:p>
      <w:pPr>
        <w:pStyle w:val="TextBody"/>
        <w:bidi w:val="0"/>
        <w:spacing w:before="0" w:after="0"/>
        <w:ind w:left="2880" w:right="0" w:firstLine="720"/>
        <w:jc w:val="left"/>
        <w:rPr>
          <w:caps w:val="false"/>
          <w:smallCaps w:val="false"/>
        </w:rPr>
      </w:pPr>
      <w:r>
        <w:rPr>
          <w:caps w:val="false"/>
          <w:smallCaps w:val="false"/>
        </w:rPr>
        <w:t> </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will become due and payable at their Stated Maturity within one year, or</w:t>
      </w:r>
    </w:p>
    <w:p>
      <w:pPr>
        <w:pStyle w:val="TextBody"/>
        <w:bidi w:val="0"/>
        <w:spacing w:before="0" w:after="0"/>
        <w:ind w:left="2880" w:right="0" w:firstLine="720"/>
        <w:jc w:val="left"/>
        <w:rPr>
          <w:caps w:val="false"/>
          <w:smallCaps w:val="false"/>
        </w:rPr>
      </w:pPr>
      <w:r>
        <w:rPr>
          <w:caps w:val="false"/>
          <w:smallCaps w:val="false"/>
        </w:rPr>
        <w:t> </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are to be called for redemption within one year under arrangements satisfactory to the Trustee for the giving of notice of redemption by the Trustee in the name, and at the expense, of the Company, and, in the case of clause (1), (2) or (3) above, the Company has irrevocably deposited or caused to be deposited with the Trustee as funds (immediately available to the Holders in the case of clause (1)) in trust for such purpose (x) cash in an amount, (y) Government Obligations, maturing as to principal and interest at such times and in such amounts as will ensure the availability of cash in an amount or (z) a combination thereof that will be sufficient, in the opinion (in the case of (y) or (z)) of a nationally recognized firm of independent public accountants expressed in a written certification thereof delivered to the Trustee, to pay and discharge the entire indebtedness on the Securities of such Series for principal and interest to the date of such deposit (in the case of Securities which have become due and payable) or for principal, premium, if any, and interest to the Stated Maturity or redemption date, as the case may be;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properly fulfilled such other means of satisfaction and discharge, as contemplated by Section 2.2 to be applicable to the Securities of such Series;</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paid or caused to be paid all other sums payable by it hereunder with respect to the Securities of such Series;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has delivered to the Trustee an Officers’ Certificate stating that all conditions precedent to satisfaction and discharge of this Indenture with respect to the Securities of such Series have been complied with, together with an Opinion of Counsel to the same effect.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this Section 8.1(b) is specified as not being applicable to the Securities of a Series as contemplated by Section 2.2, the Company may terminate certain of its obligations under this Indenture (“covenant defeasance”) with respect to the Securities of a Series if: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irrevocably deposited or caused to be deposited with the Trustee as funds in trust for the purpose of making the following payments, specifically pledged as security for and dedicated solely to the benefit of the Holders of Securities of such Series, (x) cash in an amount, (y) Government Obligations with respect to such Series, maturing as to principal and interest at such times and in such amounts as will ensure the availability of cash in an amount or (z) a combination thereof that will be sufficient, in the opinion (in the case of (y) or (z))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8.1(e))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delivered to the Trustee an Officers’ Certificate stating that all conditions precedent to satisfaction and discharge of this Indenture with respect to the Securities of such Series have been complied with, and an Opinion of Counsel to the same effect;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Default or Event of Default with respect to the Securities of such Series shall have occurred and be continuing on the date of such deposit (other than a Default or Event of Default resulting from the borrowing of funds to be applied to such deposit and the grant of any lien securing such borrowings);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shall have delivered to the Trustee an Opinion of Counsel from a nationally recognized counsel acceptable to the Trustee or a binding tax ruling to the effect that the beneficial owners of the relevant Securities will not recognize income, gain or loss for federal income tax purposes as a result of such Company’s exercise of its option under this Section 8.1(b) and will be subject to federal income tax on the same amount and in the same manner and at the same times as would have been the case if such option had not been exercised;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200" w:after="200"/>
        <w:ind w:left="144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36</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has complied with any additional conditions specified pursuant to Section 2.2 to be applicable to the discharge of the Securities of such Series pursuant to this Section 8.1.</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event, this Indenture shall cease to be of further effect (except as set forth in this paragraph), and the Trustee, on written demand of the Company, shall execute instruments acknowledging satisfaction and discharge under this Indenture. However, the Company’s obligations in Sections 2.4, 2.5, 2.6, 2.7, 2.8, 4.1, 5.1, 7.6 and 7.7, the Events of Default described in Section 6.1(a), (b), (e) and (f), the Trustee’s and Paying Agent’s obligations in Section 8.3 and the rights, powers, protections and privileges accorded the Trustee under Article VII shall survive until all Securities of such Series are no longer outstanding. Thereafter, only the obligations of the Company in Section 7.6 and the Trustee’s and Paying Agent’s obligations in Section 8.3 shall survive with respect to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have money available on a payment date to pay principal of or premium (if any) or interest on the Securities, the Government Obligations shall be payable as to principal or interest on or before such payment date in such amounts as will provide the necessary money. Government Obligations shall not be callable at the issuer’s option.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has previously complied or is concurrently complying with the conditions set forth in Section 8.1(b) (other than any additional conditions specified pursuant to Section 2.2 that are expressly applicable only to covenant defeasance) with respect to the Securities of a Series, then unless this Section 8.1(c) is specified as not being applicable to the Securities of such Series as contemplated by Section 2.2, the Company may elect to be discharged (“legal defeasance”) from its obligations to make payments with respect to the Securities of such Series, if: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unless otherwise specified with respect to the Securities of such Series as contemplated by Section 2.2, the Company has delivered to the Trustee an Opinion of Counsel from a nationally recognized counsel acceptable to the Trustee to the effect referred to in Section 8.1(b)(iv) with respect to such legal defeasance, which opinion is based on (A) a binding private ruling of the Internal Revenue Service addressed to the Company, (B) a published ruling of the Internal Revenue Service or (C) a change in the applicable federal income tax law (including regulations) after the date of this Indenture;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complied with any other conditions specified pursuant to Section 2.2 to be applicable to the legal defeasance of Securities of such Series pursuant to this Section 8.1(c);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200" w:after="200"/>
        <w:ind w:left="144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37</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has delivered to the Trustee a Company Request requesting such legal defeasance of the Securities of such Series and an Officers’ Certificate stating that all conditions precedent with respect to such legal defeasance of the Securities of such Series have been complied with, together with an Opinion of Counsel to the same effect.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event, the Company will be discharged from its obligations under this Indenture and the Securities of such Series to pay principal of, premium (if any) and interest on, the Securities of such Series, the Company’s obligations under Sections 4.1 and 5.1 shall terminate with respect to such Securities, and the entire indebtedness of the Company evidenced by such Securities shall be deemed paid and discharged. However, the Company’s obligations in Sections 2.4, 2.5, 2.6, 2.7 and 2.8 shall survive until all Securities of such Series are no longer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and to the extent additional or alternative means of satisfaction, discharge or defeasance of the Securities of a Series are specified to be applicable to such Series as contemplated by Section 2.2, the Company may terminate any or all of its obligations under this Indenture with respect to its Securities of a Series and any or all of its obligations under the Securities of such Series if it fulfills such other means of satisfaction and discharge as may be so specified, as contemplated by Section 2.2, to be applicable to the Securities of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Securities of any Series subject to paragraphs (a), (b), (c) or (d) of this Section 8.1 are to be redeemed prior to their Stated Maturity, whether pursuant to any optional redemption provisions or in accordance with any mandatory or optional sinking fund provisions, the terms of the applicable trust arrangement shall provide for such redemption, and the Company shall make such arrangements as are reasonably satisfactory to the Trustee for the giving of notice of redemption in the name, and at the expense, of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Application of Trust Money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a trustee satisfactory to the Trustee and the Company shall hold in trust money or Government Obligations deposited with it pursuant to Section 8.1 hereof. It shall apply the deposited money and the money from Government Obligations through the Paying Agent and in accordance with this Indenture to the payment of principal of premium (if any) and interest on the Securities of the Series with respect to which the deposit was made.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8.3 </w:t>
      </w:r>
      <w:r>
        <w:rPr>
          <w:rFonts w:ascii="Times New Roman;Times;Serif" w:hAnsi="Times New Roman;Times;Serif"/>
          <w:b w:val="false"/>
          <w:i w:val="false"/>
          <w:caps w:val="false"/>
          <w:smallCaps w:val="false"/>
          <w:sz w:val="20"/>
          <w:u w:val="single"/>
        </w:rPr>
        <w:t>Repayment to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and the Paying Agent shall promptly pay to the Company upon written request any excess money or Government Obligations (or proceeds therefrom) held by them at any time upon the written request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any applicable abandoned property laws, the Trustee and the Paying Agent shall pay to the Company upon written request any money held by them for the payment of principal, premium (if any), and/or interest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8.4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the Paying Agent is unable to apply any money or Government Obligations deposited with respect to the Securities of any Series in accordance with Section 8.2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or Government Obligations in accordance with Section 8.2; provided, however, that if the Company has made any payment of principal of, premium (if any) or interest on any Securities because of the reinstatement of its obligations, the Company shall be subrogated to the rights of the Holders of such Securities to receive such payment from the money or Government Obligations held by the Trustee or the Paying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br/>
        <w:t>AMENDMENTS AND WAIVERS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Without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any Holder of Securities of a Series, the Company and the Trustee may amend or supplement this Indenture or the Series of Securities in the following circumstances: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omission, defect or inconsistency as evidenced in an Officers’ Certificate;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provide for the assumption of the Company’s obligations under this Indenture by a successor or transferee upon any permitted merger, consolidation or asset transfer;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provide for uncertificated Securities in addition to or in place of Certificated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provide any security for or guarantees of its Securities or for the addition of an additional obligor on its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comply with any requirement to effect or maintain the qualification of this Indenture under the TIA, if applicable;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add covenants that would benefit the Holders of its Securities or to surrender any rights the Company has under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change or eliminate any of the provisions of this Indenture, provided that any such change or elimination shall not become effective with respect to any outstanding Securities of any Series created prior to the execution of such supplemental indenture which is entitled to the benefit of such provision;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provide for the issuance of and establish forms and terms and conditions of a new Series of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facilitate the defeasance and discharge of the Securities of any Series otherwise in accordance with Article VIII; provided that any such action does not adversely affect the rights of any Holder of outstanding Securities of such Series in any material respect as determined in good faith by the principal executive officer, the principal financial or accounting officer or the Treasurer of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issue additional Securities of any Series, provided that such additional Securities have the same terms as, and be deemed part of the same Series as, the applicable Series of Securities to the extent required under this Indenture; and provided further that if the additional Securities are not fungible with such Series for United States federal income tax purposes, the additional Securities will have a separate CUSIP number;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evidence and provide for the acceptance of and appointment of a successor trustee with respect to the Securities of one or more Series and to add to or change any of the provisions of this Indenture as shall be necessary to provide for or facilitate the administration of the trust by more than one trustee;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add additional Events of Default with respect to any Series of Securities;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make any change that does not adversely affect the rights of any Holder of any of its outstanding Securities in any material respect.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With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or the Securities of a Series may be amended or supplemented, and waivers may be obtained, with the consent of the Holders of at least a majority in aggregate principal amount of the then outstanding Securities of such Series voting as a single class (including consents obtained in connection with a tender offer or exchange offer for, or purchase of, such Securities of a Series), and any existing Default or Event of Default (other than a Default or Event of Default in the payment of the principal of, premium, if any, on or interest on, such Securities of a Series, except a payment Default resulting from an acceleration that has been rescinded) or compliance with any provision of this Indenture or the Securities of such Series may be waived with the consent of the Holders of at least a majority in aggregate principal amount of the then outstanding Securities of such Series voting as a single class (including consents obtained in connection with a purchase of, or tender offer or exchange offer for, such Securities of a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a majority in principal amount of the outstanding Securities of a Series issued by the Company may waive any existing or past Default or Event of Default with respect to those Securities. Those Holders may not, however, waive any Default or Event of Default in any payment on any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any amendment, supplement or waiver to any Series of Securities made with the consent of Holders of such Series of Securities, shall be made with respect to that Series of Securities only, and not any other Series of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Limitations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each Holder of Securities of a Series affected thereby, an amendment, supplement or waiver may not (with respect to any Securities of such Series held by a non-consenting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reduce the percentage in principal amount of the Securities, the consent of whose Holders is required for any amendment, supplement or waiver;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rate of or change the time for payment of interest on the Securities of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principal of the Securities of such Series or change the Stated Maturity of the Securities of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reduce any premium payable on the redemption of the Securities of such Series or change the time at which the Securities of such Series may or must be redeemed or alter or waive any of the provisions with respect to the redemption of the Securities of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payments on the Security of such Series payable in currency other than as originally stated in such Security;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modify the subordination provisions of the Security of such Series in a manner adverse in any material respect to the Holder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impair the Holder’s right to institute suit for the enforcement of any payment on the Security of such Series;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waive a continuing Default or Event of Default regarding any payment on the Securities of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Form of Amendments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amendment to this Indenture or the Securities of one or more Series shall be set forth in a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Revocation and Effect of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her or its Security or portion of a Security if the Trustee receives the written notice of revocation before the date of the supplemental indenture or the date the waiver becomes effective.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or waiver once effective shall bind every Securityholder of each Series affected by such amendment or waiver unless it is of the type described in any of clauses (a) through (g) of Section 9.3. In that case, the amendment or waiver shall bind each Holder of a Security that has consented to it and every subsequent Holder of a Security or portion of a Security that evidences the same debt as the consenting Holder’s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Notation on or Exchange of the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place an appropriate notation about an amendment or waiver on any Security of any Series thereafter authenticated. The Company, in exchange for its Securities of that Series, may issue and the Trustee shall authenticate upon request new Securities of that Series that reflect the amendment or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9.7 </w:t>
      </w:r>
      <w:r>
        <w:rPr>
          <w:rFonts w:ascii="Times New Roman;Times;Serif" w:hAnsi="Times New Roman;Times;Serif"/>
          <w:b w:val="false"/>
          <w:i w:val="false"/>
          <w:caps w:val="false"/>
          <w:smallCaps w:val="false"/>
          <w:sz w:val="20"/>
          <w:u w:val="single"/>
        </w:rPr>
        <w:t>Trustee Protected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executing, or accepting the additional trusts created by, any supplemental indenture permitted by this Article IX or the modifications thereby of the trusts created by this Indenture, the Trustee shall be entitled to receive, and (subject to Section 7.1) shall be fully protected in relying upon, an Officers’ Certificate and an Opinion of Counsel stating that the execution of such supplemental indenture is authorized or permitted by this Indenture and constitutes the legal, valid and binding obligation of the Company enforceable against the Company in accordance with such supplemental indenture’s terms. The Trustee may, but shall not be obligated to, enter into any supplemental indentures which affect the Trustee’s own rights, duties, immunities, or indemnities under this Indenture, the Securities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w:t>
        <w:b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direction, instruction, demand, document, notice or communication by the Company or the Trustee to the other, or by a Holder to the Company or the Trustee, shall be in English and in writing and delivered in person, mailed by first-class mail, or delivered by overnight courier as provided below, or if sent by facsimile transmission or email in PDF format, to a facsimile number or email address, as the case may be, provided by the Company or the Trustee, with a copy, mailed by first-class mail, to the Company or the Trustee, as provided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Westinghouse Air Brake Technologies Corporation</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Isabella Street</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Pittsburgh, PA 15212</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No: (412) 825-1501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200" w:after="200"/>
        <w:ind w:left="72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42</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Jones Day</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Vesey Street</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10281</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No.: (212) 326-3978</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Peter E. Devlin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Thornall Street</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Edison, New Jersey 08837</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No.: (732) 321-2516</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Global Corporate Trust Services – Administrator, Westinghouse Air Brake Technologies Corporation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shall be effective upon the recipient’s actual receipt thereof. Any party by notice to the other parties may designate additional or different addresses for subsequent notices or communications.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to (a) a Securityholder of a Certificated Security shall be mailed by first-class mail to his, her or its address shown on the register kept by the Registrar and (b) a Securityholder of a Global Security shall be delivered to the Depositary in accordance with its applicable procedures. Failure to mail a notice or communication to a Securityholder of any Series or any defect in it shall not affect its sufficiency with respect to other Securityholders of that or any other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to any Securityholder is mailed or published in the manner provided above, within the time prescribed, it is duly given, whether or not the Securityholder receives 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mails a notice or communication to Securityholders, it shall mail a copy to the Trustee and each Agent at the same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this Indenture, the Trustee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Trustee shall not have any liability for any losses, liabilities, costs or expenses incurred or sustained by any party as a result of such reliance upon or compliance with such instructions, directions, reports, notices or other communications or information. Each other party agrees to assume all risks arising out of the use of electronic methods to submit instructions, directions, reports, notices or other communications or information to the Trustee, including the risk of the Trustee acting on unauthorized instructions, directions, reports, notices or other communications or information, and the risk of interception and misuse by third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Communication by Holders with Other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Securityholders of a Series may communicate pursuant to TIA § 312(b), as if such section applied hereto, with other Securityholders of such Series with respect to their rights under this Indenture or the Securities. The Trustee shall comply with the obligations imposed upon it by TIA § 312.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Certificate and Opinion as to Conditions Precedent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the Company to the Trustee to take any action under this Indenture, the Company shall furnish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stating that, in the opinion of the signer, all conditions precedent, if any, provided for in this Indenture relating to the proposed action have been complied with;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Opinion of Counsel stating that, in the opinion of such counsel, all such conditions precedent have been complied with.</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Statements Required in Certificate or Opinion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with respect to compliance with a condition or covenant provided for in this Indenture shall include: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the Person making such certificate or opinion has read such covenant or condition;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in such certificate or opinion are based;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such Person, he or she has made such examination or investigation as is necessary to enable him or her to express an informed opinion as to whether or not such covenant or condition has been complied with;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statement as to whether or not, in the opinion of such person, such condition or covenant has been complied with.</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Rules by Trustee and Agents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 meeting of Securityholders of one or more Series. Any Agent may make reasonable rules and set reasonable requirements for its functions.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Legal Holidays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by Board Resolution, Officers’ Certificate or supplemental indenture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10.7 </w:t>
      </w:r>
      <w:r>
        <w:rPr>
          <w:rFonts w:ascii="Times New Roman;Times;Serif" w:hAnsi="Times New Roman;Times;Serif"/>
          <w:b w:val="false"/>
          <w:i w:val="false"/>
          <w:caps w:val="false"/>
          <w:smallCaps w:val="false"/>
          <w:sz w:val="20"/>
          <w:u w:val="single"/>
        </w:rPr>
        <w:t>No Personal Liability of Directors, Officers, Employees and Certain Others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incorporator or similar founder, stockholder or member of the Company will have any liability for or any obligations of the Company under this Indenture or the Securities or for any claim based on, with respect to or by reason of, such obligations or their creation. Each Holder of the Securities by accepting a Security waives and releases all such liability. The waiver and release are part of the consideration for issuance of the Securities. The waiver may not be effective to waive liabilities under the federal securities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transmission shall be deemed to be their original signatures for all purposes. This Indenture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Code/UCC (collectively, “Signature Law”);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UCC or other Signature Law due to the character or intended character of the writings.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THE SECURITIES, INCLUDING ANY CLAIM OR CONTROVERSY ARISING OUT OF OR RELATING TO THIS INDENTURE OR THE SECURITIES, SHALL BE GOVERNED BY THE LAWS OF THE STATE OF NEW YORK WITHOUT REGARD TO CONFLICT OF LAW PRINCIPLES THAT WOULD RESULT IN THE APPLICATION OF ANY LAW OTHER THAN THE LAW OF THE STATE OF NEW YORK.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val="false"/>
          <w:caps w:val="false"/>
          <w:smallCaps w:val="false"/>
          <w:sz w:val="20"/>
          <w:u w:val="single"/>
        </w:rPr>
        <w:t>No Adverse Interpretation of Other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not be used to interpret another indenture, loan or debt agreement of the Company or any Subsidiary of the Company. Any such indenture, loan or debt agreement may not be used to interpret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Company in this Indenture and the Securities shall bind its respective successors. All agreements of the Trustee in this Indenture shall bind its successor.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10.13 </w:t>
      </w:r>
      <w:r>
        <w:rPr>
          <w:rFonts w:ascii="Times New Roman;Times;Serif" w:hAnsi="Times New Roman;Times;Serif"/>
          <w:b w:val="false"/>
          <w:i w:val="false"/>
          <w:caps w:val="false"/>
          <w:smallCaps w:val="false"/>
          <w:sz w:val="20"/>
          <w:u w:val="single"/>
        </w:rPr>
        <w:t>Table of Contents, Headings, Etc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10.14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the fullest extent that it may effectively do so under applicable law, that (a) if for the purpose of obtaining judgment in any court it is necessary to convert the sum due with respect to the principal of or interest or other amount on the Securities of any Series (the “Required Currency”) into a currency in which a judgment will be rendered (the “Judgment Currency”), the rate of exchange used shall be the rate at which in accordance with normal banking procedures the recipient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recipient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of this clause), in any currency other than the Required Currency, except to the extent that such tender or recovery shall result in the actual receipt, by the payee, of the full amount of the Required Currency expressed to be payable with respect to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10.15 </w:t>
      </w:r>
      <w:r>
        <w:rPr>
          <w:rFonts w:ascii="Times New Roman;Times;Serif" w:hAnsi="Times New Roman;Times;Serif"/>
          <w:b w:val="false"/>
          <w:i w:val="false"/>
          <w:caps w:val="false"/>
          <w:smallCaps w:val="false"/>
          <w:sz w:val="20"/>
          <w:u w:val="single"/>
        </w:rPr>
        <w:t>English Language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has been negotiated and executed in the English language. All certificates, reports, notices and other documents and communications delivered pursuant to this Indenture (including any modifications or supplements hereto), shall be in the English language, or accompanied by a certified English translation thereof. In the case of any document originally issued in a language other than English, the English language version of any such document shall for purposes of this Indenture, and absent manifest error, control the meaning of the matters set out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10.16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suit, action or proceeding against the Company or its respective properties, assets or revenues with respect to this Indenture or the Securities (a “Related Proceeding”) may be brought in any state or Federal court in the Borough of Manhattan in The City of New York, New York, as the Person bringing such Related Proceeding may elect in its sole discretion. The Company hereby consents to the non-exclusive jurisdiction of each such court for the purpose of any Related Proceeding and has irrevocably waived any objection to the laying of venue of any Related Proceeding brought in any such court and to the fullest extent it may effectively do so and the defense of an inconvenient forum to the maintenance of any Related Proceeding or any such suit, action or proceeding in any such court.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10.17 </w:t>
      </w:r>
      <w:r>
        <w:rPr>
          <w:rFonts w:ascii="Times New Roman;Times;Serif" w:hAnsi="Times New Roman;Times;Serif"/>
          <w:b w:val="false"/>
          <w:i w:val="false"/>
          <w:caps w:val="false"/>
          <w:smallCaps w:val="false"/>
          <w:sz w:val="20"/>
          <w:u w:val="single"/>
        </w:rPr>
        <w:t>Waiver of Immunity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Company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permitted by applicable law, such immunity with respect to its obligations under this Indenture, and,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10.18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THE TRUSTEE HERETO HEREBY IRREVOCABLY WAIVES ALL RIGHTS TO TRIAL BY JURY IN ANY ACTION, PROCEEDING OR COUNTERCLAIM (WHETHER BASED ON CONTRACT, TORT OR OTHERWISE) ARISING OUT OF OR RELATING TO THIS INDENTURE, THE SECURITIES, OR THE TRANSACTIONS CONTEMPLATED HEREBY OR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10.19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that in accordance with §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reasonably request in order for the Trustee to satisfy the requirements of the USA Patriot Act as such requirements pertain to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XI</w:t>
        <w:br/>
        <w:t>SUBORDINATION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Subordination Terms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a Series issued hereunder shall be subordinated in right of payment to the extent provided in the subordination terms with respect to the Securities of such Series that are established pursuant to Section 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val="false"/>
          <w:i w:val="false"/>
          <w:caps w:val="false"/>
          <w:smallCaps w:val="false"/>
          <w:sz w:val="20"/>
          <w:u w:val="single"/>
        </w:rPr>
        <w:t>Notice to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give prompt written notice to the Trustee of any fact known to the Company that would prohibit the making of any payment to or by the Trustee in respect of the Securities. Failure to give such notice shall not affect in any manner the subordination of the Securities to Senior Indebtedness. Notwithstanding the provisions of this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at the address specified in Section 10.1 from the Company or a holder of Senior Indebtedness or from any trustee or agent therefor; and, prior to the receipt of any such written notice, the Trustee, subject to the provisions of Section 7.1, shall be entitled in all respects to assume that no such facts exist; provided, however, that if a Responsible Officer of the Trustee shall not have received, at least three Business Days prior to the date upon which by the terms hereof any such money may become payable for any purpose (including, without limitation, the payment of the principal amount, accrued original issue discount, redemption price or interest, if any, as the case may be, in respect of any Security), the notice with respect to such money provided for in this Section 11.2,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7.1, the Trustee shall be entitled to conclusively rely on the delivery to it of a written notice by a person representing himself to be a holder of Senior Indebtedness (or a trustee or agent on behalf of such holder) to establish that such notice has been given by a holder of Senior Indebtedness (or a trustee or agent on behalf of any such holder). In the event that the Trustee determines in good faith that further evidence is required with respect to the right of any person as a holder of Senior Indebtedness to participate in any payment or distribution pursuant to this Article XI,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XI, and if such evidence is not furnished, the Trustee may defer any payment that it may be required to make for the benefit of such person pursuant to the terms of this Indenture pending judicial determination as to the rights of such person to receive such payment.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11.3 </w:t>
      </w:r>
      <w:r>
        <w:rPr>
          <w:rFonts w:ascii="Times New Roman;Times;Serif" w:hAnsi="Times New Roman;Times;Serif"/>
          <w:b w:val="false"/>
          <w:i w:val="false"/>
          <w:caps w:val="false"/>
          <w:smallCaps w:val="false"/>
          <w:sz w:val="20"/>
          <w:u w:val="single"/>
        </w:rPr>
        <w:t>Reliance on Judicial Order or Certificate of Liquidating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payment or distribution of assets of the Company referred to in this Article XI, the Trustee, subject to the provisions of Section 7.1, and the Holders of the Securities shall be entitled to conclusively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XI.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11.4 </w:t>
      </w:r>
      <w:r>
        <w:rPr>
          <w:rFonts w:ascii="Times New Roman;Times;Serif" w:hAnsi="Times New Roman;Times;Serif"/>
          <w:b w:val="false"/>
          <w:i w:val="false"/>
          <w:caps w:val="false"/>
          <w:smallCaps w:val="false"/>
          <w:sz w:val="20"/>
          <w:u w:val="single"/>
        </w:rPr>
        <w:t>Trustee Not Fiduciary for Holders of Senior Indebtedness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deemed to owe any fiduciary duty to the holders of Senior Indebtedness and shall not be liable to any such holders if the Trustee shall in good faith mistakenly pay over or distribute to Holders of Securities or to the Company or to any other person cash, property or securities to which any holders of Senior Indebtedness shall be entitled by virtue of this Article XI or otherwise. With respect to the holders of Senior Indebtedness, the Trustee undertakes to perform or to observe only such of its covenants or obligations as are specifically set forth in this Article XI and no implied covenants or obligations with respect to holders of Senior Indebtedness shall be read into this Indenture against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11.5 </w:t>
      </w:r>
      <w:r>
        <w:rPr>
          <w:rFonts w:ascii="Times New Roman;Times;Serif" w:hAnsi="Times New Roman;Times;Serif"/>
          <w:b w:val="false"/>
          <w:i w:val="false"/>
          <w:caps w:val="false"/>
          <w:smallCaps w:val="false"/>
          <w:sz w:val="20"/>
          <w:u w:val="single"/>
        </w:rPr>
        <w:t>Rights of Trustee as Holder of Senior Indebtedness; Preservation of Trustee’s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any Authenticating Agent in its individual capacity shall be entitled to all the rights set forth in this Article XI with respect to any Senior Indebtedness which may at any time be held by it, to the same extent as any other holder of Senior Indebtedness, and nothing in this Indenture shall deprive the Trustee or any Authenticating Agent of any of its rights as such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Article XI shall apply to claims of, or payments to, the Trustee under or pursuant to Section 7.6.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day and year first above written.</w:t>
      </w:r>
    </w:p>
    <w:p>
      <w:pPr>
        <w:pStyle w:val="TextBody"/>
        <w:bidi w:val="0"/>
        <w:spacing w:before="0" w:after="0"/>
        <w:ind w:left="0" w:right="0" w:firstLine="720"/>
        <w:jc w:val="left"/>
        <w:rPr>
          <w:caps w:val="false"/>
          <w:smallCaps w:val="false"/>
        </w:rPr>
      </w:pPr>
      <w:r>
        <w:rPr>
          <w:caps w:val="false"/>
          <w:smallCaps w:val="false"/>
        </w:rPr>
        <w:t> </w:t>
      </w:r>
    </w:p>
    <w:tbl>
      <w:tblPr>
        <w:tblW w:w="4969" w:type="dxa"/>
        <w:jc w:val="left"/>
        <w:tblInd w:w="0" w:type="dxa"/>
        <w:tblLayout w:type="fixed"/>
        <w:tblCellMar>
          <w:top w:w="0" w:type="dxa"/>
          <w:left w:w="0" w:type="dxa"/>
          <w:bottom w:w="0" w:type="dxa"/>
          <w:right w:w="0" w:type="dxa"/>
        </w:tblCellMar>
      </w:tblPr>
      <w:tblGrid>
        <w:gridCol w:w="75"/>
        <w:gridCol w:w="1674"/>
        <w:gridCol w:w="3220"/>
      </w:tblGrid>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Westinghouse Air Brake Technologies Corporation</w:t>
            </w:r>
          </w:p>
        </w:tc>
      </w:tr>
      <w:tr>
        <w:trPr/>
        <w:tc>
          <w:tcPr>
            <w:tcW w:w="75" w:type="dxa"/>
            <w:tcBorders/>
            <w:vAlign w:val="center"/>
          </w:tcPr>
          <w:p>
            <w:pPr>
              <w:pStyle w:val="TableContents"/>
              <w:bidi w:val="0"/>
              <w:spacing w:before="0" w:after="283"/>
              <w:jc w:val="left"/>
              <w:rPr/>
            </w:pPr>
            <w:r>
              <w:rPr/>
              <w:t> </w:t>
            </w:r>
          </w:p>
        </w:tc>
        <w:tc>
          <w:tcPr>
            <w:tcW w:w="1674" w:type="dxa"/>
            <w:tcBorders/>
            <w:vAlign w:val="center"/>
          </w:tcPr>
          <w:p>
            <w:pPr>
              <w:pStyle w:val="TableContents"/>
              <w:bidi w:val="0"/>
              <w:spacing w:before="0" w:after="283"/>
              <w:jc w:val="left"/>
              <w:rPr/>
            </w:pPr>
            <w:r>
              <w:rPr/>
              <w:t> </w:t>
            </w:r>
          </w:p>
        </w:tc>
        <w:tc>
          <w:tcPr>
            <w:tcW w:w="32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674" w:type="dxa"/>
            <w:tcBorders/>
            <w:vAlign w:val="center"/>
          </w:tcPr>
          <w:p>
            <w:pPr>
              <w:pStyle w:val="TableContents"/>
              <w:bidi w:val="0"/>
              <w:spacing w:before="0" w:after="283"/>
              <w:jc w:val="left"/>
              <w:rPr/>
            </w:pPr>
            <w:r>
              <w:rPr/>
              <w:t> </w:t>
            </w:r>
          </w:p>
        </w:tc>
        <w:tc>
          <w:tcPr>
            <w:tcW w:w="3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1674" w:type="dxa"/>
            <w:tcBorders/>
            <w:vAlign w:val="center"/>
          </w:tcPr>
          <w:p>
            <w:pPr>
              <w:pStyle w:val="TableContents"/>
              <w:bidi w:val="0"/>
              <w:spacing w:before="0" w:after="283"/>
              <w:jc w:val="left"/>
              <w:rPr/>
            </w:pPr>
            <w:r>
              <w:rPr/>
              <w:t> </w:t>
            </w:r>
          </w:p>
        </w:tc>
        <w:tc>
          <w:tcPr>
            <w:tcW w:w="3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r>
        <w:trPr/>
        <w:tc>
          <w:tcPr>
            <w:tcW w:w="75" w:type="dxa"/>
            <w:tcBorders/>
            <w:vAlign w:val="center"/>
          </w:tcPr>
          <w:p>
            <w:pPr>
              <w:pStyle w:val="TableContents"/>
              <w:bidi w:val="0"/>
              <w:spacing w:before="0" w:after="283"/>
              <w:jc w:val="left"/>
              <w:rPr/>
            </w:pPr>
            <w:r>
              <w:rPr/>
              <w:t> </w:t>
            </w:r>
          </w:p>
        </w:tc>
        <w:tc>
          <w:tcPr>
            <w:tcW w:w="1674" w:type="dxa"/>
            <w:tcBorders/>
            <w:vAlign w:val="center"/>
          </w:tcPr>
          <w:p>
            <w:pPr>
              <w:pStyle w:val="TableContents"/>
              <w:bidi w:val="0"/>
              <w:spacing w:before="0" w:after="283"/>
              <w:jc w:val="left"/>
              <w:rPr/>
            </w:pPr>
            <w:r>
              <w:rPr/>
              <w:t> </w:t>
            </w:r>
          </w:p>
        </w:tc>
        <w:tc>
          <w:tcPr>
            <w:tcW w:w="32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w:t>
            </w:r>
          </w:p>
        </w:tc>
      </w:tr>
      <w:tr>
        <w:trPr/>
        <w:tc>
          <w:tcPr>
            <w:tcW w:w="75" w:type="dxa"/>
            <w:tcBorders/>
            <w:vAlign w:val="center"/>
          </w:tcPr>
          <w:p>
            <w:pPr>
              <w:pStyle w:val="TableContents"/>
              <w:bidi w:val="0"/>
              <w:spacing w:before="0" w:after="283"/>
              <w:jc w:val="left"/>
              <w:rPr/>
            </w:pPr>
            <w:r>
              <w:rPr/>
              <w:t> </w:t>
            </w:r>
          </w:p>
        </w:tc>
        <w:tc>
          <w:tcPr>
            <w:tcW w:w="1674" w:type="dxa"/>
            <w:tcBorders/>
            <w:vAlign w:val="center"/>
          </w:tcPr>
          <w:p>
            <w:pPr>
              <w:pStyle w:val="TableContents"/>
              <w:bidi w:val="0"/>
              <w:spacing w:before="0" w:after="283"/>
              <w:jc w:val="left"/>
              <w:rPr/>
            </w:pPr>
            <w:r>
              <w:rPr/>
              <w:t> </w:t>
            </w:r>
          </w:p>
        </w:tc>
        <w:tc>
          <w:tcPr>
            <w:tcW w:w="32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674" w:type="dxa"/>
            <w:tcBorders/>
            <w:vAlign w:val="center"/>
          </w:tcPr>
          <w:p>
            <w:pPr>
              <w:pStyle w:val="TableContents"/>
              <w:bidi w:val="0"/>
              <w:spacing w:before="0" w:after="283"/>
              <w:jc w:val="left"/>
              <w:rPr/>
            </w:pPr>
            <w:r>
              <w:rPr/>
              <w:t> </w:t>
            </w:r>
          </w:p>
        </w:tc>
        <w:tc>
          <w:tcPr>
            <w:tcW w:w="3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1674" w:type="dxa"/>
            <w:tcBorders/>
            <w:vAlign w:val="center"/>
          </w:tcPr>
          <w:p>
            <w:pPr>
              <w:pStyle w:val="TableContents"/>
              <w:bidi w:val="0"/>
              <w:spacing w:before="0" w:after="283"/>
              <w:jc w:val="left"/>
              <w:rPr/>
            </w:pPr>
            <w:r>
              <w:rPr/>
              <w:t> </w:t>
            </w:r>
          </w:p>
        </w:tc>
        <w:tc>
          <w:tcPr>
            <w:tcW w:w="3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p>
      <w:pPr>
        <w:pStyle w:val="TextBody"/>
        <w:bidi w:val="0"/>
        <w:jc w:val="center"/>
        <w:rPr>
          <w:caps w:val="false"/>
          <w:smallCaps w:val="false"/>
          <w:bdr w:val="single" w:sz="16" w:space="1" w:color="000000"/>
        </w:rPr>
      </w:pPr>
      <w:r>
        <w:rPr>
          <w:caps w:val="false"/>
          <w:smallCaps w:val="false"/>
          <w:bdr w:val="single" w:sz="16" w:space="1" w:color="000000"/>
        </w:rPr>
        <w:t> </w:t>
      </w:r>
    </w:p>
    <w:p>
      <w:pPr>
        <w:pStyle w:val="HorizontalLine"/>
        <w:pBdr>
          <w:bottom w:val="single" w:sz="12" w:space="0" w:color="808080"/>
        </w:pBdr>
        <w:bidi w:val="0"/>
        <w:jc w:val="center"/>
        <w:rPr/>
      </w:pPr>
      <w:r>
        <w:rPr/>
      </w:r>
      <w:bookmarkStart w:id="66" w:name="ny20083847x1_ex5-1.htm"/>
      <w:bookmarkStart w:id="67" w:name="ksny20083847x1_ex51"/>
      <w:bookmarkStart w:id="68" w:name="ny20083847x1_ex5-1.htm"/>
      <w:bookmarkStart w:id="69" w:name="ksny20083847x1_ex51"/>
      <w:bookmarkEnd w:id="68"/>
      <w:bookmarkEnd w:id="69"/>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5.1</w:t>
      </w:r>
    </w:p>
    <w:p>
      <w:pPr>
        <w:pStyle w:val="TextBody"/>
        <w:bidi w:val="0"/>
        <w:spacing w:before="0" w:after="0"/>
        <w:jc w:val="center"/>
        <w:rPr/>
      </w:pPr>
      <w:r>
        <w:rPr/>
      </w:r>
    </w:p>
    <w:p>
      <w:pPr>
        <w:pStyle w:val="TextBody"/>
        <w:bidi w:val="0"/>
        <w:spacing w:before="0" w:after="0"/>
        <w:jc w:val="center"/>
        <w:rPr>
          <w:color w:val="000000"/>
        </w:rPr>
      </w:pPr>
      <w:r>
        <w:rPr>
          <w:color w:val="000000"/>
        </w:rPr>
        <w:drawing>
          <wp:inline distT="0" distB="0" distL="0" distR="0">
            <wp:extent cx="1371600"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1"/>
                    <a:stretch>
                      <a:fillRect/>
                    </a:stretch>
                  </pic:blipFill>
                  <pic:spPr bwMode="auto">
                    <a:xfrm>
                      <a:off x="0" y="0"/>
                      <a:ext cx="1371600"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40"/>
        <w:jc w:val="center"/>
        <w:rPr>
          <w:rFonts w:ascii="Times New Roman;Times;serif" w:hAnsi="Times New Roman;Times;serif"/>
          <w:color w:val="000000"/>
          <w:sz w:val="16"/>
        </w:rPr>
      </w:pPr>
      <w:r>
        <w:rPr>
          <w:rFonts w:ascii="Times New Roman;Times;serif" w:hAnsi="Times New Roman;Times;serif"/>
          <w:color w:val="000000"/>
          <w:sz w:val="16"/>
        </w:rPr>
        <w:t>250 VESEY STREET  •  NEW YORK, NEW YORK  10281.1047</w:t>
      </w:r>
    </w:p>
    <w:p>
      <w:pPr>
        <w:pStyle w:val="TextBody"/>
        <w:bidi w:val="0"/>
        <w:spacing w:before="0" w:after="40"/>
        <w:jc w:val="center"/>
        <w:rPr>
          <w:rFonts w:ascii="Times New Roman;Times;serif" w:hAnsi="Times New Roman;Times;serif"/>
          <w:color w:val="000000"/>
          <w:sz w:val="16"/>
        </w:rPr>
      </w:pPr>
      <w:r>
        <w:rPr>
          <w:rFonts w:ascii="Times New Roman;Times;serif" w:hAnsi="Times New Roman;Times;serif"/>
          <w:color w:val="000000"/>
          <w:sz w:val="16"/>
        </w:rPr>
        <w:t>TELEPHONE: +1.212.326.3939 • JONESDAY.COM</w:t>
      </w:r>
    </w:p>
    <w:p>
      <w:pPr>
        <w:pStyle w:val="Normal"/>
        <w:bidi w:val="0"/>
        <w:spacing w:before="0" w:after="0"/>
        <w:jc w:val="left"/>
        <w:rPr>
          <w:sz w:val="4"/>
          <w:szCs w:val="4"/>
        </w:rPr>
      </w:pPr>
      <w:r>
        <w:rPr>
          <w:sz w:val="4"/>
          <w:szCs w:val="4"/>
        </w:rPr>
      </w:r>
      <w:bookmarkStart w:id="70" w:name="zaeae1b7bef764269b2e90786da05b5f4"/>
      <w:bookmarkStart w:id="71" w:name="zaeae1b7bef764269b2e90786da05b5f4"/>
      <w:bookmarkEnd w:id="71"/>
    </w:p>
    <w:tbl>
      <w:tblPr>
        <w:tblW w:w="1835" w:type="dxa"/>
        <w:jc w:val="left"/>
        <w:tblInd w:w="0" w:type="dxa"/>
        <w:tblLayout w:type="fixed"/>
        <w:tblCellMar>
          <w:top w:w="0" w:type="dxa"/>
          <w:left w:w="0" w:type="dxa"/>
          <w:bottom w:w="0" w:type="dxa"/>
          <w:right w:w="0" w:type="dxa"/>
        </w:tblCellMar>
      </w:tblPr>
      <w:tblGrid>
        <w:gridCol w:w="75"/>
        <w:gridCol w:w="1685"/>
        <w:gridCol w:w="75"/>
      </w:tblGrid>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jc w:val="center"/>
              <w:rPr/>
            </w:pPr>
            <w:r>
              <w:rPr/>
              <w:t>October 21, 2026</w:t>
            </w:r>
          </w:p>
        </w:tc>
        <w:tc>
          <w:tcPr>
            <w:tcW w:w="75" w:type="dxa"/>
            <w:tcBorders/>
            <w:vAlign w:val="center"/>
          </w:tcPr>
          <w:p>
            <w:pPr>
              <w:pStyle w:val="TableContents"/>
              <w:bidi w:val="0"/>
              <w:spacing w:before="0" w:after="283"/>
              <w:jc w:val="left"/>
              <w:rPr/>
            </w:pPr>
            <w:r>
              <w:rPr/>
              <w:t> </w:t>
            </w:r>
          </w:p>
        </w:tc>
      </w:tr>
    </w:tbl>
    <w:p>
      <w:pPr>
        <w:pStyle w:val="TextBody"/>
        <w:bidi w:val="0"/>
        <w:spacing w:before="0" w:after="240"/>
        <w:jc w:val="left"/>
        <w:rPr>
          <w:rFonts w:ascii="Times New Roman;Times;serif" w:hAnsi="Times New Roman;Times;serif"/>
          <w:color w:val="000000"/>
          <w:sz w:val="20"/>
        </w:rPr>
      </w:pPr>
      <w:r>
        <w:rPr>
          <w:rFonts w:ascii="Times New Roman;Times;serif" w:hAnsi="Times New Roman;Times;serif"/>
          <w:color w:val="000000"/>
          <w:sz w:val="20"/>
        </w:rPr>
        <w:t>Westinghouse Air Brake Technologies Corporation</w:t>
        <w:br/>
        <w:t>30 Isabella Street</w:t>
        <w:br/>
        <w:t>Pittsburgh, Pennsylvania 15212</w:t>
      </w:r>
    </w:p>
    <w:p>
      <w:pPr>
        <w:pStyle w:val="Normal"/>
        <w:bidi w:val="0"/>
        <w:spacing w:before="0" w:after="0"/>
        <w:jc w:val="left"/>
        <w:rPr>
          <w:sz w:val="4"/>
          <w:szCs w:val="4"/>
        </w:rPr>
      </w:pPr>
      <w:r>
        <w:rPr>
          <w:sz w:val="4"/>
          <w:szCs w:val="4"/>
        </w:rPr>
      </w:r>
      <w:bookmarkStart w:id="72" w:name="z9ccd1ae2ea754b0483d46bd8da623456"/>
      <w:bookmarkStart w:id="73" w:name="z9ccd1ae2ea754b0483d46bd8da623456"/>
      <w:bookmarkEnd w:id="73"/>
    </w:p>
    <w:tbl>
      <w:tblPr>
        <w:tblW w:w="3813" w:type="dxa"/>
        <w:jc w:val="left"/>
        <w:tblInd w:w="0" w:type="dxa"/>
        <w:tblLayout w:type="fixed"/>
        <w:tblCellMar>
          <w:top w:w="0" w:type="dxa"/>
          <w:left w:w="0" w:type="dxa"/>
          <w:bottom w:w="0" w:type="dxa"/>
          <w:right w:w="0" w:type="dxa"/>
        </w:tblCellMar>
      </w:tblPr>
      <w:tblGrid>
        <w:gridCol w:w="38"/>
        <w:gridCol w:w="350"/>
        <w:gridCol w:w="3425"/>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t>Re:</w:t>
            </w:r>
          </w:p>
        </w:tc>
        <w:tc>
          <w:tcPr>
            <w:tcW w:w="3425" w:type="dxa"/>
            <w:tcBorders/>
            <w:vAlign w:val="center"/>
          </w:tcPr>
          <w:p>
            <w:pPr>
              <w:pStyle w:val="TableContents"/>
              <w:bidi w:val="0"/>
              <w:spacing w:before="0" w:after="0"/>
              <w:jc w:val="left"/>
              <w:rPr>
                <w:u w:val="single"/>
              </w:rPr>
            </w:pPr>
            <w:r>
              <w:rPr>
                <w:u w:val="single"/>
              </w:rPr>
              <w:t>Registration Statement on Form S-3</w:t>
            </w:r>
          </w:p>
        </w:tc>
      </w:tr>
    </w:tbl>
    <w:p>
      <w:pPr>
        <w:pStyle w:val="TextBody"/>
        <w:bidi w:val="0"/>
        <w:spacing w:before="240" w:after="240"/>
        <w:jc w:val="left"/>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0" w:after="24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have acted as counsel for Westinghouse Air Brake Technologies Corporation, a Delaware corporation (the “</w:t>
      </w:r>
      <w:r>
        <w:rPr>
          <w:rFonts w:ascii="Times New Roman;Times;serif" w:hAnsi="Times New Roman;Times;serif"/>
          <w:b/>
          <w:i/>
          <w:color w:val="000000"/>
          <w:sz w:val="20"/>
        </w:rPr>
        <w:t>Company</w:t>
      </w:r>
      <w:r>
        <w:rPr>
          <w:rFonts w:ascii="Times New Roman;Times;serif" w:hAnsi="Times New Roman;Times;serif"/>
          <w:color w:val="000000"/>
          <w:sz w:val="20"/>
        </w:rPr>
        <w:t xml:space="preserve">”), the guarantors listed on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hereto (each, a “</w:t>
      </w:r>
      <w:r>
        <w:rPr>
          <w:rFonts w:ascii="Times New Roman;Times;serif" w:hAnsi="Times New Roman;Times;serif"/>
          <w:b/>
          <w:i/>
          <w:color w:val="000000"/>
          <w:sz w:val="20"/>
        </w:rPr>
        <w:t>Covered Guarantor</w:t>
      </w:r>
      <w:r>
        <w:rPr>
          <w:rFonts w:ascii="Times New Roman;Times;serif" w:hAnsi="Times New Roman;Times;serif"/>
          <w:color w:val="000000"/>
          <w:sz w:val="20"/>
        </w:rPr>
        <w:t>” and collectively, the “</w:t>
      </w:r>
      <w:r>
        <w:rPr>
          <w:rFonts w:ascii="Times New Roman;Times;serif" w:hAnsi="Times New Roman;Times;serif"/>
          <w:b/>
          <w:i/>
          <w:color w:val="000000"/>
          <w:sz w:val="20"/>
        </w:rPr>
        <w:t>Covered Guarantors</w:t>
      </w:r>
      <w:r>
        <w:rPr>
          <w:rFonts w:ascii="Times New Roman;Times;serif" w:hAnsi="Times New Roman;Times;serif"/>
          <w:color w:val="000000"/>
          <w:sz w:val="20"/>
        </w:rPr>
        <w:t xml:space="preserve">”) and the guarantor listed on </w:t>
      </w:r>
      <w:r>
        <w:rPr>
          <w:rFonts w:ascii="Times New Roman;Times;serif" w:hAnsi="Times New Roman;Times;serif"/>
          <w:color w:val="000000"/>
          <w:sz w:val="20"/>
          <w:u w:val="single"/>
        </w:rPr>
        <w:t>Annex B</w:t>
      </w:r>
      <w:r>
        <w:rPr>
          <w:rFonts w:ascii="Times New Roman;Times;serif" w:hAnsi="Times New Roman;Times;serif"/>
          <w:color w:val="000000"/>
          <w:sz w:val="20"/>
        </w:rPr>
        <w:t xml:space="preserve"> hereto (the “</w:t>
      </w:r>
      <w:r>
        <w:rPr>
          <w:rFonts w:ascii="Times New Roman;Times;serif" w:hAnsi="Times New Roman;Times;serif"/>
          <w:b/>
          <w:i/>
          <w:color w:val="000000"/>
          <w:sz w:val="20"/>
        </w:rPr>
        <w:t>Non-Covered Guarantor</w:t>
      </w:r>
      <w:r>
        <w:rPr>
          <w:rFonts w:ascii="Times New Roman;Times;serif" w:hAnsi="Times New Roman;Times;serif"/>
          <w:color w:val="000000"/>
          <w:sz w:val="20"/>
        </w:rPr>
        <w:t>” and, collectively with the Covered Guarantors, the “</w:t>
      </w:r>
      <w:r>
        <w:rPr>
          <w:rFonts w:ascii="Times New Roman;Times;serif" w:hAnsi="Times New Roman;Times;serif"/>
          <w:b/>
          <w:i/>
          <w:color w:val="000000"/>
          <w:sz w:val="20"/>
        </w:rPr>
        <w:t>Guarantors</w:t>
      </w:r>
      <w:r>
        <w:rPr>
          <w:rFonts w:ascii="Times New Roman;Times;serif" w:hAnsi="Times New Roman;Times;serif"/>
          <w:color w:val="000000"/>
          <w:sz w:val="20"/>
        </w:rPr>
        <w:t>”) in connection with the authorization of the possible issuance and sale from time to time, on a delayed basis, by the Company and the Guarantors, as applicable, of an indeterminate amount of:  (i) debt securities of the Company, which may be either senior debt securities (the “</w:t>
      </w:r>
      <w:r>
        <w:rPr>
          <w:rFonts w:ascii="Times New Roman;Times;serif" w:hAnsi="Times New Roman;Times;serif"/>
          <w:b/>
          <w:i/>
          <w:color w:val="000000"/>
          <w:sz w:val="20"/>
        </w:rPr>
        <w:t>Senior Debt Securities</w:t>
      </w:r>
      <w:r>
        <w:rPr>
          <w:rFonts w:ascii="Times New Roman;Times;serif" w:hAnsi="Times New Roman;Times;serif"/>
          <w:color w:val="000000"/>
          <w:sz w:val="20"/>
        </w:rPr>
        <w:t>”) or subordinated debt securities (the “</w:t>
      </w:r>
      <w:r>
        <w:rPr>
          <w:rFonts w:ascii="Times New Roman;Times;serif" w:hAnsi="Times New Roman;Times;serif"/>
          <w:b/>
          <w:i/>
          <w:color w:val="000000"/>
          <w:sz w:val="20"/>
        </w:rPr>
        <w:t>Subordinated Debt Securities</w:t>
      </w:r>
      <w:r>
        <w:rPr>
          <w:rFonts w:ascii="Times New Roman;Times;serif" w:hAnsi="Times New Roman;Times;serif"/>
          <w:color w:val="000000"/>
          <w:sz w:val="20"/>
        </w:rPr>
        <w:t>” and, together with the Senior Debt Securities, the “</w:t>
      </w:r>
      <w:r>
        <w:rPr>
          <w:rFonts w:ascii="Times New Roman;Times;serif" w:hAnsi="Times New Roman;Times;serif"/>
          <w:b/>
          <w:i/>
          <w:color w:val="000000"/>
          <w:sz w:val="20"/>
        </w:rPr>
        <w:t>Debt Securities</w:t>
      </w:r>
      <w:r>
        <w:rPr>
          <w:rFonts w:ascii="Times New Roman;Times;serif" w:hAnsi="Times New Roman;Times;serif"/>
          <w:color w:val="000000"/>
          <w:sz w:val="20"/>
        </w:rPr>
        <w:t>”), in one or more series, certain of which may be convertible into or exchangeable for Common Stock (as defined below); (ii) guarantees of the Company’s obligations under the Debt Securities by the Guarantors (the “</w:t>
      </w:r>
      <w:r>
        <w:rPr>
          <w:rFonts w:ascii="Times New Roman;Times;serif" w:hAnsi="Times New Roman;Times;serif"/>
          <w:b/>
          <w:i/>
          <w:color w:val="000000"/>
          <w:sz w:val="20"/>
        </w:rPr>
        <w:t>Guarantees</w:t>
      </w:r>
      <w:r>
        <w:rPr>
          <w:rFonts w:ascii="Times New Roman;Times;serif" w:hAnsi="Times New Roman;Times;serif"/>
          <w:color w:val="000000"/>
          <w:sz w:val="20"/>
        </w:rPr>
        <w:t>”); (iii) shares of common stock, par value $0.01 per share, of the Company (the “</w:t>
      </w:r>
      <w:r>
        <w:rPr>
          <w:rFonts w:ascii="Times New Roman;Times;serif" w:hAnsi="Times New Roman;Times;serif"/>
          <w:b/>
          <w:i/>
          <w:color w:val="000000"/>
          <w:sz w:val="20"/>
        </w:rPr>
        <w:t>Common Stock</w:t>
      </w:r>
      <w:r>
        <w:rPr>
          <w:rFonts w:ascii="Times New Roman;Times;serif" w:hAnsi="Times New Roman;Times;serif"/>
          <w:color w:val="000000"/>
          <w:sz w:val="20"/>
        </w:rPr>
        <w:t>”); (iv) shares of preferred stock, par value $0.01 per share, of the Company (the “</w:t>
      </w:r>
      <w:r>
        <w:rPr>
          <w:rFonts w:ascii="Times New Roman;Times;serif" w:hAnsi="Times New Roman;Times;serif"/>
          <w:b/>
          <w:i/>
          <w:color w:val="000000"/>
          <w:sz w:val="20"/>
        </w:rPr>
        <w:t>Preferred Stock</w:t>
      </w:r>
      <w:r>
        <w:rPr>
          <w:rFonts w:ascii="Times New Roman;Times;serif" w:hAnsi="Times New Roman;Times;serif"/>
          <w:color w:val="000000"/>
          <w:sz w:val="20"/>
        </w:rPr>
        <w:t>”), in one or more series, certain of which may be convertible into or exchangeable for Common Stock; (v) warrants to purchase Common Stock, Preferred Stock, Debt Securities, rights or other securities of the Company (the “</w:t>
      </w:r>
      <w:r>
        <w:rPr>
          <w:rFonts w:ascii="Times New Roman;Times;serif" w:hAnsi="Times New Roman;Times;serif"/>
          <w:b/>
          <w:i/>
          <w:color w:val="000000"/>
          <w:sz w:val="20"/>
        </w:rPr>
        <w:t>Warrants</w:t>
      </w:r>
      <w:r>
        <w:rPr>
          <w:rFonts w:ascii="Times New Roman;Times;serif" w:hAnsi="Times New Roman;Times;serif"/>
          <w:color w:val="000000"/>
          <w:sz w:val="20"/>
        </w:rPr>
        <w:t>”); (vi) depositary shares of the Company representing fractional interests in Preferred Stock or Debt Securities (the “</w:t>
      </w:r>
      <w:r>
        <w:rPr>
          <w:rFonts w:ascii="Times New Roman;Times;serif" w:hAnsi="Times New Roman;Times;serif"/>
          <w:b/>
          <w:i/>
          <w:color w:val="000000"/>
          <w:sz w:val="20"/>
        </w:rPr>
        <w:t>Depositary Shares</w:t>
      </w:r>
      <w:r>
        <w:rPr>
          <w:rFonts w:ascii="Times New Roman;Times;serif" w:hAnsi="Times New Roman;Times;serif"/>
          <w:color w:val="000000"/>
          <w:sz w:val="20"/>
        </w:rPr>
        <w:t>”); (vii) contracts to purchase Common Stock or other securities at a future date (the “</w:t>
      </w:r>
      <w:r>
        <w:rPr>
          <w:rFonts w:ascii="Times New Roman;Times;serif" w:hAnsi="Times New Roman;Times;serif"/>
          <w:b/>
          <w:i/>
          <w:color w:val="000000"/>
          <w:sz w:val="20"/>
        </w:rPr>
        <w:t>Purchase Contracts</w:t>
      </w:r>
      <w:r>
        <w:rPr>
          <w:rFonts w:ascii="Times New Roman;Times;serif" w:hAnsi="Times New Roman;Times;serif"/>
          <w:color w:val="000000"/>
          <w:sz w:val="20"/>
        </w:rPr>
        <w:t>”); and (viii) units consisting of one or more of the securities described in clauses (i) through (vii) above (the “</w:t>
      </w:r>
      <w:r>
        <w:rPr>
          <w:rFonts w:ascii="Times New Roman;Times;serif" w:hAnsi="Times New Roman;Times;serif"/>
          <w:b/>
          <w:i/>
          <w:color w:val="000000"/>
          <w:sz w:val="20"/>
        </w:rPr>
        <w:t>Units</w:t>
      </w:r>
      <w:r>
        <w:rPr>
          <w:rFonts w:ascii="Times New Roman;Times;serif" w:hAnsi="Times New Roman;Times;serif"/>
          <w:color w:val="000000"/>
          <w:sz w:val="20"/>
        </w:rPr>
        <w:t>”), in each case, as contemplated by the Company’s Registration Statement on Form S-3 to which this opinion is an exhibit (as the same may be amended from time to time, the “</w:t>
      </w:r>
      <w:r>
        <w:rPr>
          <w:rFonts w:ascii="Times New Roman;Times;serif" w:hAnsi="Times New Roman;Times;serif"/>
          <w:b/>
          <w:i/>
          <w:color w:val="000000"/>
          <w:sz w:val="20"/>
        </w:rPr>
        <w:t>Registration Statement</w:t>
      </w:r>
      <w:r>
        <w:rPr>
          <w:rFonts w:ascii="Times New Roman;Times;serif" w:hAnsi="Times New Roman;Times;serif"/>
          <w:color w:val="000000"/>
          <w:sz w:val="20"/>
        </w:rPr>
        <w:t>”).  The Debt Securities, the Guarantees, the Common Stock, the Preferred Stock, the Warrants, the Depositary Shares, the Purchase Contracts and the Units are collectively referred to herein as the “</w:t>
      </w:r>
      <w:r>
        <w:rPr>
          <w:rFonts w:ascii="Times New Roman;Times;serif" w:hAnsi="Times New Roman;Times;serif"/>
          <w:b/>
          <w:i/>
          <w:color w:val="000000"/>
          <w:sz w:val="20"/>
        </w:rPr>
        <w:t>Securities</w:t>
      </w:r>
      <w:r>
        <w:rPr>
          <w:rFonts w:ascii="Times New Roman;Times;serif" w:hAnsi="Times New Roman;Times;serif"/>
          <w:color w:val="000000"/>
          <w:sz w:val="20"/>
        </w:rPr>
        <w:t>.”  The Securities may be offered and sold from time to time pursuant to Rule 415 under the Securities Act of 1933, as amended (the “</w:t>
      </w:r>
      <w:r>
        <w:rPr>
          <w:rFonts w:ascii="Times New Roman;Times;serif" w:hAnsi="Times New Roman;Times;serif"/>
          <w:b/>
          <w:i/>
          <w:color w:val="000000"/>
          <w:sz w:val="20"/>
        </w:rPr>
        <w:t>Securities Act</w:t>
      </w:r>
      <w:r>
        <w:rPr>
          <w:rFonts w:ascii="Times New Roman;Times;serif" w:hAnsi="Times New Roman;Times;serif"/>
          <w:color w:val="000000"/>
          <w:sz w:val="20"/>
        </w:rPr>
        <w:t>”).</w:t>
      </w:r>
    </w:p>
    <w:p>
      <w:pPr>
        <w:pStyle w:val="Normal"/>
        <w:bidi w:val="0"/>
        <w:spacing w:before="0" w:after="0"/>
        <w:ind w:left="0" w:right="0" w:firstLine="720"/>
        <w:jc w:val="left"/>
        <w:rPr>
          <w:sz w:val="4"/>
          <w:szCs w:val="4"/>
        </w:rPr>
      </w:pPr>
      <w:r>
        <w:rPr>
          <w:sz w:val="4"/>
          <w:szCs w:val="4"/>
        </w:rPr>
      </w:r>
      <w:bookmarkStart w:id="74" w:name="zc2c786c49d3b472bb0c146f2d1a853fb"/>
      <w:bookmarkStart w:id="75" w:name="zc2c786c49d3b472bb0c146f2d1a853fb"/>
      <w:bookmarkEnd w:id="75"/>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AMSTERDAM • ATLANTA • BEIJING • BOSTON • BRISBANE • BRUSSELS • CHICAGO • CLEVELAND • COLUMBUS • DALLAS • DETROIT • DUBAI • DÜSSELDORF • FRANKFURT • HONG KONG • HOUSTON • IRVINE • LONDON • LOS ANGELES • MADRID • MELBOURNE • MEXICO CITY • MIAMI • MILAN • MINNEAPOLIS • MUNICH • NEW YORK • PARIS • PERTH • PITTSBURGH • SAN DIEGO • SAN FRANCISCO • SÃO PAULO • SHANGHAI • SILICON VALLEY • SINGAPORE • SYDNEY • TAIPEI • TOKYO • WASHINGTON</w:t>
            </w:r>
          </w:p>
        </w:tc>
      </w:tr>
    </w:tbl>
    <w:p>
      <w:pPr>
        <w:pStyle w:val="HorizontalLine"/>
        <w:pBdr>
          <w:bottom w:val="single" w:sz="12" w:space="0" w:color="808080"/>
        </w:pBdr>
        <w:bidi w:val="0"/>
        <w:spacing w:before="200" w:after="200"/>
        <w:jc w:val="left"/>
        <w:rPr/>
      </w:pPr>
      <w:r>
        <w:rPr/>
      </w:r>
    </w:p>
    <w:p>
      <w:pPr>
        <w:pStyle w:val="TextBody"/>
        <w:bidi w:val="0"/>
        <w:spacing w:before="0" w:after="240"/>
        <w:ind w:left="0" w:right="0" w:hanging="0"/>
        <w:jc w:val="left"/>
        <w:rPr>
          <w:rFonts w:ascii="Times New Roman;Times;serif" w:hAnsi="Times New Roman;Times;serif"/>
          <w:color w:val="000000"/>
          <w:sz w:val="20"/>
        </w:rPr>
      </w:pPr>
      <w:r>
        <w:rPr>
          <w:rFonts w:ascii="Times New Roman;Times;serif" w:hAnsi="Times New Roman;Times;serif"/>
          <w:color w:val="000000"/>
          <w:sz w:val="20"/>
        </w:rPr>
        <w:t>Westinghouse Air Brake Technologies Corporation</w:t>
        <w:br/>
        <w:t>October 21, 2026</w:t>
        <w:br/>
        <w:t>Page 2</w:t>
      </w:r>
    </w:p>
    <w:p>
      <w:pPr>
        <w:pStyle w:val="TextBody"/>
        <w:bidi w:val="0"/>
        <w:spacing w:before="0" w:after="24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 connection with the opinions expressed herein, we have examined such documents, records and matters of law as we have deemed relevant or necessary for purposes of such opinions.  Based on the foregoing, and subject to the further limitations, qualifications and assumptions set forth herein, we are of the opinion that:</w:t>
      </w:r>
    </w:p>
    <w:p>
      <w:pPr>
        <w:pStyle w:val="Normal"/>
        <w:bidi w:val="0"/>
        <w:spacing w:before="0" w:after="0"/>
        <w:jc w:val="left"/>
        <w:rPr>
          <w:sz w:val="4"/>
          <w:szCs w:val="4"/>
        </w:rPr>
      </w:pPr>
      <w:r>
        <w:rPr>
          <w:sz w:val="4"/>
          <w:szCs w:val="4"/>
        </w:rPr>
      </w:r>
      <w:bookmarkStart w:id="76" w:name="z6990b3fc2c054ca1b392087ad9bac775"/>
      <w:bookmarkStart w:id="77" w:name="z6990b3fc2c054ca1b392087ad9bac775"/>
      <w:bookmarkEnd w:id="77"/>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ind w:left="720" w:right="0" w:hanging="0"/>
              <w:jc w:val="left"/>
              <w:rPr/>
            </w:pPr>
            <w:r>
              <w:rPr/>
              <w:t>1.</w:t>
            </w:r>
          </w:p>
        </w:tc>
        <w:tc>
          <w:tcPr>
            <w:tcW w:w="10028" w:type="dxa"/>
            <w:tcBorders/>
            <w:vAlign w:val="center"/>
          </w:tcPr>
          <w:p>
            <w:pPr>
              <w:pStyle w:val="TableContents"/>
              <w:bidi w:val="0"/>
              <w:spacing w:before="0" w:after="0"/>
              <w:ind w:left="0" w:right="0" w:hanging="0"/>
              <w:jc w:val="left"/>
              <w:rPr/>
            </w:pPr>
            <w:r>
              <w:rPr/>
              <w:t>The Debt Securities, upon receipt by the Company of such lawful consideration therefor as the Company’s Board of Directors (or an authorized committee or subcommittee thereof) may determine, will constitute valid and binding obligations of the Company.</w:t>
            </w:r>
          </w:p>
        </w:tc>
      </w:tr>
    </w:tbl>
    <w:p>
      <w:pPr>
        <w:pStyle w:val="Normal"/>
        <w:bidi w:val="0"/>
        <w:spacing w:before="0" w:after="0"/>
        <w:jc w:val="left"/>
        <w:rPr>
          <w:sz w:val="4"/>
          <w:szCs w:val="4"/>
        </w:rPr>
      </w:pPr>
      <w:r>
        <w:rPr>
          <w:sz w:val="4"/>
          <w:szCs w:val="4"/>
        </w:rPr>
      </w:r>
      <w:bookmarkStart w:id="78" w:name="z2b2e10b3530f4ec4b9286ba94f363303"/>
      <w:bookmarkStart w:id="79" w:name="z2b2e10b3530f4ec4b9286ba94f363303"/>
      <w:bookmarkEnd w:id="79"/>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ind w:left="720" w:right="0" w:hanging="0"/>
              <w:jc w:val="left"/>
              <w:rPr/>
            </w:pPr>
            <w:r>
              <w:rPr/>
              <w:t>2.</w:t>
            </w:r>
          </w:p>
        </w:tc>
        <w:tc>
          <w:tcPr>
            <w:tcW w:w="10034" w:type="dxa"/>
            <w:tcBorders/>
            <w:vAlign w:val="center"/>
          </w:tcPr>
          <w:p>
            <w:pPr>
              <w:pStyle w:val="TableContents"/>
              <w:bidi w:val="0"/>
              <w:spacing w:before="0" w:after="0"/>
              <w:ind w:left="0" w:right="0" w:hanging="0"/>
              <w:jc w:val="left"/>
              <w:rPr/>
            </w:pPr>
            <w:r>
              <w:rPr/>
              <w:t>Upon the execution, authentication, issuance, sale and delivery of the Debt Securities against payment of such lawful consideration therefor as the Company’s Board of Directors (or an authorized committee or subcommittee thereof) may determine, the Guarantees of such Debt Securities will constitute valid and binding obligations of the Guarantors.</w:t>
            </w:r>
          </w:p>
        </w:tc>
      </w:tr>
    </w:tbl>
    <w:p>
      <w:pPr>
        <w:pStyle w:val="Normal"/>
        <w:bidi w:val="0"/>
        <w:spacing w:before="0" w:after="0"/>
        <w:jc w:val="left"/>
        <w:rPr>
          <w:sz w:val="4"/>
          <w:szCs w:val="4"/>
        </w:rPr>
      </w:pPr>
      <w:r>
        <w:rPr>
          <w:sz w:val="4"/>
          <w:szCs w:val="4"/>
        </w:rPr>
      </w:r>
      <w:bookmarkStart w:id="80" w:name="zc0a581e7877842d0a89c191746d6cc33"/>
      <w:bookmarkStart w:id="81" w:name="zc0a581e7877842d0a89c191746d6cc33"/>
      <w:bookmarkEnd w:id="81"/>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ind w:left="720" w:right="0" w:hanging="0"/>
              <w:jc w:val="left"/>
              <w:rPr/>
            </w:pPr>
            <w:r>
              <w:rPr/>
              <w:t>3.</w:t>
            </w:r>
          </w:p>
        </w:tc>
        <w:tc>
          <w:tcPr>
            <w:tcW w:w="10031" w:type="dxa"/>
            <w:tcBorders/>
            <w:vAlign w:val="center"/>
          </w:tcPr>
          <w:p>
            <w:pPr>
              <w:pStyle w:val="TableContents"/>
              <w:bidi w:val="0"/>
              <w:spacing w:before="0" w:after="0"/>
              <w:ind w:left="0" w:right="0" w:hanging="0"/>
              <w:jc w:val="left"/>
              <w:rPr/>
            </w:pPr>
            <w:r>
              <w:rPr/>
              <w:t>The Common Stock, upon receipt by the Company of such lawful consideration therefor having a value not less than the par value thereof as the Company’s Board of Directors (or an authorized committee or subcommittee thereof) may determine, will be validly issued, fully paid and nonassessable.</w:t>
            </w:r>
          </w:p>
        </w:tc>
      </w:tr>
    </w:tbl>
    <w:p>
      <w:pPr>
        <w:pStyle w:val="Normal"/>
        <w:bidi w:val="0"/>
        <w:spacing w:before="0" w:after="0"/>
        <w:jc w:val="left"/>
        <w:rPr>
          <w:sz w:val="4"/>
          <w:szCs w:val="4"/>
        </w:rPr>
      </w:pPr>
      <w:r>
        <w:rPr>
          <w:sz w:val="4"/>
          <w:szCs w:val="4"/>
        </w:rPr>
      </w:r>
      <w:bookmarkStart w:id="82" w:name="z2286967877ef4b22b58e6b81983c282b"/>
      <w:bookmarkStart w:id="83" w:name="z2286967877ef4b22b58e6b81983c282b"/>
      <w:bookmarkEnd w:id="83"/>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ind w:left="720" w:right="0" w:hanging="0"/>
              <w:jc w:val="left"/>
              <w:rPr/>
            </w:pPr>
            <w:r>
              <w:rPr/>
              <w:t>4.</w:t>
            </w:r>
          </w:p>
        </w:tc>
        <w:tc>
          <w:tcPr>
            <w:tcW w:w="10031" w:type="dxa"/>
            <w:tcBorders/>
            <w:vAlign w:val="center"/>
          </w:tcPr>
          <w:p>
            <w:pPr>
              <w:pStyle w:val="TableContents"/>
              <w:bidi w:val="0"/>
              <w:spacing w:before="0" w:after="0"/>
              <w:ind w:left="0" w:right="0" w:hanging="0"/>
              <w:jc w:val="left"/>
              <w:rPr/>
            </w:pPr>
            <w:r>
              <w:rPr/>
              <w:t>The Preferred Stock, upon receipt by the Company of such lawful consideration therefor having a value not less than the par value thereof as the Company’s Board of Directors (or an authorized committee or subcommittee thereof) may determine, will be validly issued, fully paid and nonassessable.</w:t>
            </w:r>
          </w:p>
        </w:tc>
      </w:tr>
    </w:tbl>
    <w:p>
      <w:pPr>
        <w:pStyle w:val="Normal"/>
        <w:bidi w:val="0"/>
        <w:spacing w:before="0" w:after="0"/>
        <w:jc w:val="left"/>
        <w:rPr>
          <w:sz w:val="4"/>
          <w:szCs w:val="4"/>
        </w:rPr>
      </w:pPr>
      <w:r>
        <w:rPr>
          <w:sz w:val="4"/>
          <w:szCs w:val="4"/>
        </w:rPr>
      </w:r>
      <w:bookmarkStart w:id="84" w:name="z08226bb644bd4c549d89775e181d79d5"/>
      <w:bookmarkStart w:id="85" w:name="z08226bb644bd4c549d89775e181d79d5"/>
      <w:bookmarkEnd w:id="85"/>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ind w:left="720" w:right="0" w:hanging="0"/>
              <w:jc w:val="left"/>
              <w:rPr/>
            </w:pPr>
            <w:r>
              <w:rPr/>
              <w:t>5.</w:t>
            </w:r>
          </w:p>
        </w:tc>
        <w:tc>
          <w:tcPr>
            <w:tcW w:w="10027" w:type="dxa"/>
            <w:tcBorders/>
            <w:vAlign w:val="center"/>
          </w:tcPr>
          <w:p>
            <w:pPr>
              <w:pStyle w:val="TableContents"/>
              <w:bidi w:val="0"/>
              <w:spacing w:before="0" w:after="0"/>
              <w:ind w:left="0" w:right="0" w:hanging="0"/>
              <w:jc w:val="left"/>
              <w:rPr/>
            </w:pPr>
            <w:r>
              <w:rPr/>
              <w:t>The Warrants, upon receipt by the Company of such lawful consideration therefor as the Company’s Board of Directors (or an authorized committee or subcommittee thereof) may determine, will constitute valid and binding obligations of the Company.</w:t>
            </w:r>
          </w:p>
        </w:tc>
      </w:tr>
    </w:tbl>
    <w:p>
      <w:pPr>
        <w:pStyle w:val="Normal"/>
        <w:bidi w:val="0"/>
        <w:spacing w:before="0" w:after="0"/>
        <w:jc w:val="left"/>
        <w:rPr>
          <w:sz w:val="4"/>
          <w:szCs w:val="4"/>
        </w:rPr>
      </w:pPr>
      <w:r>
        <w:rPr>
          <w:sz w:val="4"/>
          <w:szCs w:val="4"/>
        </w:rPr>
      </w:r>
      <w:bookmarkStart w:id="86" w:name="z3ce6470aa9384796a5aa75f62ecee182"/>
      <w:bookmarkStart w:id="87" w:name="z3ce6470aa9384796a5aa75f62ecee182"/>
      <w:bookmarkEnd w:id="87"/>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ind w:left="720" w:right="0" w:hanging="0"/>
              <w:jc w:val="left"/>
              <w:rPr/>
            </w:pPr>
            <w:r>
              <w:rPr/>
              <w:t>6.</w:t>
            </w:r>
          </w:p>
        </w:tc>
        <w:tc>
          <w:tcPr>
            <w:tcW w:w="10037" w:type="dxa"/>
            <w:tcBorders/>
            <w:vAlign w:val="center"/>
          </w:tcPr>
          <w:p>
            <w:pPr>
              <w:pStyle w:val="TableContents"/>
              <w:bidi w:val="0"/>
              <w:spacing w:before="0" w:after="0"/>
              <w:ind w:left="0" w:right="0" w:hanging="0"/>
              <w:jc w:val="left"/>
              <w:rPr/>
            </w:pPr>
            <w:r>
              <w:rPr/>
              <w:t>The Depositary Shares, upon receipt by the Company of such lawful consideration therefor as the Company’s Board of Directors (or an authorized committee or subcommittee thereof) may determine, will be validly issued, and the depositary receipts representing the Depositary Shares will entitle the holders thereof to the rights specified therein and in the Deposit Agreement (as defined below) pursuant to which they are issued.</w:t>
            </w:r>
          </w:p>
        </w:tc>
      </w:tr>
    </w:tbl>
    <w:p>
      <w:pPr>
        <w:pStyle w:val="Normal"/>
        <w:bidi w:val="0"/>
        <w:spacing w:before="0" w:after="0"/>
        <w:jc w:val="left"/>
        <w:rPr>
          <w:sz w:val="4"/>
          <w:szCs w:val="4"/>
        </w:rPr>
      </w:pPr>
      <w:r>
        <w:rPr>
          <w:sz w:val="4"/>
          <w:szCs w:val="4"/>
        </w:rPr>
      </w:r>
      <w:bookmarkStart w:id="88" w:name="z25e6e563f07441e8a8a86a9a0251c6e0"/>
      <w:bookmarkStart w:id="89" w:name="z25e6e563f07441e8a8a86a9a0251c6e0"/>
      <w:bookmarkEnd w:id="89"/>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ind w:left="720" w:right="0" w:hanging="0"/>
              <w:jc w:val="left"/>
              <w:rPr/>
            </w:pPr>
            <w:r>
              <w:rPr/>
              <w:t>7.</w:t>
            </w:r>
          </w:p>
        </w:tc>
        <w:tc>
          <w:tcPr>
            <w:tcW w:w="10028" w:type="dxa"/>
            <w:tcBorders/>
            <w:vAlign w:val="center"/>
          </w:tcPr>
          <w:p>
            <w:pPr>
              <w:pStyle w:val="TableContents"/>
              <w:bidi w:val="0"/>
              <w:spacing w:before="0" w:after="0"/>
              <w:ind w:left="0" w:right="0" w:hanging="0"/>
              <w:jc w:val="left"/>
              <w:rPr/>
            </w:pPr>
            <w:r>
              <w:rPr/>
              <w:t>The Purchase Contracts, upon receipt by the Company of such lawful consideration therefor as the Company’s Board of Directors (or an authorized committee or subcommittee thereof) may determine, will constitute valid and binding obligations of the Company.</w:t>
            </w:r>
          </w:p>
        </w:tc>
      </w:tr>
    </w:tbl>
    <w:p>
      <w:pPr>
        <w:pStyle w:val="Normal"/>
        <w:bidi w:val="0"/>
        <w:spacing w:before="0" w:after="0"/>
        <w:jc w:val="left"/>
        <w:rPr>
          <w:sz w:val="4"/>
          <w:szCs w:val="4"/>
        </w:rPr>
      </w:pPr>
      <w:r>
        <w:rPr>
          <w:sz w:val="4"/>
          <w:szCs w:val="4"/>
        </w:rPr>
      </w:r>
      <w:bookmarkStart w:id="90" w:name="z89fddfb953bd43448d16697b89bc935f"/>
      <w:bookmarkStart w:id="91" w:name="z89fddfb953bd43448d16697b89bc935f"/>
      <w:bookmarkEnd w:id="91"/>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ind w:left="720" w:right="0" w:hanging="0"/>
              <w:jc w:val="left"/>
              <w:rPr/>
            </w:pPr>
            <w:r>
              <w:rPr/>
              <w:t>8.</w:t>
            </w:r>
          </w:p>
        </w:tc>
        <w:tc>
          <w:tcPr>
            <w:tcW w:w="10027" w:type="dxa"/>
            <w:tcBorders/>
            <w:vAlign w:val="center"/>
          </w:tcPr>
          <w:p>
            <w:pPr>
              <w:pStyle w:val="TableContents"/>
              <w:bidi w:val="0"/>
              <w:spacing w:before="0" w:after="0"/>
              <w:ind w:left="0" w:right="0" w:hanging="0"/>
              <w:jc w:val="left"/>
              <w:rPr/>
            </w:pPr>
            <w:r>
              <w:rPr/>
              <w:t>The Units, upon receipt by the Company of such lawful consideration therefor as the Company’s Board of Directors (or an authorized committee or subcommittee thereof) may determine, will constitute valid and binding obligations of the Company.</w:t>
            </w:r>
          </w:p>
        </w:tc>
      </w:tr>
    </w:tbl>
    <w:p>
      <w:pPr>
        <w:pStyle w:val="HorizontalLine"/>
        <w:pBdr>
          <w:bottom w:val="single" w:sz="12" w:space="0" w:color="808080"/>
        </w:pBdr>
        <w:bidi w:val="0"/>
        <w:spacing w:before="200" w:after="200"/>
        <w:jc w:val="left"/>
        <w:rPr/>
      </w:pPr>
      <w:r>
        <w:rPr/>
      </w:r>
    </w:p>
    <w:p>
      <w:pPr>
        <w:pStyle w:val="TextBody"/>
        <w:bidi w:val="0"/>
        <w:spacing w:before="0" w:after="240"/>
        <w:ind w:left="0" w:right="0" w:hanging="0"/>
        <w:jc w:val="left"/>
        <w:rPr>
          <w:rFonts w:ascii="Times New Roman;Times;serif" w:hAnsi="Times New Roman;Times;serif"/>
          <w:color w:val="000000"/>
          <w:sz w:val="20"/>
        </w:rPr>
      </w:pPr>
      <w:r>
        <w:rPr>
          <w:rFonts w:ascii="Times New Roman;Times;serif" w:hAnsi="Times New Roman;Times;serif"/>
          <w:color w:val="000000"/>
          <w:sz w:val="20"/>
        </w:rPr>
        <w:t>Westinghouse Air Brake Technologies Corporation</w:t>
        <w:br/>
        <w:t>October 21, 2026</w:t>
        <w:br/>
        <w:t>Page 3</w:t>
      </w:r>
    </w:p>
    <w:p>
      <w:pPr>
        <w:pStyle w:val="TextBody"/>
        <w:bidi w:val="0"/>
        <w:spacing w:before="0" w:after="24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 rendering the foregoing opinions, we have assumed that:  (i) the Registration Statement, and any amendments thereto, will have become effective (and will remain effective at the time of issuance of any Securities thereunder); (ii) a prospectus supplement describing each class and/or series of Securities offered pursuant to the Registration Statement, to the extent required by applicable law and relevant rules and regulations of the U.S. Securities and Exchange Commission (the “</w:t>
      </w:r>
      <w:r>
        <w:rPr>
          <w:rFonts w:ascii="Times New Roman;Times;serif" w:hAnsi="Times New Roman;Times;serif"/>
          <w:b/>
          <w:i/>
          <w:color w:val="000000"/>
          <w:sz w:val="20"/>
        </w:rPr>
        <w:t>Commission</w:t>
      </w:r>
      <w:r>
        <w:rPr>
          <w:rFonts w:ascii="Times New Roman;Times;serif" w:hAnsi="Times New Roman;Times;serif"/>
          <w:color w:val="000000"/>
          <w:sz w:val="20"/>
        </w:rPr>
        <w:t>”), will be timely filed with the Commission; (iii) the definitive terms of each class and/or series of Securities will have been established in accordance with the authorizing resolutions adopted by the Boards of Directors, Boards of Managers or Managing Member, as applicable (or an authorized committee or subcommittee thereof), of the Company and the Guarantors, the charter documents of the Company and the Guarantors, as applicable, and all applicable law; (iv) the Company and the Guarantors, as applicable, will issue and deliver the applicable Securities in the manner contemplated by the Registration Statement and any Securities that consist of shares of capital stock will have been authorized and reserved for issuance, in each case within the limits of the then-remaining authorized but unreserved and unissued amounts of such capital stock; (v) the resolutions authorizing the Company and the Guarantors, as applicable, to issue, offer and sell the Securities will have been adopted by the Boards of Directors, Boards of Managers or Managing Member, as applicable (or an authorized committee or subcommittee thereof), of the Company and the Guarantors and will be in full force and effect at all times at which the Securities are offered or sold by the Company and the Guarantors, and the Company and the Guarantors will take no action inconsistent with such resolutions; (vi) all Securities will be issued in compliance with applicable federal and state securities laws; and (vii) any Indenture, Warrant Agreement, Deposit Agreement, or Purchase Contract Agreement (each as defined below) and each Unit will be governed by and construed in accordance with the laws of the State of New York and will constitute a valid and binding obligation of each party thereto other than the Company and the Guarantors.</w:t>
      </w:r>
    </w:p>
    <w:p>
      <w:pPr>
        <w:pStyle w:val="TextBody"/>
        <w:bidi w:val="0"/>
        <w:spacing w:before="0" w:after="24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With respect to any Securities consisting of any series of Debt Securities, we have further assumed that (i) any Debt Securities and related Guarantees will be issued pursuant to:  (a) the Indenture, dated as of August 8, 2013, by and between the Company and Computershare Trust Company, N.A. (as successor to Wells Fargo Bank, National Association), as trustee, which is included as Exhibit 4.1 to the Registration Statement, as supplemented to date by any supplemental indenture included as an exhibit to the Registration Statement (the “</w:t>
      </w:r>
      <w:r>
        <w:rPr>
          <w:rFonts w:ascii="Times New Roman;Times;serif" w:hAnsi="Times New Roman;Times;serif"/>
          <w:b/>
          <w:i/>
          <w:color w:val="000000"/>
          <w:sz w:val="20"/>
        </w:rPr>
        <w:t>Base Indenture</w:t>
      </w:r>
      <w:r>
        <w:rPr>
          <w:rFonts w:ascii="Times New Roman;Times;serif" w:hAnsi="Times New Roman;Times;serif"/>
          <w:color w:val="000000"/>
          <w:sz w:val="20"/>
        </w:rPr>
        <w:t>”), (b) a senior debt indenture in the form of senior debt indenture included as Exhibit 4.22 to the Registration Statement (each a “</w:t>
      </w:r>
      <w:r>
        <w:rPr>
          <w:rFonts w:ascii="Times New Roman;Times;serif" w:hAnsi="Times New Roman;Times;serif"/>
          <w:b/>
          <w:i/>
          <w:color w:val="000000"/>
          <w:sz w:val="20"/>
        </w:rPr>
        <w:t>Senior Debt Indenture</w:t>
      </w:r>
      <w:r>
        <w:rPr>
          <w:rFonts w:ascii="Times New Roman;Times;serif" w:hAnsi="Times New Roman;Times;serif"/>
          <w:color w:val="000000"/>
          <w:sz w:val="20"/>
        </w:rPr>
        <w:t>”) or (c) a subordinated debt indenture in the form of subordinated debt indenture included as Exhibit 4.23 to the Registration Statement (each a “</w:t>
      </w:r>
      <w:r>
        <w:rPr>
          <w:rFonts w:ascii="Times New Roman;Times;serif" w:hAnsi="Times New Roman;Times;serif"/>
          <w:b/>
          <w:i/>
          <w:color w:val="000000"/>
          <w:sz w:val="20"/>
        </w:rPr>
        <w:t>Subordinated Debt Indenture</w:t>
      </w:r>
      <w:r>
        <w:rPr>
          <w:rFonts w:ascii="Times New Roman;Times;serif" w:hAnsi="Times New Roman;Times;serif"/>
          <w:color w:val="000000"/>
          <w:sz w:val="20"/>
        </w:rPr>
        <w:t>” and each of the Base Indenture, the Senior Debt Indenture and the Subordinated Debt Indenture, an “</w:t>
      </w:r>
      <w:r>
        <w:rPr>
          <w:rFonts w:ascii="Times New Roman;Times;serif" w:hAnsi="Times New Roman;Times;serif"/>
          <w:b/>
          <w:i/>
          <w:color w:val="000000"/>
          <w:sz w:val="20"/>
        </w:rPr>
        <w:t>Indenture</w:t>
      </w:r>
      <w:r>
        <w:rPr>
          <w:rFonts w:ascii="Times New Roman;Times;serif" w:hAnsi="Times New Roman;Times;serif"/>
          <w:color w:val="000000"/>
          <w:sz w:val="20"/>
        </w:rPr>
        <w:t>”), in each case as such indenture may hereafter be supplemented from time to time, among other things at the time of and in connection with the issuance of such Debt Securities; (ii) the Senior Debt Indenture and the Subordinated Debt Indenture will each have been qualified under the Trust Indenture Act of 1939; (iii) all terms of such Debt Securities and Guarantees not provided for in the applicable Indenture will have been established in accordance with the provisions of the applicable Indenture and reflected in appropriate documentation approved by us and, if applicable, executed and delivered by the Company, the Guarantors and the applicable trustee; and (iv) such Debt Securities and any related Guarantees will be executed, authenticated, issued and delivered in accordance with the provisions of the applicable Indenture.</w:t>
      </w:r>
    </w:p>
    <w:p>
      <w:pPr>
        <w:pStyle w:val="TextBody"/>
        <w:bidi w:val="0"/>
        <w:spacing w:before="0" w:after="24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With respect to any Securities consisting of Preferred Stock, we have further assumed that the Company will issue and deliver the Preferred Stock being issued and delivered after the filing with the Secretary of State of Delaware of a certificate of amendment to the Company’s Restated Certificate of Incorporation (the “</w:t>
      </w:r>
      <w:r>
        <w:rPr>
          <w:rFonts w:ascii="Times New Roman;Times;serif" w:hAnsi="Times New Roman;Times;serif"/>
          <w:b/>
          <w:i/>
          <w:color w:val="000000"/>
          <w:sz w:val="20"/>
        </w:rPr>
        <w:t>Certificate of Incorporation</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w:t>
      </w:r>
      <w:r>
        <w:rPr>
          <w:rFonts w:ascii="Times New Roman;Times;serif" w:hAnsi="Times New Roman;Times;serif"/>
          <w:color w:val="000000"/>
          <w:sz w:val="20"/>
        </w:rPr>
        <w:t>, approved by us, establishing the designations, preferences and rights of the class or series of Preferred Stock being issued and delivered.</w:t>
      </w:r>
    </w:p>
    <w:p>
      <w:pPr>
        <w:pStyle w:val="TextBody"/>
        <w:bidi w:val="0"/>
        <w:spacing w:before="0" w:after="24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With respect to any Securities consisting of Warrants, we have further assumed that:  (i) the warrant agreement, approved by us, relating to the Warrants (the “</w:t>
      </w:r>
      <w:r>
        <w:rPr>
          <w:rFonts w:ascii="Times New Roman;Times;serif" w:hAnsi="Times New Roman;Times;serif"/>
          <w:b/>
          <w:i/>
          <w:color w:val="000000"/>
          <w:sz w:val="20"/>
        </w:rPr>
        <w:t>Warrant Agreement</w:t>
      </w:r>
      <w:r>
        <w:rPr>
          <w:rFonts w:ascii="Times New Roman;Times;serif" w:hAnsi="Times New Roman;Times;serif"/>
          <w:color w:val="000000"/>
          <w:sz w:val="20"/>
        </w:rPr>
        <w:t>”) to be entered into between the Company and an entity selected by the Company to act as the warrant agent (the “</w:t>
      </w:r>
      <w:r>
        <w:rPr>
          <w:rFonts w:ascii="Times New Roman;Times;serif" w:hAnsi="Times New Roman;Times;serif"/>
          <w:b/>
          <w:i/>
          <w:color w:val="000000"/>
          <w:sz w:val="20"/>
        </w:rPr>
        <w:t>Warrant Agent</w:t>
      </w:r>
      <w:r>
        <w:rPr>
          <w:rFonts w:ascii="Times New Roman;Times;serif" w:hAnsi="Times New Roman;Times;serif"/>
          <w:color w:val="000000"/>
          <w:sz w:val="20"/>
        </w:rPr>
        <w:t>”) will have been authorized, executed and delivered by the Company and the Warrant Agent and (ii) the Warrants will be authorized, executed and delivered by the Company and the Warrant Agent in accordance with the provisions of the Warrant Agreement.</w:t>
      </w:r>
    </w:p>
    <w:p>
      <w:pPr>
        <w:pStyle w:val="HorizontalLine"/>
        <w:pBdr>
          <w:bottom w:val="single" w:sz="12" w:space="0" w:color="808080"/>
        </w:pBdr>
        <w:bidi w:val="0"/>
        <w:spacing w:before="200" w:after="200"/>
        <w:jc w:val="left"/>
        <w:rPr/>
      </w:pPr>
      <w:r>
        <w:rPr/>
      </w:r>
    </w:p>
    <w:p>
      <w:pPr>
        <w:pStyle w:val="TextBody"/>
        <w:bidi w:val="0"/>
        <w:spacing w:before="0" w:after="240"/>
        <w:ind w:left="0" w:right="0" w:hanging="0"/>
        <w:jc w:val="left"/>
        <w:rPr>
          <w:rFonts w:ascii="Times New Roman;Times;serif" w:hAnsi="Times New Roman;Times;serif"/>
          <w:color w:val="000000"/>
          <w:sz w:val="20"/>
        </w:rPr>
      </w:pPr>
      <w:r>
        <w:rPr>
          <w:rFonts w:ascii="Times New Roman;Times;serif" w:hAnsi="Times New Roman;Times;serif"/>
          <w:color w:val="000000"/>
          <w:sz w:val="20"/>
        </w:rPr>
        <w:t>Westinghouse Air Brake Technologies Corporation</w:t>
        <w:br/>
        <w:t>October 21, 2026</w:t>
        <w:br/>
        <w:t>Page 4</w:t>
      </w:r>
    </w:p>
    <w:p>
      <w:pPr>
        <w:pStyle w:val="TextBody"/>
        <w:bidi w:val="0"/>
        <w:spacing w:before="0" w:after="24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With respect to any Securities consisting of Depositary Shares, we have further assumed that the Depositary Shares will be:  (i) issued and delivered after authorization, execution and delivery of the deposit agreement, approved by us (the “</w:t>
      </w:r>
      <w:r>
        <w:rPr>
          <w:rFonts w:ascii="Times New Roman;Times;serif" w:hAnsi="Times New Roman;Times;serif"/>
          <w:b/>
          <w:i/>
          <w:color w:val="000000"/>
          <w:sz w:val="20"/>
        </w:rPr>
        <w:t>Deposit Agreement</w:t>
      </w:r>
      <w:r>
        <w:rPr>
          <w:rFonts w:ascii="Times New Roman;Times;serif" w:hAnsi="Times New Roman;Times;serif"/>
          <w:color w:val="000000"/>
          <w:sz w:val="20"/>
        </w:rPr>
        <w:t>”) to be entered into between the Company and an entity selected by the Company to act as depositary (the “</w:t>
      </w:r>
      <w:r>
        <w:rPr>
          <w:rFonts w:ascii="Times New Roman;Times;serif" w:hAnsi="Times New Roman;Times;serif"/>
          <w:b/>
          <w:i/>
          <w:color w:val="000000"/>
          <w:sz w:val="20"/>
        </w:rPr>
        <w:t>Depositary</w:t>
      </w:r>
      <w:r>
        <w:rPr>
          <w:rFonts w:ascii="Times New Roman;Times;serif" w:hAnsi="Times New Roman;Times;serif"/>
          <w:color w:val="000000"/>
          <w:sz w:val="20"/>
        </w:rPr>
        <w:t>”) and (ii) issued after the Company deposits with the Depositary the Securities to be represented by such Depositary Shares that are authorized, validly issued, fully paid and nonassessable (to the extent applicable) or constitute a valid and binding obligation of the Company and the Guarantors (to the extent applicable) as contemplated by the Registration Statement and the Deposit Agreement.</w:t>
      </w:r>
    </w:p>
    <w:p>
      <w:pPr>
        <w:pStyle w:val="TextBody"/>
        <w:bidi w:val="0"/>
        <w:spacing w:before="0" w:after="24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With respect to any Securities consisting of Purchase Contracts, we have further assumed that:  (i) the purchase contract agreement, approved by us, relating to the Purchase Contracts (the “</w:t>
      </w:r>
      <w:r>
        <w:rPr>
          <w:rFonts w:ascii="Times New Roman;Times;serif" w:hAnsi="Times New Roman;Times;serif"/>
          <w:b/>
          <w:i/>
          <w:color w:val="000000"/>
          <w:sz w:val="20"/>
        </w:rPr>
        <w:t>Purchase Contract Agreement</w:t>
      </w:r>
      <w:r>
        <w:rPr>
          <w:rFonts w:ascii="Times New Roman;Times;serif" w:hAnsi="Times New Roman;Times;serif"/>
          <w:color w:val="000000"/>
          <w:sz w:val="20"/>
        </w:rPr>
        <w:t>”) to be entered into between the Company and an entity selected by the Company to act as the purchase contract agent (the “</w:t>
      </w:r>
      <w:r>
        <w:rPr>
          <w:rFonts w:ascii="Times New Roman;Times;serif" w:hAnsi="Times New Roman;Times;serif"/>
          <w:b/>
          <w:i/>
          <w:color w:val="000000"/>
          <w:sz w:val="20"/>
        </w:rPr>
        <w:t>Purchase Contract Agent</w:t>
      </w:r>
      <w:r>
        <w:rPr>
          <w:rFonts w:ascii="Times New Roman;Times;serif" w:hAnsi="Times New Roman;Times;serif"/>
          <w:color w:val="000000"/>
          <w:sz w:val="20"/>
        </w:rPr>
        <w:t>”) will have been authorized, executed and delivered by the Company and the Purchase Contract Agent; and (ii) the Purchase Contracts will be authorized, executed and delivered by the Company and the Purchase Contract Agent in accordance with the provisions of the Purchase Contract Agreement.</w:t>
      </w:r>
    </w:p>
    <w:p>
      <w:pPr>
        <w:pStyle w:val="TextBody"/>
        <w:bidi w:val="0"/>
        <w:spacing w:before="0" w:after="24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With respect to any Securities consisting of Units, we have further assumed that each component of such Units will be authorized, validly issued, fully paid and nonassessable (to the extent applicable) and will constitute a valid and binding obligation of the Company and the Guarantors (to the extent applicable) as contemplated by the Registration Statement and the applicable unit agreement, if any.</w:t>
      </w:r>
    </w:p>
    <w:p>
      <w:pPr>
        <w:pStyle w:val="TextBody"/>
        <w:bidi w:val="0"/>
        <w:spacing w:before="0" w:after="24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For purposes of our opinions expressed herein, we have further assumed that (i) the Non-Covered Guarantor is, and will be at the time of issuance of any Guarantees of such Non-Covered Guarantor, a corporation existing and in good standing under the laws of the State of Nevada, (ii) the Guarantees of such Non-Covered Guarantor (A) will have been authorized by all necessary corporate action of the Non-Covered Guarantor, and (B) will have been executed and delivered by the Non-Covered Guarantor under the laws of the State of Nevada and (iii) the execution, delivery, performance and compliance with the terms and provisions of the Guarantees by the Non-Covered Guarantor will not violate or conflict with the laws of the State of Nevada, the terms and provisions of the organizational documents of the Non-Covered Guarantor, or any rule, regulation, order, decree, judgment, instrument or agreement binding upon or applicable to the Non-Covered Guarantor under the laws of the State of Nevada.</w:t>
      </w:r>
    </w:p>
    <w:p>
      <w:pPr>
        <w:pStyle w:val="HorizontalLine"/>
        <w:pBdr>
          <w:bottom w:val="single" w:sz="12" w:space="0" w:color="808080"/>
        </w:pBdr>
        <w:bidi w:val="0"/>
        <w:spacing w:before="200" w:after="200"/>
        <w:jc w:val="left"/>
        <w:rPr/>
      </w:pPr>
      <w:r>
        <w:rPr/>
      </w:r>
    </w:p>
    <w:p>
      <w:pPr>
        <w:pStyle w:val="TextBody"/>
        <w:bidi w:val="0"/>
        <w:spacing w:before="0" w:after="240"/>
        <w:ind w:left="0" w:right="0" w:hanging="0"/>
        <w:jc w:val="left"/>
        <w:rPr>
          <w:rFonts w:ascii="Times New Roman;Times;serif" w:hAnsi="Times New Roman;Times;serif"/>
          <w:color w:val="000000"/>
          <w:sz w:val="20"/>
        </w:rPr>
      </w:pPr>
      <w:r>
        <w:rPr>
          <w:rFonts w:ascii="Times New Roman;Times;serif" w:hAnsi="Times New Roman;Times;serif"/>
          <w:color w:val="000000"/>
          <w:sz w:val="20"/>
        </w:rPr>
        <w:t>Westinghouse Air Brake Technologies Corporation</w:t>
        <w:br/>
        <w:t>October 21, 2026</w:t>
        <w:br/>
        <w:t>Page 5</w:t>
      </w:r>
    </w:p>
    <w:p>
      <w:pPr>
        <w:pStyle w:val="TextBody"/>
        <w:bidi w:val="0"/>
        <w:spacing w:before="0" w:after="24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The opinions expressed herein are limited by bankruptcy, insolvency, reorganization, fraudulent transfer and fraudulent conveyance, voidable preference, moratorium or other similar laws and related regulations and judicial doctrines from time to time in effect relating to or affecting creditors’ rights generally and by general equitable principles and public policy considerations, whether such principles and considerations are considered in a proceeding at law or at equity.</w:t>
      </w:r>
    </w:p>
    <w:p>
      <w:pPr>
        <w:pStyle w:val="TextBody"/>
        <w:bidi w:val="0"/>
        <w:spacing w:before="0" w:after="24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For purposes of our opinions insofar as they relate to the Guarantors, we have assumed that the obligations of each Guarantor under the Guarantees will be at the time of issuance of any Guarantees, and would be deemed by a court of competent jurisdiction to be, in furtherance of its corporate or other entity purposes, or necessary or convenient to the conduct, promotion or attainment of the business of the respective Guarantor and will benefit the respective Guarantor, directly or indirectly.</w:t>
      </w:r>
    </w:p>
    <w:p>
      <w:pPr>
        <w:pStyle w:val="TextBody"/>
        <w:bidi w:val="0"/>
        <w:spacing w:before="0" w:after="24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As to facts material to the opinions and assumptions expressed herein, we have relied upon oral or written statements and representations of officers and other representatives of the Company, the Guarantors and others.  The opinions expressed herein are limited to the General Corporation Law of the State of Delaware, the Delaware Limited Liability Company Act and the laws of the State of New York, in each case as currently in effect, and we express no opinion as to the effect of the laws of any other jurisdiction.</w:t>
      </w:r>
    </w:p>
    <w:p>
      <w:pPr>
        <w:pStyle w:val="TextBody"/>
        <w:bidi w:val="0"/>
        <w:spacing w:before="0" w:after="24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hereby consent to the filing of this opinion as Exhibit 5.1 to the Registration Statement and to the reference to Jones Day under the caption “Legal Matters” in the prospectus constituting a part of such Registration Statement.  In giving such consent, we do not thereby admit that we are included in the category of persons whose consent is required under Section 7 of the Securities Act or the rules and regulations of the Commission promulgated thereunder.</w:t>
      </w:r>
    </w:p>
    <w:p>
      <w:pPr>
        <w:pStyle w:val="Normal"/>
        <w:bidi w:val="0"/>
        <w:spacing w:before="0" w:after="0"/>
        <w:jc w:val="left"/>
        <w:rPr>
          <w:sz w:val="4"/>
          <w:szCs w:val="4"/>
        </w:rPr>
      </w:pPr>
      <w:r>
        <w:rPr>
          <w:sz w:val="4"/>
          <w:szCs w:val="4"/>
        </w:rPr>
      </w:r>
      <w:bookmarkStart w:id="92" w:name="zb4bd769f9e2a46498604d9af510d3d50"/>
      <w:bookmarkStart w:id="93" w:name="zb4bd769f9e2a46498604d9af510d3d50"/>
      <w:bookmarkEnd w:id="93"/>
    </w:p>
    <w:tbl>
      <w:tblPr>
        <w:tblW w:w="1730" w:type="dxa"/>
        <w:jc w:val="left"/>
        <w:tblInd w:w="0" w:type="dxa"/>
        <w:tblLayout w:type="fixed"/>
        <w:tblCellMar>
          <w:top w:w="0" w:type="dxa"/>
          <w:left w:w="0" w:type="dxa"/>
          <w:bottom w:w="0" w:type="dxa"/>
          <w:right w:w="0" w:type="dxa"/>
        </w:tblCellMar>
      </w:tblPr>
      <w:tblGrid>
        <w:gridCol w:w="75"/>
        <w:gridCol w:w="1655"/>
      </w:tblGrid>
      <w:tr>
        <w:trPr/>
        <w:tc>
          <w:tcPr>
            <w:tcW w:w="7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0"/>
              <w:ind w:left="0" w:right="0" w:hanging="0"/>
              <w:jc w:val="left"/>
              <w:rPr/>
            </w:pPr>
            <w:r>
              <w:rPr/>
              <w:t>Very truly yours,</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t>/s/ Jones Day</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u w:val="single"/>
        </w:rPr>
        <w:t>Annex A</w:t>
      </w:r>
      <w:r>
        <w:rPr>
          <w:rFonts w:ascii="Times New Roman;Times;serif" w:hAnsi="Times New Roman;Times;serif"/>
          <w:b/>
          <w:color w:val="000000"/>
          <w:sz w:val="20"/>
        </w:rPr>
        <w:br/>
        <w:br/>
        <w:t>Covered Guarantors</w:t>
      </w:r>
    </w:p>
    <w:p>
      <w:pPr>
        <w:pStyle w:val="TextBody"/>
        <w:bidi w:val="0"/>
        <w:spacing w:before="0" w:after="0"/>
        <w:ind w:left="0" w:right="0" w:hanging="0"/>
        <w:jc w:val="center"/>
        <w:rPr>
          <w:b/>
        </w:rPr>
      </w:pPr>
      <w:r>
        <w:rPr>
          <w:b/>
        </w:rPr>
      </w:r>
    </w:p>
    <w:p>
      <w:pPr>
        <w:pStyle w:val="Normal"/>
        <w:bidi w:val="0"/>
        <w:spacing w:before="0" w:after="0"/>
        <w:jc w:val="left"/>
        <w:rPr>
          <w:sz w:val="4"/>
          <w:szCs w:val="4"/>
        </w:rPr>
      </w:pPr>
      <w:r>
        <w:rPr>
          <w:sz w:val="4"/>
          <w:szCs w:val="4"/>
        </w:rPr>
      </w:r>
      <w:bookmarkStart w:id="94" w:name="z5a6a44d09ea94d34bd0b2a496d7c50fc"/>
      <w:bookmarkStart w:id="95" w:name="z5a6a44d09ea94d34bd0b2a496d7c50fc"/>
      <w:bookmarkEnd w:id="95"/>
    </w:p>
    <w:tbl>
      <w:tblPr>
        <w:tblW w:w="6925" w:type="dxa"/>
        <w:jc w:val="left"/>
        <w:tblInd w:w="0" w:type="dxa"/>
        <w:tblLayout w:type="fixed"/>
        <w:tblCellMar>
          <w:top w:w="0" w:type="dxa"/>
          <w:left w:w="0" w:type="dxa"/>
          <w:bottom w:w="28" w:type="dxa"/>
          <w:right w:w="0" w:type="dxa"/>
        </w:tblCellMar>
      </w:tblPr>
      <w:tblGrid>
        <w:gridCol w:w="4235"/>
        <w:gridCol w:w="60"/>
        <w:gridCol w:w="2630"/>
      </w:tblGrid>
      <w:tr>
        <w:trPr/>
        <w:tc>
          <w:tcPr>
            <w:tcW w:w="4235" w:type="dxa"/>
            <w:tcBorders>
              <w:bottom w:val="single" w:sz="12" w:space="0" w:color="000000"/>
            </w:tcBorders>
            <w:vAlign w:val="center"/>
          </w:tcPr>
          <w:p>
            <w:pPr>
              <w:pStyle w:val="TableContents"/>
              <w:bidi w:val="0"/>
              <w:spacing w:before="0" w:after="0"/>
              <w:jc w:val="left"/>
              <w:rPr>
                <w:b/>
              </w:rPr>
            </w:pPr>
            <w:r>
              <w:rPr>
                <w:b/>
              </w:rPr>
              <w:t>Name of Guarantor</w:t>
            </w:r>
          </w:p>
        </w:tc>
        <w:tc>
          <w:tcPr>
            <w:tcW w:w="60" w:type="dxa"/>
            <w:tcBorders/>
            <w:tcMar>
              <w:bottom w:w="0" w:type="dxa"/>
            </w:tcMar>
            <w:vAlign w:val="center"/>
          </w:tcPr>
          <w:p>
            <w:pPr>
              <w:pStyle w:val="TableContents"/>
              <w:bidi w:val="0"/>
              <w:spacing w:before="0" w:after="283"/>
              <w:jc w:val="left"/>
              <w:rPr/>
            </w:pPr>
            <w:r>
              <w:rPr/>
              <w:t> </w:t>
            </w:r>
          </w:p>
        </w:tc>
        <w:tc>
          <w:tcPr>
            <w:tcW w:w="2630" w:type="dxa"/>
            <w:tcBorders>
              <w:bottom w:val="single" w:sz="12" w:space="0" w:color="000000"/>
            </w:tcBorders>
            <w:vAlign w:val="center"/>
          </w:tcPr>
          <w:p>
            <w:pPr>
              <w:pStyle w:val="TableContents"/>
              <w:bidi w:val="0"/>
              <w:spacing w:before="0" w:after="0"/>
              <w:jc w:val="left"/>
              <w:rPr>
                <w:b/>
              </w:rPr>
            </w:pPr>
            <w:r>
              <w:rPr>
                <w:b/>
              </w:rPr>
              <w:t>Jurisdiction of Formation</w:t>
            </w:r>
          </w:p>
        </w:tc>
      </w:tr>
      <w:tr>
        <w:trPr/>
        <w:tc>
          <w:tcPr>
            <w:tcW w:w="4235" w:type="dxa"/>
            <w:tcBorders/>
            <w:tcMar>
              <w:bottom w:w="0" w:type="dxa"/>
            </w:tcMar>
            <w:vAlign w:val="center"/>
          </w:tcPr>
          <w:p>
            <w:pPr>
              <w:pStyle w:val="TableContents"/>
              <w:bidi w:val="0"/>
              <w:spacing w:before="0" w:after="0"/>
              <w:jc w:val="left"/>
              <w:rPr/>
            </w:pPr>
            <w:r>
              <w:rPr/>
              <w:t>GE Transportation, a Wabtec Company</w:t>
            </w:r>
          </w:p>
        </w:tc>
        <w:tc>
          <w:tcPr>
            <w:tcW w:w="60" w:type="dxa"/>
            <w:tcBorders/>
            <w:tcMar>
              <w:bottom w:w="0" w:type="dxa"/>
            </w:tcMar>
            <w:vAlign w:val="center"/>
          </w:tcPr>
          <w:p>
            <w:pPr>
              <w:pStyle w:val="TableContents"/>
              <w:bidi w:val="0"/>
              <w:spacing w:before="0" w:after="283"/>
              <w:jc w:val="left"/>
              <w:rPr/>
            </w:pPr>
            <w:r>
              <w:rPr/>
              <w:t> </w:t>
            </w:r>
          </w:p>
        </w:tc>
        <w:tc>
          <w:tcPr>
            <w:tcW w:w="2630" w:type="dxa"/>
            <w:tcBorders/>
            <w:tcMar>
              <w:bottom w:w="0" w:type="dxa"/>
            </w:tcMar>
            <w:vAlign w:val="center"/>
          </w:tcPr>
          <w:p>
            <w:pPr>
              <w:pStyle w:val="TableContents"/>
              <w:bidi w:val="0"/>
              <w:spacing w:before="0" w:after="0"/>
              <w:jc w:val="left"/>
              <w:rPr/>
            </w:pPr>
            <w:r>
              <w:rPr/>
              <w:t>Delaware</w:t>
            </w:r>
          </w:p>
        </w:tc>
      </w:tr>
      <w:tr>
        <w:trPr/>
        <w:tc>
          <w:tcPr>
            <w:tcW w:w="4235" w:type="dxa"/>
            <w:tcBorders/>
            <w:tcMar>
              <w:bottom w:w="0" w:type="dxa"/>
            </w:tcMar>
            <w:vAlign w:val="center"/>
          </w:tcPr>
          <w:p>
            <w:pPr>
              <w:pStyle w:val="TableContents"/>
              <w:bidi w:val="0"/>
              <w:spacing w:before="0" w:after="0"/>
              <w:jc w:val="left"/>
              <w:rPr/>
            </w:pPr>
            <w:r>
              <w:rPr/>
              <w:t>RFPC Holding Corp.</w:t>
            </w:r>
          </w:p>
        </w:tc>
        <w:tc>
          <w:tcPr>
            <w:tcW w:w="60" w:type="dxa"/>
            <w:tcBorders/>
            <w:tcMar>
              <w:bottom w:w="0" w:type="dxa"/>
            </w:tcMar>
            <w:vAlign w:val="center"/>
          </w:tcPr>
          <w:p>
            <w:pPr>
              <w:pStyle w:val="TableContents"/>
              <w:bidi w:val="0"/>
              <w:spacing w:before="0" w:after="283"/>
              <w:jc w:val="left"/>
              <w:rPr/>
            </w:pPr>
            <w:r>
              <w:rPr/>
              <w:t> </w:t>
            </w:r>
          </w:p>
        </w:tc>
        <w:tc>
          <w:tcPr>
            <w:tcW w:w="2630" w:type="dxa"/>
            <w:tcBorders/>
            <w:tcMar>
              <w:bottom w:w="0" w:type="dxa"/>
            </w:tcMar>
            <w:vAlign w:val="center"/>
          </w:tcPr>
          <w:p>
            <w:pPr>
              <w:pStyle w:val="TableContents"/>
              <w:bidi w:val="0"/>
              <w:spacing w:before="0" w:after="0"/>
              <w:jc w:val="left"/>
              <w:rPr/>
            </w:pPr>
            <w:r>
              <w:rPr/>
              <w:t>Delaware</w:t>
            </w:r>
          </w:p>
        </w:tc>
      </w:tr>
      <w:tr>
        <w:trPr/>
        <w:tc>
          <w:tcPr>
            <w:tcW w:w="4235" w:type="dxa"/>
            <w:tcBorders/>
            <w:tcMar>
              <w:bottom w:w="0" w:type="dxa"/>
            </w:tcMar>
            <w:vAlign w:val="center"/>
          </w:tcPr>
          <w:p>
            <w:pPr>
              <w:pStyle w:val="TableContents"/>
              <w:bidi w:val="0"/>
              <w:spacing w:before="0" w:after="0"/>
              <w:jc w:val="left"/>
              <w:rPr/>
            </w:pPr>
            <w:r>
              <w:rPr/>
              <w:t>Transportation IP Holdings, LLC</w:t>
            </w:r>
          </w:p>
        </w:tc>
        <w:tc>
          <w:tcPr>
            <w:tcW w:w="60" w:type="dxa"/>
            <w:tcBorders/>
            <w:tcMar>
              <w:bottom w:w="0" w:type="dxa"/>
            </w:tcMar>
            <w:vAlign w:val="center"/>
          </w:tcPr>
          <w:p>
            <w:pPr>
              <w:pStyle w:val="TableContents"/>
              <w:bidi w:val="0"/>
              <w:spacing w:before="0" w:after="283"/>
              <w:jc w:val="left"/>
              <w:rPr/>
            </w:pPr>
            <w:r>
              <w:rPr/>
              <w:t> </w:t>
            </w:r>
          </w:p>
        </w:tc>
        <w:tc>
          <w:tcPr>
            <w:tcW w:w="2630" w:type="dxa"/>
            <w:tcBorders/>
            <w:tcMar>
              <w:bottom w:w="0" w:type="dxa"/>
            </w:tcMar>
            <w:vAlign w:val="center"/>
          </w:tcPr>
          <w:p>
            <w:pPr>
              <w:pStyle w:val="TableContents"/>
              <w:bidi w:val="0"/>
              <w:spacing w:before="0" w:after="0"/>
              <w:jc w:val="left"/>
              <w:rPr/>
            </w:pPr>
            <w:r>
              <w:rPr/>
              <w:t>Delaware</w:t>
            </w:r>
          </w:p>
        </w:tc>
      </w:tr>
      <w:tr>
        <w:trPr/>
        <w:tc>
          <w:tcPr>
            <w:tcW w:w="4235" w:type="dxa"/>
            <w:tcBorders/>
            <w:tcMar>
              <w:bottom w:w="0" w:type="dxa"/>
            </w:tcMar>
            <w:vAlign w:val="center"/>
          </w:tcPr>
          <w:p>
            <w:pPr>
              <w:pStyle w:val="TableContents"/>
              <w:bidi w:val="0"/>
              <w:spacing w:before="0" w:after="0"/>
              <w:jc w:val="left"/>
              <w:rPr/>
            </w:pPr>
            <w:r>
              <w:rPr/>
              <w:t>Wabtec Components LLC</w:t>
            </w:r>
          </w:p>
        </w:tc>
        <w:tc>
          <w:tcPr>
            <w:tcW w:w="60" w:type="dxa"/>
            <w:tcBorders/>
            <w:tcMar>
              <w:bottom w:w="0" w:type="dxa"/>
            </w:tcMar>
            <w:vAlign w:val="center"/>
          </w:tcPr>
          <w:p>
            <w:pPr>
              <w:pStyle w:val="TableContents"/>
              <w:bidi w:val="0"/>
              <w:spacing w:before="0" w:after="283"/>
              <w:jc w:val="left"/>
              <w:rPr/>
            </w:pPr>
            <w:r>
              <w:rPr/>
              <w:t> </w:t>
            </w:r>
          </w:p>
        </w:tc>
        <w:tc>
          <w:tcPr>
            <w:tcW w:w="2630" w:type="dxa"/>
            <w:tcBorders/>
            <w:tcMar>
              <w:bottom w:w="0" w:type="dxa"/>
            </w:tcMar>
            <w:vAlign w:val="center"/>
          </w:tcPr>
          <w:p>
            <w:pPr>
              <w:pStyle w:val="TableContents"/>
              <w:bidi w:val="0"/>
              <w:spacing w:before="0" w:after="0"/>
              <w:jc w:val="left"/>
              <w:rPr/>
            </w:pPr>
            <w:r>
              <w:rPr/>
              <w:t>Delaware</w:t>
            </w:r>
          </w:p>
        </w:tc>
      </w:tr>
      <w:tr>
        <w:trPr/>
        <w:tc>
          <w:tcPr>
            <w:tcW w:w="4235" w:type="dxa"/>
            <w:tcBorders/>
            <w:tcMar>
              <w:bottom w:w="0" w:type="dxa"/>
            </w:tcMar>
            <w:vAlign w:val="center"/>
          </w:tcPr>
          <w:p>
            <w:pPr>
              <w:pStyle w:val="TableContents"/>
              <w:bidi w:val="0"/>
              <w:spacing w:before="0" w:after="0"/>
              <w:jc w:val="left"/>
              <w:rPr/>
            </w:pPr>
            <w:r>
              <w:rPr/>
              <w:t>Wabtec Holding, LLC</w:t>
            </w:r>
          </w:p>
        </w:tc>
        <w:tc>
          <w:tcPr>
            <w:tcW w:w="60" w:type="dxa"/>
            <w:tcBorders/>
            <w:tcMar>
              <w:bottom w:w="0" w:type="dxa"/>
            </w:tcMar>
            <w:vAlign w:val="center"/>
          </w:tcPr>
          <w:p>
            <w:pPr>
              <w:pStyle w:val="TableContents"/>
              <w:bidi w:val="0"/>
              <w:spacing w:before="0" w:after="283"/>
              <w:jc w:val="left"/>
              <w:rPr/>
            </w:pPr>
            <w:r>
              <w:rPr/>
              <w:t> </w:t>
            </w:r>
          </w:p>
        </w:tc>
        <w:tc>
          <w:tcPr>
            <w:tcW w:w="2630" w:type="dxa"/>
            <w:tcBorders/>
            <w:tcMar>
              <w:bottom w:w="0" w:type="dxa"/>
            </w:tcMar>
            <w:vAlign w:val="center"/>
          </w:tcPr>
          <w:p>
            <w:pPr>
              <w:pStyle w:val="TableContents"/>
              <w:bidi w:val="0"/>
              <w:spacing w:before="0" w:after="0"/>
              <w:jc w:val="left"/>
              <w:rPr/>
            </w:pPr>
            <w:r>
              <w:rPr/>
              <w:t>Delaware</w:t>
            </w:r>
          </w:p>
        </w:tc>
      </w:tr>
      <w:tr>
        <w:trPr/>
        <w:tc>
          <w:tcPr>
            <w:tcW w:w="4235" w:type="dxa"/>
            <w:tcBorders/>
            <w:tcMar>
              <w:bottom w:w="0" w:type="dxa"/>
            </w:tcMar>
            <w:vAlign w:val="center"/>
          </w:tcPr>
          <w:p>
            <w:pPr>
              <w:pStyle w:val="TableContents"/>
              <w:bidi w:val="0"/>
              <w:spacing w:before="0" w:after="0"/>
              <w:jc w:val="left"/>
              <w:rPr/>
            </w:pPr>
            <w:r>
              <w:rPr/>
              <w:t>Wabtec Railway Electronics Holdings, LLC</w:t>
            </w:r>
          </w:p>
        </w:tc>
        <w:tc>
          <w:tcPr>
            <w:tcW w:w="60" w:type="dxa"/>
            <w:tcBorders/>
            <w:tcMar>
              <w:bottom w:w="0" w:type="dxa"/>
            </w:tcMar>
            <w:vAlign w:val="center"/>
          </w:tcPr>
          <w:p>
            <w:pPr>
              <w:pStyle w:val="TableContents"/>
              <w:bidi w:val="0"/>
              <w:spacing w:before="0" w:after="283"/>
              <w:jc w:val="left"/>
              <w:rPr/>
            </w:pPr>
            <w:r>
              <w:rPr/>
              <w:t> </w:t>
            </w:r>
          </w:p>
        </w:tc>
        <w:tc>
          <w:tcPr>
            <w:tcW w:w="2630" w:type="dxa"/>
            <w:tcBorders/>
            <w:tcMar>
              <w:bottom w:w="0" w:type="dxa"/>
            </w:tcMar>
            <w:vAlign w:val="center"/>
          </w:tcPr>
          <w:p>
            <w:pPr>
              <w:pStyle w:val="TableContents"/>
              <w:bidi w:val="0"/>
              <w:spacing w:before="0" w:after="0"/>
              <w:jc w:val="left"/>
              <w:rPr/>
            </w:pPr>
            <w:r>
              <w:rPr/>
              <w:t>Delaware</w:t>
            </w:r>
          </w:p>
        </w:tc>
      </w:tr>
      <w:tr>
        <w:trPr/>
        <w:tc>
          <w:tcPr>
            <w:tcW w:w="4235" w:type="dxa"/>
            <w:tcBorders/>
            <w:tcMar>
              <w:bottom w:w="0" w:type="dxa"/>
            </w:tcMar>
            <w:vAlign w:val="center"/>
          </w:tcPr>
          <w:p>
            <w:pPr>
              <w:pStyle w:val="TableContents"/>
              <w:bidi w:val="0"/>
              <w:spacing w:before="0" w:after="0"/>
              <w:jc w:val="left"/>
              <w:rPr/>
            </w:pPr>
            <w:r>
              <w:rPr/>
              <w:t>Wabtec Transportation Systems, LLC</w:t>
            </w:r>
          </w:p>
        </w:tc>
        <w:tc>
          <w:tcPr>
            <w:tcW w:w="60" w:type="dxa"/>
            <w:tcBorders/>
            <w:tcMar>
              <w:bottom w:w="0" w:type="dxa"/>
            </w:tcMar>
            <w:vAlign w:val="center"/>
          </w:tcPr>
          <w:p>
            <w:pPr>
              <w:pStyle w:val="TableContents"/>
              <w:bidi w:val="0"/>
              <w:spacing w:before="0" w:after="283"/>
              <w:jc w:val="left"/>
              <w:rPr/>
            </w:pPr>
            <w:r>
              <w:rPr/>
              <w:t> </w:t>
            </w:r>
          </w:p>
        </w:tc>
        <w:tc>
          <w:tcPr>
            <w:tcW w:w="2630" w:type="dxa"/>
            <w:tcBorders/>
            <w:tcMar>
              <w:bottom w:w="0" w:type="dxa"/>
            </w:tcMar>
            <w:vAlign w:val="center"/>
          </w:tcPr>
          <w:p>
            <w:pPr>
              <w:pStyle w:val="TableContents"/>
              <w:bidi w:val="0"/>
              <w:spacing w:before="0" w:after="0"/>
              <w:jc w:val="left"/>
              <w:rPr/>
            </w:pPr>
            <w:r>
              <w:rPr/>
              <w:t>Delaware</w:t>
            </w:r>
          </w:p>
        </w:tc>
      </w:tr>
      <w:tr>
        <w:trPr/>
        <w:tc>
          <w:tcPr>
            <w:tcW w:w="4235" w:type="dxa"/>
            <w:tcBorders/>
            <w:tcMar>
              <w:bottom w:w="0" w:type="dxa"/>
            </w:tcMar>
            <w:vAlign w:val="center"/>
          </w:tcPr>
          <w:p>
            <w:pPr>
              <w:pStyle w:val="TableContents"/>
              <w:bidi w:val="0"/>
              <w:spacing w:before="0" w:after="0"/>
              <w:jc w:val="left"/>
              <w:rPr/>
            </w:pPr>
            <w:r>
              <w:rPr/>
              <w:t>Wabtec US Rail, Inc.</w:t>
            </w:r>
          </w:p>
        </w:tc>
        <w:tc>
          <w:tcPr>
            <w:tcW w:w="60" w:type="dxa"/>
            <w:tcBorders/>
            <w:tcMar>
              <w:bottom w:w="0" w:type="dxa"/>
            </w:tcMar>
            <w:vAlign w:val="center"/>
          </w:tcPr>
          <w:p>
            <w:pPr>
              <w:pStyle w:val="TableContents"/>
              <w:bidi w:val="0"/>
              <w:spacing w:before="0" w:after="283"/>
              <w:jc w:val="left"/>
              <w:rPr/>
            </w:pPr>
            <w:r>
              <w:rPr/>
              <w:t> </w:t>
            </w:r>
          </w:p>
        </w:tc>
        <w:tc>
          <w:tcPr>
            <w:tcW w:w="2630" w:type="dxa"/>
            <w:tcBorders/>
            <w:tcMar>
              <w:bottom w:w="0" w:type="dxa"/>
            </w:tcMar>
            <w:vAlign w:val="center"/>
          </w:tcPr>
          <w:p>
            <w:pPr>
              <w:pStyle w:val="TableContents"/>
              <w:bidi w:val="0"/>
              <w:spacing w:before="0" w:after="0"/>
              <w:jc w:val="left"/>
              <w:rPr/>
            </w:pPr>
            <w:r>
              <w:rPr/>
              <w:t>Delaware</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u w:val="single"/>
        </w:rPr>
        <w:t>Annex B</w:t>
      </w:r>
      <w:r>
        <w:rPr>
          <w:rFonts w:ascii="Times New Roman;Times;serif" w:hAnsi="Times New Roman;Times;serif"/>
          <w:b/>
          <w:color w:val="000000"/>
          <w:sz w:val="20"/>
        </w:rPr>
        <w:br/>
        <w:br/>
        <w:t>Non-Covered Guarantor</w:t>
      </w:r>
    </w:p>
    <w:p>
      <w:pPr>
        <w:pStyle w:val="TextBody"/>
        <w:bidi w:val="0"/>
        <w:spacing w:before="0" w:after="0"/>
        <w:ind w:left="0" w:right="0" w:hanging="0"/>
        <w:jc w:val="center"/>
        <w:rPr>
          <w:b/>
        </w:rPr>
      </w:pPr>
      <w:r>
        <w:rPr>
          <w:b/>
        </w:rPr>
      </w:r>
    </w:p>
    <w:p>
      <w:pPr>
        <w:pStyle w:val="Normal"/>
        <w:bidi w:val="0"/>
        <w:spacing w:before="0" w:after="0"/>
        <w:jc w:val="left"/>
        <w:rPr>
          <w:sz w:val="4"/>
          <w:szCs w:val="4"/>
        </w:rPr>
      </w:pPr>
      <w:r>
        <w:rPr>
          <w:sz w:val="4"/>
          <w:szCs w:val="4"/>
        </w:rPr>
      </w:r>
      <w:bookmarkStart w:id="96" w:name="zaa5acfb819b6406b820cfbd9e941bc2c"/>
      <w:bookmarkStart w:id="97" w:name="zaa5acfb819b6406b820cfbd9e941bc2c"/>
      <w:bookmarkEnd w:id="97"/>
    </w:p>
    <w:tbl>
      <w:tblPr>
        <w:tblW w:w="7255" w:type="dxa"/>
        <w:jc w:val="left"/>
        <w:tblInd w:w="0" w:type="dxa"/>
        <w:tblLayout w:type="fixed"/>
        <w:tblCellMar>
          <w:top w:w="0" w:type="dxa"/>
          <w:left w:w="0" w:type="dxa"/>
          <w:bottom w:w="28" w:type="dxa"/>
          <w:right w:w="0" w:type="dxa"/>
        </w:tblCellMar>
      </w:tblPr>
      <w:tblGrid>
        <w:gridCol w:w="4625"/>
        <w:gridCol w:w="2630"/>
      </w:tblGrid>
      <w:tr>
        <w:trPr/>
        <w:tc>
          <w:tcPr>
            <w:tcW w:w="4625" w:type="dxa"/>
            <w:tcBorders>
              <w:bottom w:val="single" w:sz="12" w:space="0" w:color="000000"/>
            </w:tcBorders>
            <w:vAlign w:val="center"/>
          </w:tcPr>
          <w:p>
            <w:pPr>
              <w:pStyle w:val="TableContents"/>
              <w:bidi w:val="0"/>
              <w:spacing w:before="0" w:after="0"/>
              <w:jc w:val="left"/>
              <w:rPr>
                <w:b/>
              </w:rPr>
            </w:pPr>
            <w:r>
              <w:rPr>
                <w:b/>
              </w:rPr>
              <w:t>Name of Guarantor</w:t>
            </w:r>
          </w:p>
        </w:tc>
        <w:tc>
          <w:tcPr>
            <w:tcW w:w="2630" w:type="dxa"/>
            <w:tcBorders>
              <w:bottom w:val="single" w:sz="12" w:space="0" w:color="000000"/>
            </w:tcBorders>
            <w:vAlign w:val="center"/>
          </w:tcPr>
          <w:p>
            <w:pPr>
              <w:pStyle w:val="TableContents"/>
              <w:bidi w:val="0"/>
              <w:spacing w:before="0" w:after="0"/>
              <w:jc w:val="left"/>
              <w:rPr>
                <w:b/>
              </w:rPr>
            </w:pPr>
            <w:r>
              <w:rPr>
                <w:b/>
              </w:rPr>
              <w:t>Jurisdiction of Formation</w:t>
            </w:r>
          </w:p>
        </w:tc>
      </w:tr>
      <w:tr>
        <w:trPr/>
        <w:tc>
          <w:tcPr>
            <w:tcW w:w="4625" w:type="dxa"/>
            <w:tcBorders/>
            <w:tcMar>
              <w:bottom w:w="0" w:type="dxa"/>
            </w:tcMar>
            <w:vAlign w:val="center"/>
          </w:tcPr>
          <w:p>
            <w:pPr>
              <w:pStyle w:val="TableContents"/>
              <w:bidi w:val="0"/>
              <w:spacing w:before="0" w:after="0"/>
              <w:jc w:val="left"/>
              <w:rPr/>
            </w:pPr>
            <w:r>
              <w:rPr/>
              <w:t>Transportation Systems Services Operations Inc.</w:t>
            </w:r>
          </w:p>
        </w:tc>
        <w:tc>
          <w:tcPr>
            <w:tcW w:w="2630" w:type="dxa"/>
            <w:tcBorders/>
            <w:tcMar>
              <w:bottom w:w="0" w:type="dxa"/>
            </w:tcMar>
            <w:vAlign w:val="center"/>
          </w:tcPr>
          <w:p>
            <w:pPr>
              <w:pStyle w:val="TableContents"/>
              <w:bidi w:val="0"/>
              <w:spacing w:before="0" w:after="0"/>
              <w:jc w:val="left"/>
              <w:rPr/>
            </w:pPr>
            <w:r>
              <w:rPr/>
              <w:t>Nevada</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98" w:name="ny20083847x1_ex5-2.htm"/>
      <w:bookmarkStart w:id="99" w:name="ksny20083847x1_ex52"/>
      <w:bookmarkStart w:id="100" w:name="ny20083847x1_ex5-2.htm"/>
      <w:bookmarkStart w:id="101" w:name="ksny20083847x1_ex52"/>
      <w:bookmarkEnd w:id="100"/>
      <w:bookmarkEnd w:id="101"/>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5.2</w:t>
      </w:r>
    </w:p>
    <w:p>
      <w:pPr>
        <w:pStyle w:val="TextBody"/>
        <w:bidi w:val="0"/>
        <w:spacing w:before="0" w:after="0"/>
        <w:jc w:val="center"/>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SNELL &amp; WILMER L.L.P.</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1700 S. PAVILION CENTER DRIVE, SUITE 700</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LAS VEGAS, NV 89135</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TELEPHONE:  702.784.5200</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FACSIMILE:    702.784.5252</w:t>
      </w:r>
    </w:p>
    <w:p>
      <w:pPr>
        <w:pStyle w:val="TextBody"/>
        <w:bidi w:val="0"/>
        <w:spacing w:before="0" w:after="0"/>
        <w:jc w:val="left"/>
        <w:rPr/>
      </w:pPr>
      <w:r>
        <w:rPr/>
      </w:r>
    </w:p>
    <w:p>
      <w:pPr>
        <w:pStyle w:val="TextBody"/>
        <w:bidi w:val="0"/>
        <w:spacing w:before="0" w:after="0"/>
        <w:ind w:left="3600" w:right="0" w:firstLine="720"/>
        <w:jc w:val="right"/>
        <w:rPr>
          <w:b/>
        </w:rPr>
      </w:pPr>
      <w:r>
        <w:rPr>
          <w:b/>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October 21, 2026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Westinghouse Air Brake Technologies Corporation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30 Isabella Street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Pittsburgh, Pennsylvania 15212</w:t>
      </w:r>
    </w:p>
    <w:p>
      <w:pPr>
        <w:pStyle w:val="TextBody"/>
        <w:bidi w:val="0"/>
        <w:spacing w:before="0" w:after="0"/>
        <w:jc w:val="left"/>
        <w:rPr/>
      </w:pPr>
      <w:r>
        <w:rPr/>
      </w:r>
    </w:p>
    <w:p>
      <w:pPr>
        <w:pStyle w:val="TextBody"/>
        <w:bidi w:val="0"/>
        <w:spacing w:before="0" w:after="0"/>
        <w:ind w:left="720" w:right="0" w:hanging="0"/>
        <w:jc w:val="left"/>
        <w:rPr>
          <w:rFonts w:ascii="Times New Roman;Times;serif" w:hAnsi="Times New Roman;Times;serif"/>
          <w:color w:val="000000"/>
          <w:sz w:val="20"/>
        </w:rPr>
      </w:pPr>
      <w:r>
        <w:rPr>
          <w:rFonts w:ascii="Times New Roman;Times;serif" w:hAnsi="Times New Roman;Times;serif"/>
          <w:color w:val="000000"/>
          <w:sz w:val="20"/>
        </w:rPr>
        <w:t>Re:       Shelf Registration Statement on Form S-3</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0" w:after="0"/>
        <w:jc w:val="left"/>
        <w:rPr/>
      </w:pPr>
      <w:r>
        <w:rPr/>
      </w:r>
    </w:p>
    <w:p>
      <w:pPr>
        <w:pStyle w:val="TextBody"/>
        <w:bidi w:val="0"/>
        <w:spacing w:before="0" w:after="0"/>
        <w:ind w:left="0" w:right="0" w:firstLine="490"/>
        <w:jc w:val="both"/>
        <w:rPr>
          <w:rFonts w:ascii="Times New Roman;Times;serif" w:hAnsi="Times New Roman;Times;serif"/>
          <w:color w:val="000000"/>
          <w:sz w:val="20"/>
        </w:rPr>
      </w:pPr>
      <w:r>
        <w:rPr>
          <w:rFonts w:ascii="Times New Roman;Times;serif" w:hAnsi="Times New Roman;Times;serif"/>
          <w:color w:val="000000"/>
          <w:sz w:val="20"/>
        </w:rPr>
        <w:t>We have served as special Nevada counsel to Westinghouse Air Brake Technologies Corporation,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and Transportation Systems Services Operations Inc., a Nevada corporation (the “</w:t>
      </w:r>
      <w:r>
        <w:rPr>
          <w:rFonts w:ascii="Times New Roman;Times;serif" w:hAnsi="Times New Roman;Times;serif"/>
          <w:color w:val="000000"/>
          <w:sz w:val="20"/>
          <w:u w:val="single"/>
        </w:rPr>
        <w:t>Nevada Subsidiary Guarantor</w:t>
      </w:r>
      <w:r>
        <w:rPr>
          <w:rFonts w:ascii="Times New Roman;Times;serif" w:hAnsi="Times New Roman;Times;serif"/>
          <w:color w:val="000000"/>
          <w:sz w:val="20"/>
        </w:rPr>
        <w:t>”), in connection with the filing by the Company on the date hereof of a Registration Statement on Form S-3 (the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with the Securities and Exchange Commission (the “</w:t>
      </w:r>
      <w:r>
        <w:rPr>
          <w:rFonts w:ascii="Times New Roman;Times;serif" w:hAnsi="Times New Roman;Times;serif"/>
          <w:color w:val="000000"/>
          <w:sz w:val="20"/>
          <w:u w:val="single"/>
        </w:rPr>
        <w:t>Commission</w:t>
      </w:r>
      <w:r>
        <w:rPr>
          <w:rFonts w:ascii="Times New Roman;Times;serif" w:hAnsi="Times New Roman;Times;serif"/>
          <w:color w:val="000000"/>
          <w:sz w:val="20"/>
        </w:rPr>
        <w:t>”) under the Securities Act of 1933, as amended (the “</w:t>
      </w:r>
      <w:r>
        <w:rPr>
          <w:rFonts w:ascii="Times New Roman;Times;serif" w:hAnsi="Times New Roman;Times;serif"/>
          <w:color w:val="000000"/>
          <w:sz w:val="20"/>
          <w:u w:val="single"/>
        </w:rPr>
        <w:t>Act</w:t>
      </w:r>
      <w:r>
        <w:rPr>
          <w:rFonts w:ascii="Times New Roman;Times;serif" w:hAnsi="Times New Roman;Times;serif"/>
          <w:color w:val="000000"/>
          <w:sz w:val="20"/>
        </w:rPr>
        <w:t>”), relating to (i) the registration for offering and sale from time to time, on a delayed basis, by the Company of an indeterminate number of securities identified in the Registration Statement, including debt securities (the “</w:t>
      </w:r>
      <w:r>
        <w:rPr>
          <w:rFonts w:ascii="Times New Roman;Times;serif" w:hAnsi="Times New Roman;Times;serif"/>
          <w:color w:val="000000"/>
          <w:sz w:val="20"/>
          <w:u w:val="single"/>
        </w:rPr>
        <w:t>Debt Securities</w:t>
      </w:r>
      <w:r>
        <w:rPr>
          <w:rFonts w:ascii="Times New Roman;Times;serif" w:hAnsi="Times New Roman;Times;serif"/>
          <w:color w:val="000000"/>
          <w:sz w:val="20"/>
        </w:rPr>
        <w:t>”) issuable under (a) the indenture, dated as of August 8, 2013, by and between the Company and Computershare Trust Company, N.A. (as successor to Wells Fargo Bank, National Association), as trustee, which is included as Exhibit 4.1 to the Registration Statement, as supplemented to date by any supplemental indenture included as an exhibit to the Registration Statement (the “</w:t>
      </w:r>
      <w:r>
        <w:rPr>
          <w:rFonts w:ascii="Times New Roman;Times;serif" w:hAnsi="Times New Roman;Times;serif"/>
          <w:color w:val="000000"/>
          <w:sz w:val="20"/>
          <w:u w:val="single"/>
        </w:rPr>
        <w:t>Base Indenture</w:t>
      </w:r>
      <w:r>
        <w:rPr>
          <w:rFonts w:ascii="Times New Roman;Times;serif" w:hAnsi="Times New Roman;Times;serif"/>
          <w:color w:val="000000"/>
          <w:sz w:val="20"/>
        </w:rPr>
        <w:t>”), (b) a senior debt indenture in the form of senior debt indenture included as Exhibit 4.22 to the Registration Statement (each a “</w:t>
      </w:r>
      <w:r>
        <w:rPr>
          <w:rFonts w:ascii="Times New Roman;Times;serif" w:hAnsi="Times New Roman;Times;serif"/>
          <w:color w:val="000000"/>
          <w:sz w:val="20"/>
          <w:u w:val="single"/>
        </w:rPr>
        <w:t>Senior Debt Indenture</w:t>
      </w:r>
      <w:r>
        <w:rPr>
          <w:rFonts w:ascii="Times New Roman;Times;serif" w:hAnsi="Times New Roman;Times;serif"/>
          <w:color w:val="000000"/>
          <w:sz w:val="20"/>
        </w:rPr>
        <w:t>”) or (c) a subordinated debt indenture in the form of subordinated debt indenture included as Exhibit 4.23 to the Registration Statement (each a “</w:t>
      </w:r>
      <w:r>
        <w:rPr>
          <w:rFonts w:ascii="Times New Roman;Times;serif" w:hAnsi="Times New Roman;Times;serif"/>
          <w:color w:val="000000"/>
          <w:sz w:val="20"/>
          <w:u w:val="single"/>
        </w:rPr>
        <w:t>Subordinated Debt Indenture</w:t>
      </w:r>
      <w:r>
        <w:rPr>
          <w:rFonts w:ascii="Times New Roman;Times;serif" w:hAnsi="Times New Roman;Times;serif"/>
          <w:color w:val="000000"/>
          <w:sz w:val="20"/>
        </w:rPr>
        <w:t>” and each of the Base Indenture, the Senior Debt Indenture and the Subordinated Debt Indenture, an “</w:t>
      </w:r>
      <w:r>
        <w:rPr>
          <w:rFonts w:ascii="Times New Roman;Times;serif" w:hAnsi="Times New Roman;Times;serif"/>
          <w:color w:val="000000"/>
          <w:sz w:val="20"/>
          <w:u w:val="single"/>
        </w:rPr>
        <w:t>Indenture</w:t>
      </w:r>
      <w:r>
        <w:rPr>
          <w:rFonts w:ascii="Times New Roman;Times;serif" w:hAnsi="Times New Roman;Times;serif"/>
          <w:color w:val="000000"/>
          <w:sz w:val="20"/>
        </w:rPr>
        <w:t>”), in each case as such indenture may hereafter be supplemented from time to time, among other things at the time of and in connection with the issuance of such Debt Securities, and (ii) the registration by the co-registrants identified in the Registration Statement, including the Nevada Subsidiary Guarantor, of guarantees of the Debt Securities (collectively, the “</w:t>
      </w:r>
      <w:r>
        <w:rPr>
          <w:rFonts w:ascii="Times New Roman;Times;serif" w:hAnsi="Times New Roman;Times;serif"/>
          <w:color w:val="000000"/>
          <w:sz w:val="20"/>
          <w:u w:val="single"/>
        </w:rPr>
        <w:t>Subsidiary Guarantees</w:t>
      </w:r>
      <w:r>
        <w:rPr>
          <w:rFonts w:ascii="Times New Roman;Times;serif" w:hAnsi="Times New Roman;Times;serif"/>
          <w:color w:val="000000"/>
          <w:sz w:val="20"/>
        </w:rPr>
        <w:t>” and, together with the Debt Securities, the “</w:t>
      </w:r>
      <w:r>
        <w:rPr>
          <w:rFonts w:ascii="Times New Roman;Times;serif" w:hAnsi="Times New Roman;Times;serif"/>
          <w:color w:val="000000"/>
          <w:sz w:val="20"/>
          <w:u w:val="single"/>
        </w:rPr>
        <w:t>Securities</w:t>
      </w:r>
      <w:r>
        <w:rPr>
          <w:rFonts w:ascii="Times New Roman;Times;serif" w:hAnsi="Times New Roman;Times;serif"/>
          <w:color w:val="000000"/>
          <w:sz w:val="20"/>
        </w:rPr>
        <w:t>”) issuable under one or more supplements to the Indenture. The Securities may be offered and sold from time to time pursuant to Rule 415 under the Act.</w:t>
      </w:r>
    </w:p>
    <w:p>
      <w:pPr>
        <w:pStyle w:val="TextBody"/>
        <w:bidi w:val="0"/>
        <w:spacing w:before="0" w:after="0"/>
        <w:jc w:val="left"/>
        <w:rPr/>
      </w:pPr>
      <w:r>
        <w:rPr/>
      </w:r>
    </w:p>
    <w:p>
      <w:pPr>
        <w:pStyle w:val="TextBody"/>
        <w:bidi w:val="0"/>
        <w:spacing w:before="0" w:after="0"/>
        <w:ind w:left="0" w:right="0" w:firstLine="490"/>
        <w:jc w:val="both"/>
        <w:rPr>
          <w:rFonts w:ascii="Times New Roman;Times;serif" w:hAnsi="Times New Roman;Times;serif"/>
          <w:color w:val="000000"/>
          <w:sz w:val="20"/>
        </w:rPr>
      </w:pPr>
      <w:r>
        <w:rPr>
          <w:rFonts w:ascii="Times New Roman;Times;serif" w:hAnsi="Times New Roman;Times;serif"/>
          <w:color w:val="000000"/>
          <w:sz w:val="20"/>
        </w:rPr>
        <w:t>In our capacity as such counsel, we are familiar with the proceedings taken and proposed to be taken by the Company and the Nevada Subsidiary Guarantor in connection with the registration of the Subsidiary Guarantees, as described in the Registration Statement. For purposes of this opinion letter, and except to the extent set forth in the opinions below, we have assumed all such proceedings have been timely completed or will be timely completed in the manner presently proposed in the Registration Statement.</w:t>
      </w:r>
    </w:p>
    <w:p>
      <w:pPr>
        <w:pStyle w:val="TextBody"/>
        <w:bidi w:val="0"/>
        <w:spacing w:before="0" w:after="0"/>
        <w:jc w:val="left"/>
        <w:rPr/>
      </w:pPr>
      <w:r>
        <w:rPr/>
      </w:r>
    </w:p>
    <w:p>
      <w:pPr>
        <w:pStyle w:val="HorizontalLine"/>
        <w:pBdr>
          <w:bottom w:val="single" w:sz="12" w:space="0" w:color="808080"/>
        </w:pBdr>
        <w:bidi w:val="0"/>
        <w:jc w:val="left"/>
        <w:rPr/>
      </w:pPr>
      <w:r>
        <w:rPr/>
      </w:r>
    </w:p>
    <w:tbl>
      <w:tblPr>
        <w:tblW w:w="4985" w:type="dxa"/>
        <w:jc w:val="left"/>
        <w:tblInd w:w="0" w:type="dxa"/>
        <w:tblLayout w:type="fixed"/>
        <w:tblCellMar>
          <w:top w:w="0" w:type="dxa"/>
          <w:left w:w="0" w:type="dxa"/>
          <w:bottom w:w="0" w:type="dxa"/>
          <w:right w:w="0" w:type="dxa"/>
        </w:tblCellMar>
      </w:tblPr>
      <w:tblGrid>
        <w:gridCol w:w="4910"/>
        <w:gridCol w:w="75"/>
      </w:tblGrid>
      <w:tr>
        <w:trPr/>
        <w:tc>
          <w:tcPr>
            <w:tcW w:w="4910" w:type="dxa"/>
            <w:tcBorders/>
            <w:vAlign w:val="center"/>
          </w:tcPr>
          <w:p>
            <w:pPr>
              <w:pStyle w:val="TableContents"/>
              <w:bidi w:val="0"/>
              <w:spacing w:before="0" w:after="0"/>
              <w:jc w:val="left"/>
              <w:rPr/>
            </w:pPr>
            <w:r>
              <w:rPr/>
              <w:t>Westinghouse Air Brake Technologies Corporation</w:t>
            </w:r>
          </w:p>
          <w:p>
            <w:pPr>
              <w:pStyle w:val="TableContents"/>
              <w:bidi w:val="0"/>
              <w:spacing w:before="0" w:after="0"/>
              <w:jc w:val="left"/>
              <w:rPr/>
            </w:pPr>
            <w:r>
              <w:rPr/>
              <w:t>Transportation Systems Services Operations Inc.</w:t>
            </w:r>
          </w:p>
          <w:p>
            <w:pPr>
              <w:pStyle w:val="TableContents"/>
              <w:bidi w:val="0"/>
              <w:spacing w:before="0" w:after="0"/>
              <w:jc w:val="left"/>
              <w:rPr/>
            </w:pPr>
            <w:r>
              <w:rPr/>
              <w:t>October 21, 2026</w:t>
            </w:r>
          </w:p>
          <w:p>
            <w:pPr>
              <w:pStyle w:val="TableContents"/>
              <w:bidi w:val="0"/>
              <w:spacing w:before="0" w:after="0"/>
              <w:jc w:val="left"/>
              <w:rPr/>
            </w:pPr>
            <w:r>
              <w:rPr/>
              <w:t>Page 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490"/>
        <w:jc w:val="both"/>
        <w:rPr>
          <w:rFonts w:ascii="Times New Roman;Times;serif" w:hAnsi="Times New Roman;Times;serif"/>
          <w:color w:val="000000"/>
          <w:sz w:val="20"/>
        </w:rPr>
      </w:pPr>
      <w:r>
        <w:rPr>
          <w:rFonts w:ascii="Times New Roman;Times;serif" w:hAnsi="Times New Roman;Times;serif"/>
          <w:color w:val="000000"/>
          <w:sz w:val="20"/>
        </w:rPr>
        <w:t>For purposes of issuing this opinion letter, we have made such legal and factual examinations and inquiries, including an examination of originals or copies certified or otherwise identified to our satisfaction as being true copies of (i) the Registration Statement, (ii) the Indenture, (iii) the articles of incorporation and bylaws, each as amended to date, of the Nevada Subsidiary Guarantor (collectively, the “</w:t>
      </w:r>
      <w:r>
        <w:rPr>
          <w:rFonts w:ascii="Times New Roman;Times;serif" w:hAnsi="Times New Roman;Times;serif"/>
          <w:color w:val="000000"/>
          <w:sz w:val="20"/>
          <w:u w:val="single"/>
        </w:rPr>
        <w:t>Governing Documents</w:t>
      </w:r>
      <w:r>
        <w:rPr>
          <w:rFonts w:ascii="Times New Roman;Times;serif" w:hAnsi="Times New Roman;Times;serif"/>
          <w:color w:val="000000"/>
          <w:sz w:val="20"/>
        </w:rPr>
        <w:t>”) and (iv) such other agreements, instruments, corporate records, including the Certificate of Existence with Status in Good Standing, certified by the Secretary of State of the State of Nevada, dated as of October 21, 2026, and other documents as we have deemed necessary or appropriate for the purpose of issuing this opinion letter. We have also obtained from officers and other representatives and agents of the Nevada Subsidiary Guarantor and from public officials, and have relied upon, such certificates, representations and assurances as we have deemed necessary or appropriate.</w:t>
      </w:r>
    </w:p>
    <w:p>
      <w:pPr>
        <w:pStyle w:val="TextBody"/>
        <w:bidi w:val="0"/>
        <w:spacing w:before="0" w:after="0"/>
        <w:jc w:val="left"/>
        <w:rPr/>
      </w:pPr>
      <w:r>
        <w:rPr/>
      </w:r>
    </w:p>
    <w:p>
      <w:pPr>
        <w:pStyle w:val="TextBody"/>
        <w:bidi w:val="0"/>
        <w:spacing w:before="0" w:after="0"/>
        <w:ind w:left="0" w:right="0" w:firstLine="490"/>
        <w:jc w:val="both"/>
        <w:rPr>
          <w:rFonts w:ascii="Times New Roman;Times;serif" w:hAnsi="Times New Roman;Times;serif"/>
          <w:color w:val="000000"/>
          <w:sz w:val="20"/>
        </w:rPr>
      </w:pPr>
      <w:r>
        <w:rPr>
          <w:rFonts w:ascii="Times New Roman;Times;serif" w:hAnsi="Times New Roman;Times;serif"/>
          <w:color w:val="000000"/>
          <w:sz w:val="20"/>
        </w:rPr>
        <w:t>Without limiting the generality of the foregoing, in issuing this opinion letter, we have, with your permission, assumed without independent verification that (i) each document we have reviewed or which is referenced herein has been or will be duly executed and delivered by the parties thereto to the extent due execution and delivery are prerequisites to the effectiveness thereof; (ii) the statements of fact and representations and warranties set forth in the documents we have reviewed are, or at all relevant times will be, true and correct as to factual matters; (iii) each natural person executing a document has or will have sufficient legal capacity to do so; (iv) all documents submitted to us as originals are authentic, the signatures on all documents that we have examined are genuine, and all documents submitted to us as certified, conformed, photostatic, electronic or facsimile copies conform to the original documents; (v) all corporate records made available to us by the Nevada Subsidiary Guarantor, and all public records we have reviewed, are accurate and complete; (vi) any and all agreements, instruments, certificates or other documents relating to the offering, issuance or sale of any Securities, including, without limitation, the base indenture and any supplemental indenture pursuant to which any Securities are issued and any document(s) evidencing a Subsidiary Guarantee (collectively, the “</w:t>
      </w:r>
      <w:r>
        <w:rPr>
          <w:rFonts w:ascii="Times New Roman;Times;serif" w:hAnsi="Times New Roman;Times;serif"/>
          <w:color w:val="000000"/>
          <w:sz w:val="20"/>
          <w:u w:val="single"/>
        </w:rPr>
        <w:t>Securities Documents</w:t>
      </w:r>
      <w:r>
        <w:rPr>
          <w:rFonts w:ascii="Times New Roman;Times;serif" w:hAnsi="Times New Roman;Times;serif"/>
          <w:color w:val="000000"/>
          <w:sz w:val="20"/>
        </w:rPr>
        <w:t>”) have been or will be duly authorized, executed and delivered by each of the parties thereto; (vii) the obligations of each party set forth in the Securities Documents are or will be its valid and binding obligations, enforceable in accordance with their respective terms; (viii) no Securities will be offered, issued or sold in violation or breach of, nor will any such offering, issuance or sale result in a default under, the Governing Documents or any agreement or instrument that is binding upon the Company or the Nevada Subsidiary Guarantor or any requirement or restriction imposed by any governmental or regulatory agency, authority or body; and (ix) the Nevada Subsidiary Guarantor has taken or will take all corporate action, including the Nevada Subsidiary Guarantor’s board of directors authorization of any Subsidiary Guarantee issued or to be issued by the Nevada Subsidiary Guarantor, required in connection with the authorization, offering, issuance and sale of any Securities (including, without limitation, any Subsidiary Guarantee issued or to be issued by the Nevada Subsidiary Guarantor), and all Securities will be offered, issued and sold, in compliance with all applicable laws, the Governing Documents and the relevant Securities Documents in effect at all relevant times (collectively, “</w:t>
      </w:r>
      <w:r>
        <w:rPr>
          <w:rFonts w:ascii="Times New Roman;Times;serif" w:hAnsi="Times New Roman;Times;serif"/>
          <w:color w:val="000000"/>
          <w:sz w:val="20"/>
          <w:u w:val="single"/>
        </w:rPr>
        <w:t>Corporate Proceedings</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490"/>
        <w:jc w:val="both"/>
        <w:rPr>
          <w:rFonts w:ascii="Times New Roman;Times;serif" w:hAnsi="Times New Roman;Times;serif"/>
          <w:color w:val="000000"/>
          <w:sz w:val="20"/>
        </w:rPr>
      </w:pPr>
      <w:r>
        <w:rPr>
          <w:rFonts w:ascii="Times New Roman;Times;serif" w:hAnsi="Times New Roman;Times;serif"/>
          <w:color w:val="000000"/>
          <w:sz w:val="20"/>
        </w:rPr>
        <w:t>We are qualified to practice law in the State of Nevada. The opinions set forth herein are expressly limited to the general corporate laws of the State of Nevada in effect on the date hereof, and we do not purport to be experts on, or to express any opinion with respect to the applicability or effect of, the laws of any other jurisdiction. We express no opinion herein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pStyle w:val="TextBody"/>
        <w:bidi w:val="0"/>
        <w:spacing w:before="0" w:after="0"/>
        <w:jc w:val="left"/>
        <w:rPr/>
      </w:pPr>
      <w:r>
        <w:rPr/>
      </w:r>
    </w:p>
    <w:p>
      <w:pPr>
        <w:pStyle w:val="TextBody"/>
        <w:bidi w:val="0"/>
        <w:spacing w:before="0" w:after="0"/>
        <w:ind w:left="0" w:right="0" w:firstLine="490"/>
        <w:jc w:val="both"/>
        <w:rPr>
          <w:rFonts w:ascii="Times New Roman;Times;serif" w:hAnsi="Times New Roman;Times;serif"/>
          <w:color w:val="000000"/>
          <w:sz w:val="20"/>
        </w:rPr>
      </w:pPr>
      <w:r>
        <w:rPr>
          <w:rFonts w:ascii="Times New Roman;Times;serif" w:hAnsi="Times New Roman;Times;serif"/>
          <w:color w:val="000000"/>
          <w:sz w:val="20"/>
        </w:rPr>
        <w:t>Based on the foregoing and in reliance thereon, and having regard to legal considerations and other information that we deem relevant, we are of the opinion that:</w:t>
      </w:r>
    </w:p>
    <w:p>
      <w:pPr>
        <w:pStyle w:val="TextBody"/>
        <w:bidi w:val="0"/>
        <w:spacing w:before="0" w:after="0"/>
        <w:jc w:val="left"/>
        <w:rPr/>
      </w:pPr>
      <w:r>
        <w:rPr/>
      </w:r>
    </w:p>
    <w:p>
      <w:pPr>
        <w:pStyle w:val="TextBody"/>
        <w:bidi w:val="0"/>
        <w:spacing w:before="0" w:after="0"/>
        <w:ind w:left="0" w:right="0" w:firstLine="490"/>
        <w:jc w:val="both"/>
        <w:rPr>
          <w:rFonts w:ascii="Times New Roman;Times;serif" w:hAnsi="Times New Roman;Times;serif"/>
          <w:color w:val="000000"/>
          <w:sz w:val="20"/>
        </w:rPr>
      </w:pPr>
      <w:r>
        <w:rPr>
          <w:rFonts w:ascii="Times New Roman;Times;serif" w:hAnsi="Times New Roman;Times;serif"/>
          <w:color w:val="000000"/>
          <w:sz w:val="20"/>
        </w:rPr>
        <w:t>1. The Nevada Subsidiary Guarantor is validly existing as a corporation and in good standing under the laws of the State of Nevada.</w:t>
      </w:r>
    </w:p>
    <w:p>
      <w:pPr>
        <w:pStyle w:val="TextBody"/>
        <w:bidi w:val="0"/>
        <w:spacing w:before="0" w:after="0"/>
        <w:jc w:val="left"/>
        <w:rPr/>
      </w:pPr>
      <w:r>
        <w:rPr/>
      </w:r>
    </w:p>
    <w:p>
      <w:pPr>
        <w:pStyle w:val="HorizontalLine"/>
        <w:pBdr>
          <w:bottom w:val="single" w:sz="12" w:space="0" w:color="808080"/>
        </w:pBdr>
        <w:bidi w:val="0"/>
        <w:jc w:val="left"/>
        <w:rPr/>
      </w:pPr>
      <w:r>
        <w:rPr/>
      </w:r>
    </w:p>
    <w:tbl>
      <w:tblPr>
        <w:tblW w:w="4985" w:type="dxa"/>
        <w:jc w:val="left"/>
        <w:tblInd w:w="0" w:type="dxa"/>
        <w:tblLayout w:type="fixed"/>
        <w:tblCellMar>
          <w:top w:w="0" w:type="dxa"/>
          <w:left w:w="0" w:type="dxa"/>
          <w:bottom w:w="0" w:type="dxa"/>
          <w:right w:w="0" w:type="dxa"/>
        </w:tblCellMar>
      </w:tblPr>
      <w:tblGrid>
        <w:gridCol w:w="4910"/>
        <w:gridCol w:w="75"/>
      </w:tblGrid>
      <w:tr>
        <w:trPr/>
        <w:tc>
          <w:tcPr>
            <w:tcW w:w="4910" w:type="dxa"/>
            <w:tcBorders/>
            <w:vAlign w:val="center"/>
          </w:tcPr>
          <w:p>
            <w:pPr>
              <w:pStyle w:val="TableContents"/>
              <w:bidi w:val="0"/>
              <w:spacing w:before="0" w:after="0"/>
              <w:jc w:val="left"/>
              <w:rPr/>
            </w:pPr>
            <w:r>
              <w:rPr/>
              <w:t>Westinghouse Air Brake Technologies Corporation</w:t>
            </w:r>
          </w:p>
          <w:p>
            <w:pPr>
              <w:pStyle w:val="TableContents"/>
              <w:bidi w:val="0"/>
              <w:spacing w:before="0" w:after="0"/>
              <w:jc w:val="left"/>
              <w:rPr/>
            </w:pPr>
            <w:r>
              <w:rPr/>
              <w:t>Transportation Systems Services Operations Inc.</w:t>
            </w:r>
          </w:p>
          <w:p>
            <w:pPr>
              <w:pStyle w:val="TableContents"/>
              <w:bidi w:val="0"/>
              <w:spacing w:before="0" w:after="0"/>
              <w:jc w:val="left"/>
              <w:rPr/>
            </w:pPr>
            <w:r>
              <w:rPr/>
              <w:t>October 21, 2026</w:t>
            </w:r>
          </w:p>
          <w:p>
            <w:pPr>
              <w:pStyle w:val="TableContents"/>
              <w:bidi w:val="0"/>
              <w:spacing w:before="0" w:after="0"/>
              <w:jc w:val="left"/>
              <w:rPr/>
            </w:pPr>
            <w:r>
              <w:rPr/>
              <w:t>Page 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490"/>
        <w:jc w:val="both"/>
        <w:rPr>
          <w:rFonts w:ascii="Times New Roman;Times;serif" w:hAnsi="Times New Roman;Times;serif"/>
          <w:color w:val="000000"/>
          <w:sz w:val="20"/>
        </w:rPr>
      </w:pPr>
      <w:r>
        <w:rPr>
          <w:rFonts w:ascii="Times New Roman;Times;serif" w:hAnsi="Times New Roman;Times;serif"/>
          <w:color w:val="000000"/>
          <w:sz w:val="20"/>
        </w:rPr>
        <w:t>2. The Nevada Subsidiary Guarantor has the corporate power and authority to enter into the Subsidiary Guarantees to which it is a party.</w:t>
      </w:r>
    </w:p>
    <w:p>
      <w:pPr>
        <w:pStyle w:val="TextBody"/>
        <w:bidi w:val="0"/>
        <w:spacing w:before="0" w:after="0"/>
        <w:jc w:val="left"/>
        <w:rPr/>
      </w:pPr>
      <w:r>
        <w:rPr/>
      </w:r>
    </w:p>
    <w:p>
      <w:pPr>
        <w:pStyle w:val="TextBody"/>
        <w:bidi w:val="0"/>
        <w:spacing w:before="0" w:after="0"/>
        <w:ind w:left="0" w:right="0" w:firstLine="490"/>
        <w:jc w:val="both"/>
        <w:rPr>
          <w:rFonts w:ascii="Times New Roman;Times;serif" w:hAnsi="Times New Roman;Times;serif"/>
          <w:color w:val="000000"/>
          <w:sz w:val="20"/>
        </w:rPr>
      </w:pPr>
      <w:r>
        <w:rPr>
          <w:rFonts w:ascii="Times New Roman;Times;serif" w:hAnsi="Times New Roman;Times;serif"/>
          <w:color w:val="000000"/>
          <w:sz w:val="20"/>
        </w:rPr>
        <w:t>3. If and when all Corporate Proceedings have been taken and completed by the Nevada Subsidiary Guarantor in respect of any Subsidiary Guarantee relating to a series of Debt Securities, such Subsidiary Guarantee will be duly authorized by the Nevada Subsidiary Guarantor.</w:t>
      </w:r>
    </w:p>
    <w:p>
      <w:pPr>
        <w:pStyle w:val="TextBody"/>
        <w:bidi w:val="0"/>
        <w:spacing w:before="0" w:after="0"/>
        <w:jc w:val="left"/>
        <w:rPr/>
      </w:pPr>
      <w:r>
        <w:rPr/>
      </w:r>
    </w:p>
    <w:p>
      <w:pPr>
        <w:pStyle w:val="TextBody"/>
        <w:bidi w:val="0"/>
        <w:spacing w:before="0" w:after="0"/>
        <w:ind w:left="0" w:right="0" w:firstLine="490"/>
        <w:jc w:val="both"/>
        <w:rPr>
          <w:rFonts w:ascii="Times New Roman;Times;serif" w:hAnsi="Times New Roman;Times;serif"/>
          <w:color w:val="000000"/>
          <w:sz w:val="20"/>
        </w:rPr>
      </w:pPr>
      <w:r>
        <w:rPr>
          <w:rFonts w:ascii="Times New Roman;Times;serif" w:hAnsi="Times New Roman;Times;serif"/>
          <w:color w:val="000000"/>
          <w:sz w:val="20"/>
        </w:rPr>
        <w:t>The opinions expressed herein are based upon the applicable laws of the State of Nevada and the facts in existence on the date hereof. In delivering this opinion letter to you, we disclaim any obligation to update or supplement the opinions set forth herein or to apprise you of any changes in such laws or facts after such time as the Registration Statement becomes effective. No opinion is offered or implied as to any matter, and no inference may be drawn, beyond the strict scope of the specific issues expressly addressed by the opinions set forth herein. Without limiting the generality of the foregoing, we neither express nor imply any opinion regarding the contents of the Registration Statement.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hereby consent to the filing of this opinion as Exhibit 5.2 to the Registration Statement filed by the Company. We also consent to the reference to our firm under the heading “Legal Matters” in the Registration Statement filed by the Company. In giving this consent, we do not admit that we are within the category of persons whose consent is required by Section 7 of the Securities Act or the rules and regulations of the Commission promulgated thereunder.</w:t>
      </w:r>
    </w:p>
    <w:p>
      <w:pPr>
        <w:pStyle w:val="TextBody"/>
        <w:bidi w:val="0"/>
        <w:spacing w:before="0" w:after="0"/>
        <w:jc w:val="left"/>
        <w:rPr/>
      </w:pPr>
      <w:r>
        <w:rPr/>
      </w:r>
    </w:p>
    <w:p>
      <w:pPr>
        <w:pStyle w:val="TextBody"/>
        <w:bidi w:val="0"/>
        <w:spacing w:before="0" w:after="0"/>
        <w:ind w:left="0" w:right="0" w:firstLine="9600"/>
        <w:jc w:val="left"/>
        <w:rPr>
          <w:rFonts w:ascii="Times New Roman;Times;serif" w:hAnsi="Times New Roman;Times;serif"/>
          <w:color w:val="000000"/>
          <w:sz w:val="20"/>
        </w:rPr>
      </w:pPr>
      <w:r>
        <w:rPr>
          <w:rFonts w:ascii="Times New Roman;Times;serif" w:hAnsi="Times New Roman;Times;serif"/>
          <w:color w:val="000000"/>
          <w:sz w:val="20"/>
        </w:rPr>
        <w:t>Very truly yours,</w:t>
      </w:r>
    </w:p>
    <w:p>
      <w:pPr>
        <w:pStyle w:val="TextBody"/>
        <w:bidi w:val="0"/>
        <w:spacing w:before="0" w:after="0"/>
        <w:jc w:val="left"/>
        <w:rPr/>
      </w:pPr>
      <w:r>
        <w:rPr/>
      </w:r>
    </w:p>
    <w:p>
      <w:pPr>
        <w:pStyle w:val="TextBody"/>
        <w:bidi w:val="0"/>
        <w:spacing w:before="0" w:after="0"/>
        <w:ind w:left="0" w:right="0" w:firstLine="9600"/>
        <w:jc w:val="left"/>
        <w:rPr>
          <w:rFonts w:ascii="Times New Roman;Times;serif" w:hAnsi="Times New Roman;Times;serif"/>
          <w:color w:val="000000"/>
          <w:sz w:val="20"/>
        </w:rPr>
      </w:pPr>
      <w:r>
        <w:rPr>
          <w:rFonts w:ascii="Times New Roman;Times;serif" w:hAnsi="Times New Roman;Times;serif"/>
          <w:color w:val="000000"/>
          <w:sz w:val="20"/>
        </w:rPr>
        <w:t>/s/ Snell &amp; Wilmer L.L.P.</w:t>
      </w:r>
    </w:p>
    <w:p>
      <w:pPr>
        <w:pStyle w:val="TextBody"/>
        <w:bidi w:val="0"/>
        <w:spacing w:before="0" w:after="0"/>
        <w:ind w:left="0" w:right="0" w:firstLine="9600"/>
        <w:jc w:val="left"/>
        <w:rPr>
          <w:rFonts w:ascii="Times New Roman;Times;serif" w:hAnsi="Times New Roman;Times;serif"/>
          <w:color w:val="000000"/>
          <w:sz w:val="20"/>
        </w:rPr>
      </w:pPr>
      <w:r>
        <w:rPr>
          <w:rFonts w:ascii="Times New Roman;Times;serif" w:hAnsi="Times New Roman;Times;serif"/>
          <w:color w:val="000000"/>
          <w:sz w:val="20"/>
        </w:rPr>
        <w:t xml:space="preserve">Snell &amp; Wilmer L.L.P. </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102" w:name="ny20083847x1_ex23-1.htm"/>
      <w:bookmarkStart w:id="103" w:name="ksny20083847x1_ex231"/>
      <w:bookmarkStart w:id="104" w:name="ny20083847x1_ex23-1.htm"/>
      <w:bookmarkStart w:id="105" w:name="ksny20083847x1_ex231"/>
      <w:bookmarkEnd w:id="104"/>
      <w:bookmarkEnd w:id="105"/>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23.1</w:t>
      </w:r>
    </w:p>
    <w:p>
      <w:pPr>
        <w:pStyle w:val="TextBody"/>
        <w:bidi w:val="0"/>
        <w:spacing w:before="0" w:after="0"/>
        <w:jc w:val="right"/>
        <w:rPr>
          <w:b/>
        </w:rPr>
      </w:pPr>
      <w:r>
        <w:rPr>
          <w:b/>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consent to the reference to our firm under the caption “Experts” in the Registration Statement (Form S-3) and related Prospectus of Westinghouse Air Brake Technologies Corporation for the registration of debt securities, guarantees of debt securities, common stock, preferred stock, warrants, depositary shares, purchase contracts and units and to the incorporation by reference therein of our reports dated February 13, 2026, with respect to the consolidated financial statements and schedule of Westinghouse Air Brake Technologies Corporation, and the effectiveness of internal control over financial reporting of Westinghouse Air Brake Technologies Corporation, included in its Annual Report (Form 10-K) for the year ended December 31, 2025, filed with the Securities and Exchange Commission.</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Pittsburgh, Pennsylvania</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Ernst &amp; Young LLP</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October 21, 2026</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jc w:val="left"/>
        <w:rPr>
          <w:caps w:val="false"/>
          <w:smallCaps w:val="false"/>
          <w:bdr w:val="single" w:sz="32" w:space="1" w:color="000000"/>
        </w:rPr>
      </w:pPr>
      <w:bookmarkStart w:id="106" w:name="ny20083847x1_ex25-1.htm"/>
      <w:bookmarkStart w:id="107" w:name="ksny20083847x1_ex251"/>
      <w:bookmarkEnd w:id="106"/>
      <w:bookmarkEnd w:id="107"/>
      <w:r>
        <w:rPr>
          <w:caps w:val="false"/>
          <w:smallCaps w:val="false"/>
          <w:bdr w:val="single" w:sz="32" w:space="1" w:color="000000"/>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32"/>
        </w:rPr>
      </w:pPr>
      <w:r>
        <w:rPr>
          <w:rFonts w:ascii="Times New Roman;Times;Serif" w:hAnsi="Times New Roman;Times;Serif"/>
          <w:b/>
          <w:i w:val="false"/>
          <w:smallCaps/>
          <w:sz w:val="32"/>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T-1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Statement of Eligibility Under</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The Trust Indenture Act of 1939 of a </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Corporation Designated to Act as Trustee</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an Application to Determine Eligibility of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Pursuant to Section 305(b)(2) ☐</w:t>
      </w:r>
    </w:p>
    <w:p>
      <w:pPr>
        <w:pStyle w:val="TextBody"/>
        <w:bidi w:val="0"/>
        <w:spacing w:before="0" w:after="0"/>
        <w:jc w:val="center"/>
        <w:rPr>
          <w:caps w:val="false"/>
          <w:smallCaps w:val="false"/>
        </w:rPr>
      </w:pPr>
      <w:r>
        <w:rPr>
          <w:caps w:val="false"/>
          <w:smallCaps w:val="false"/>
        </w:rPr>
        <w:t> </w:t>
      </w:r>
    </w:p>
    <w:p>
      <w:pPr>
        <w:pStyle w:val="TextBody"/>
        <w:bidi w:val="0"/>
        <w:spacing w:before="60" w:after="6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U.S. BANK TRUST COMPANY, NATIONAL ASSOCIATION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Trustee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91-1821036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p>
      <w:pPr>
        <w:pStyle w:val="TextBody"/>
        <w:bidi w:val="0"/>
        <w:spacing w:before="0" w:after="0"/>
        <w:jc w:val="center"/>
        <w:rPr>
          <w:caps w:val="false"/>
          <w:smallCaps w:val="false"/>
        </w:rPr>
      </w:pPr>
      <w:r>
        <w:rPr>
          <w:caps w:val="false"/>
          <w:smallCaps w:val="false"/>
        </w:rPr>
        <w:t> </w:t>
      </w:r>
    </w:p>
    <w:tbl>
      <w:tblPr>
        <w:tblW w:w="4135" w:type="dxa"/>
        <w:jc w:val="left"/>
        <w:tblInd w:w="-10" w:type="dxa"/>
        <w:tblLayout w:type="fixed"/>
        <w:tblCellMar>
          <w:top w:w="28" w:type="dxa"/>
          <w:left w:w="28" w:type="dxa"/>
          <w:bottom w:w="28" w:type="dxa"/>
          <w:right w:w="28" w:type="dxa"/>
        </w:tblCellMar>
      </w:tblPr>
      <w:tblGrid>
        <w:gridCol w:w="3215"/>
        <w:gridCol w:w="920"/>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40"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South 6th Street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55402 </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Pavlovic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w:t>
      </w:r>
    </w:p>
    <w:p>
      <w:pPr>
        <w:pStyle w:val="TextBody"/>
        <w:bidi w:val="0"/>
        <w:spacing w:lineRule="auto" w:line="240"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1735 Market Street, 43rd Floor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19103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215-4428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WESTINGHOUSE AIR BRAKE TECHNOLOGIES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8"/>
        </w:rPr>
        <w:t>CORPORATION</w:t>
      </w:r>
      <w:r>
        <w:rPr>
          <w:rFonts w:ascii="Times New Roman;Times;Serif" w:hAnsi="Times New Roman;Times;Serif"/>
          <w:b w:val="false"/>
          <w:i w:val="false"/>
          <w:caps w:val="false"/>
          <w:smallCaps w:val="false"/>
          <w:sz w:val="28"/>
        </w:rPr>
        <w:t> </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with respect to the Securities)</w:t>
      </w:r>
    </w:p>
    <w:tbl>
      <w:tblPr>
        <w:tblW w:w="7795" w:type="dxa"/>
        <w:jc w:val="left"/>
        <w:tblInd w:w="-10" w:type="dxa"/>
        <w:tblLayout w:type="fixed"/>
        <w:tblCellMar>
          <w:top w:w="28" w:type="dxa"/>
          <w:left w:w="28" w:type="dxa"/>
          <w:bottom w:w="28" w:type="dxa"/>
          <w:right w:w="28" w:type="dxa"/>
        </w:tblCellMar>
      </w:tblPr>
      <w:tblGrid>
        <w:gridCol w:w="4880"/>
        <w:gridCol w:w="2915"/>
      </w:tblGrid>
      <w:tr>
        <w:trPr/>
        <w:tc>
          <w:tcPr>
            <w:tcW w:w="48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29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25-1615902</w:t>
            </w:r>
          </w:p>
        </w:tc>
      </w:tr>
      <w:tr>
        <w:trPr/>
        <w:tc>
          <w:tcPr>
            <w:tcW w:w="4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2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4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2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4195" w:type="dxa"/>
        <w:jc w:val="left"/>
        <w:tblInd w:w="-10" w:type="dxa"/>
        <w:tblLayout w:type="fixed"/>
        <w:tblCellMar>
          <w:top w:w="28" w:type="dxa"/>
          <w:left w:w="28" w:type="dxa"/>
          <w:bottom w:w="28" w:type="dxa"/>
          <w:right w:w="28" w:type="dxa"/>
        </w:tblCellMar>
      </w:tblPr>
      <w:tblGrid>
        <w:gridCol w:w="3275"/>
        <w:gridCol w:w="920"/>
      </w:tblGrid>
      <w:tr>
        <w:trPr/>
        <w:tc>
          <w:tcPr>
            <w:tcW w:w="32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Isabella Street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Pittsburgh, PA </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15212 </w:t>
            </w:r>
          </w:p>
        </w:tc>
      </w:tr>
      <w:tr>
        <w:trPr/>
        <w:tc>
          <w:tcPr>
            <w:tcW w:w="32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Debt Securities</w:t>
      </w:r>
    </w:p>
    <w:p>
      <w:pPr>
        <w:pStyle w:val="TextBody"/>
        <w:bidi w:val="0"/>
        <w:spacing w:before="0" w:after="0"/>
        <w:ind w:left="2160" w:right="0" w:hanging="207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(Title of the Indenture Securities)</w:t>
      </w:r>
      <w:r>
        <w:rPr>
          <w:rFonts w:ascii="Times New Roman;Times;Serif" w:hAnsi="Times New Roman;Times;Serif"/>
          <w:b w:val="false"/>
          <w:i w:val="false"/>
          <w:caps w:val="false"/>
          <w:smallCaps w:val="false"/>
          <w:sz w:val="20"/>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T-1</w:t>
      </w:r>
    </w:p>
    <w:p>
      <w:pPr>
        <w:pStyle w:val="TextBody"/>
        <w:bidi w:val="0"/>
        <w:spacing w:before="0" w:after="0"/>
        <w:jc w:val="center"/>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650"/>
        <w:gridCol w:w="6710"/>
      </w:tblGrid>
      <w:tr>
        <w:trPr/>
        <w:tc>
          <w:tcPr>
            <w:tcW w:w="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Item 1. </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GENERAL INFORMATION</w:t>
            </w:r>
            <w:r>
              <w:rPr>
                <w:rFonts w:ascii="Times New Roman;Times;Serif" w:hAnsi="Times New Roman;Times;Serif"/>
                <w:b/>
                <w:i/>
                <w:sz w:val="20"/>
              </w:rPr>
              <w:t>.</w:t>
            </w:r>
            <w:r>
              <w:rPr>
                <w:rFonts w:ascii="Times New Roman;Times;Serif" w:hAnsi="Times New Roman;Times;Serif"/>
                <w:sz w:val="20"/>
              </w:rPr>
              <w:t xml:space="preserve"> Furnish the following information as to the Trustee.</w:t>
            </w:r>
          </w:p>
        </w:tc>
      </w:tr>
    </w:tbl>
    <w:p>
      <w:pPr>
        <w:pStyle w:val="TextBody"/>
        <w:bidi w:val="0"/>
        <w:spacing w:before="0" w:after="0"/>
        <w:ind w:left="504" w:right="0" w:hanging="504"/>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170"/>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8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 and address of each examining or supervising authority to which it is subject.</w:t>
            </w:r>
          </w:p>
        </w:tc>
      </w:tr>
    </w:tbl>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Comptroller of the Currency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w:t>
      </w:r>
    </w:p>
    <w:p>
      <w:pPr>
        <w:pStyle w:val="TextBody"/>
        <w:bidi w:val="0"/>
        <w:spacing w:before="0" w:after="0"/>
        <w:ind w:left="720" w:right="0" w:firstLine="144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185"/>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86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Whether it is authorized to exercise corporate trust powers.</w:t>
            </w:r>
          </w:p>
        </w:tc>
      </w:tr>
    </w:tbl>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p>
      <w:pPr>
        <w:pStyle w:val="TextBody"/>
        <w:bidi w:val="0"/>
        <w:spacing w:before="0" w:after="0"/>
        <w:ind w:left="0" w:right="0" w:firstLine="72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650"/>
        <w:gridCol w:w="9530"/>
      </w:tblGrid>
      <w:tr>
        <w:trPr/>
        <w:tc>
          <w:tcPr>
            <w:tcW w:w="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Item 2. </w:t>
            </w:r>
          </w:p>
        </w:tc>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AFFILIATIONS WITH THE OBLIGOR. </w:t>
            </w:r>
            <w:r>
              <w:rPr>
                <w:rFonts w:ascii="Times New Roman;Times;Serif" w:hAnsi="Times New Roman;Times;Serif"/>
                <w:i/>
                <w:sz w:val="20"/>
              </w:rPr>
              <w:t>If the obligor is an affiliate of the Trustee, describe each such affiliation.</w:t>
            </w:r>
            <w:r>
              <w:rPr>
                <w:rFonts w:ascii="Times New Roman;Times;Serif" w:hAnsi="Times New Roman;Times;Serif"/>
                <w:sz w:val="20"/>
              </w:rPr>
              <w:t> </w:t>
            </w:r>
          </w:p>
        </w:tc>
      </w:tr>
    </w:tbl>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72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2"/>
        <w:gridCol w:w="9433"/>
      </w:tblGrid>
      <w:tr>
        <w:trPr/>
        <w:tc>
          <w:tcPr>
            <w:tcW w:w="7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Items 3-15</w:t>
            </w:r>
          </w:p>
        </w:tc>
        <w:tc>
          <w:tcPr>
            <w:tcW w:w="943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Items 3-15 are not applicable because to the best of the Trustee's knowledge, the obligor is not in default under any Indenture for which the Trustee acts as Trustee.</w:t>
            </w:r>
          </w:p>
        </w:tc>
      </w:tr>
    </w:tbl>
    <w:p>
      <w:pPr>
        <w:pStyle w:val="TextBody"/>
        <w:bidi w:val="0"/>
        <w:spacing w:before="0" w:after="0"/>
        <w:ind w:left="1440" w:right="0" w:hanging="144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755"/>
        <w:gridCol w:w="8885"/>
      </w:tblGrid>
      <w:tr>
        <w:trPr/>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Item 16. </w:t>
            </w:r>
          </w:p>
        </w:tc>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LIST OF EXHIBITS:</w:t>
            </w:r>
            <w:r>
              <w:rPr>
                <w:rFonts w:ascii="Times New Roman;Times;Serif" w:hAnsi="Times New Roman;Times;Serif"/>
                <w:sz w:val="20"/>
              </w:rPr>
              <w:t xml:space="preserve"> </w:t>
            </w:r>
            <w:r>
              <w:rPr>
                <w:rFonts w:ascii="Times New Roman;Times;Serif" w:hAnsi="Times New Roman;Times;Serif"/>
                <w:i/>
                <w:sz w:val="20"/>
              </w:rPr>
              <w:t xml:space="preserve">List below all exhibits filed as a part of this statement of eligibility and qualification. </w:t>
            </w:r>
          </w:p>
        </w:tc>
      </w:tr>
    </w:tbl>
    <w:p>
      <w:pPr>
        <w:pStyle w:val="TextBody"/>
        <w:bidi w:val="0"/>
        <w:spacing w:before="0" w:after="0"/>
        <w:ind w:left="1080" w:right="0" w:hanging="1080"/>
        <w:jc w:val="left"/>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the Articles of Association of the Trustee, attached as Exhibit 1.</w:t>
            </w:r>
          </w:p>
        </w:tc>
      </w:tr>
    </w:tbl>
    <w:p>
      <w:pPr>
        <w:pStyle w:val="TextBody"/>
        <w:bidi w:val="0"/>
        <w:spacing w:before="0" w:after="0"/>
        <w:ind w:left="1440" w:right="0" w:hanging="360"/>
        <w:jc w:val="left"/>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17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the certificate of authority of the Trustee to commence business, attached as Exhibit 2.</w:t>
            </w:r>
          </w:p>
        </w:tc>
      </w:tr>
    </w:tbl>
    <w:p>
      <w:pPr>
        <w:pStyle w:val="TextBody"/>
        <w:bidi w:val="0"/>
        <w:spacing w:before="0" w:after="0"/>
        <w:ind w:left="1440" w:right="0" w:hanging="360"/>
        <w:jc w:val="left"/>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17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the authorization of the Trustee to exercise corporate trust powers, included as Exhibit 2.</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7"/>
        <w:gridCol w:w="9830"/>
      </w:tblGrid>
      <w:tr>
        <w:trPr/>
        <w:tc>
          <w:tcPr>
            <w:tcW w:w="6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the existing bylaws of the Trustee, attached as Exhibit 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30"/>
        <w:gridCol w:w="9802"/>
      </w:tblGrid>
      <w:tr>
        <w:trPr/>
        <w:tc>
          <w:tcPr>
            <w:tcW w:w="7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each Indenture referred to in Item 4. Not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consent of the Trustee required by Section 321(b) of the Trust Indenture Act of 1939, attached as Exhibit 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 of Condition of the Trustee as of June 30, 2026, published pursuant to law or the requirements of its supervising or examining authority, attached as Exhibit 7.</w:t>
            </w:r>
          </w:p>
        </w:tc>
      </w:tr>
    </w:tbl>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lineRule="auto" w:line="240"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to be signed on its behalf by the undersigned, thereunto duly authorized, all in the City of Philadelphia, Commonwealth of Pennsylvania on the 13th of October, 2026.</w:t>
      </w:r>
    </w:p>
    <w:p>
      <w:pPr>
        <w:pStyle w:val="TextBody"/>
        <w:bidi w:val="0"/>
        <w:spacing w:before="0" w:after="0"/>
        <w:ind w:left="0" w:right="0" w:firstLine="72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75"/>
        <w:gridCol w:w="320"/>
        <w:gridCol w:w="1775"/>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Robert P. Pavlovic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P. Pavlovic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Exhibit 1</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ARTICLES OF ASSOCIATION </w:t>
        <w:br/>
        <w:t>OF</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 S. BANK TRUST COMPANY, NATIONAL ASSOCIATION</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organizing an association (the “Association”) to perform any lawful activities of national banks, the undersigned enter into the following Articles of Association:</w:t>
      </w:r>
    </w:p>
    <w:p>
      <w:pPr>
        <w:pStyle w:val="TextBody"/>
        <w:bidi w:val="0"/>
        <w:spacing w:before="0" w:after="0"/>
        <w:ind w:left="0" w:right="0" w:firstLine="4"/>
        <w:jc w:val="both"/>
        <w:rPr>
          <w:caps w:val="false"/>
          <w:smallCaps w:val="false"/>
        </w:rPr>
      </w:pPr>
      <w:r>
        <w:rPr>
          <w:caps w:val="false"/>
          <w:smallCaps w:val="false"/>
        </w:rPr>
        <w:t> </w:t>
      </w:r>
    </w:p>
    <w:p>
      <w:pPr>
        <w:pStyle w:val="TextBody"/>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FIRST. </w:t>
      </w:r>
      <w:r>
        <w:rPr>
          <w:rFonts w:ascii="Times New Roman;Times;Serif" w:hAnsi="Times New Roman;Times;Serif"/>
          <w:b w:val="false"/>
          <w:i w:val="false"/>
          <w:caps w:val="false"/>
          <w:smallCaps w:val="false"/>
          <w:sz w:val="20"/>
        </w:rPr>
        <w:t>The title of this Association shall be U. S. Bank Trust Company, National Association.</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hanging="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SECOND. </w:t>
      </w:r>
      <w:r>
        <w:rPr>
          <w:rFonts w:ascii="Times New Roman;Times;Serif" w:hAnsi="Times New Roman;Times;Serif"/>
          <w:b w:val="false"/>
          <w:i w:val="false"/>
          <w:caps w:val="false"/>
          <w:smallCaps w:val="false"/>
          <w:sz w:val="20"/>
        </w:rPr>
        <w:t>The main office of the Association shall be in the city of Portland, county of Multnomah, state of Oregon. The business of the Association will be limited to fiduciary powers and the support of activities incidental to the exercise of those powers. The Association may not expand or alter its business beyond that stated in this article without the prior approval of the Comptroller of the Currency.</w:t>
      </w:r>
    </w:p>
    <w:p>
      <w:pPr>
        <w:pStyle w:val="TextBody"/>
        <w:bidi w:val="0"/>
        <w:spacing w:before="0" w:after="0"/>
        <w:ind w:left="0" w:right="0" w:hanging="2"/>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THIRD. </w:t>
      </w:r>
      <w:r>
        <w:rPr>
          <w:rFonts w:ascii="Times New Roman;Times;Serif" w:hAnsi="Times New Roman;Times;Serif"/>
          <w:b w:val="false"/>
          <w:i w:val="false"/>
          <w:caps w:val="false"/>
          <w:smallCaps w:val="false"/>
          <w:sz w:val="20"/>
        </w:rPr>
        <w:t>The board of directors of the Association shall consist of not less than five nor more than twenty-five persons, the exact 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firstLine="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pStyle w:val="TextBody"/>
        <w:bidi w:val="0"/>
        <w:spacing w:before="0" w:after="0"/>
        <w:ind w:left="0" w:right="0" w:firstLine="6"/>
        <w:jc w:val="both"/>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FOURTH. </w:t>
      </w:r>
      <w:r>
        <w:rPr>
          <w:rFonts w:ascii="Times New Roman;Times;Serif" w:hAnsi="Times New Roman;Times;Serif"/>
          <w:b w:val="false"/>
          <w:i w:val="false"/>
          <w:caps w:val="false"/>
          <w:smallCaps w:val="false"/>
          <w:sz w:val="20"/>
        </w:rPr>
        <w:t>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pStyle w:val="TextBody"/>
        <w:bidi w:val="0"/>
        <w:spacing w:before="0" w:after="0"/>
        <w:ind w:left="0" w:right="0" w:firstLine="6"/>
        <w:jc w:val="both"/>
        <w:rPr>
          <w:caps w:val="false"/>
          <w:smallCaps w:val="false"/>
        </w:rPr>
      </w:pPr>
      <w:r>
        <w:rPr>
          <w:caps w:val="false"/>
          <w:smallCaps w:val="false"/>
        </w:rPr>
        <w:t> </w:t>
      </w:r>
    </w:p>
    <w:p>
      <w:pPr>
        <w:pStyle w:val="TextBody"/>
        <w:bidi w:val="0"/>
        <w:spacing w:before="200" w:after="200"/>
        <w:ind w:left="0" w:right="0" w:firstLine="6"/>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resign at any time by delivering written notice to the board of directors, its chairperson, or to the Association, which resignation shall be effective when the notice is delivered unless the notice specifies a later effective date.</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firstLine="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pStyle w:val="TextBody"/>
        <w:bidi w:val="0"/>
        <w:spacing w:before="0" w:after="0"/>
        <w:ind w:left="0" w:right="0" w:firstLine="7"/>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FIFTH. </w:t>
      </w:r>
      <w:r>
        <w:rPr>
          <w:rFonts w:ascii="Times New Roman;Times;Serif" w:hAnsi="Times New Roman;Times;Serif"/>
          <w:b w:val="false"/>
          <w:i w:val="false"/>
          <w:caps w:val="false"/>
          <w:smallCaps w:val="false"/>
          <w:sz w:val="20"/>
        </w:rPr>
        <w:t>The authorized amount of capital stock of the Association shall be 1,000,000 shares of common stock of the par value of ten dollars ($10) each; but said capital stock may be increased or decreased from time to time, according to the provisions of the laws of the United States. The Association shall have only one class of capital stock.</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firstLine="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pStyle w:val="TextBody"/>
        <w:bidi w:val="0"/>
        <w:spacing w:before="0" w:after="0"/>
        <w:ind w:left="0" w:right="0" w:firstLine="11"/>
        <w:jc w:val="both"/>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0" w:after="0"/>
        <w:ind w:left="0" w:right="0" w:firstLine="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pStyle w:val="TextBody"/>
        <w:bidi w:val="0"/>
        <w:spacing w:before="0" w:after="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ind w:left="0" w:right="0" w:firstLine="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all shares of voting stock shall be voted together as a class, on any matters requiring shareholder approval.</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pStyle w:val="TextBody"/>
        <w:bidi w:val="0"/>
        <w:spacing w:before="0" w:after="0"/>
        <w:ind w:left="0" w:right="0" w:hanging="7"/>
        <w:jc w:val="both"/>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SIXTH. </w:t>
      </w:r>
      <w:r>
        <w:rPr>
          <w:rFonts w:ascii="Times New Roman;Times;Serif" w:hAnsi="Times New Roman;Times;Serif"/>
          <w:b w:val="false"/>
          <w:i w:val="false"/>
          <w:caps w:val="false"/>
          <w:smallCaps w:val="false"/>
          <w:sz w:val="20"/>
        </w:rPr>
        <w:t>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have the power to:</w:t>
      </w:r>
    </w:p>
    <w:p>
      <w:pPr>
        <w:pStyle w:val="TextBody"/>
        <w:bidi w:val="0"/>
        <w:spacing w:before="0" w:after="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260"/>
        <w:gridCol w:w="605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Define the duties of the officers, employees, and agents of the Association.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Delegate the performance of its duties, but not the responsibility for its duties, to the officers, employees, and agents of the Association.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Fix the compensation and enter employment contracts with its officers and employees upon reasonable terms and conditions consistent with applicable law.</w:t>
            </w:r>
          </w:p>
        </w:tc>
      </w:tr>
    </w:tbl>
    <w:p>
      <w:pPr>
        <w:pStyle w:val="TextBody"/>
        <w:bidi w:val="0"/>
        <w:spacing w:before="0" w:after="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260"/>
        <w:gridCol w:w="261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Dismiss officers and employees.</w:t>
            </w:r>
          </w:p>
        </w:tc>
      </w:tr>
    </w:tbl>
    <w:p>
      <w:pPr>
        <w:pStyle w:val="TextBody"/>
        <w:bidi w:val="0"/>
        <w:spacing w:before="0" w:after="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260"/>
        <w:gridCol w:w="599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 bonds from officers and employees and to fix the penalty thereof.</w:t>
            </w:r>
          </w:p>
        </w:tc>
      </w:tr>
    </w:tbl>
    <w:p>
      <w:pPr>
        <w:pStyle w:val="TextBody"/>
        <w:bidi w:val="0"/>
        <w:spacing w:before="0" w:after="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260"/>
        <w:gridCol w:w="776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Ratify written policies authorized by the Association's management or committees of the board.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260"/>
        <w:gridCol w:w="542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 and administer the business and affairs of the Association.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Adopt initial Bylaws, not inconsistent with law or the Articles of Association, for managing the business and regulating the affairs of the Association.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 or repeal Bylaws, except to the extent that the Articles of Association reserve this power in whole or in part to the shareholders.</w:t>
            </w:r>
          </w:p>
        </w:tc>
      </w:tr>
    </w:tbl>
    <w:p>
      <w:pPr>
        <w:pStyle w:val="TextBody"/>
        <w:bidi w:val="0"/>
        <w:spacing w:before="0" w:after="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365"/>
        <w:gridCol w:w="1325"/>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Make contracts.</w:t>
            </w:r>
          </w:p>
        </w:tc>
      </w:tr>
    </w:tbl>
    <w:p>
      <w:pPr>
        <w:pStyle w:val="TextBody"/>
        <w:bidi w:val="0"/>
        <w:spacing w:before="0" w:after="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365"/>
        <w:gridCol w:w="6020"/>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6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Generally perform all acts that are legal for a board of directors to perform.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SEVENTH. </w:t>
      </w:r>
      <w:r>
        <w:rPr>
          <w:rFonts w:ascii="Times New Roman;Times;Serif" w:hAnsi="Times New Roman;Times;Serif"/>
          <w:b w:val="false"/>
          <w:i w:val="false"/>
          <w:caps w:val="false"/>
          <w:smallCaps w:val="false"/>
          <w:sz w:val="20"/>
        </w:rPr>
        <w:t>The board of directors shall have the power to change the location of the main office to any authorized branch 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ind w:left="0" w:right="0" w:hanging="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EIGHTH. </w:t>
      </w:r>
      <w:r>
        <w:rPr>
          <w:rFonts w:ascii="Times New Roman;Times;Serif" w:hAnsi="Times New Roman;Times;Serif"/>
          <w:b w:val="false"/>
          <w:i w:val="false"/>
          <w:caps w:val="false"/>
          <w:smallCaps w:val="false"/>
          <w:sz w:val="20"/>
        </w:rPr>
        <w:t>The corporate existence of this Association shall continue until termination according to the laws of the United States.</w:t>
      </w:r>
    </w:p>
    <w:p>
      <w:pPr>
        <w:pStyle w:val="TextBody"/>
        <w:bidi w:val="0"/>
        <w:spacing w:before="0" w:after="0"/>
        <w:ind w:left="0" w:right="0" w:hanging="3"/>
        <w:jc w:val="both"/>
        <w:rPr>
          <w:caps w:val="false"/>
          <w:smallCaps w:val="false"/>
        </w:rPr>
      </w:pPr>
      <w:r>
        <w:rPr>
          <w:caps w:val="false"/>
          <w:smallCaps w:val="false"/>
        </w:rPr>
        <w:t> </w:t>
      </w:r>
    </w:p>
    <w:p>
      <w:pPr>
        <w:pStyle w:val="TextBody"/>
        <w:bidi w:val="0"/>
        <w:spacing w:before="0" w:after="0"/>
        <w:ind w:left="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NINTH. </w:t>
      </w:r>
      <w:r>
        <w:rPr>
          <w:rFonts w:ascii="Times New Roman;Times;Serif" w:hAnsi="Times New Roman;Times;Serif"/>
          <w:b w:val="false"/>
          <w:i w:val="false"/>
          <w:caps w:val="false"/>
          <w:smallCaps w:val="false"/>
          <w:sz w:val="20"/>
        </w:rPr>
        <w:t>The board of directors of the Association, or any shareholder owning, in the aggregate, not less than 25 percent of the stock 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pStyle w:val="TextBody"/>
        <w:bidi w:val="0"/>
        <w:spacing w:before="0" w:after="0"/>
        <w:ind w:left="0" w:right="0" w:firstLine="4"/>
        <w:jc w:val="both"/>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TENTH. </w:t>
      </w:r>
      <w:r>
        <w:rPr>
          <w:rFonts w:ascii="Times New Roman;Times;Serif" w:hAnsi="Times New Roman;Times;Serif"/>
          <w:b w:val="false"/>
          <w:i w:val="false"/>
          <w:caps w:val="false"/>
          <w:smallCaps w:val="false"/>
          <w:sz w:val="20"/>
        </w:rPr>
        <w:t>These Articles of Association may be amended at any regular or special meeting of the shareholders by the affirmative 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- 4 -</w:t>
      </w:r>
    </w:p>
    <w:p>
      <w:pPr>
        <w:pStyle w:val="HorizontalLine"/>
        <w:pBdr>
          <w:bottom w:val="single" w:sz="12" w:space="0" w:color="808080"/>
        </w:pBdr>
        <w:bidi w:val="0"/>
        <w:spacing w:before="200" w:after="200"/>
        <w:jc w:val="left"/>
        <w:rPr/>
      </w:pPr>
      <w:r>
        <w:rPr/>
      </w:r>
    </w:p>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jc w:val="both"/>
        <w:rPr>
          <w:caps w:val="false"/>
          <w:smallCaps w:val="false"/>
        </w:rPr>
      </w:pPr>
      <w:r>
        <w:rPr>
          <w:caps w:val="false"/>
          <w:smallCaps w:val="false"/>
        </w:rPr>
        <w:t> </w:t>
      </w:r>
    </w:p>
    <w:p>
      <w:pPr>
        <w:pStyle w:val="TextBody"/>
        <w:bidi w:val="0"/>
        <w:spacing w:lineRule="auto" w:line="240"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we have hereunto set our hands this </w:t>
      </w:r>
      <w:r>
        <w:rPr>
          <w:rFonts w:ascii="Times New Roman;Times;Serif" w:hAnsi="Times New Roman;Times;Serif"/>
          <w:b w:val="false"/>
          <w:i w:val="false"/>
          <w:caps w:val="false"/>
          <w:smallCaps w:val="false"/>
          <w:sz w:val="20"/>
          <w:u w:val="single"/>
        </w:rPr>
        <w:t>11th</w:t>
      </w:r>
      <w:r>
        <w:rPr>
          <w:rFonts w:ascii="Times New Roman;Times;Serif" w:hAnsi="Times New Roman;Times;Serif"/>
          <w:b w:val="false"/>
          <w:i w:val="false"/>
          <w:caps w:val="false"/>
          <w:smallCaps w:val="false"/>
          <w:sz w:val="20"/>
        </w:rPr>
        <w:t xml:space="preserve"> of June, 1997.</w:t>
      </w:r>
    </w:p>
    <w:p>
      <w:pPr>
        <w:pStyle w:val="TextBody"/>
        <w:bidi w:val="0"/>
        <w:spacing w:before="0" w:after="0"/>
        <w:jc w:val="both"/>
        <w:rPr>
          <w:caps w:val="false"/>
          <w:smallCaps w:val="false"/>
        </w:rPr>
      </w:pPr>
      <w:r>
        <w:rPr>
          <w:caps w:val="false"/>
          <w:smallCaps w:val="false"/>
        </w:rPr>
        <w:t> </w:t>
      </w:r>
    </w:p>
    <w:tbl>
      <w:tblPr>
        <w:tblW w:w="3840" w:type="dxa"/>
        <w:jc w:val="left"/>
        <w:tblInd w:w="0" w:type="dxa"/>
        <w:tblLayout w:type="fixed"/>
        <w:tblCellMar>
          <w:top w:w="0" w:type="dxa"/>
          <w:left w:w="0" w:type="dxa"/>
          <w:bottom w:w="28" w:type="dxa"/>
          <w:right w:w="0" w:type="dxa"/>
        </w:tblCellMar>
      </w:tblPr>
      <w:tblGrid>
        <w:gridCol w:w="3765"/>
        <w:gridCol w:w="75"/>
      </w:tblGrid>
      <w:tr>
        <w:trPr/>
        <w:tc>
          <w:tcPr>
            <w:tcW w:w="3765" w:type="dxa"/>
            <w:tcBorders>
              <w:bottom w:val="single" w:sz="8" w:space="0" w:color="000000"/>
            </w:tcBorders>
            <w:vAlign w:val="center"/>
          </w:tcPr>
          <w:p>
            <w:pPr>
              <w:pStyle w:val="TableContents"/>
              <w:bidi w:val="0"/>
              <w:spacing w:before="0" w:after="283"/>
              <w:jc w:val="left"/>
              <w:rPr/>
            </w:pPr>
            <w:r>
              <w:rPr/>
              <w:drawing>
                <wp:inline distT="0" distB="0" distL="0" distR="0">
                  <wp:extent cx="2381250" cy="904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2"/>
                          <a:stretch>
                            <a:fillRect/>
                          </a:stretch>
                        </pic:blipFill>
                        <pic:spPr bwMode="auto">
                          <a:xfrm>
                            <a:off x="0" y="0"/>
                            <a:ext cx="2381250" cy="904875"/>
                          </a:xfrm>
                          <a:prstGeom prst="rect">
                            <a:avLst/>
                          </a:prstGeom>
                        </pic:spPr>
                      </pic:pic>
                    </a:graphicData>
                  </a:graphic>
                </wp:inline>
              </w:drawing>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Jeffrey T. Grubb</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bottom w:val="single" w:sz="8" w:space="0" w:color="000000"/>
            </w:tcBorders>
            <w:vAlign w:val="center"/>
          </w:tcPr>
          <w:p>
            <w:pPr>
              <w:pStyle w:val="TableContents"/>
              <w:bidi w:val="0"/>
              <w:spacing w:before="0" w:after="283"/>
              <w:jc w:val="left"/>
              <w:rPr/>
            </w:pPr>
            <w:r>
              <w:rPr/>
              <w:drawing>
                <wp:inline distT="0" distB="0" distL="0" distR="0">
                  <wp:extent cx="1905000" cy="666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3"/>
                          <a:stretch>
                            <a:fillRect/>
                          </a:stretch>
                        </pic:blipFill>
                        <pic:spPr bwMode="auto">
                          <a:xfrm>
                            <a:off x="0" y="0"/>
                            <a:ext cx="1905000" cy="666750"/>
                          </a:xfrm>
                          <a:prstGeom prst="rect">
                            <a:avLst/>
                          </a:prstGeom>
                        </pic:spPr>
                      </pic:pic>
                    </a:graphicData>
                  </a:graphic>
                </wp:inline>
              </w:drawing>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D. Sznewajs</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bottom w:val="single" w:sz="8" w:space="0" w:color="000000"/>
            </w:tcBorders>
            <w:vAlign w:val="center"/>
          </w:tcPr>
          <w:p>
            <w:pPr>
              <w:pStyle w:val="TableContents"/>
              <w:bidi w:val="0"/>
              <w:spacing w:before="0" w:after="283"/>
              <w:jc w:val="left"/>
              <w:rPr/>
            </w:pPr>
            <w:r>
              <w:rPr/>
              <w:drawing>
                <wp:inline distT="0" distB="0" distL="0" distR="0">
                  <wp:extent cx="1905000" cy="1123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4"/>
                          <a:stretch>
                            <a:fillRect/>
                          </a:stretch>
                        </pic:blipFill>
                        <pic:spPr bwMode="auto">
                          <a:xfrm>
                            <a:off x="0" y="0"/>
                            <a:ext cx="1905000" cy="1123950"/>
                          </a:xfrm>
                          <a:prstGeom prst="rect">
                            <a:avLst/>
                          </a:prstGeom>
                        </pic:spPr>
                      </pic:pic>
                    </a:graphicData>
                  </a:graphic>
                </wp:inline>
              </w:drawing>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Dwight V. Board</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bottom w:val="single" w:sz="8" w:space="0" w:color="000000"/>
            </w:tcBorders>
            <w:vAlign w:val="center"/>
          </w:tcPr>
          <w:p>
            <w:pPr>
              <w:pStyle w:val="TableContents"/>
              <w:bidi w:val="0"/>
              <w:spacing w:before="0" w:after="283"/>
              <w:jc w:val="left"/>
              <w:rPr/>
            </w:pPr>
            <w:r>
              <w:rPr/>
              <w:drawing>
                <wp:inline distT="0" distB="0" distL="0" distR="0">
                  <wp:extent cx="1428750" cy="771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5"/>
                          <a:stretch>
                            <a:fillRect/>
                          </a:stretch>
                        </pic:blipFill>
                        <pic:spPr bwMode="auto">
                          <a:xfrm>
                            <a:off x="0" y="0"/>
                            <a:ext cx="1428750" cy="771525"/>
                          </a:xfrm>
                          <a:prstGeom prst="rect">
                            <a:avLst/>
                          </a:prstGeom>
                        </pic:spPr>
                      </pic:pic>
                    </a:graphicData>
                  </a:graphic>
                </wp:inline>
              </w:drawing>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 K. Chatterjee</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bottom w:val="single" w:sz="8" w:space="0" w:color="000000"/>
            </w:tcBorders>
            <w:vAlign w:val="center"/>
          </w:tcPr>
          <w:p>
            <w:pPr>
              <w:pStyle w:val="TableContents"/>
              <w:bidi w:val="0"/>
              <w:spacing w:before="0" w:after="283"/>
              <w:jc w:val="left"/>
              <w:rPr/>
            </w:pPr>
            <w:r>
              <w:rPr/>
              <w:drawing>
                <wp:inline distT="0" distB="0" distL="0" distR="0">
                  <wp:extent cx="1905000" cy="619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6"/>
                          <a:stretch>
                            <a:fillRect/>
                          </a:stretch>
                        </pic:blipFill>
                        <pic:spPr bwMode="auto">
                          <a:xfrm>
                            <a:off x="0" y="0"/>
                            <a:ext cx="1905000" cy="619125"/>
                          </a:xfrm>
                          <a:prstGeom prst="rect">
                            <a:avLst/>
                          </a:prstGeom>
                        </pic:spPr>
                      </pic:pic>
                    </a:graphicData>
                  </a:graphic>
                </wp:inline>
              </w:drawing>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Lane</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6667500" cy="9039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37"/>
                    <a:stretch>
                      <a:fillRect/>
                    </a:stretch>
                  </pic:blipFill>
                  <pic:spPr bwMode="auto">
                    <a:xfrm>
                      <a:off x="0" y="0"/>
                      <a:ext cx="6667500" cy="9039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AMENDED AND RESTATED BYLAWS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Meetings of Shareholders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such special meeting, unless otherwise provided by law, shall be called upon not less than ten (10) days nor more than sixty (60) days prior notice stating the purpose of the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Nominations for Directors</w:t>
      </w:r>
      <w:r>
        <w:rPr>
          <w:rFonts w:ascii="Times New Roman;Times;Serif" w:hAnsi="Times New Roman;Times;Serif"/>
          <w:b w:val="false"/>
          <w:i w:val="false"/>
          <w:caps w:val="false"/>
          <w:smallCaps w:val="false"/>
          <w:sz w:val="20"/>
        </w:rPr>
        <w:t>. Nominations for election to the Board may be made by the Board or by any shareholder.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Shareholders may vote at any meeting of the shareholders by proxies duly authorized in writing. Proxies shall be valid only for one meeting and any adjournments of such meeting and shall be filed with the records of the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The record date for determining shareholders entitled to notice and to vote at any meeting will be thirty days before the date of such meeting, unless otherwise determined by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Quorum and Voting</w:t>
      </w:r>
      <w:r>
        <w:rPr>
          <w:rFonts w:ascii="Times New Roman;Times;Serif" w:hAnsi="Times New Roman;Times;Serif"/>
          <w:b w:val="false"/>
          <w:i w:val="false"/>
          <w:caps w:val="false"/>
          <w:smallCaps w:val="false"/>
          <w:sz w:val="20"/>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Waiver and Consent</w:t>
      </w:r>
      <w:r>
        <w:rPr>
          <w:rFonts w:ascii="Times New Roman;Times;Serif" w:hAnsi="Times New Roman;Times;Serif"/>
          <w:b w:val="false"/>
          <w:i w:val="false"/>
          <w:caps w:val="false"/>
          <w:smallCaps w:val="false"/>
          <w:sz w:val="20"/>
        </w:rPr>
        <w:t>. The shareholders may act without notice or a meeting by a unanimous written consent by all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The Board shall have the right to determine that a shareholder meeting not be held at a place, but instead be held solely by means of remote communication in the manner and to the extent permitted by the General Corporation Law of the State of Delaware.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The Board shall have the power to manage and administer the business and affairs of the Association. Except as expressly limited by law, all corporate powers of the Association shall be vested in and may be exercised by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The directors of this Association shall hold office for one year and until their successors are duly elected and qualified, or until their earlier resignation or removal.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addition to the foregoing, the Board shall have and may exercise all of the powers granted to or conferred upon it by the Articles of Association, the Bylaws and by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Number</w:t>
      </w:r>
      <w:r>
        <w:rPr>
          <w:rFonts w:ascii="Times New Roman;Times;Serif" w:hAnsi="Times New Roman;Times;Serif"/>
          <w:b w:val="false"/>
          <w:i w:val="false"/>
          <w:caps w:val="false"/>
          <w:smallCaps w:val="false"/>
          <w:sz w:val="20"/>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Organization Meeting</w:t>
      </w:r>
      <w:r>
        <w:rPr>
          <w:rFonts w:ascii="Times New Roman;Times;Serif" w:hAnsi="Times New Roman;Times;Serif"/>
          <w:b w:val="false"/>
          <w:i w:val="false"/>
          <w:caps w:val="false"/>
          <w:smallCaps w:val="false"/>
          <w:sz w:val="20"/>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Regular Meetings</w:t>
      </w:r>
      <w:r>
        <w:rPr>
          <w:rFonts w:ascii="Times New Roman;Times;Serif" w:hAnsi="Times New Roman;Times;Serif"/>
          <w:b w:val="false"/>
          <w:i w:val="false"/>
          <w:caps w:val="false"/>
          <w:smallCaps w:val="false"/>
          <w:sz w:val="20"/>
        </w:rPr>
        <w:t>. The regular meetings of the Board shall be held, without notice, as the Chairman or President may designate and deem suitable.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Quorum and Necessary Vote</w:t>
      </w:r>
      <w:r>
        <w:rPr>
          <w:rFonts w:ascii="Times New Roman;Times;Serif" w:hAnsi="Times New Roman;Times;Serif"/>
          <w:b w:val="false"/>
          <w:i w:val="false"/>
          <w:caps w:val="false"/>
          <w:smallCaps w:val="false"/>
          <w:sz w:val="20"/>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Written Consent</w:t>
      </w:r>
      <w:r>
        <w:rPr>
          <w:rFonts w:ascii="Times New Roman;Times;Serif" w:hAnsi="Times New Roman;Times;Serif"/>
          <w:b w:val="false"/>
          <w:i w:val="false"/>
          <w:caps w:val="false"/>
          <w:smallCaps w:val="false"/>
          <w:sz w:val="20"/>
        </w:rPr>
        <w:t>. Except as otherwise required by applicable laws and regulations, the Board may act without a meeting by a unanimous written consent by all directors, to be filed with the Secretary of the Association as part of the corporate records.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When any vacancy occurs among the directors, the remaining members of the Board may appoint a director to fill such vacancy at any regular meeting of the Board, or at a special meeting called for that purpose.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Committees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Advisory Board of Directors</w:t>
      </w:r>
      <w:r>
        <w:rPr>
          <w:rFonts w:ascii="Times New Roman;Times;Serif" w:hAnsi="Times New Roman;Times;Serif"/>
          <w:b w:val="false"/>
          <w:i w:val="false"/>
          <w:caps w:val="false"/>
          <w:smallCaps w:val="false"/>
          <w:sz w:val="20"/>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Trust Audit Committee</w:t>
      </w:r>
      <w:r>
        <w:rPr>
          <w:rFonts w:ascii="Times New Roman;Times;Serif" w:hAnsi="Times New Roman;Times;Serif"/>
          <w:b w:val="false"/>
          <w:i w:val="false"/>
          <w:caps w:val="false"/>
          <w:smallCaps w:val="false"/>
          <w:sz w:val="20"/>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financial holding company that is the ultimate parent of this Association, fulfilling the function of the trust audit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Must not include any officers of the Association or an affiliate who participate significantly in the administration of the Association’s fiduciary activities;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Must consist of a majority of members who are not also members of any committee to which the Board has delegated power to manage and control the fiduciary activities of the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Executive Committee</w:t>
      </w:r>
      <w:r>
        <w:rPr>
          <w:rFonts w:ascii="Times New Roman;Times;Serif" w:hAnsi="Times New Roman;Times;Serif"/>
          <w:b w:val="false"/>
          <w:i w:val="false"/>
          <w:caps w:val="false"/>
          <w:smallCaps w:val="false"/>
          <w:sz w:val="20"/>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Trust Management Committee</w:t>
      </w:r>
      <w:r>
        <w:rPr>
          <w:rFonts w:ascii="Times New Roman;Times;Serif" w:hAnsi="Times New Roman;Times;Serif"/>
          <w:b w:val="false"/>
          <w:i w:val="false"/>
          <w:caps w:val="false"/>
          <w:smallCaps w:val="false"/>
          <w:sz w:val="20"/>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Other Committees</w:t>
      </w:r>
      <w:r>
        <w:rPr>
          <w:rFonts w:ascii="Times New Roman;Times;Serif" w:hAnsi="Times New Roman;Times;Serif"/>
          <w:b w:val="false"/>
          <w:i w:val="false"/>
          <w:caps w:val="false"/>
          <w:smallCaps w:val="false"/>
          <w:sz w:val="20"/>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Meetings, Minutes and Rules</w:t>
      </w:r>
      <w:r>
        <w:rPr>
          <w:rFonts w:ascii="Times New Roman;Times;Serif" w:hAnsi="Times New Roman;Times;Serif"/>
          <w:b w:val="false"/>
          <w:i w:val="false"/>
          <w:caps w:val="false"/>
          <w:smallCaps w:val="false"/>
          <w:sz w:val="20"/>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Who Shall Constitute.</w:t>
      </w:r>
      <w:r>
        <w:rPr>
          <w:rFonts w:ascii="Times New Roman;Times;Serif" w:hAnsi="Times New Roman;Times;Serif"/>
          <w:b w:val="false"/>
          <w:i w:val="false"/>
          <w:caps w:val="false"/>
          <w:smallCaps w:val="false"/>
          <w:sz w:val="20"/>
        </w:rPr>
        <w:t xml:space="preserve">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xml:space="preserve">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Chairman of the Board</w:t>
      </w:r>
      <w:r>
        <w:rPr>
          <w:rFonts w:ascii="Times New Roman;Times;Serif" w:hAnsi="Times New Roman;Times;Serif"/>
          <w:b w:val="false"/>
          <w:i w:val="false"/>
          <w:caps w:val="false"/>
          <w:smallCaps w:val="false"/>
          <w:sz w:val="20"/>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Vice President</w:t>
      </w:r>
      <w:r>
        <w:rPr>
          <w:rFonts w:ascii="Times New Roman;Times;Serif" w:hAnsi="Times New Roman;Times;Serif"/>
          <w:b w:val="false"/>
          <w:i w:val="false"/>
          <w:caps w:val="false"/>
          <w:smallCaps w:val="false"/>
          <w:sz w:val="20"/>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Secretary</w:t>
      </w:r>
      <w:r>
        <w:rPr>
          <w:rFonts w:ascii="Times New Roman;Times;Serif" w:hAnsi="Times New Roman;Times;Serif"/>
          <w:b w:val="false"/>
          <w:i w:val="false"/>
          <w:caps w:val="false"/>
          <w:smallCaps w:val="false"/>
          <w:sz w:val="20"/>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Other Officers</w:t>
      </w:r>
      <w:r>
        <w:rPr>
          <w:rFonts w:ascii="Times New Roman;Times;Serif" w:hAnsi="Times New Roman;Times;Serif"/>
          <w:b w:val="false"/>
          <w:i w:val="false"/>
          <w:caps w:val="false"/>
          <w:smallCaps w:val="false"/>
          <w:sz w:val="20"/>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Corporate Seal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Execution of Instruments</w:t>
      </w:r>
      <w:r>
        <w:rPr>
          <w:rFonts w:ascii="Times New Roman;Times;Serif" w:hAnsi="Times New Roman;Times;Serif"/>
          <w:b w:val="false"/>
          <w:i w:val="false"/>
          <w:caps w:val="false"/>
          <w:smallCaps w:val="false"/>
          <w:sz w:val="20"/>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Trust Files</w:t>
      </w:r>
      <w:r>
        <w:rPr>
          <w:rFonts w:ascii="Times New Roman;Times;Serif" w:hAnsi="Times New Roman;Times;Serif"/>
          <w:b w:val="false"/>
          <w:i w:val="false"/>
          <w:caps w:val="false"/>
          <w:smallCaps w:val="false"/>
          <w:sz w:val="20"/>
        </w:rPr>
        <w:t>. There shall be maintained in the Association files all fiduciary records necessary to assure that its fiduciary responsibilities have been properly undertaken and discharged.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Trust Investments</w:t>
      </w:r>
      <w:r>
        <w:rPr>
          <w:rFonts w:ascii="Times New Roman;Times;Serif" w:hAnsi="Times New Roman;Times;Serif"/>
          <w:b w:val="false"/>
          <w:i w:val="false"/>
          <w:caps w:val="false"/>
          <w:smallCaps w:val="false"/>
          <w:sz w:val="20"/>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specified otherwise in these Bylaws, prior notice shall be proper if given not more than 30 days nor less than 10 days prior to the event for which notice is given.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Bylaws: Interpretation and Amendment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These Bylaws shall be interpreted in accordance with and subject to appropriate provisions of law, and may be added to, altered, amended, or repealed, at any regular or special meeting of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A copy of the Bylaws and all amendments shall at all times be kept in a convenient place at the principal office of the Association, and shall be open for inspection to all shareholders during Association hours.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Association shall begin on the first day of January in each year and shall end on the thirty-first day of December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6, 2025)</w:t>
      </w:r>
    </w:p>
    <w:p>
      <w:pPr>
        <w:pStyle w:val="TextBody"/>
        <w:bidi w:val="0"/>
        <w:spacing w:before="0" w:after="0"/>
        <w:jc w:val="righ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13, 2026</w:t>
      </w:r>
    </w:p>
    <w:p>
      <w:pPr>
        <w:pStyle w:val="TextBody"/>
        <w:bidi w:val="0"/>
        <w:spacing w:before="0" w:after="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365"/>
        <w:gridCol w:w="207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0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Robert P. Pavlovic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P. Pavlovic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Bank Trust Company, National Association</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Statement of Financial Condition</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6/30/2026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($000’s) </w:t>
      </w:r>
    </w:p>
    <w:p>
      <w:pPr>
        <w:pStyle w:val="TextBody"/>
        <w:bidi w:val="0"/>
        <w:spacing w:before="0" w:after="0"/>
        <w:jc w:val="center"/>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5075"/>
        <w:gridCol w:w="60"/>
        <w:gridCol w:w="140"/>
        <w:gridCol w:w="980"/>
        <w:gridCol w:w="75"/>
      </w:tblGrid>
      <w:tr>
        <w:trPr/>
        <w:tc>
          <w:tcPr>
            <w:tcW w:w="507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6/30/2026</w:t>
            </w:r>
          </w:p>
        </w:tc>
        <w:tc>
          <w:tcPr>
            <w:tcW w:w="75" w:type="dxa"/>
            <w:tcBorders/>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Cash and Balances Due From Depository Institutions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2,474,094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4,673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Federal Funds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Loans &amp; Lease Financing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Fixed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573,109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154,375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3,206,698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Fed 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Treasury Demand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Trading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Other Borrowed Money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Acceptances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Subordinated Notes and Debentures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268,325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980" w:type="dxa"/>
            <w:tcBorders/>
            <w:shd w:fill="FFFFFF" w:val="clear"/>
            <w:vAlign w:val="center"/>
          </w:tcPr>
          <w:p>
            <w:pPr>
              <w:pStyle w:val="TableContents"/>
              <w:bidi w:val="0"/>
              <w:spacing w:before="0" w:after="283"/>
              <w:jc w:val="right"/>
              <w:rPr>
                <w:b/>
              </w:rPr>
            </w:pPr>
            <w:r>
              <w:rPr>
                <w:b/>
              </w:rPr>
              <w:t>268,325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Common and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Surplus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1,171,635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Undivided Profits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1,766,538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Minority Interest in Subsidiaries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b/>
              </w:rPr>
            </w:pPr>
            <w:r>
              <w:rPr>
                <w:b/>
              </w:rPr>
              <w:t>Total Equity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2,938,373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b/>
              </w:rPr>
            </w:pPr>
            <w:r>
              <w:rPr>
                <w:b/>
              </w:rPr>
              <w:t>Total Liabilities and Equity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3,206,698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caps w:val="false"/>
          <w:smallCaps w:val="false"/>
          <w:bdr w:val="single" w:sz="16" w:space="1" w:color="000000"/>
        </w:rPr>
      </w:pPr>
      <w:r>
        <w:rPr>
          <w:caps w:val="false"/>
          <w:smallCaps w:val="false"/>
          <w:bdr w:val="single" w:sz="16" w:space="1" w:color="000000"/>
        </w:rPr>
        <w:t> </w:t>
      </w:r>
    </w:p>
    <w:p>
      <w:pPr>
        <w:pStyle w:val="TextBody"/>
        <w:bidi w:val="0"/>
        <w:jc w:val="left"/>
        <w:rPr>
          <w:caps w:val="false"/>
          <w:smallCaps w:val="false"/>
          <w:bdr w:val="single" w:sz="32" w:space="1" w:color="000000"/>
        </w:rPr>
      </w:pPr>
      <w:bookmarkStart w:id="108" w:name="ny20083847x1_ex25-2.htm"/>
      <w:bookmarkStart w:id="109" w:name="ksny20083847x1_ex252"/>
      <w:bookmarkEnd w:id="108"/>
      <w:bookmarkEnd w:id="109"/>
      <w:r>
        <w:rPr>
          <w:caps w:val="false"/>
          <w:smallCaps w:val="false"/>
          <w:bdr w:val="single" w:sz="32" w:space="1" w:color="000000"/>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25.2</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32"/>
        </w:rPr>
      </w:pPr>
      <w:r>
        <w:rPr>
          <w:rFonts w:ascii="Times New Roman;Times;Serif" w:hAnsi="Times New Roman;Times;Serif"/>
          <w:b/>
          <w:i w:val="false"/>
          <w:smallCaps/>
          <w:sz w:val="32"/>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T-1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Statement of Eligibility Under</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The Trust Indenture Act of 1939 of a </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Corporation Designated to Act as Trustee</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an Application to Determine Eligibility of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Pursuant to Section 305(b)(2) ☐</w:t>
      </w:r>
    </w:p>
    <w:p>
      <w:pPr>
        <w:pStyle w:val="TextBody"/>
        <w:bidi w:val="0"/>
        <w:spacing w:before="0" w:after="0"/>
        <w:jc w:val="center"/>
        <w:rPr>
          <w:caps w:val="false"/>
          <w:smallCaps w:val="false"/>
        </w:rPr>
      </w:pPr>
      <w:r>
        <w:rPr>
          <w:caps w:val="false"/>
          <w:smallCaps w:val="false"/>
        </w:rPr>
        <w:t> </w:t>
      </w:r>
    </w:p>
    <w:p>
      <w:pPr>
        <w:pStyle w:val="TextBody"/>
        <w:bidi w:val="0"/>
        <w:spacing w:before="60" w:after="6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U.S. BANK TRUST COMPANY, NATIONAL ASSOCIATION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Trustee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91-1821036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p>
      <w:pPr>
        <w:pStyle w:val="TextBody"/>
        <w:bidi w:val="0"/>
        <w:spacing w:before="0" w:after="0"/>
        <w:jc w:val="center"/>
        <w:rPr>
          <w:caps w:val="false"/>
          <w:smallCaps w:val="false"/>
        </w:rPr>
      </w:pPr>
      <w:r>
        <w:rPr>
          <w:caps w:val="false"/>
          <w:smallCaps w:val="false"/>
        </w:rPr>
        <w:t> </w:t>
      </w:r>
    </w:p>
    <w:tbl>
      <w:tblPr>
        <w:tblW w:w="4135" w:type="dxa"/>
        <w:jc w:val="left"/>
        <w:tblInd w:w="-10" w:type="dxa"/>
        <w:tblLayout w:type="fixed"/>
        <w:tblCellMar>
          <w:top w:w="28" w:type="dxa"/>
          <w:left w:w="28" w:type="dxa"/>
          <w:bottom w:w="28" w:type="dxa"/>
          <w:right w:w="28" w:type="dxa"/>
        </w:tblCellMar>
      </w:tblPr>
      <w:tblGrid>
        <w:gridCol w:w="3215"/>
        <w:gridCol w:w="920"/>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40"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South 6th Street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55402 </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Pavlovic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w:t>
      </w:r>
    </w:p>
    <w:p>
      <w:pPr>
        <w:pStyle w:val="TextBody"/>
        <w:bidi w:val="0"/>
        <w:spacing w:lineRule="auto" w:line="240"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1735 Market Street, 43rd Floor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19103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215-4428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WESTINGHOUSE AIR BRAKE TECHNOLOGIES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8"/>
        </w:rPr>
        <w:t>CORPORATION</w:t>
      </w:r>
      <w:r>
        <w:rPr>
          <w:rFonts w:ascii="Times New Roman;Times;Serif" w:hAnsi="Times New Roman;Times;Serif"/>
          <w:b w:val="false"/>
          <w:i w:val="false"/>
          <w:caps w:val="false"/>
          <w:smallCaps w:val="false"/>
          <w:sz w:val="28"/>
        </w:rPr>
        <w:t> </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with respect to the Securities)</w:t>
      </w:r>
    </w:p>
    <w:tbl>
      <w:tblPr>
        <w:tblW w:w="7795" w:type="dxa"/>
        <w:jc w:val="left"/>
        <w:tblInd w:w="-10" w:type="dxa"/>
        <w:tblLayout w:type="fixed"/>
        <w:tblCellMar>
          <w:top w:w="28" w:type="dxa"/>
          <w:left w:w="28" w:type="dxa"/>
          <w:bottom w:w="28" w:type="dxa"/>
          <w:right w:w="28" w:type="dxa"/>
        </w:tblCellMar>
      </w:tblPr>
      <w:tblGrid>
        <w:gridCol w:w="4880"/>
        <w:gridCol w:w="2915"/>
      </w:tblGrid>
      <w:tr>
        <w:trPr/>
        <w:tc>
          <w:tcPr>
            <w:tcW w:w="48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29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25-1615902</w:t>
            </w:r>
          </w:p>
        </w:tc>
      </w:tr>
      <w:tr>
        <w:trPr/>
        <w:tc>
          <w:tcPr>
            <w:tcW w:w="4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2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4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2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4195" w:type="dxa"/>
        <w:jc w:val="left"/>
        <w:tblInd w:w="-10" w:type="dxa"/>
        <w:tblLayout w:type="fixed"/>
        <w:tblCellMar>
          <w:top w:w="28" w:type="dxa"/>
          <w:left w:w="28" w:type="dxa"/>
          <w:bottom w:w="28" w:type="dxa"/>
          <w:right w:w="28" w:type="dxa"/>
        </w:tblCellMar>
      </w:tblPr>
      <w:tblGrid>
        <w:gridCol w:w="3275"/>
        <w:gridCol w:w="920"/>
      </w:tblGrid>
      <w:tr>
        <w:trPr/>
        <w:tc>
          <w:tcPr>
            <w:tcW w:w="32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Isabella Street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Pittsburgh, PA </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15212 </w:t>
            </w:r>
          </w:p>
        </w:tc>
      </w:tr>
      <w:tr>
        <w:trPr/>
        <w:tc>
          <w:tcPr>
            <w:tcW w:w="32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Senior Debt Securities</w:t>
      </w:r>
    </w:p>
    <w:p>
      <w:pPr>
        <w:pStyle w:val="TextBody"/>
        <w:bidi w:val="0"/>
        <w:spacing w:before="0" w:after="0"/>
        <w:ind w:left="2160" w:right="0" w:hanging="207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(Title of the Indenture Securities)</w:t>
      </w:r>
      <w:r>
        <w:rPr>
          <w:rFonts w:ascii="Times New Roman;Times;Serif" w:hAnsi="Times New Roman;Times;Serif"/>
          <w:b w:val="false"/>
          <w:i w:val="false"/>
          <w:caps w:val="false"/>
          <w:smallCaps w:val="false"/>
          <w:sz w:val="20"/>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T-1</w:t>
      </w:r>
    </w:p>
    <w:p>
      <w:pPr>
        <w:pStyle w:val="TextBody"/>
        <w:bidi w:val="0"/>
        <w:spacing w:before="0" w:after="0"/>
        <w:jc w:val="center"/>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650"/>
        <w:gridCol w:w="6710"/>
      </w:tblGrid>
      <w:tr>
        <w:trPr/>
        <w:tc>
          <w:tcPr>
            <w:tcW w:w="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Item 1. </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GENERAL INFORMATION</w:t>
            </w:r>
            <w:r>
              <w:rPr>
                <w:rFonts w:ascii="Times New Roman;Times;Serif" w:hAnsi="Times New Roman;Times;Serif"/>
                <w:b/>
                <w:i/>
                <w:sz w:val="20"/>
              </w:rPr>
              <w:t>.</w:t>
            </w:r>
            <w:r>
              <w:rPr>
                <w:rFonts w:ascii="Times New Roman;Times;Serif" w:hAnsi="Times New Roman;Times;Serif"/>
                <w:sz w:val="20"/>
              </w:rPr>
              <w:t xml:space="preserve"> Furnish the following information as to the Trustee.</w:t>
            </w:r>
          </w:p>
        </w:tc>
      </w:tr>
    </w:tbl>
    <w:p>
      <w:pPr>
        <w:pStyle w:val="TextBody"/>
        <w:bidi w:val="0"/>
        <w:spacing w:before="0" w:after="0"/>
        <w:ind w:left="504" w:right="0" w:hanging="504"/>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170"/>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8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 and address of each examining or supervising authority to which it is subject.</w:t>
            </w:r>
          </w:p>
        </w:tc>
      </w:tr>
    </w:tbl>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Comptroller of the Currency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w:t>
      </w:r>
    </w:p>
    <w:p>
      <w:pPr>
        <w:pStyle w:val="TextBody"/>
        <w:bidi w:val="0"/>
        <w:spacing w:before="0" w:after="0"/>
        <w:ind w:left="720" w:right="0" w:firstLine="144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185"/>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86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Whether it is authorized to exercise corporate trust powers.</w:t>
            </w:r>
          </w:p>
        </w:tc>
      </w:tr>
    </w:tbl>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p>
      <w:pPr>
        <w:pStyle w:val="TextBody"/>
        <w:bidi w:val="0"/>
        <w:spacing w:before="0" w:after="0"/>
        <w:ind w:left="0" w:right="0" w:firstLine="72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650"/>
        <w:gridCol w:w="9530"/>
      </w:tblGrid>
      <w:tr>
        <w:trPr/>
        <w:tc>
          <w:tcPr>
            <w:tcW w:w="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Item 2. </w:t>
            </w:r>
          </w:p>
        </w:tc>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AFFILIATIONS WITH THE OBLIGOR. </w:t>
            </w:r>
            <w:r>
              <w:rPr>
                <w:rFonts w:ascii="Times New Roman;Times;Serif" w:hAnsi="Times New Roman;Times;Serif"/>
                <w:i/>
                <w:sz w:val="20"/>
              </w:rPr>
              <w:t>If the obligor is an affiliate of the Trustee, describe each such affiliation.</w:t>
            </w:r>
            <w:r>
              <w:rPr>
                <w:rFonts w:ascii="Times New Roman;Times;Serif" w:hAnsi="Times New Roman;Times;Serif"/>
                <w:sz w:val="20"/>
              </w:rPr>
              <w:t> </w:t>
            </w:r>
          </w:p>
        </w:tc>
      </w:tr>
    </w:tbl>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72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2"/>
        <w:gridCol w:w="9433"/>
      </w:tblGrid>
      <w:tr>
        <w:trPr/>
        <w:tc>
          <w:tcPr>
            <w:tcW w:w="7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Items 3-15</w:t>
            </w:r>
          </w:p>
        </w:tc>
        <w:tc>
          <w:tcPr>
            <w:tcW w:w="943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Items 3-15 are not applicable because to the best of the Trustee's knowledge, the obligor is not in default under any Indenture for which the Trustee acts as Trustee.</w:t>
            </w:r>
          </w:p>
        </w:tc>
      </w:tr>
    </w:tbl>
    <w:p>
      <w:pPr>
        <w:pStyle w:val="TextBody"/>
        <w:bidi w:val="0"/>
        <w:spacing w:before="0" w:after="0"/>
        <w:ind w:left="1440" w:right="0" w:hanging="144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755"/>
        <w:gridCol w:w="8885"/>
      </w:tblGrid>
      <w:tr>
        <w:trPr/>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Item 16. </w:t>
            </w:r>
          </w:p>
        </w:tc>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LIST OF EXHIBITS:</w:t>
            </w:r>
            <w:r>
              <w:rPr>
                <w:rFonts w:ascii="Times New Roman;Times;Serif" w:hAnsi="Times New Roman;Times;Serif"/>
                <w:sz w:val="20"/>
              </w:rPr>
              <w:t xml:space="preserve"> </w:t>
            </w:r>
            <w:r>
              <w:rPr>
                <w:rFonts w:ascii="Times New Roman;Times;Serif" w:hAnsi="Times New Roman;Times;Serif"/>
                <w:i/>
                <w:sz w:val="20"/>
              </w:rPr>
              <w:t xml:space="preserve">List below all exhibits filed as a part of this statement of eligibility and qualification. </w:t>
            </w:r>
          </w:p>
        </w:tc>
      </w:tr>
    </w:tbl>
    <w:p>
      <w:pPr>
        <w:pStyle w:val="TextBody"/>
        <w:bidi w:val="0"/>
        <w:spacing w:before="0" w:after="0"/>
        <w:ind w:left="1080" w:right="0" w:hanging="1080"/>
        <w:jc w:val="left"/>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the Articles of Association of the Trustee, attached as Exhibit 1.</w:t>
            </w:r>
          </w:p>
        </w:tc>
      </w:tr>
    </w:tbl>
    <w:p>
      <w:pPr>
        <w:pStyle w:val="TextBody"/>
        <w:bidi w:val="0"/>
        <w:spacing w:before="0" w:after="0"/>
        <w:ind w:left="1440" w:right="0" w:hanging="360"/>
        <w:jc w:val="left"/>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17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the certificate of authority of the Trustee to commence business, attached as Exhibit 2.</w:t>
            </w:r>
          </w:p>
        </w:tc>
      </w:tr>
    </w:tbl>
    <w:p>
      <w:pPr>
        <w:pStyle w:val="TextBody"/>
        <w:bidi w:val="0"/>
        <w:spacing w:before="0" w:after="0"/>
        <w:ind w:left="1440" w:right="0" w:hanging="360"/>
        <w:jc w:val="left"/>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17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the authorization of the Trustee to exercise corporate trust powers, included as Exhibit 2.</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7"/>
        <w:gridCol w:w="9830"/>
      </w:tblGrid>
      <w:tr>
        <w:trPr/>
        <w:tc>
          <w:tcPr>
            <w:tcW w:w="6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the existing bylaws of the Trustee, attached as Exhibit 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30"/>
        <w:gridCol w:w="9802"/>
      </w:tblGrid>
      <w:tr>
        <w:trPr/>
        <w:tc>
          <w:tcPr>
            <w:tcW w:w="7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each Indenture referred to in Item 4. Not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consent of the Trustee required by Section 321(b) of the Trust Indenture Act of 1939, attached as Exhibit 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 of Condition of the Trustee as of June 30, 2026, published pursuant to law or the requirements of its supervising or examining authority, attached as Exhibit 7.</w:t>
            </w:r>
          </w:p>
        </w:tc>
      </w:tr>
    </w:tbl>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lineRule="auto" w:line="240"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to be signed on its behalf by the undersigned, thereunto duly authorized, all in the City of Philadelphia, Commonwealth of Pennsylvania on the 13th of October, 2026.</w:t>
      </w:r>
    </w:p>
    <w:p>
      <w:pPr>
        <w:pStyle w:val="TextBody"/>
        <w:bidi w:val="0"/>
        <w:spacing w:before="0" w:after="0"/>
        <w:ind w:left="0" w:right="0" w:firstLine="72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75"/>
        <w:gridCol w:w="320"/>
        <w:gridCol w:w="1775"/>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Robert P. Pavlovic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P. Pavlovic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Exhibit 1</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ARTICLES OF ASSOCIATION </w:t>
        <w:br/>
        <w:t>OF</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 S. BANK TRUST COMPANY, NATIONAL ASSOCIATION</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organizing an association (the “Association”) to perform any lawful activities of national banks, the undersigned enter into the following Articles of Association:</w:t>
      </w:r>
    </w:p>
    <w:p>
      <w:pPr>
        <w:pStyle w:val="TextBody"/>
        <w:bidi w:val="0"/>
        <w:spacing w:before="0" w:after="0"/>
        <w:ind w:left="0" w:right="0" w:firstLine="4"/>
        <w:jc w:val="both"/>
        <w:rPr>
          <w:caps w:val="false"/>
          <w:smallCaps w:val="false"/>
        </w:rPr>
      </w:pPr>
      <w:r>
        <w:rPr>
          <w:caps w:val="false"/>
          <w:smallCaps w:val="false"/>
        </w:rPr>
        <w:t> </w:t>
      </w:r>
    </w:p>
    <w:p>
      <w:pPr>
        <w:pStyle w:val="TextBody"/>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FIRST. </w:t>
      </w:r>
      <w:r>
        <w:rPr>
          <w:rFonts w:ascii="Times New Roman;Times;Serif" w:hAnsi="Times New Roman;Times;Serif"/>
          <w:b w:val="false"/>
          <w:i w:val="false"/>
          <w:caps w:val="false"/>
          <w:smallCaps w:val="false"/>
          <w:sz w:val="20"/>
        </w:rPr>
        <w:t>The title of this Association shall be U. S. Bank Trust Company, National Association.</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hanging="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SECOND. </w:t>
      </w:r>
      <w:r>
        <w:rPr>
          <w:rFonts w:ascii="Times New Roman;Times;Serif" w:hAnsi="Times New Roman;Times;Serif"/>
          <w:b w:val="false"/>
          <w:i w:val="false"/>
          <w:caps w:val="false"/>
          <w:smallCaps w:val="false"/>
          <w:sz w:val="20"/>
        </w:rPr>
        <w:t>The main office of the Association shall be in the city of Portland, county of Multnomah, state of Oregon. The business of the Association will be limited to fiduciary powers and the support of activities incidental to the exercise of those powers. The Association may not expand or alter its business beyond that stated in this article without the prior approval of the Comptroller of the Currency.</w:t>
      </w:r>
    </w:p>
    <w:p>
      <w:pPr>
        <w:pStyle w:val="TextBody"/>
        <w:bidi w:val="0"/>
        <w:spacing w:before="0" w:after="0"/>
        <w:ind w:left="0" w:right="0" w:hanging="2"/>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THIRD. </w:t>
      </w:r>
      <w:r>
        <w:rPr>
          <w:rFonts w:ascii="Times New Roman;Times;Serif" w:hAnsi="Times New Roman;Times;Serif"/>
          <w:b w:val="false"/>
          <w:i w:val="false"/>
          <w:caps w:val="false"/>
          <w:smallCaps w:val="false"/>
          <w:sz w:val="20"/>
        </w:rPr>
        <w:t>The board of directors of the Association shall consist of not less than five nor more than twenty-five persons, the exact 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firstLine="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pStyle w:val="TextBody"/>
        <w:bidi w:val="0"/>
        <w:spacing w:before="0" w:after="0"/>
        <w:ind w:left="0" w:right="0" w:firstLine="6"/>
        <w:jc w:val="both"/>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FOURTH. </w:t>
      </w:r>
      <w:r>
        <w:rPr>
          <w:rFonts w:ascii="Times New Roman;Times;Serif" w:hAnsi="Times New Roman;Times;Serif"/>
          <w:b w:val="false"/>
          <w:i w:val="false"/>
          <w:caps w:val="false"/>
          <w:smallCaps w:val="false"/>
          <w:sz w:val="20"/>
        </w:rPr>
        <w:t>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pStyle w:val="TextBody"/>
        <w:bidi w:val="0"/>
        <w:spacing w:before="0" w:after="0"/>
        <w:ind w:left="0" w:right="0" w:firstLine="6"/>
        <w:jc w:val="both"/>
        <w:rPr>
          <w:caps w:val="false"/>
          <w:smallCaps w:val="false"/>
        </w:rPr>
      </w:pPr>
      <w:r>
        <w:rPr>
          <w:caps w:val="false"/>
          <w:smallCaps w:val="false"/>
        </w:rPr>
        <w:t> </w:t>
      </w:r>
    </w:p>
    <w:p>
      <w:pPr>
        <w:pStyle w:val="TextBody"/>
        <w:bidi w:val="0"/>
        <w:spacing w:before="200" w:after="200"/>
        <w:ind w:left="0" w:right="0" w:firstLine="6"/>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- 1 -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resign at any time by delivering written notice to the board of directors, its chairperson, or to the Association, which resignation shall be effective when the notice is delivered unless the notice specifies a later effective date.</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firstLine="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pStyle w:val="TextBody"/>
        <w:bidi w:val="0"/>
        <w:spacing w:before="0" w:after="0"/>
        <w:ind w:left="0" w:right="0" w:firstLine="7"/>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FIFTH. </w:t>
      </w:r>
      <w:r>
        <w:rPr>
          <w:rFonts w:ascii="Times New Roman;Times;Serif" w:hAnsi="Times New Roman;Times;Serif"/>
          <w:b w:val="false"/>
          <w:i w:val="false"/>
          <w:caps w:val="false"/>
          <w:smallCaps w:val="false"/>
          <w:sz w:val="20"/>
        </w:rPr>
        <w:t>The authorized amount of capital stock of the Association shall be 1,000,000 shares of common stock of the par value of ten dollars ($10) each; but said capital stock may be increased or decreased from time to time, according to the provisions of the laws of the United States. The Association shall have only one class of capital stock.</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firstLine="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pStyle w:val="TextBody"/>
        <w:bidi w:val="0"/>
        <w:spacing w:before="0" w:after="0"/>
        <w:ind w:left="0" w:right="0" w:firstLine="11"/>
        <w:jc w:val="both"/>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0" w:after="0"/>
        <w:ind w:left="0" w:right="0" w:firstLine="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pStyle w:val="TextBody"/>
        <w:bidi w:val="0"/>
        <w:spacing w:before="0" w:after="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- 2 -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all shares of voting stock shall be voted together as a class, on any matters requiring shareholder approval.</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pStyle w:val="TextBody"/>
        <w:bidi w:val="0"/>
        <w:spacing w:before="0" w:after="0"/>
        <w:ind w:left="0" w:right="0" w:hanging="7"/>
        <w:jc w:val="both"/>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SIXTH. </w:t>
      </w:r>
      <w:r>
        <w:rPr>
          <w:rFonts w:ascii="Times New Roman;Times;Serif" w:hAnsi="Times New Roman;Times;Serif"/>
          <w:b w:val="false"/>
          <w:i w:val="false"/>
          <w:caps w:val="false"/>
          <w:smallCaps w:val="false"/>
          <w:sz w:val="20"/>
        </w:rPr>
        <w:t>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have the power to:</w:t>
      </w:r>
    </w:p>
    <w:p>
      <w:pPr>
        <w:pStyle w:val="TextBody"/>
        <w:bidi w:val="0"/>
        <w:spacing w:before="0" w:after="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260"/>
        <w:gridCol w:w="605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Define the duties of the officers, employees, and agents of the Association.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Delegate the performance of its duties, but not the responsibility for its duties, to the officers, employees, and agents of the Association.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Fix the compensation and enter employment contracts with its officers and employees upon reasonable terms and conditions consistent with applicable law.</w:t>
            </w:r>
          </w:p>
        </w:tc>
      </w:tr>
    </w:tbl>
    <w:p>
      <w:pPr>
        <w:pStyle w:val="TextBody"/>
        <w:bidi w:val="0"/>
        <w:spacing w:before="0" w:after="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260"/>
        <w:gridCol w:w="261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Dismiss officers and employees.</w:t>
            </w:r>
          </w:p>
        </w:tc>
      </w:tr>
    </w:tbl>
    <w:p>
      <w:pPr>
        <w:pStyle w:val="TextBody"/>
        <w:bidi w:val="0"/>
        <w:spacing w:before="0" w:after="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260"/>
        <w:gridCol w:w="599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 bonds from officers and employees and to fix the penalty thereof.</w:t>
            </w:r>
          </w:p>
        </w:tc>
      </w:tr>
    </w:tbl>
    <w:p>
      <w:pPr>
        <w:pStyle w:val="TextBody"/>
        <w:bidi w:val="0"/>
        <w:spacing w:before="0" w:after="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260"/>
        <w:gridCol w:w="776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Ratify written policies authorized by the Association's management or committees of the board.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- 3 -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260"/>
        <w:gridCol w:w="542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 and administer the business and affairs of the Association.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Adopt initial Bylaws, not inconsistent with law or the Articles of Association, for managing the business and regulating the affairs of the Association.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 or repeal Bylaws, except to the extent that the Articles of Association reserve this power in whole or in part to the shareholders.</w:t>
            </w:r>
          </w:p>
        </w:tc>
      </w:tr>
    </w:tbl>
    <w:p>
      <w:pPr>
        <w:pStyle w:val="TextBody"/>
        <w:bidi w:val="0"/>
        <w:spacing w:before="0" w:after="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365"/>
        <w:gridCol w:w="1325"/>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Make contracts.</w:t>
            </w:r>
          </w:p>
        </w:tc>
      </w:tr>
    </w:tbl>
    <w:p>
      <w:pPr>
        <w:pStyle w:val="TextBody"/>
        <w:bidi w:val="0"/>
        <w:spacing w:before="0" w:after="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365"/>
        <w:gridCol w:w="6020"/>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6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Generally perform all acts that are legal for a board of directors to perform.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SEVENTH. </w:t>
      </w:r>
      <w:r>
        <w:rPr>
          <w:rFonts w:ascii="Times New Roman;Times;Serif" w:hAnsi="Times New Roman;Times;Serif"/>
          <w:b w:val="false"/>
          <w:i w:val="false"/>
          <w:caps w:val="false"/>
          <w:smallCaps w:val="false"/>
          <w:sz w:val="20"/>
        </w:rPr>
        <w:t>The board of directors shall have the power to change the location of the main office to any authorized branch 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ind w:left="0" w:right="0" w:hanging="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EIGHTH. </w:t>
      </w:r>
      <w:r>
        <w:rPr>
          <w:rFonts w:ascii="Times New Roman;Times;Serif" w:hAnsi="Times New Roman;Times;Serif"/>
          <w:b w:val="false"/>
          <w:i w:val="false"/>
          <w:caps w:val="false"/>
          <w:smallCaps w:val="false"/>
          <w:sz w:val="20"/>
        </w:rPr>
        <w:t>The corporate existence of this Association shall continue until termination according to the laws of the United States.</w:t>
      </w:r>
    </w:p>
    <w:p>
      <w:pPr>
        <w:pStyle w:val="TextBody"/>
        <w:bidi w:val="0"/>
        <w:spacing w:before="0" w:after="0"/>
        <w:ind w:left="0" w:right="0" w:hanging="3"/>
        <w:jc w:val="both"/>
        <w:rPr>
          <w:caps w:val="false"/>
          <w:smallCaps w:val="false"/>
        </w:rPr>
      </w:pPr>
      <w:r>
        <w:rPr>
          <w:caps w:val="false"/>
          <w:smallCaps w:val="false"/>
        </w:rPr>
        <w:t> </w:t>
      </w:r>
    </w:p>
    <w:p>
      <w:pPr>
        <w:pStyle w:val="TextBody"/>
        <w:bidi w:val="0"/>
        <w:spacing w:before="0" w:after="0"/>
        <w:ind w:left="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NINTH. </w:t>
      </w:r>
      <w:r>
        <w:rPr>
          <w:rFonts w:ascii="Times New Roman;Times;Serif" w:hAnsi="Times New Roman;Times;Serif"/>
          <w:b w:val="false"/>
          <w:i w:val="false"/>
          <w:caps w:val="false"/>
          <w:smallCaps w:val="false"/>
          <w:sz w:val="20"/>
        </w:rPr>
        <w:t>The board of directors of the Association, or any shareholder owning, in the aggregate, not less than 25 percent of the stock 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pStyle w:val="TextBody"/>
        <w:bidi w:val="0"/>
        <w:spacing w:before="0" w:after="0"/>
        <w:ind w:left="0" w:right="0" w:firstLine="4"/>
        <w:jc w:val="both"/>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TENTH. </w:t>
      </w:r>
      <w:r>
        <w:rPr>
          <w:rFonts w:ascii="Times New Roman;Times;Serif" w:hAnsi="Times New Roman;Times;Serif"/>
          <w:b w:val="false"/>
          <w:i w:val="false"/>
          <w:caps w:val="false"/>
          <w:smallCaps w:val="false"/>
          <w:sz w:val="20"/>
        </w:rPr>
        <w:t>These Articles of Association may be amended at any regular or special meeting of the shareholders by the affirmative 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- 4 -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lineRule="auto" w:line="240"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we have hereunto set our hands this </w:t>
      </w:r>
      <w:r>
        <w:rPr>
          <w:rFonts w:ascii="Times New Roman;Times;Serif" w:hAnsi="Times New Roman;Times;Serif"/>
          <w:b w:val="false"/>
          <w:i w:val="false"/>
          <w:caps w:val="false"/>
          <w:smallCaps w:val="false"/>
          <w:sz w:val="20"/>
          <w:u w:val="single"/>
        </w:rPr>
        <w:t>11th</w:t>
      </w:r>
      <w:r>
        <w:rPr>
          <w:rFonts w:ascii="Times New Roman;Times;Serif" w:hAnsi="Times New Roman;Times;Serif"/>
          <w:b w:val="false"/>
          <w:i w:val="false"/>
          <w:caps w:val="false"/>
          <w:smallCaps w:val="false"/>
          <w:sz w:val="20"/>
        </w:rPr>
        <w:t xml:space="preserve"> of June, 1997.</w:t>
      </w:r>
    </w:p>
    <w:p>
      <w:pPr>
        <w:pStyle w:val="TextBody"/>
        <w:bidi w:val="0"/>
        <w:spacing w:before="0" w:after="0"/>
        <w:jc w:val="both"/>
        <w:rPr>
          <w:caps w:val="false"/>
          <w:smallCaps w:val="false"/>
        </w:rPr>
      </w:pPr>
      <w:r>
        <w:rPr>
          <w:caps w:val="false"/>
          <w:smallCaps w:val="false"/>
        </w:rPr>
        <w:t> </w:t>
      </w:r>
    </w:p>
    <w:tbl>
      <w:tblPr>
        <w:tblW w:w="3840" w:type="dxa"/>
        <w:jc w:val="left"/>
        <w:tblInd w:w="0" w:type="dxa"/>
        <w:tblLayout w:type="fixed"/>
        <w:tblCellMar>
          <w:top w:w="0" w:type="dxa"/>
          <w:left w:w="0" w:type="dxa"/>
          <w:bottom w:w="28" w:type="dxa"/>
          <w:right w:w="0" w:type="dxa"/>
        </w:tblCellMar>
      </w:tblPr>
      <w:tblGrid>
        <w:gridCol w:w="3765"/>
        <w:gridCol w:w="75"/>
      </w:tblGrid>
      <w:tr>
        <w:trPr/>
        <w:tc>
          <w:tcPr>
            <w:tcW w:w="3765" w:type="dxa"/>
            <w:tcBorders>
              <w:bottom w:val="single" w:sz="8" w:space="0" w:color="000000"/>
            </w:tcBorders>
            <w:vAlign w:val="center"/>
          </w:tcPr>
          <w:p>
            <w:pPr>
              <w:pStyle w:val="TableContents"/>
              <w:bidi w:val="0"/>
              <w:spacing w:before="0" w:after="283"/>
              <w:jc w:val="left"/>
              <w:rPr/>
            </w:pPr>
            <w:r>
              <w:rPr/>
              <w:drawing>
                <wp:inline distT="0" distB="0" distL="0" distR="0">
                  <wp:extent cx="2381250" cy="904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38"/>
                          <a:stretch>
                            <a:fillRect/>
                          </a:stretch>
                        </pic:blipFill>
                        <pic:spPr bwMode="auto">
                          <a:xfrm>
                            <a:off x="0" y="0"/>
                            <a:ext cx="2381250" cy="904875"/>
                          </a:xfrm>
                          <a:prstGeom prst="rect">
                            <a:avLst/>
                          </a:prstGeom>
                        </pic:spPr>
                      </pic:pic>
                    </a:graphicData>
                  </a:graphic>
                </wp:inline>
              </w:drawing>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Jeffrey T. Grubb</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bottom w:val="single" w:sz="8" w:space="0" w:color="000000"/>
            </w:tcBorders>
            <w:vAlign w:val="center"/>
          </w:tcPr>
          <w:p>
            <w:pPr>
              <w:pStyle w:val="TableContents"/>
              <w:bidi w:val="0"/>
              <w:spacing w:before="0" w:after="283"/>
              <w:jc w:val="left"/>
              <w:rPr/>
            </w:pPr>
            <w:r>
              <w:rPr/>
              <w:drawing>
                <wp:inline distT="0" distB="0" distL="0" distR="0">
                  <wp:extent cx="1905000" cy="6667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39"/>
                          <a:stretch>
                            <a:fillRect/>
                          </a:stretch>
                        </pic:blipFill>
                        <pic:spPr bwMode="auto">
                          <a:xfrm>
                            <a:off x="0" y="0"/>
                            <a:ext cx="1905000" cy="666750"/>
                          </a:xfrm>
                          <a:prstGeom prst="rect">
                            <a:avLst/>
                          </a:prstGeom>
                        </pic:spPr>
                      </pic:pic>
                    </a:graphicData>
                  </a:graphic>
                </wp:inline>
              </w:drawing>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D. Sznewajs</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bottom w:val="single" w:sz="8" w:space="0" w:color="000000"/>
            </w:tcBorders>
            <w:vAlign w:val="center"/>
          </w:tcPr>
          <w:p>
            <w:pPr>
              <w:pStyle w:val="TableContents"/>
              <w:bidi w:val="0"/>
              <w:spacing w:before="0" w:after="283"/>
              <w:jc w:val="left"/>
              <w:rPr/>
            </w:pPr>
            <w:r>
              <w:rPr/>
              <w:drawing>
                <wp:inline distT="0" distB="0" distL="0" distR="0">
                  <wp:extent cx="1905000" cy="11239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40"/>
                          <a:stretch>
                            <a:fillRect/>
                          </a:stretch>
                        </pic:blipFill>
                        <pic:spPr bwMode="auto">
                          <a:xfrm>
                            <a:off x="0" y="0"/>
                            <a:ext cx="1905000" cy="1123950"/>
                          </a:xfrm>
                          <a:prstGeom prst="rect">
                            <a:avLst/>
                          </a:prstGeom>
                        </pic:spPr>
                      </pic:pic>
                    </a:graphicData>
                  </a:graphic>
                </wp:inline>
              </w:drawing>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Dwight V. Board</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bottom w:val="single" w:sz="8" w:space="0" w:color="000000"/>
            </w:tcBorders>
            <w:vAlign w:val="center"/>
          </w:tcPr>
          <w:p>
            <w:pPr>
              <w:pStyle w:val="TableContents"/>
              <w:bidi w:val="0"/>
              <w:spacing w:before="0" w:after="283"/>
              <w:jc w:val="left"/>
              <w:rPr/>
            </w:pPr>
            <w:r>
              <w:rPr/>
              <w:drawing>
                <wp:inline distT="0" distB="0" distL="0" distR="0">
                  <wp:extent cx="1428750" cy="7715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41"/>
                          <a:stretch>
                            <a:fillRect/>
                          </a:stretch>
                        </pic:blipFill>
                        <pic:spPr bwMode="auto">
                          <a:xfrm>
                            <a:off x="0" y="0"/>
                            <a:ext cx="1428750" cy="771525"/>
                          </a:xfrm>
                          <a:prstGeom prst="rect">
                            <a:avLst/>
                          </a:prstGeom>
                        </pic:spPr>
                      </pic:pic>
                    </a:graphicData>
                  </a:graphic>
                </wp:inline>
              </w:drawing>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 K. Chatterjee</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bottom w:val="single" w:sz="8" w:space="0" w:color="000000"/>
            </w:tcBorders>
            <w:vAlign w:val="center"/>
          </w:tcPr>
          <w:p>
            <w:pPr>
              <w:pStyle w:val="TableContents"/>
              <w:bidi w:val="0"/>
              <w:spacing w:before="0" w:after="283"/>
              <w:jc w:val="left"/>
              <w:rPr/>
            </w:pPr>
            <w:r>
              <w:rPr/>
              <w:drawing>
                <wp:inline distT="0" distB="0" distL="0" distR="0">
                  <wp:extent cx="1905000" cy="619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42"/>
                          <a:stretch>
                            <a:fillRect/>
                          </a:stretch>
                        </pic:blipFill>
                        <pic:spPr bwMode="auto">
                          <a:xfrm>
                            <a:off x="0" y="0"/>
                            <a:ext cx="1905000" cy="619125"/>
                          </a:xfrm>
                          <a:prstGeom prst="rect">
                            <a:avLst/>
                          </a:prstGeom>
                        </pic:spPr>
                      </pic:pic>
                    </a:graphicData>
                  </a:graphic>
                </wp:inline>
              </w:drawing>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Lane</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6667500" cy="9039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43"/>
                    <a:stretch>
                      <a:fillRect/>
                    </a:stretch>
                  </pic:blipFill>
                  <pic:spPr bwMode="auto">
                    <a:xfrm>
                      <a:off x="0" y="0"/>
                      <a:ext cx="6667500" cy="9039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AMENDED AND RESTATED BYLAWS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Meetings of Shareholders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such special meeting, unless otherwise provided by law, shall be called upon not less than ten (10) days nor more than sixty (60) days prior notice stating the purpose of the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Nominations for Directors</w:t>
      </w:r>
      <w:r>
        <w:rPr>
          <w:rFonts w:ascii="Times New Roman;Times;Serif" w:hAnsi="Times New Roman;Times;Serif"/>
          <w:b w:val="false"/>
          <w:i w:val="false"/>
          <w:caps w:val="false"/>
          <w:smallCaps w:val="false"/>
          <w:sz w:val="20"/>
        </w:rPr>
        <w:t>. Nominations for election to the Board may be made by the Board or by any shareholder.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Shareholders may vote at any meeting of the shareholders by proxies duly authorized in writing. Proxies shall be valid only for one meeting and any adjournments of such meeting and shall be filed with the records of the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The record date for determining shareholders entitled to notice and to vote at any meeting will be thirty days before the date of such meeting, unless otherwise determined by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Quorum and Voting</w:t>
      </w:r>
      <w:r>
        <w:rPr>
          <w:rFonts w:ascii="Times New Roman;Times;Serif" w:hAnsi="Times New Roman;Times;Serif"/>
          <w:b w:val="false"/>
          <w:i w:val="false"/>
          <w:caps w:val="false"/>
          <w:smallCaps w:val="false"/>
          <w:sz w:val="20"/>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Waiver and Consent</w:t>
      </w:r>
      <w:r>
        <w:rPr>
          <w:rFonts w:ascii="Times New Roman;Times;Serif" w:hAnsi="Times New Roman;Times;Serif"/>
          <w:b w:val="false"/>
          <w:i w:val="false"/>
          <w:caps w:val="false"/>
          <w:smallCaps w:val="false"/>
          <w:sz w:val="20"/>
        </w:rPr>
        <w:t>. The shareholders may act without notice or a meeting by a unanimous written consent by all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The Board shall have the right to determine that a shareholder meeting not be held at a place, but instead be held solely by means of remote communication in the manner and to the extent permitted by the General Corporation Law of the State of Delaware.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The Board shall have the power to manage and administer the business and affairs of the Association. Except as expressly limited by law, all corporate powers of the Association shall be vested in and may be exercised by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The directors of this Association shall hold office for one year and until their successors are duly elected and qualified, or until their earlier resignation or removal.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addition to the foregoing, the Board shall have and may exercise all of the powers granted to or conferred upon it by the Articles of Association, the Bylaws and by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Number</w:t>
      </w:r>
      <w:r>
        <w:rPr>
          <w:rFonts w:ascii="Times New Roman;Times;Serif" w:hAnsi="Times New Roman;Times;Serif"/>
          <w:b w:val="false"/>
          <w:i w:val="false"/>
          <w:caps w:val="false"/>
          <w:smallCaps w:val="false"/>
          <w:sz w:val="20"/>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Organization Meeting</w:t>
      </w:r>
      <w:r>
        <w:rPr>
          <w:rFonts w:ascii="Times New Roman;Times;Serif" w:hAnsi="Times New Roman;Times;Serif"/>
          <w:b w:val="false"/>
          <w:i w:val="false"/>
          <w:caps w:val="false"/>
          <w:smallCaps w:val="false"/>
          <w:sz w:val="20"/>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Regular Meetings</w:t>
      </w:r>
      <w:r>
        <w:rPr>
          <w:rFonts w:ascii="Times New Roman;Times;Serif" w:hAnsi="Times New Roman;Times;Serif"/>
          <w:b w:val="false"/>
          <w:i w:val="false"/>
          <w:caps w:val="false"/>
          <w:smallCaps w:val="false"/>
          <w:sz w:val="20"/>
        </w:rPr>
        <w:t>. The regular meetings of the Board shall be held, without notice, as the Chairman or President may designate and deem suitable.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Quorum and Necessary Vote</w:t>
      </w:r>
      <w:r>
        <w:rPr>
          <w:rFonts w:ascii="Times New Roman;Times;Serif" w:hAnsi="Times New Roman;Times;Serif"/>
          <w:b w:val="false"/>
          <w:i w:val="false"/>
          <w:caps w:val="false"/>
          <w:smallCaps w:val="false"/>
          <w:sz w:val="20"/>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Written Consent</w:t>
      </w:r>
      <w:r>
        <w:rPr>
          <w:rFonts w:ascii="Times New Roman;Times;Serif" w:hAnsi="Times New Roman;Times;Serif"/>
          <w:b w:val="false"/>
          <w:i w:val="false"/>
          <w:caps w:val="false"/>
          <w:smallCaps w:val="false"/>
          <w:sz w:val="20"/>
        </w:rPr>
        <w:t>. Except as otherwise required by applicable laws and regulations, the Board may act without a meeting by a unanimous written consent by all directors, to be filed with the Secretary of the Association as part of the corporate records.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When any vacancy occurs among the directors, the remaining members of the Board may appoint a director to fill such vacancy at any regular meeting of the Board, or at a special meeting called for that purpose.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Committees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Advisory Board of Directors</w:t>
      </w:r>
      <w:r>
        <w:rPr>
          <w:rFonts w:ascii="Times New Roman;Times;Serif" w:hAnsi="Times New Roman;Times;Serif"/>
          <w:b w:val="false"/>
          <w:i w:val="false"/>
          <w:caps w:val="false"/>
          <w:smallCaps w:val="false"/>
          <w:sz w:val="20"/>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Trust Audit Committee</w:t>
      </w:r>
      <w:r>
        <w:rPr>
          <w:rFonts w:ascii="Times New Roman;Times;Serif" w:hAnsi="Times New Roman;Times;Serif"/>
          <w:b w:val="false"/>
          <w:i w:val="false"/>
          <w:caps w:val="false"/>
          <w:smallCaps w:val="false"/>
          <w:sz w:val="20"/>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financial holding company that is the ultimate parent of this Association, fulfilling the function of the trust audit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Must not include any officers of the Association or an affiliate who participate significantly in the administration of the Association’s fiduciary activities;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Must consist of a majority of members who are not also members of any committee to which the Board has delegated power to manage and control the fiduciary activities of the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Executive Committee</w:t>
      </w:r>
      <w:r>
        <w:rPr>
          <w:rFonts w:ascii="Times New Roman;Times;Serif" w:hAnsi="Times New Roman;Times;Serif"/>
          <w:b w:val="false"/>
          <w:i w:val="false"/>
          <w:caps w:val="false"/>
          <w:smallCaps w:val="false"/>
          <w:sz w:val="20"/>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Trust Management Committee</w:t>
      </w:r>
      <w:r>
        <w:rPr>
          <w:rFonts w:ascii="Times New Roman;Times;Serif" w:hAnsi="Times New Roman;Times;Serif"/>
          <w:b w:val="false"/>
          <w:i w:val="false"/>
          <w:caps w:val="false"/>
          <w:smallCaps w:val="false"/>
          <w:sz w:val="20"/>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Other Committees</w:t>
      </w:r>
      <w:r>
        <w:rPr>
          <w:rFonts w:ascii="Times New Roman;Times;Serif" w:hAnsi="Times New Roman;Times;Serif"/>
          <w:b w:val="false"/>
          <w:i w:val="false"/>
          <w:caps w:val="false"/>
          <w:smallCaps w:val="false"/>
          <w:sz w:val="20"/>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Meetings, Minutes and Rules</w:t>
      </w:r>
      <w:r>
        <w:rPr>
          <w:rFonts w:ascii="Times New Roman;Times;Serif" w:hAnsi="Times New Roman;Times;Serif"/>
          <w:b w:val="false"/>
          <w:i w:val="false"/>
          <w:caps w:val="false"/>
          <w:smallCaps w:val="false"/>
          <w:sz w:val="20"/>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Who Shall Constitute.</w:t>
      </w:r>
      <w:r>
        <w:rPr>
          <w:rFonts w:ascii="Times New Roman;Times;Serif" w:hAnsi="Times New Roman;Times;Serif"/>
          <w:b w:val="false"/>
          <w:i w:val="false"/>
          <w:caps w:val="false"/>
          <w:smallCaps w:val="false"/>
          <w:sz w:val="20"/>
        </w:rPr>
        <w:t xml:space="preserve">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xml:space="preserve">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Chairman of the Board</w:t>
      </w:r>
      <w:r>
        <w:rPr>
          <w:rFonts w:ascii="Times New Roman;Times;Serif" w:hAnsi="Times New Roman;Times;Serif"/>
          <w:b w:val="false"/>
          <w:i w:val="false"/>
          <w:caps w:val="false"/>
          <w:smallCaps w:val="false"/>
          <w:sz w:val="20"/>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Vice President</w:t>
      </w:r>
      <w:r>
        <w:rPr>
          <w:rFonts w:ascii="Times New Roman;Times;Serif" w:hAnsi="Times New Roman;Times;Serif"/>
          <w:b w:val="false"/>
          <w:i w:val="false"/>
          <w:caps w:val="false"/>
          <w:smallCaps w:val="false"/>
          <w:sz w:val="20"/>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Secretary</w:t>
      </w:r>
      <w:r>
        <w:rPr>
          <w:rFonts w:ascii="Times New Roman;Times;Serif" w:hAnsi="Times New Roman;Times;Serif"/>
          <w:b w:val="false"/>
          <w:i w:val="false"/>
          <w:caps w:val="false"/>
          <w:smallCaps w:val="false"/>
          <w:sz w:val="20"/>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Other Officers</w:t>
      </w:r>
      <w:r>
        <w:rPr>
          <w:rFonts w:ascii="Times New Roman;Times;Serif" w:hAnsi="Times New Roman;Times;Serif"/>
          <w:b w:val="false"/>
          <w:i w:val="false"/>
          <w:caps w:val="false"/>
          <w:smallCaps w:val="false"/>
          <w:sz w:val="20"/>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Corporate Seal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Execution of Instruments</w:t>
      </w:r>
      <w:r>
        <w:rPr>
          <w:rFonts w:ascii="Times New Roman;Times;Serif" w:hAnsi="Times New Roman;Times;Serif"/>
          <w:b w:val="false"/>
          <w:i w:val="false"/>
          <w:caps w:val="false"/>
          <w:smallCaps w:val="false"/>
          <w:sz w:val="20"/>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Trust Files</w:t>
      </w:r>
      <w:r>
        <w:rPr>
          <w:rFonts w:ascii="Times New Roman;Times;Serif" w:hAnsi="Times New Roman;Times;Serif"/>
          <w:b w:val="false"/>
          <w:i w:val="false"/>
          <w:caps w:val="false"/>
          <w:smallCaps w:val="false"/>
          <w:sz w:val="20"/>
        </w:rPr>
        <w:t>. There shall be maintained in the Association files all fiduciary records necessary to assure that its fiduciary responsibilities have been properly undertaken and discharged.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Trust Investments</w:t>
      </w:r>
      <w:r>
        <w:rPr>
          <w:rFonts w:ascii="Times New Roman;Times;Serif" w:hAnsi="Times New Roman;Times;Serif"/>
          <w:b w:val="false"/>
          <w:i w:val="false"/>
          <w:caps w:val="false"/>
          <w:smallCaps w:val="false"/>
          <w:sz w:val="20"/>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8</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specified otherwise in these Bylaws, prior notice shall be proper if given not more than 30 days nor less than 10 days prior to the event for which notice is given.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Bylaws: Interpretation and Amendment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These Bylaws shall be interpreted in accordance with and subject to appropriate provisions of law, and may be added to, altered, amended, or repealed, at any regular or special meeting of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A copy of the Bylaws and all amendments shall at all times be kept in a convenient place at the principal office of the Association, and shall be open for inspection to all shareholders during Association hours.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Association shall begin on the first day of January in each year and shall end on the thirty-first day of December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6, 2025)</w:t>
      </w:r>
    </w:p>
    <w:p>
      <w:pPr>
        <w:pStyle w:val="TextBody"/>
        <w:bidi w:val="0"/>
        <w:spacing w:before="0" w:after="0"/>
        <w:jc w:val="righ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13, 2026</w:t>
      </w:r>
    </w:p>
    <w:p>
      <w:pPr>
        <w:pStyle w:val="TextBody"/>
        <w:bidi w:val="0"/>
        <w:spacing w:before="0" w:after="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365"/>
        <w:gridCol w:w="207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0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Robert P. Pavlovic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P. Pavlovic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Bank Trust Company, National Association</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Statement of Financial Condition</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6/30/2026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($000’s) </w:t>
      </w:r>
    </w:p>
    <w:p>
      <w:pPr>
        <w:pStyle w:val="TextBody"/>
        <w:bidi w:val="0"/>
        <w:spacing w:before="0" w:after="0"/>
        <w:jc w:val="center"/>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5075"/>
        <w:gridCol w:w="60"/>
        <w:gridCol w:w="140"/>
        <w:gridCol w:w="980"/>
        <w:gridCol w:w="75"/>
      </w:tblGrid>
      <w:tr>
        <w:trPr/>
        <w:tc>
          <w:tcPr>
            <w:tcW w:w="507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6/30/2026</w:t>
            </w:r>
          </w:p>
        </w:tc>
        <w:tc>
          <w:tcPr>
            <w:tcW w:w="75" w:type="dxa"/>
            <w:tcBorders/>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Cash and Balances Due From Depository Institutions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2,474,094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4,673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Federal Funds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Loans &amp; Lease Financing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Fixed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573,109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154,375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3,206,698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Fed 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Treasury Demand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Trading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Other Borrowed Money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Acceptances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Subordinated Notes and Debentures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268,325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980" w:type="dxa"/>
            <w:tcBorders/>
            <w:shd w:fill="FFFFFF" w:val="clear"/>
            <w:vAlign w:val="center"/>
          </w:tcPr>
          <w:p>
            <w:pPr>
              <w:pStyle w:val="TableContents"/>
              <w:bidi w:val="0"/>
              <w:spacing w:before="0" w:after="283"/>
              <w:jc w:val="right"/>
              <w:rPr>
                <w:b/>
              </w:rPr>
            </w:pPr>
            <w:r>
              <w:rPr>
                <w:b/>
              </w:rPr>
              <w:t>268,325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Common and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Surplus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1,171,635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Undivided Profits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1,766,538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Minority Interest in Subsidiaries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b/>
              </w:rPr>
            </w:pPr>
            <w:r>
              <w:rPr>
                <w:b/>
              </w:rPr>
              <w:t>Total Equity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2,938,373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b/>
              </w:rPr>
            </w:pPr>
            <w:r>
              <w:rPr>
                <w:b/>
              </w:rPr>
              <w:t>Total Liabilities and Equity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3,206,698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60" w:after="60"/>
        <w:jc w:val="left"/>
        <w:rPr>
          <w:caps w:val="false"/>
          <w:smallCaps w:val="false"/>
          <w:bdr w:val="single" w:sz="16" w:space="1" w:color="000000"/>
        </w:rPr>
      </w:pPr>
      <w:r>
        <w:rPr>
          <w:caps w:val="false"/>
          <w:smallCaps w:val="false"/>
          <w:bdr w:val="single" w:sz="16" w:space="1" w:color="000000"/>
        </w:rPr>
        <w:t> </w:t>
      </w:r>
    </w:p>
    <w:p>
      <w:pPr>
        <w:pStyle w:val="TextBody"/>
        <w:bidi w:val="0"/>
        <w:jc w:val="left"/>
        <w:rPr>
          <w:caps w:val="false"/>
          <w:smallCaps w:val="false"/>
          <w:bdr w:val="single" w:sz="32" w:space="1" w:color="000000"/>
        </w:rPr>
      </w:pPr>
      <w:bookmarkStart w:id="110" w:name="ny20083847x1_ex25-3.htm"/>
      <w:bookmarkStart w:id="111" w:name="ksny20083847x1_ex253"/>
      <w:bookmarkEnd w:id="110"/>
      <w:bookmarkEnd w:id="111"/>
      <w:r>
        <w:rPr>
          <w:caps w:val="false"/>
          <w:smallCaps w:val="false"/>
          <w:bdr w:val="single" w:sz="32" w:space="1" w:color="000000"/>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25.3</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32"/>
        </w:rPr>
      </w:pPr>
      <w:r>
        <w:rPr>
          <w:rFonts w:ascii="Times New Roman;Times;Serif" w:hAnsi="Times New Roman;Times;Serif"/>
          <w:b/>
          <w:i w:val="false"/>
          <w:smallCaps/>
          <w:sz w:val="32"/>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T-1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Statement of Eligibility Under</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The Trust Indenture Act of 1939 of a </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Corporation Designated to Act as Trustee</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an Application to Determine Eligibility of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Pursuant to Section 305(b)(2) ☐</w:t>
      </w:r>
    </w:p>
    <w:p>
      <w:pPr>
        <w:pStyle w:val="TextBody"/>
        <w:bidi w:val="0"/>
        <w:spacing w:before="0" w:after="0"/>
        <w:jc w:val="center"/>
        <w:rPr>
          <w:caps w:val="false"/>
          <w:smallCaps w:val="false"/>
        </w:rPr>
      </w:pPr>
      <w:r>
        <w:rPr>
          <w:caps w:val="false"/>
          <w:smallCaps w:val="false"/>
        </w:rPr>
        <w:t> </w:t>
      </w:r>
    </w:p>
    <w:p>
      <w:pPr>
        <w:pStyle w:val="TextBody"/>
        <w:bidi w:val="0"/>
        <w:spacing w:before="60" w:after="6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U.S. BANK TRUST COMPANY, NATIONAL ASSOCIATION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Trustee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91-1821036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p>
      <w:pPr>
        <w:pStyle w:val="TextBody"/>
        <w:bidi w:val="0"/>
        <w:spacing w:before="0" w:after="0"/>
        <w:jc w:val="center"/>
        <w:rPr>
          <w:caps w:val="false"/>
          <w:smallCaps w:val="false"/>
        </w:rPr>
      </w:pPr>
      <w:r>
        <w:rPr>
          <w:caps w:val="false"/>
          <w:smallCaps w:val="false"/>
        </w:rPr>
        <w:t> </w:t>
      </w:r>
    </w:p>
    <w:tbl>
      <w:tblPr>
        <w:tblW w:w="4135" w:type="dxa"/>
        <w:jc w:val="left"/>
        <w:tblInd w:w="-10" w:type="dxa"/>
        <w:tblLayout w:type="fixed"/>
        <w:tblCellMar>
          <w:top w:w="28" w:type="dxa"/>
          <w:left w:w="28" w:type="dxa"/>
          <w:bottom w:w="28" w:type="dxa"/>
          <w:right w:w="28" w:type="dxa"/>
        </w:tblCellMar>
      </w:tblPr>
      <w:tblGrid>
        <w:gridCol w:w="3215"/>
        <w:gridCol w:w="920"/>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40"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South 6th Street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55402 </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Pavlovic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w:t>
      </w:r>
    </w:p>
    <w:p>
      <w:pPr>
        <w:pStyle w:val="TextBody"/>
        <w:bidi w:val="0"/>
        <w:spacing w:lineRule="auto" w:line="240"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1735 Market Street, 43rd Floor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19103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215-4428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WESTINGHOUSE AIR BRAKE TECHNOLOGIES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8"/>
        </w:rPr>
        <w:t>CORPORATION</w:t>
      </w:r>
      <w:r>
        <w:rPr>
          <w:rFonts w:ascii="Times New Roman;Times;Serif" w:hAnsi="Times New Roman;Times;Serif"/>
          <w:b w:val="false"/>
          <w:i w:val="false"/>
          <w:caps w:val="false"/>
          <w:smallCaps w:val="false"/>
          <w:sz w:val="28"/>
        </w:rPr>
        <w:t> </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with respect to the Securities)</w:t>
      </w:r>
    </w:p>
    <w:tbl>
      <w:tblPr>
        <w:tblW w:w="7795" w:type="dxa"/>
        <w:jc w:val="left"/>
        <w:tblInd w:w="-10" w:type="dxa"/>
        <w:tblLayout w:type="fixed"/>
        <w:tblCellMar>
          <w:top w:w="28" w:type="dxa"/>
          <w:left w:w="28" w:type="dxa"/>
          <w:bottom w:w="28" w:type="dxa"/>
          <w:right w:w="28" w:type="dxa"/>
        </w:tblCellMar>
      </w:tblPr>
      <w:tblGrid>
        <w:gridCol w:w="4880"/>
        <w:gridCol w:w="2915"/>
      </w:tblGrid>
      <w:tr>
        <w:trPr/>
        <w:tc>
          <w:tcPr>
            <w:tcW w:w="48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29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25-1615902</w:t>
            </w:r>
          </w:p>
        </w:tc>
      </w:tr>
      <w:tr>
        <w:trPr/>
        <w:tc>
          <w:tcPr>
            <w:tcW w:w="4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2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4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2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4195" w:type="dxa"/>
        <w:jc w:val="left"/>
        <w:tblInd w:w="-10" w:type="dxa"/>
        <w:tblLayout w:type="fixed"/>
        <w:tblCellMar>
          <w:top w:w="28" w:type="dxa"/>
          <w:left w:w="28" w:type="dxa"/>
          <w:bottom w:w="28" w:type="dxa"/>
          <w:right w:w="28" w:type="dxa"/>
        </w:tblCellMar>
      </w:tblPr>
      <w:tblGrid>
        <w:gridCol w:w="3275"/>
        <w:gridCol w:w="920"/>
      </w:tblGrid>
      <w:tr>
        <w:trPr/>
        <w:tc>
          <w:tcPr>
            <w:tcW w:w="32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Isabella Street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Pittsburgh, PA </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15212 </w:t>
            </w:r>
          </w:p>
        </w:tc>
      </w:tr>
      <w:tr>
        <w:trPr/>
        <w:tc>
          <w:tcPr>
            <w:tcW w:w="32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Subordinated Debt Securities</w:t>
      </w:r>
    </w:p>
    <w:p>
      <w:pPr>
        <w:pStyle w:val="TextBody"/>
        <w:bidi w:val="0"/>
        <w:spacing w:before="0" w:after="0"/>
        <w:ind w:left="2160" w:right="0" w:hanging="207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(Title of the Indenture Securities)</w:t>
      </w:r>
      <w:r>
        <w:rPr>
          <w:rFonts w:ascii="Times New Roman;Times;Serif" w:hAnsi="Times New Roman;Times;Serif"/>
          <w:b w:val="false"/>
          <w:i w:val="false"/>
          <w:caps w:val="false"/>
          <w:smallCaps w:val="false"/>
          <w:sz w:val="20"/>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T-1</w:t>
      </w:r>
    </w:p>
    <w:p>
      <w:pPr>
        <w:pStyle w:val="TextBody"/>
        <w:bidi w:val="0"/>
        <w:spacing w:before="0" w:after="0"/>
        <w:jc w:val="center"/>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650"/>
        <w:gridCol w:w="6710"/>
      </w:tblGrid>
      <w:tr>
        <w:trPr/>
        <w:tc>
          <w:tcPr>
            <w:tcW w:w="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Item 1. </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GENERAL INFORMATION</w:t>
            </w:r>
            <w:r>
              <w:rPr>
                <w:rFonts w:ascii="Times New Roman;Times;Serif" w:hAnsi="Times New Roman;Times;Serif"/>
                <w:b/>
                <w:i/>
                <w:sz w:val="20"/>
              </w:rPr>
              <w:t>.</w:t>
            </w:r>
            <w:r>
              <w:rPr>
                <w:rFonts w:ascii="Times New Roman;Times;Serif" w:hAnsi="Times New Roman;Times;Serif"/>
                <w:sz w:val="20"/>
              </w:rPr>
              <w:t xml:space="preserve"> Furnish the following information as to the Trustee.</w:t>
            </w:r>
          </w:p>
        </w:tc>
      </w:tr>
    </w:tbl>
    <w:p>
      <w:pPr>
        <w:pStyle w:val="TextBody"/>
        <w:bidi w:val="0"/>
        <w:spacing w:before="0" w:after="0"/>
        <w:ind w:left="504" w:right="0" w:hanging="504"/>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170"/>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8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 and address of each examining or supervising authority to which it is subject.</w:t>
            </w:r>
          </w:p>
        </w:tc>
      </w:tr>
    </w:tbl>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Comptroller of the Currency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w:t>
      </w:r>
    </w:p>
    <w:p>
      <w:pPr>
        <w:pStyle w:val="TextBody"/>
        <w:bidi w:val="0"/>
        <w:spacing w:before="0" w:after="0"/>
        <w:ind w:left="720" w:right="0" w:firstLine="144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185"/>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86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Whether it is authorized to exercise corporate trust powers.</w:t>
            </w:r>
          </w:p>
        </w:tc>
      </w:tr>
    </w:tbl>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p>
      <w:pPr>
        <w:pStyle w:val="TextBody"/>
        <w:bidi w:val="0"/>
        <w:spacing w:before="0" w:after="0"/>
        <w:ind w:left="0" w:right="0" w:firstLine="72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650"/>
        <w:gridCol w:w="9530"/>
      </w:tblGrid>
      <w:tr>
        <w:trPr/>
        <w:tc>
          <w:tcPr>
            <w:tcW w:w="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Item 2. </w:t>
            </w:r>
          </w:p>
        </w:tc>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AFFILIATIONS WITH THE OBLIGOR. </w:t>
            </w:r>
            <w:r>
              <w:rPr>
                <w:rFonts w:ascii="Times New Roman;Times;Serif" w:hAnsi="Times New Roman;Times;Serif"/>
                <w:i/>
                <w:sz w:val="20"/>
              </w:rPr>
              <w:t>If the obligor is an affiliate of the Trustee, describe each such affiliation.</w:t>
            </w:r>
            <w:r>
              <w:rPr>
                <w:rFonts w:ascii="Times New Roman;Times;Serif" w:hAnsi="Times New Roman;Times;Serif"/>
                <w:sz w:val="20"/>
              </w:rPr>
              <w:t> </w:t>
            </w:r>
          </w:p>
        </w:tc>
      </w:tr>
    </w:tbl>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72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2"/>
        <w:gridCol w:w="9433"/>
      </w:tblGrid>
      <w:tr>
        <w:trPr/>
        <w:tc>
          <w:tcPr>
            <w:tcW w:w="7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Items 3-15</w:t>
            </w:r>
          </w:p>
        </w:tc>
        <w:tc>
          <w:tcPr>
            <w:tcW w:w="943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Items 3-15 are not applicable because to the best of the Trustee's knowledge, the obligor is not in default under any Indenture for which the Trustee acts as Trustee.</w:t>
            </w:r>
          </w:p>
        </w:tc>
      </w:tr>
    </w:tbl>
    <w:p>
      <w:pPr>
        <w:pStyle w:val="TextBody"/>
        <w:bidi w:val="0"/>
        <w:spacing w:before="0" w:after="0"/>
        <w:ind w:left="1440" w:right="0" w:hanging="144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755"/>
        <w:gridCol w:w="8885"/>
      </w:tblGrid>
      <w:tr>
        <w:trPr/>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Item 16. </w:t>
            </w:r>
          </w:p>
        </w:tc>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LIST OF EXHIBITS:</w:t>
            </w:r>
            <w:r>
              <w:rPr>
                <w:rFonts w:ascii="Times New Roman;Times;Serif" w:hAnsi="Times New Roman;Times;Serif"/>
                <w:sz w:val="20"/>
              </w:rPr>
              <w:t xml:space="preserve"> </w:t>
            </w:r>
            <w:r>
              <w:rPr>
                <w:rFonts w:ascii="Times New Roman;Times;Serif" w:hAnsi="Times New Roman;Times;Serif"/>
                <w:i/>
                <w:sz w:val="20"/>
              </w:rPr>
              <w:t xml:space="preserve">List below all exhibits filed as a part of this statement of eligibility and qualification. </w:t>
            </w:r>
          </w:p>
        </w:tc>
      </w:tr>
    </w:tbl>
    <w:p>
      <w:pPr>
        <w:pStyle w:val="TextBody"/>
        <w:bidi w:val="0"/>
        <w:spacing w:before="0" w:after="0"/>
        <w:ind w:left="1080" w:right="0" w:hanging="1080"/>
        <w:jc w:val="left"/>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the Articles of Association of the Trustee, attached as Exhibit 1.</w:t>
            </w:r>
          </w:p>
        </w:tc>
      </w:tr>
    </w:tbl>
    <w:p>
      <w:pPr>
        <w:pStyle w:val="TextBody"/>
        <w:bidi w:val="0"/>
        <w:spacing w:before="0" w:after="0"/>
        <w:ind w:left="1440" w:right="0" w:hanging="360"/>
        <w:jc w:val="left"/>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17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the certificate of authority of the Trustee to commence business, attached as Exhibit 2.</w:t>
            </w:r>
          </w:p>
        </w:tc>
      </w:tr>
    </w:tbl>
    <w:p>
      <w:pPr>
        <w:pStyle w:val="TextBody"/>
        <w:bidi w:val="0"/>
        <w:spacing w:before="0" w:after="0"/>
        <w:ind w:left="1440" w:right="0" w:hanging="360"/>
        <w:jc w:val="left"/>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17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the authorization of the Trustee to exercise corporate trust powers, included as Exhibit 2.</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7"/>
        <w:gridCol w:w="9830"/>
      </w:tblGrid>
      <w:tr>
        <w:trPr/>
        <w:tc>
          <w:tcPr>
            <w:tcW w:w="6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the existing bylaws of the Trustee, attached as Exhibit 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30"/>
        <w:gridCol w:w="9802"/>
      </w:tblGrid>
      <w:tr>
        <w:trPr/>
        <w:tc>
          <w:tcPr>
            <w:tcW w:w="7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each Indenture referred to in Item 4. Not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consent of the Trustee required by Section 321(b) of the Trust Indenture Act of 1939, attached as Exhibit 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 of Condition of the Trustee as of June 30, 2026, published pursuant to law or the requirements of its supervising or examining authority, attached as Exhibit 7.</w:t>
            </w:r>
          </w:p>
        </w:tc>
      </w:tr>
    </w:tbl>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lineRule="auto" w:line="240"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to be signed on its behalf by the undersigned, thereunto duly authorized, all in the City of Philadelphia, Commonwealth of Pennsylvania on the 13th of October, 2026.</w:t>
      </w:r>
    </w:p>
    <w:p>
      <w:pPr>
        <w:pStyle w:val="TextBody"/>
        <w:bidi w:val="0"/>
        <w:spacing w:before="0" w:after="0"/>
        <w:ind w:left="0" w:right="0" w:firstLine="72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75"/>
        <w:gridCol w:w="320"/>
        <w:gridCol w:w="1775"/>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Robert P. Pavlovic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P. Pavlovic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Exhibit 1</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ARTICLES OF ASSOCIATION </w:t>
        <w:br/>
        <w:t>OF</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 S. BANK TRUST COMPANY, NATIONAL ASSOCIATION</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organizing an association (the “Association”) to perform any lawful activities of national banks, the undersigned enter into the following Articles of Association:</w:t>
      </w:r>
    </w:p>
    <w:p>
      <w:pPr>
        <w:pStyle w:val="TextBody"/>
        <w:bidi w:val="0"/>
        <w:spacing w:before="0" w:after="0"/>
        <w:ind w:left="0" w:right="0" w:firstLine="4"/>
        <w:jc w:val="both"/>
        <w:rPr>
          <w:caps w:val="false"/>
          <w:smallCaps w:val="false"/>
        </w:rPr>
      </w:pPr>
      <w:r>
        <w:rPr>
          <w:caps w:val="false"/>
          <w:smallCaps w:val="false"/>
        </w:rPr>
        <w:t> </w:t>
      </w:r>
    </w:p>
    <w:p>
      <w:pPr>
        <w:pStyle w:val="TextBody"/>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FIRST. </w:t>
      </w:r>
      <w:r>
        <w:rPr>
          <w:rFonts w:ascii="Times New Roman;Times;Serif" w:hAnsi="Times New Roman;Times;Serif"/>
          <w:b w:val="false"/>
          <w:i w:val="false"/>
          <w:caps w:val="false"/>
          <w:smallCaps w:val="false"/>
          <w:sz w:val="20"/>
        </w:rPr>
        <w:t>The title of this Association shall be U. S. Bank Trust Company, National Association.</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hanging="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SECOND. </w:t>
      </w:r>
      <w:r>
        <w:rPr>
          <w:rFonts w:ascii="Times New Roman;Times;Serif" w:hAnsi="Times New Roman;Times;Serif"/>
          <w:b w:val="false"/>
          <w:i w:val="false"/>
          <w:caps w:val="false"/>
          <w:smallCaps w:val="false"/>
          <w:sz w:val="20"/>
        </w:rPr>
        <w:t>The main office of the Association shall be in the city of Portland, county of Multnomah, state of Oregon. The business of the Association will be limited to fiduciary powers and the support of activities incidental to the exercise of those powers. The Association may not expand or alter its business beyond that stated in this article without the prior approval of the Comptroller of the Currency.</w:t>
      </w:r>
    </w:p>
    <w:p>
      <w:pPr>
        <w:pStyle w:val="TextBody"/>
        <w:bidi w:val="0"/>
        <w:spacing w:before="0" w:after="0"/>
        <w:ind w:left="0" w:right="0" w:hanging="2"/>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THIRD. </w:t>
      </w:r>
      <w:r>
        <w:rPr>
          <w:rFonts w:ascii="Times New Roman;Times;Serif" w:hAnsi="Times New Roman;Times;Serif"/>
          <w:b w:val="false"/>
          <w:i w:val="false"/>
          <w:caps w:val="false"/>
          <w:smallCaps w:val="false"/>
          <w:sz w:val="20"/>
        </w:rPr>
        <w:t>The board of directors of the Association shall consist of not less than five nor more than twenty-five persons, the exact 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firstLine="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pStyle w:val="TextBody"/>
        <w:bidi w:val="0"/>
        <w:spacing w:before="0" w:after="0"/>
        <w:ind w:left="0" w:right="0" w:firstLine="6"/>
        <w:jc w:val="both"/>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FOURTH. </w:t>
      </w:r>
      <w:r>
        <w:rPr>
          <w:rFonts w:ascii="Times New Roman;Times;Serif" w:hAnsi="Times New Roman;Times;Serif"/>
          <w:b w:val="false"/>
          <w:i w:val="false"/>
          <w:caps w:val="false"/>
          <w:smallCaps w:val="false"/>
          <w:sz w:val="20"/>
        </w:rPr>
        <w:t>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pStyle w:val="TextBody"/>
        <w:bidi w:val="0"/>
        <w:spacing w:before="0" w:after="0"/>
        <w:ind w:left="0" w:right="0" w:firstLine="6"/>
        <w:jc w:val="both"/>
        <w:rPr>
          <w:caps w:val="false"/>
          <w:smallCaps w:val="false"/>
        </w:rPr>
      </w:pPr>
      <w:r>
        <w:rPr>
          <w:caps w:val="false"/>
          <w:smallCaps w:val="false"/>
        </w:rPr>
        <w:t> </w:t>
      </w:r>
    </w:p>
    <w:p>
      <w:pPr>
        <w:pStyle w:val="TextBody"/>
        <w:bidi w:val="0"/>
        <w:spacing w:before="200" w:after="200"/>
        <w:ind w:left="0" w:right="0" w:firstLine="6"/>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- 1 -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resign at any time by delivering written notice to the board of directors, its chairperson, or to the Association, which resignation shall be effective when the notice is delivered unless the notice specifies a later effective date.</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firstLine="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pStyle w:val="TextBody"/>
        <w:bidi w:val="0"/>
        <w:spacing w:before="0" w:after="0"/>
        <w:ind w:left="0" w:right="0" w:firstLine="7"/>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FIFTH. </w:t>
      </w:r>
      <w:r>
        <w:rPr>
          <w:rFonts w:ascii="Times New Roman;Times;Serif" w:hAnsi="Times New Roman;Times;Serif"/>
          <w:b w:val="false"/>
          <w:i w:val="false"/>
          <w:caps w:val="false"/>
          <w:smallCaps w:val="false"/>
          <w:sz w:val="20"/>
        </w:rPr>
        <w:t>The authorized amount of capital stock of the Association shall be 1,000,000 shares of common stock of the par value of ten dollars ($10) each; but said capital stock may be increased or decreased from time to time, according to the provisions of the laws of the United States. The Association shall have only one class of capital stock.</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firstLine="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pStyle w:val="TextBody"/>
        <w:bidi w:val="0"/>
        <w:spacing w:before="0" w:after="0"/>
        <w:ind w:left="0" w:right="0" w:firstLine="11"/>
        <w:jc w:val="both"/>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0" w:after="0"/>
        <w:ind w:left="0" w:right="0" w:firstLine="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pStyle w:val="TextBody"/>
        <w:bidi w:val="0"/>
        <w:spacing w:before="0" w:after="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all shares of voting stock shall be voted together as a class, on any matters requiring shareholder approval.</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pStyle w:val="TextBody"/>
        <w:bidi w:val="0"/>
        <w:spacing w:before="0" w:after="0"/>
        <w:ind w:left="0" w:right="0" w:hanging="7"/>
        <w:jc w:val="both"/>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SIXTH. </w:t>
      </w:r>
      <w:r>
        <w:rPr>
          <w:rFonts w:ascii="Times New Roman;Times;Serif" w:hAnsi="Times New Roman;Times;Serif"/>
          <w:b w:val="false"/>
          <w:i w:val="false"/>
          <w:caps w:val="false"/>
          <w:smallCaps w:val="false"/>
          <w:sz w:val="20"/>
        </w:rPr>
        <w:t>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have the power to:</w:t>
      </w:r>
    </w:p>
    <w:p>
      <w:pPr>
        <w:pStyle w:val="TextBody"/>
        <w:bidi w:val="0"/>
        <w:spacing w:before="0" w:after="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260"/>
        <w:gridCol w:w="605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Define the duties of the officers, employees, and agents of the Association.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Delegate the performance of its duties, but not the responsibility for its duties, to the officers, employees, and agents of the Association.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Fix the compensation and enter employment contracts with its officers and employees upon reasonable terms and conditions consistent with applicable law.</w:t>
            </w:r>
          </w:p>
        </w:tc>
      </w:tr>
    </w:tbl>
    <w:p>
      <w:pPr>
        <w:pStyle w:val="TextBody"/>
        <w:bidi w:val="0"/>
        <w:spacing w:before="0" w:after="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260"/>
        <w:gridCol w:w="261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Dismiss officers and employees.</w:t>
            </w:r>
          </w:p>
        </w:tc>
      </w:tr>
    </w:tbl>
    <w:p>
      <w:pPr>
        <w:pStyle w:val="TextBody"/>
        <w:bidi w:val="0"/>
        <w:spacing w:before="0" w:after="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260"/>
        <w:gridCol w:w="599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 bonds from officers and employees and to fix the penalty thereof.</w:t>
            </w:r>
          </w:p>
        </w:tc>
      </w:tr>
    </w:tbl>
    <w:p>
      <w:pPr>
        <w:pStyle w:val="TextBody"/>
        <w:bidi w:val="0"/>
        <w:spacing w:before="0" w:after="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260"/>
        <w:gridCol w:w="776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Ratify written policies authorized by the Association's management or committees of the board.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260"/>
        <w:gridCol w:w="542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 and administer the business and affairs of the Association.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Adopt initial Bylaws, not inconsistent with law or the Articles of Association, for managing the business and regulating the affairs of the Association.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 or repeal Bylaws, except to the extent that the Articles of Association reserve this power in whole or in part to the shareholders.</w:t>
            </w:r>
          </w:p>
        </w:tc>
      </w:tr>
    </w:tbl>
    <w:p>
      <w:pPr>
        <w:pStyle w:val="TextBody"/>
        <w:bidi w:val="0"/>
        <w:spacing w:before="0" w:after="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365"/>
        <w:gridCol w:w="1325"/>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Make contracts.</w:t>
            </w:r>
          </w:p>
        </w:tc>
      </w:tr>
    </w:tbl>
    <w:p>
      <w:pPr>
        <w:pStyle w:val="TextBody"/>
        <w:bidi w:val="0"/>
        <w:spacing w:before="0" w:after="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365"/>
        <w:gridCol w:w="6020"/>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6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Generally perform all acts that are legal for a board of directors to perform.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SEVENTH. </w:t>
      </w:r>
      <w:r>
        <w:rPr>
          <w:rFonts w:ascii="Times New Roman;Times;Serif" w:hAnsi="Times New Roman;Times;Serif"/>
          <w:b w:val="false"/>
          <w:i w:val="false"/>
          <w:caps w:val="false"/>
          <w:smallCaps w:val="false"/>
          <w:sz w:val="20"/>
        </w:rPr>
        <w:t>The board of directors shall have the power to change the location of the main office to any authorized branch 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ind w:left="0" w:right="0" w:hanging="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EIGHTH. </w:t>
      </w:r>
      <w:r>
        <w:rPr>
          <w:rFonts w:ascii="Times New Roman;Times;Serif" w:hAnsi="Times New Roman;Times;Serif"/>
          <w:b w:val="false"/>
          <w:i w:val="false"/>
          <w:caps w:val="false"/>
          <w:smallCaps w:val="false"/>
          <w:sz w:val="20"/>
        </w:rPr>
        <w:t>The corporate existence of this Association shall continue until termination according to the laws of the United States.</w:t>
      </w:r>
    </w:p>
    <w:p>
      <w:pPr>
        <w:pStyle w:val="TextBody"/>
        <w:bidi w:val="0"/>
        <w:spacing w:before="0" w:after="0"/>
        <w:ind w:left="0" w:right="0" w:hanging="3"/>
        <w:jc w:val="both"/>
        <w:rPr>
          <w:caps w:val="false"/>
          <w:smallCaps w:val="false"/>
        </w:rPr>
      </w:pPr>
      <w:r>
        <w:rPr>
          <w:caps w:val="false"/>
          <w:smallCaps w:val="false"/>
        </w:rPr>
        <w:t> </w:t>
      </w:r>
    </w:p>
    <w:p>
      <w:pPr>
        <w:pStyle w:val="TextBody"/>
        <w:bidi w:val="0"/>
        <w:spacing w:before="0" w:after="0"/>
        <w:ind w:left="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NINTH. </w:t>
      </w:r>
      <w:r>
        <w:rPr>
          <w:rFonts w:ascii="Times New Roman;Times;Serif" w:hAnsi="Times New Roman;Times;Serif"/>
          <w:b w:val="false"/>
          <w:i w:val="false"/>
          <w:caps w:val="false"/>
          <w:smallCaps w:val="false"/>
          <w:sz w:val="20"/>
        </w:rPr>
        <w:t>The board of directors of the Association, or any shareholder owning, in the aggregate, not less than 25 percent of the stock 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pStyle w:val="TextBody"/>
        <w:bidi w:val="0"/>
        <w:spacing w:before="0" w:after="0"/>
        <w:ind w:left="0" w:right="0" w:firstLine="4"/>
        <w:jc w:val="both"/>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TENTH. </w:t>
      </w:r>
      <w:r>
        <w:rPr>
          <w:rFonts w:ascii="Times New Roman;Times;Serif" w:hAnsi="Times New Roman;Times;Serif"/>
          <w:b w:val="false"/>
          <w:i w:val="false"/>
          <w:caps w:val="false"/>
          <w:smallCaps w:val="false"/>
          <w:sz w:val="20"/>
        </w:rPr>
        <w:t>These Articles of Association may be amended at any regular or special meeting of the shareholders by the affirmative 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- 4 -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lineRule="auto" w:line="240"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we have hereunto set our hands this </w:t>
      </w:r>
      <w:r>
        <w:rPr>
          <w:rFonts w:ascii="Times New Roman;Times;Serif" w:hAnsi="Times New Roman;Times;Serif"/>
          <w:b w:val="false"/>
          <w:i w:val="false"/>
          <w:caps w:val="false"/>
          <w:smallCaps w:val="false"/>
          <w:sz w:val="20"/>
          <w:u w:val="single"/>
        </w:rPr>
        <w:t>11th</w:t>
      </w:r>
      <w:r>
        <w:rPr>
          <w:rFonts w:ascii="Times New Roman;Times;Serif" w:hAnsi="Times New Roman;Times;Serif"/>
          <w:b w:val="false"/>
          <w:i w:val="false"/>
          <w:caps w:val="false"/>
          <w:smallCaps w:val="false"/>
          <w:sz w:val="20"/>
        </w:rPr>
        <w:t xml:space="preserve"> of June, 1997.</w:t>
      </w:r>
    </w:p>
    <w:p>
      <w:pPr>
        <w:pStyle w:val="TextBody"/>
        <w:bidi w:val="0"/>
        <w:spacing w:before="0" w:after="0"/>
        <w:jc w:val="both"/>
        <w:rPr>
          <w:caps w:val="false"/>
          <w:smallCaps w:val="false"/>
        </w:rPr>
      </w:pPr>
      <w:r>
        <w:rPr>
          <w:caps w:val="false"/>
          <w:smallCaps w:val="false"/>
        </w:rPr>
        <w:t> </w:t>
      </w:r>
    </w:p>
    <w:tbl>
      <w:tblPr>
        <w:tblW w:w="3840" w:type="dxa"/>
        <w:jc w:val="left"/>
        <w:tblInd w:w="0" w:type="dxa"/>
        <w:tblLayout w:type="fixed"/>
        <w:tblCellMar>
          <w:top w:w="0" w:type="dxa"/>
          <w:left w:w="0" w:type="dxa"/>
          <w:bottom w:w="28" w:type="dxa"/>
          <w:right w:w="0" w:type="dxa"/>
        </w:tblCellMar>
      </w:tblPr>
      <w:tblGrid>
        <w:gridCol w:w="3765"/>
        <w:gridCol w:w="75"/>
      </w:tblGrid>
      <w:tr>
        <w:trPr/>
        <w:tc>
          <w:tcPr>
            <w:tcW w:w="3765" w:type="dxa"/>
            <w:tcBorders>
              <w:bottom w:val="single" w:sz="8" w:space="0" w:color="000000"/>
            </w:tcBorders>
            <w:vAlign w:val="center"/>
          </w:tcPr>
          <w:p>
            <w:pPr>
              <w:pStyle w:val="TableContents"/>
              <w:bidi w:val="0"/>
              <w:spacing w:before="0" w:after="283"/>
              <w:jc w:val="left"/>
              <w:rPr/>
            </w:pPr>
            <w:r>
              <w:rPr/>
              <w:drawing>
                <wp:inline distT="0" distB="0" distL="0" distR="0">
                  <wp:extent cx="2381250" cy="904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44"/>
                          <a:stretch>
                            <a:fillRect/>
                          </a:stretch>
                        </pic:blipFill>
                        <pic:spPr bwMode="auto">
                          <a:xfrm>
                            <a:off x="0" y="0"/>
                            <a:ext cx="2381250" cy="904875"/>
                          </a:xfrm>
                          <a:prstGeom prst="rect">
                            <a:avLst/>
                          </a:prstGeom>
                        </pic:spPr>
                      </pic:pic>
                    </a:graphicData>
                  </a:graphic>
                </wp:inline>
              </w:drawing>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Jeffrey T. Grubb</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bottom w:val="single" w:sz="8" w:space="0" w:color="000000"/>
            </w:tcBorders>
            <w:vAlign w:val="center"/>
          </w:tcPr>
          <w:p>
            <w:pPr>
              <w:pStyle w:val="TableContents"/>
              <w:bidi w:val="0"/>
              <w:spacing w:before="0" w:after="283"/>
              <w:jc w:val="left"/>
              <w:rPr/>
            </w:pPr>
            <w:r>
              <w:rPr/>
              <w:drawing>
                <wp:inline distT="0" distB="0" distL="0" distR="0">
                  <wp:extent cx="1905000" cy="6667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45"/>
                          <a:stretch>
                            <a:fillRect/>
                          </a:stretch>
                        </pic:blipFill>
                        <pic:spPr bwMode="auto">
                          <a:xfrm>
                            <a:off x="0" y="0"/>
                            <a:ext cx="1905000" cy="666750"/>
                          </a:xfrm>
                          <a:prstGeom prst="rect">
                            <a:avLst/>
                          </a:prstGeom>
                        </pic:spPr>
                      </pic:pic>
                    </a:graphicData>
                  </a:graphic>
                </wp:inline>
              </w:drawing>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D. Sznewajs</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bottom w:val="single" w:sz="8" w:space="0" w:color="000000"/>
            </w:tcBorders>
            <w:vAlign w:val="center"/>
          </w:tcPr>
          <w:p>
            <w:pPr>
              <w:pStyle w:val="TableContents"/>
              <w:bidi w:val="0"/>
              <w:spacing w:before="0" w:after="283"/>
              <w:jc w:val="left"/>
              <w:rPr/>
            </w:pPr>
            <w:r>
              <w:rPr/>
              <w:drawing>
                <wp:inline distT="0" distB="0" distL="0" distR="0">
                  <wp:extent cx="1905000" cy="11239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46"/>
                          <a:stretch>
                            <a:fillRect/>
                          </a:stretch>
                        </pic:blipFill>
                        <pic:spPr bwMode="auto">
                          <a:xfrm>
                            <a:off x="0" y="0"/>
                            <a:ext cx="1905000" cy="1123950"/>
                          </a:xfrm>
                          <a:prstGeom prst="rect">
                            <a:avLst/>
                          </a:prstGeom>
                        </pic:spPr>
                      </pic:pic>
                    </a:graphicData>
                  </a:graphic>
                </wp:inline>
              </w:drawing>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Dwight V. Board</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bottom w:val="single" w:sz="8" w:space="0" w:color="000000"/>
            </w:tcBorders>
            <w:vAlign w:val="center"/>
          </w:tcPr>
          <w:p>
            <w:pPr>
              <w:pStyle w:val="TableContents"/>
              <w:bidi w:val="0"/>
              <w:spacing w:before="0" w:after="283"/>
              <w:jc w:val="left"/>
              <w:rPr/>
            </w:pPr>
            <w:r>
              <w:rPr/>
              <w:drawing>
                <wp:inline distT="0" distB="0" distL="0" distR="0">
                  <wp:extent cx="1428750" cy="7715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47"/>
                          <a:stretch>
                            <a:fillRect/>
                          </a:stretch>
                        </pic:blipFill>
                        <pic:spPr bwMode="auto">
                          <a:xfrm>
                            <a:off x="0" y="0"/>
                            <a:ext cx="1428750" cy="771525"/>
                          </a:xfrm>
                          <a:prstGeom prst="rect">
                            <a:avLst/>
                          </a:prstGeom>
                        </pic:spPr>
                      </pic:pic>
                    </a:graphicData>
                  </a:graphic>
                </wp:inline>
              </w:drawing>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 K. Chatterjee</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bottom w:val="single" w:sz="8" w:space="0" w:color="000000"/>
            </w:tcBorders>
            <w:vAlign w:val="center"/>
          </w:tcPr>
          <w:p>
            <w:pPr>
              <w:pStyle w:val="TableContents"/>
              <w:bidi w:val="0"/>
              <w:spacing w:before="0" w:after="283"/>
              <w:jc w:val="left"/>
              <w:rPr/>
            </w:pPr>
            <w:r>
              <w:rPr/>
              <w:drawing>
                <wp:inline distT="0" distB="0" distL="0" distR="0">
                  <wp:extent cx="1905000" cy="619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48"/>
                          <a:stretch>
                            <a:fillRect/>
                          </a:stretch>
                        </pic:blipFill>
                        <pic:spPr bwMode="auto">
                          <a:xfrm>
                            <a:off x="0" y="0"/>
                            <a:ext cx="1905000" cy="619125"/>
                          </a:xfrm>
                          <a:prstGeom prst="rect">
                            <a:avLst/>
                          </a:prstGeom>
                        </pic:spPr>
                      </pic:pic>
                    </a:graphicData>
                  </a:graphic>
                </wp:inline>
              </w:drawing>
            </w:r>
          </w:p>
        </w:tc>
        <w:tc>
          <w:tcPr>
            <w:tcW w:w="75" w:type="dxa"/>
            <w:tcBorders/>
            <w:tcMar>
              <w:bottom w:w="0" w:type="dxa"/>
            </w:tcMar>
            <w:vAlign w:val="center"/>
          </w:tcPr>
          <w:p>
            <w:pPr>
              <w:pStyle w:val="TableContents"/>
              <w:bidi w:val="0"/>
              <w:spacing w:before="0" w:after="283"/>
              <w:jc w:val="left"/>
              <w:rPr/>
            </w:pPr>
            <w:r>
              <w:rPr/>
              <w:t> </w:t>
            </w:r>
          </w:p>
        </w:tc>
      </w:tr>
      <w:tr>
        <w:trPr/>
        <w:tc>
          <w:tcPr>
            <w:tcW w:w="376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Lane</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6667500" cy="9039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49"/>
                    <a:stretch>
                      <a:fillRect/>
                    </a:stretch>
                  </pic:blipFill>
                  <pic:spPr bwMode="auto">
                    <a:xfrm>
                      <a:off x="0" y="0"/>
                      <a:ext cx="6667500" cy="9039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AMENDED AND RESTATED BYLAWS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Meetings of Shareholders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such special meeting, unless otherwise provided by law, shall be called upon not less than ten (10) days nor more than sixty (60) days prior notice stating the purpose of the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Nominations for Directors</w:t>
      </w:r>
      <w:r>
        <w:rPr>
          <w:rFonts w:ascii="Times New Roman;Times;Serif" w:hAnsi="Times New Roman;Times;Serif"/>
          <w:b w:val="false"/>
          <w:i w:val="false"/>
          <w:caps w:val="false"/>
          <w:smallCaps w:val="false"/>
          <w:sz w:val="20"/>
        </w:rPr>
        <w:t>. Nominations for election to the Board may be made by the Board or by any shareholder.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Shareholders may vote at any meeting of the shareholders by proxies duly authorized in writing. Proxies shall be valid only for one meeting and any adjournments of such meeting and shall be filed with the records of the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The record date for determining shareholders entitled to notice and to vote at any meeting will be thirty days before the date of such meeting, unless otherwise determined by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Quorum and Voting</w:t>
      </w:r>
      <w:r>
        <w:rPr>
          <w:rFonts w:ascii="Times New Roman;Times;Serif" w:hAnsi="Times New Roman;Times;Serif"/>
          <w:b w:val="false"/>
          <w:i w:val="false"/>
          <w:caps w:val="false"/>
          <w:smallCaps w:val="false"/>
          <w:sz w:val="20"/>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Waiver and Consent</w:t>
      </w:r>
      <w:r>
        <w:rPr>
          <w:rFonts w:ascii="Times New Roman;Times;Serif" w:hAnsi="Times New Roman;Times;Serif"/>
          <w:b w:val="false"/>
          <w:i w:val="false"/>
          <w:caps w:val="false"/>
          <w:smallCaps w:val="false"/>
          <w:sz w:val="20"/>
        </w:rPr>
        <w:t>. The shareholders may act without notice or a meeting by a unanimous written consent by all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The Board shall have the right to determine that a shareholder meeting not be held at a place, but instead be held solely by means of remote communication in the manner and to the extent permitted by the General Corporation Law of the State of Delaware.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The Board shall have the power to manage and administer the business and affairs of the Association. Except as expressly limited by law, all corporate powers of the Association shall be vested in and may be exercised by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The directors of this Association shall hold office for one year and until their successors are duly elected and qualified, or until their earlier resignation or removal.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addition to the foregoing, the Board shall have and may exercise all of the powers granted to or conferred upon it by the Articles of Association, the Bylaws and by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Number</w:t>
      </w:r>
      <w:r>
        <w:rPr>
          <w:rFonts w:ascii="Times New Roman;Times;Serif" w:hAnsi="Times New Roman;Times;Serif"/>
          <w:b w:val="false"/>
          <w:i w:val="false"/>
          <w:caps w:val="false"/>
          <w:smallCaps w:val="false"/>
          <w:sz w:val="20"/>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Organization Meeting</w:t>
      </w:r>
      <w:r>
        <w:rPr>
          <w:rFonts w:ascii="Times New Roman;Times;Serif" w:hAnsi="Times New Roman;Times;Serif"/>
          <w:b w:val="false"/>
          <w:i w:val="false"/>
          <w:caps w:val="false"/>
          <w:smallCaps w:val="false"/>
          <w:sz w:val="20"/>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Regular Meetings</w:t>
      </w:r>
      <w:r>
        <w:rPr>
          <w:rFonts w:ascii="Times New Roman;Times;Serif" w:hAnsi="Times New Roman;Times;Serif"/>
          <w:b w:val="false"/>
          <w:i w:val="false"/>
          <w:caps w:val="false"/>
          <w:smallCaps w:val="false"/>
          <w:sz w:val="20"/>
        </w:rPr>
        <w:t>. The regular meetings of the Board shall be held, without notice, as the Chairman or President may designate and deem suitable.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Quorum and Necessary Vote</w:t>
      </w:r>
      <w:r>
        <w:rPr>
          <w:rFonts w:ascii="Times New Roman;Times;Serif" w:hAnsi="Times New Roman;Times;Serif"/>
          <w:b w:val="false"/>
          <w:i w:val="false"/>
          <w:caps w:val="false"/>
          <w:smallCaps w:val="false"/>
          <w:sz w:val="20"/>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Written Consent</w:t>
      </w:r>
      <w:r>
        <w:rPr>
          <w:rFonts w:ascii="Times New Roman;Times;Serif" w:hAnsi="Times New Roman;Times;Serif"/>
          <w:b w:val="false"/>
          <w:i w:val="false"/>
          <w:caps w:val="false"/>
          <w:smallCaps w:val="false"/>
          <w:sz w:val="20"/>
        </w:rPr>
        <w:t>. Except as otherwise required by applicable laws and regulations, the Board may act without a meeting by a unanimous written consent by all directors, to be filed with the Secretary of the Association as part of the corporate records.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When any vacancy occurs among the directors, the remaining members of the Board may appoint a director to fill such vacancy at any regular meeting of the Board, or at a special meeting called for that purpose.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Committees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Advisory Board of Directors</w:t>
      </w:r>
      <w:r>
        <w:rPr>
          <w:rFonts w:ascii="Times New Roman;Times;Serif" w:hAnsi="Times New Roman;Times;Serif"/>
          <w:b w:val="false"/>
          <w:i w:val="false"/>
          <w:caps w:val="false"/>
          <w:smallCaps w:val="false"/>
          <w:sz w:val="20"/>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Trust Audit Committee</w:t>
      </w:r>
      <w:r>
        <w:rPr>
          <w:rFonts w:ascii="Times New Roman;Times;Serif" w:hAnsi="Times New Roman;Times;Serif"/>
          <w:b w:val="false"/>
          <w:i w:val="false"/>
          <w:caps w:val="false"/>
          <w:smallCaps w:val="false"/>
          <w:sz w:val="20"/>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financial holding company that is the ultimate parent of this Association, fulfilling the function of the trust audit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Must not include any officers of the Association or an affiliate who participate significantly in the administration of the Association’s fiduciary activities;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Must consist of a majority of members who are not also members of any committee to which the Board has delegated power to manage and control the fiduciary activities of the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Executive Committee</w:t>
      </w:r>
      <w:r>
        <w:rPr>
          <w:rFonts w:ascii="Times New Roman;Times;Serif" w:hAnsi="Times New Roman;Times;Serif"/>
          <w:b w:val="false"/>
          <w:i w:val="false"/>
          <w:caps w:val="false"/>
          <w:smallCaps w:val="false"/>
          <w:sz w:val="20"/>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Trust Management Committee</w:t>
      </w:r>
      <w:r>
        <w:rPr>
          <w:rFonts w:ascii="Times New Roman;Times;Serif" w:hAnsi="Times New Roman;Times;Serif"/>
          <w:b w:val="false"/>
          <w:i w:val="false"/>
          <w:caps w:val="false"/>
          <w:smallCaps w:val="false"/>
          <w:sz w:val="20"/>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Other Committees</w:t>
      </w:r>
      <w:r>
        <w:rPr>
          <w:rFonts w:ascii="Times New Roman;Times;Serif" w:hAnsi="Times New Roman;Times;Serif"/>
          <w:b w:val="false"/>
          <w:i w:val="false"/>
          <w:caps w:val="false"/>
          <w:smallCaps w:val="false"/>
          <w:sz w:val="20"/>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Meetings, Minutes and Rules</w:t>
      </w:r>
      <w:r>
        <w:rPr>
          <w:rFonts w:ascii="Times New Roman;Times;Serif" w:hAnsi="Times New Roman;Times;Serif"/>
          <w:b w:val="false"/>
          <w:i w:val="false"/>
          <w:caps w:val="false"/>
          <w:smallCaps w:val="false"/>
          <w:sz w:val="20"/>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Who Shall Constitute.</w:t>
      </w:r>
      <w:r>
        <w:rPr>
          <w:rFonts w:ascii="Times New Roman;Times;Serif" w:hAnsi="Times New Roman;Times;Serif"/>
          <w:b w:val="false"/>
          <w:i w:val="false"/>
          <w:caps w:val="false"/>
          <w:smallCaps w:val="false"/>
          <w:sz w:val="20"/>
        </w:rPr>
        <w:t xml:space="preserve">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xml:space="preserve">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Chairman of the Board</w:t>
      </w:r>
      <w:r>
        <w:rPr>
          <w:rFonts w:ascii="Times New Roman;Times;Serif" w:hAnsi="Times New Roman;Times;Serif"/>
          <w:b w:val="false"/>
          <w:i w:val="false"/>
          <w:caps w:val="false"/>
          <w:smallCaps w:val="false"/>
          <w:sz w:val="20"/>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Vice President</w:t>
      </w:r>
      <w:r>
        <w:rPr>
          <w:rFonts w:ascii="Times New Roman;Times;Serif" w:hAnsi="Times New Roman;Times;Serif"/>
          <w:b w:val="false"/>
          <w:i w:val="false"/>
          <w:caps w:val="false"/>
          <w:smallCaps w:val="false"/>
          <w:sz w:val="20"/>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Secretary</w:t>
      </w:r>
      <w:r>
        <w:rPr>
          <w:rFonts w:ascii="Times New Roman;Times;Serif" w:hAnsi="Times New Roman;Times;Serif"/>
          <w:b w:val="false"/>
          <w:i w:val="false"/>
          <w:caps w:val="false"/>
          <w:smallCaps w:val="false"/>
          <w:sz w:val="20"/>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Other Officers</w:t>
      </w:r>
      <w:r>
        <w:rPr>
          <w:rFonts w:ascii="Times New Roman;Times;Serif" w:hAnsi="Times New Roman;Times;Serif"/>
          <w:b w:val="false"/>
          <w:i w:val="false"/>
          <w:caps w:val="false"/>
          <w:smallCaps w:val="false"/>
          <w:sz w:val="20"/>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Corporate Seal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Execution of Instruments</w:t>
      </w:r>
      <w:r>
        <w:rPr>
          <w:rFonts w:ascii="Times New Roman;Times;Serif" w:hAnsi="Times New Roman;Times;Serif"/>
          <w:b w:val="false"/>
          <w:i w:val="false"/>
          <w:caps w:val="false"/>
          <w:smallCaps w:val="false"/>
          <w:sz w:val="20"/>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Trust Files</w:t>
      </w:r>
      <w:r>
        <w:rPr>
          <w:rFonts w:ascii="Times New Roman;Times;Serif" w:hAnsi="Times New Roman;Times;Serif"/>
          <w:b w:val="false"/>
          <w:i w:val="false"/>
          <w:caps w:val="false"/>
          <w:smallCaps w:val="false"/>
          <w:sz w:val="20"/>
        </w:rPr>
        <w:t>. There shall be maintained in the Association files all fiduciary records necessary to assure that its fiduciary responsibilities have been properly undertaken and discharged.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Trust Investments</w:t>
      </w:r>
      <w:r>
        <w:rPr>
          <w:rFonts w:ascii="Times New Roman;Times;Serif" w:hAnsi="Times New Roman;Times;Serif"/>
          <w:b w:val="false"/>
          <w:i w:val="false"/>
          <w:caps w:val="false"/>
          <w:smallCaps w:val="false"/>
          <w:sz w:val="20"/>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8</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specified otherwise in these Bylaws, prior notice shall be proper if given not more than 30 days nor less than 10 days prior to the event for which notice is given.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Bylaws: Interpretation and Amendment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These Bylaws shall be interpreted in accordance with and subject to appropriate provisions of law, and may be added to, altered, amended, or repealed, at any regular or special meeting of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A copy of the Bylaws and all amendments shall at all times be kept in a convenient place at the principal office of the Association, and shall be open for inspection to all shareholders during Association hours.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Association shall begin on the first day of January in each year and shall end on the thirty-first day of December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6, 2025)</w:t>
      </w:r>
    </w:p>
    <w:p>
      <w:pPr>
        <w:pStyle w:val="TextBody"/>
        <w:bidi w:val="0"/>
        <w:spacing w:before="0" w:after="0"/>
        <w:jc w:val="righ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13, 2026</w:t>
      </w:r>
    </w:p>
    <w:p>
      <w:pPr>
        <w:pStyle w:val="TextBody"/>
        <w:bidi w:val="0"/>
        <w:spacing w:before="0" w:after="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365"/>
        <w:gridCol w:w="207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0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Robert P. Pavlovic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P. Pavlovic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Bank Trust Company, National Association</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Statement of Financial Condition</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6/30/2026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($000’s) </w:t>
      </w:r>
    </w:p>
    <w:p>
      <w:pPr>
        <w:pStyle w:val="TextBody"/>
        <w:bidi w:val="0"/>
        <w:spacing w:before="0" w:after="0"/>
        <w:jc w:val="center"/>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5075"/>
        <w:gridCol w:w="60"/>
        <w:gridCol w:w="140"/>
        <w:gridCol w:w="980"/>
        <w:gridCol w:w="75"/>
      </w:tblGrid>
      <w:tr>
        <w:trPr/>
        <w:tc>
          <w:tcPr>
            <w:tcW w:w="507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6/30/2026</w:t>
            </w:r>
          </w:p>
        </w:tc>
        <w:tc>
          <w:tcPr>
            <w:tcW w:w="75" w:type="dxa"/>
            <w:tcBorders/>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Cash and Balances Due From Depository Institutions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2,474,094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4,673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Federal Funds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Loans &amp; Lease Financing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Fixed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573,109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154,375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3,206,698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Fed 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Treasury Demand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Trading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Other Borrowed Money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Acceptances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Subordinated Notes and Debentures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268,325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980" w:type="dxa"/>
            <w:tcBorders/>
            <w:shd w:fill="FFFFFF" w:val="clear"/>
            <w:vAlign w:val="center"/>
          </w:tcPr>
          <w:p>
            <w:pPr>
              <w:pStyle w:val="TableContents"/>
              <w:bidi w:val="0"/>
              <w:spacing w:before="0" w:after="283"/>
              <w:jc w:val="right"/>
              <w:rPr>
                <w:b/>
              </w:rPr>
            </w:pPr>
            <w:r>
              <w:rPr>
                <w:b/>
              </w:rPr>
              <w:t>268,325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Common and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Surplus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1,171,635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Undivided Profits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1,766,538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Minority Interest in Subsidiaries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b/>
              </w:rPr>
            </w:pPr>
            <w:r>
              <w:rPr>
                <w:b/>
              </w:rPr>
              <w:t>Total Equity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2,938,373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b/>
              </w:rPr>
            </w:pPr>
            <w:r>
              <w:rPr>
                <w:b/>
              </w:rPr>
              <w:t>Total Liabilities and Equity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3,206,698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60" w:after="6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jc w:val="right"/>
        <w:rPr>
          <w:rFonts w:ascii="Times New Roman" w:hAnsi="Times New Roman"/>
          <w:b/>
          <w:sz w:val="20"/>
        </w:rPr>
      </w:pPr>
      <w:bookmarkStart w:id="112" w:name="ny20083847x1_ex107.htm"/>
      <w:bookmarkStart w:id="113" w:name="ksny20083847x1_ex107"/>
      <w:bookmarkEnd w:id="112"/>
      <w:bookmarkEnd w:id="113"/>
      <w:r>
        <w:rPr>
          <w:rFonts w:ascii="Times New Roman" w:hAnsi="Times New Roman"/>
          <w:b/>
          <w:sz w:val="20"/>
        </w:rPr>
        <w:t>Exhibit 107.1</w:t>
      </w:r>
      <w:r>
        <w:br w:type="page"/>
      </w:r>
    </w:p>
    <w:p>
      <w:pPr>
        <w:pStyle w:val="TextBody"/>
        <w:bidi w:val="0"/>
        <w:spacing w:before="0" w:after="0"/>
        <w:jc w:val="right"/>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Calculation of Filing Fee Tables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b/>
          <w:sz w:val="20"/>
        </w:rPr>
      </w:pPr>
      <w:r>
        <w:rPr>
          <w:rFonts w:ascii="Times New Roman" w:hAnsi="Times New Roman"/>
          <w:b/>
          <w:sz w:val="20"/>
        </w:rPr>
        <w:t>Form S-3ASR</w:t>
      </w:r>
    </w:p>
    <w:p>
      <w:pPr>
        <w:pStyle w:val="TextBody"/>
        <w:bidi w:val="0"/>
        <w:spacing w:before="0" w:after="0"/>
        <w:jc w:val="center"/>
        <w:rPr>
          <w:rFonts w:ascii="Times New Roman" w:hAnsi="Times New Roman"/>
          <w:sz w:val="24"/>
        </w:rPr>
      </w:pPr>
      <w:r>
        <w:rPr>
          <w:rFonts w:ascii="Times New Roman" w:hAnsi="Times New Roman"/>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Westinghouse Air Brake Technologies Corporation</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sz w:val="20"/>
        </w:rPr>
        <w:t>(Exact Name of Registrant as Specified in its Charter)</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sz w:val="20"/>
        </w:rPr>
        <w:t>Table 1: Newly Registered Securities</w:t>
      </w:r>
      <w:r>
        <w:rPr>
          <w:rFonts w:ascii="Times New Roman" w:hAnsi="Times New Roman"/>
          <w:sz w:val="24"/>
        </w:rPr>
        <w:t xml:space="preserve"> </w:t>
      </w:r>
    </w:p>
    <w:p>
      <w:pPr>
        <w:pStyle w:val="TextBody"/>
        <w:bidi w:val="0"/>
        <w:spacing w:before="0" w:after="0"/>
        <w:jc w:val="center"/>
        <w:rPr/>
      </w:pPr>
      <w:r>
        <w:rPr/>
        <w:t xml:space="preserve">  </w:t>
      </w:r>
    </w:p>
    <w:tbl>
      <w:tblPr>
        <w:tblW w:w="10705" w:type="dxa"/>
        <w:jc w:val="left"/>
        <w:tblInd w:w="0" w:type="dxa"/>
        <w:tblLayout w:type="fixed"/>
        <w:tblCellMar>
          <w:top w:w="28" w:type="dxa"/>
          <w:left w:w="28" w:type="dxa"/>
          <w:bottom w:w="28" w:type="dxa"/>
          <w:right w:w="28" w:type="dxa"/>
        </w:tblCellMar>
      </w:tblPr>
      <w:tblGrid>
        <w:gridCol w:w="556"/>
        <w:gridCol w:w="676"/>
        <w:gridCol w:w="946"/>
        <w:gridCol w:w="1171"/>
        <w:gridCol w:w="1276"/>
        <w:gridCol w:w="1186"/>
        <w:gridCol w:w="1156"/>
        <w:gridCol w:w="1156"/>
        <w:gridCol w:w="1186"/>
        <w:gridCol w:w="1396"/>
      </w:tblGrid>
      <w:tr>
        <w:trPr/>
        <w:tc>
          <w:tcPr>
            <w:tcW w:w="556"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r>
      <w:tr>
        <w:trPr/>
        <w:tc>
          <w:tcPr>
            <w:tcW w:w="5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67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Notes</w:t>
            </w:r>
            <w:r>
              <w:rPr/>
              <w:t xml:space="preserve"> </w:t>
            </w:r>
          </w:p>
        </w:tc>
        <w:tc>
          <w:tcPr>
            <w:tcW w:w="94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Security Type</w:t>
            </w:r>
            <w:r>
              <w:rPr/>
              <w:t xml:space="preserve"> </w:t>
            </w:r>
          </w:p>
        </w:tc>
        <w:tc>
          <w:tcPr>
            <w:tcW w:w="117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Security Class Title</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Fee Calculation Rule</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Amount Registered</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Proposed Maximum Offering Price Per Unit</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Maximum Aggregate Offering Price</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Fee Rate</w:t>
            </w:r>
            <w:r>
              <w:rPr/>
              <w:t xml:space="preserve"> </w:t>
            </w:r>
          </w:p>
        </w:tc>
        <w:tc>
          <w:tcPr>
            <w:tcW w:w="139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Amount of Registration Fee</w:t>
            </w:r>
            <w:r>
              <w:rPr/>
              <w:t xml:space="preserve"> </w:t>
            </w:r>
          </w:p>
        </w:tc>
      </w:tr>
      <w:tr>
        <w:trPr/>
        <w:tc>
          <w:tcPr>
            <w:tcW w:w="55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Fees to Be Paid </w:t>
            </w:r>
          </w:p>
        </w:tc>
        <w:tc>
          <w:tcPr>
            <w:tcW w:w="67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(1) </w:t>
            </w:r>
          </w:p>
        </w:tc>
        <w:tc>
          <w:tcPr>
            <w:tcW w:w="94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Debt </w:t>
            </w:r>
          </w:p>
        </w:tc>
        <w:tc>
          <w:tcPr>
            <w:tcW w:w="1171"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Debt Securities </w:t>
            </w:r>
          </w:p>
        </w:tc>
        <w:tc>
          <w:tcPr>
            <w:tcW w:w="127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Rule 456(b) and Rule 457(r) </w:t>
            </w:r>
          </w:p>
        </w:tc>
        <w:tc>
          <w:tcPr>
            <w:tcW w:w="118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left"/>
              <w:rPr/>
            </w:pPr>
            <w:r>
              <w:rPr/>
              <w:t> </w:t>
            </w:r>
          </w:p>
        </w:tc>
        <w:tc>
          <w:tcPr>
            <w:tcW w:w="115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left"/>
              <w:rPr/>
            </w:pPr>
            <w:r>
              <w:rPr/>
              <w:t> </w:t>
            </w:r>
          </w:p>
        </w:tc>
        <w:tc>
          <w:tcPr>
            <w:tcW w:w="118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w:t>
            </w:r>
            <w:r>
              <w:rPr>
                <w:spacing w:val="0"/>
                <w:shd w:fill="CCEEFF" w:val="clear"/>
              </w:rPr>
              <w:t>0.0000870</w:t>
            </w:r>
          </w:p>
        </w:tc>
        <w:tc>
          <w:tcPr>
            <w:tcW w:w="139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left"/>
              <w:rPr/>
            </w:pPr>
            <w:r>
              <w:rPr/>
              <w:t> </w:t>
            </w:r>
          </w:p>
        </w:tc>
      </w:tr>
      <w:tr>
        <w:trPr/>
        <w:tc>
          <w:tcPr>
            <w:tcW w:w="5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Fees to Be Paid </w:t>
            </w:r>
          </w:p>
        </w:tc>
        <w:tc>
          <w:tcPr>
            <w:tcW w:w="67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(2) </w:t>
            </w:r>
          </w:p>
        </w:tc>
        <w:tc>
          <w:tcPr>
            <w:tcW w:w="94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Other </w:t>
            </w:r>
          </w:p>
        </w:tc>
        <w:tc>
          <w:tcPr>
            <w:tcW w:w="117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Guarantees of Debt Securities </w:t>
            </w:r>
          </w:p>
        </w:tc>
        <w:tc>
          <w:tcPr>
            <w:tcW w:w="127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Rule 457(n) </w:t>
            </w:r>
          </w:p>
        </w:tc>
        <w:tc>
          <w:tcPr>
            <w:tcW w:w="118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left"/>
              <w:rPr/>
            </w:pPr>
            <w:r>
              <w:rPr/>
              <w:t> </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left"/>
              <w:rPr/>
            </w:pPr>
            <w:r>
              <w:rPr/>
              <w:t> </w:t>
            </w:r>
          </w:p>
        </w:tc>
        <w:tc>
          <w:tcPr>
            <w:tcW w:w="118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r>
              <w:rPr>
                <w:spacing w:val="0"/>
              </w:rPr>
              <w:t>0.0000870</w:t>
            </w:r>
          </w:p>
        </w:tc>
        <w:tc>
          <w:tcPr>
            <w:tcW w:w="139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r>
              <w:rPr/>
              <w:t>$0</w:t>
            </w:r>
          </w:p>
        </w:tc>
      </w:tr>
      <w:tr>
        <w:trPr/>
        <w:tc>
          <w:tcPr>
            <w:tcW w:w="55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Fees to Be Paid </w:t>
            </w:r>
          </w:p>
        </w:tc>
        <w:tc>
          <w:tcPr>
            <w:tcW w:w="67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(3) </w:t>
            </w:r>
          </w:p>
        </w:tc>
        <w:tc>
          <w:tcPr>
            <w:tcW w:w="94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Equity </w:t>
            </w:r>
          </w:p>
        </w:tc>
        <w:tc>
          <w:tcPr>
            <w:tcW w:w="1171"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Common Stock, par value $.01 per share </w:t>
            </w:r>
          </w:p>
        </w:tc>
        <w:tc>
          <w:tcPr>
            <w:tcW w:w="127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Rule 456(b) and Rule 457(r) </w:t>
            </w:r>
          </w:p>
        </w:tc>
        <w:tc>
          <w:tcPr>
            <w:tcW w:w="118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left"/>
              <w:rPr/>
            </w:pPr>
            <w:r>
              <w:rPr/>
              <w:t> </w:t>
            </w:r>
          </w:p>
        </w:tc>
        <w:tc>
          <w:tcPr>
            <w:tcW w:w="115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left"/>
              <w:rPr/>
            </w:pPr>
            <w:r>
              <w:rPr/>
              <w:t> </w:t>
            </w:r>
          </w:p>
        </w:tc>
        <w:tc>
          <w:tcPr>
            <w:tcW w:w="118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w:t>
            </w:r>
            <w:r>
              <w:rPr>
                <w:spacing w:val="0"/>
                <w:shd w:fill="CCEEFF" w:val="clear"/>
              </w:rPr>
              <w:t>0.0000870</w:t>
            </w:r>
          </w:p>
        </w:tc>
        <w:tc>
          <w:tcPr>
            <w:tcW w:w="139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w:t>
            </w:r>
          </w:p>
        </w:tc>
      </w:tr>
      <w:tr>
        <w:trPr/>
        <w:tc>
          <w:tcPr>
            <w:tcW w:w="5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Fees to Be Paid </w:t>
            </w:r>
          </w:p>
        </w:tc>
        <w:tc>
          <w:tcPr>
            <w:tcW w:w="67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(4) </w:t>
            </w:r>
          </w:p>
        </w:tc>
        <w:tc>
          <w:tcPr>
            <w:tcW w:w="94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Equity </w:t>
            </w:r>
          </w:p>
        </w:tc>
        <w:tc>
          <w:tcPr>
            <w:tcW w:w="117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Preferred Stock, par value $.01 per share </w:t>
            </w:r>
          </w:p>
        </w:tc>
        <w:tc>
          <w:tcPr>
            <w:tcW w:w="127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Rule 456(b) and Rule 457(r) </w:t>
            </w:r>
          </w:p>
        </w:tc>
        <w:tc>
          <w:tcPr>
            <w:tcW w:w="118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left"/>
              <w:rPr/>
            </w:pPr>
            <w:r>
              <w:rPr/>
              <w:t> </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left"/>
              <w:rPr/>
            </w:pPr>
            <w:r>
              <w:rPr/>
              <w:t> </w:t>
            </w:r>
          </w:p>
        </w:tc>
        <w:tc>
          <w:tcPr>
            <w:tcW w:w="118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r>
              <w:rPr>
                <w:spacing w:val="0"/>
              </w:rPr>
              <w:t>0.0000870</w:t>
            </w:r>
          </w:p>
        </w:tc>
        <w:tc>
          <w:tcPr>
            <w:tcW w:w="139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r>
      <w:tr>
        <w:trPr/>
        <w:tc>
          <w:tcPr>
            <w:tcW w:w="55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Fees to Be Paid </w:t>
            </w:r>
          </w:p>
        </w:tc>
        <w:tc>
          <w:tcPr>
            <w:tcW w:w="67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(5) </w:t>
            </w:r>
          </w:p>
        </w:tc>
        <w:tc>
          <w:tcPr>
            <w:tcW w:w="94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Other </w:t>
            </w:r>
          </w:p>
        </w:tc>
        <w:tc>
          <w:tcPr>
            <w:tcW w:w="1171"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Warrants </w:t>
            </w:r>
          </w:p>
        </w:tc>
        <w:tc>
          <w:tcPr>
            <w:tcW w:w="127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Rule 456(b) and Rule 457(r) </w:t>
            </w:r>
          </w:p>
        </w:tc>
        <w:tc>
          <w:tcPr>
            <w:tcW w:w="118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left"/>
              <w:rPr/>
            </w:pPr>
            <w:r>
              <w:rPr/>
              <w:t> </w:t>
            </w:r>
          </w:p>
        </w:tc>
        <w:tc>
          <w:tcPr>
            <w:tcW w:w="115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left"/>
              <w:rPr/>
            </w:pPr>
            <w:r>
              <w:rPr/>
              <w:t> </w:t>
            </w:r>
          </w:p>
        </w:tc>
        <w:tc>
          <w:tcPr>
            <w:tcW w:w="118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w:t>
            </w:r>
            <w:r>
              <w:rPr>
                <w:spacing w:val="0"/>
                <w:shd w:fill="CCEEFF" w:val="clear"/>
              </w:rPr>
              <w:t>0.0000870</w:t>
            </w:r>
          </w:p>
        </w:tc>
        <w:tc>
          <w:tcPr>
            <w:tcW w:w="139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w:t>
            </w:r>
          </w:p>
        </w:tc>
      </w:tr>
      <w:tr>
        <w:trPr/>
        <w:tc>
          <w:tcPr>
            <w:tcW w:w="5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Fees to Be Paid </w:t>
            </w:r>
          </w:p>
        </w:tc>
        <w:tc>
          <w:tcPr>
            <w:tcW w:w="67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(6) </w:t>
            </w:r>
          </w:p>
        </w:tc>
        <w:tc>
          <w:tcPr>
            <w:tcW w:w="94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Other </w:t>
            </w:r>
          </w:p>
        </w:tc>
        <w:tc>
          <w:tcPr>
            <w:tcW w:w="117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Depositary Shares </w:t>
            </w:r>
          </w:p>
        </w:tc>
        <w:tc>
          <w:tcPr>
            <w:tcW w:w="127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Rule 456(b) and Rule 457(r) </w:t>
            </w:r>
          </w:p>
        </w:tc>
        <w:tc>
          <w:tcPr>
            <w:tcW w:w="118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left"/>
              <w:rPr/>
            </w:pPr>
            <w:r>
              <w:rPr/>
              <w:t> </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left"/>
              <w:rPr/>
            </w:pPr>
            <w:r>
              <w:rPr/>
              <w:t> </w:t>
            </w:r>
          </w:p>
        </w:tc>
        <w:tc>
          <w:tcPr>
            <w:tcW w:w="118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r>
              <w:rPr>
                <w:spacing w:val="0"/>
              </w:rPr>
              <w:t>0.0000870</w:t>
            </w:r>
          </w:p>
        </w:tc>
        <w:tc>
          <w:tcPr>
            <w:tcW w:w="139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r>
      <w:tr>
        <w:trPr/>
        <w:tc>
          <w:tcPr>
            <w:tcW w:w="55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Fees to Be Paid </w:t>
            </w:r>
          </w:p>
        </w:tc>
        <w:tc>
          <w:tcPr>
            <w:tcW w:w="67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(7) </w:t>
            </w:r>
          </w:p>
        </w:tc>
        <w:tc>
          <w:tcPr>
            <w:tcW w:w="94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Other </w:t>
            </w:r>
          </w:p>
        </w:tc>
        <w:tc>
          <w:tcPr>
            <w:tcW w:w="1171"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Purchase Contracts </w:t>
            </w:r>
          </w:p>
        </w:tc>
        <w:tc>
          <w:tcPr>
            <w:tcW w:w="127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Rule 456(b) and Rule 457(r) </w:t>
            </w:r>
          </w:p>
        </w:tc>
        <w:tc>
          <w:tcPr>
            <w:tcW w:w="118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left"/>
              <w:rPr/>
            </w:pPr>
            <w:r>
              <w:rPr/>
              <w:t> </w:t>
            </w:r>
          </w:p>
        </w:tc>
        <w:tc>
          <w:tcPr>
            <w:tcW w:w="115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left"/>
              <w:rPr/>
            </w:pPr>
            <w:r>
              <w:rPr/>
              <w:t> </w:t>
            </w:r>
          </w:p>
        </w:tc>
        <w:tc>
          <w:tcPr>
            <w:tcW w:w="118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w:t>
            </w:r>
            <w:r>
              <w:rPr>
                <w:spacing w:val="0"/>
                <w:shd w:fill="CCEEFF" w:val="clear"/>
              </w:rPr>
              <w:t>0.0000870</w:t>
            </w:r>
          </w:p>
        </w:tc>
        <w:tc>
          <w:tcPr>
            <w:tcW w:w="139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left"/>
              <w:rPr/>
            </w:pPr>
            <w:r>
              <w:rPr/>
              <w:t> </w:t>
            </w:r>
          </w:p>
        </w:tc>
      </w:tr>
      <w:tr>
        <w:trPr/>
        <w:tc>
          <w:tcPr>
            <w:tcW w:w="5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Fees to Be Paid </w:t>
            </w:r>
          </w:p>
        </w:tc>
        <w:tc>
          <w:tcPr>
            <w:tcW w:w="67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(8) </w:t>
            </w:r>
          </w:p>
        </w:tc>
        <w:tc>
          <w:tcPr>
            <w:tcW w:w="94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Other </w:t>
            </w:r>
          </w:p>
        </w:tc>
        <w:tc>
          <w:tcPr>
            <w:tcW w:w="117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Units </w:t>
            </w:r>
          </w:p>
        </w:tc>
        <w:tc>
          <w:tcPr>
            <w:tcW w:w="127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Rule 456(b) and Rule 457(r) </w:t>
            </w:r>
          </w:p>
        </w:tc>
        <w:tc>
          <w:tcPr>
            <w:tcW w:w="118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left"/>
              <w:rPr/>
            </w:pPr>
            <w:r>
              <w:rPr/>
              <w:t> </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left"/>
              <w:rPr/>
            </w:pPr>
            <w:r>
              <w:rPr/>
              <w:t> </w:t>
            </w:r>
          </w:p>
        </w:tc>
        <w:tc>
          <w:tcPr>
            <w:tcW w:w="118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r>
              <w:rPr>
                <w:spacing w:val="0"/>
              </w:rPr>
              <w:t>0.0000870</w:t>
            </w:r>
          </w:p>
        </w:tc>
        <w:tc>
          <w:tcPr>
            <w:tcW w:w="139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left"/>
              <w:rPr/>
            </w:pPr>
            <w:r>
              <w:rPr/>
              <w:t> </w:t>
            </w:r>
          </w:p>
        </w:tc>
      </w:tr>
      <w:tr>
        <w:trPr/>
        <w:tc>
          <w:tcPr>
            <w:tcW w:w="55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w:t>
            </w:r>
          </w:p>
        </w:tc>
        <w:tc>
          <w:tcPr>
            <w:tcW w:w="5255" w:type="dxa"/>
            <w:gridSpan w:val="5"/>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Total Offering Amounts </w:t>
            </w:r>
          </w:p>
        </w:tc>
        <w:tc>
          <w:tcPr>
            <w:tcW w:w="115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$0</w:t>
            </w:r>
          </w:p>
        </w:tc>
        <w:tc>
          <w:tcPr>
            <w:tcW w:w="118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w:t>
            </w:r>
          </w:p>
        </w:tc>
        <w:tc>
          <w:tcPr>
            <w:tcW w:w="139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$0</w:t>
            </w:r>
          </w:p>
        </w:tc>
      </w:tr>
      <w:tr>
        <w:trPr/>
        <w:tc>
          <w:tcPr>
            <w:tcW w:w="5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5255" w:type="dxa"/>
            <w:gridSpan w:val="5"/>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Total Fees Previously Paid </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39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$0</w:t>
            </w:r>
          </w:p>
        </w:tc>
      </w:tr>
      <w:tr>
        <w:trPr/>
        <w:tc>
          <w:tcPr>
            <w:tcW w:w="55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w:t>
            </w:r>
          </w:p>
        </w:tc>
        <w:tc>
          <w:tcPr>
            <w:tcW w:w="5255" w:type="dxa"/>
            <w:gridSpan w:val="5"/>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xml:space="preserve">Total Fee Offsets </w:t>
            </w:r>
          </w:p>
        </w:tc>
        <w:tc>
          <w:tcPr>
            <w:tcW w:w="115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 </w:t>
            </w:r>
          </w:p>
        </w:tc>
        <w:tc>
          <w:tcPr>
            <w:tcW w:w="1396" w:type="dxa"/>
            <w:tcBorders>
              <w:top w:val="single" w:sz="8" w:space="0" w:color="000000"/>
              <w:left w:val="single" w:sz="8" w:space="0" w:color="000000"/>
              <w:bottom w:val="single" w:sz="8" w:space="0" w:color="000000"/>
              <w:right w:val="single" w:sz="8" w:space="0" w:color="000000"/>
            </w:tcBorders>
            <w:shd w:fill="C9EAFF" w:val="clear"/>
            <w:tcMar>
              <w:left w:w="75" w:type="dxa"/>
              <w:right w:w="108" w:type="dxa"/>
            </w:tcMar>
            <w:vAlign w:val="center"/>
          </w:tcPr>
          <w:p>
            <w:pPr>
              <w:pStyle w:val="TableContents"/>
              <w:bidi w:val="0"/>
              <w:spacing w:before="0" w:after="283"/>
              <w:jc w:val="center"/>
              <w:rPr/>
            </w:pPr>
            <w:r>
              <w:rPr/>
              <w:t>$0</w:t>
            </w:r>
          </w:p>
        </w:tc>
      </w:tr>
      <w:tr>
        <w:trPr/>
        <w:tc>
          <w:tcPr>
            <w:tcW w:w="5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5255" w:type="dxa"/>
            <w:gridSpan w:val="5"/>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Net Fee Due </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39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$0</w:t>
            </w:r>
          </w:p>
        </w:tc>
      </w:tr>
    </w:tbl>
    <w:p>
      <w:pPr>
        <w:pStyle w:val="TextBody"/>
        <w:bidi w:val="0"/>
        <w:spacing w:before="0" w:after="0"/>
        <w:ind w:left="360" w:right="0" w:hanging="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303"/>
        <w:gridCol w:w="9902"/>
      </w:tblGrid>
      <w:tr>
        <w:trPr/>
        <w:tc>
          <w:tcPr>
            <w:tcW w:w="303" w:type="dxa"/>
            <w:tcBorders/>
            <w:vAlign w:val="center"/>
          </w:tcPr>
          <w:p>
            <w:pPr>
              <w:pStyle w:val="TableContents"/>
              <w:bidi w:val="0"/>
              <w:spacing w:before="0" w:after="283"/>
              <w:jc w:val="left"/>
              <w:rPr/>
            </w:pPr>
            <w:r>
              <w:rPr/>
              <w:t> </w:t>
            </w:r>
          </w:p>
        </w:tc>
        <w:tc>
          <w:tcPr>
            <w:tcW w:w="9902" w:type="dxa"/>
            <w:tcBorders/>
            <w:vAlign w:val="center"/>
          </w:tcPr>
          <w:p>
            <w:pPr>
              <w:pStyle w:val="TableContents"/>
              <w:bidi w:val="0"/>
              <w:spacing w:before="0" w:after="283"/>
              <w:jc w:val="left"/>
              <w:rPr/>
            </w:pPr>
            <w:r>
              <w:rPr/>
              <w:t> </w:t>
            </w:r>
          </w:p>
        </w:tc>
      </w:tr>
      <w:tr>
        <w:trPr/>
        <w:tc>
          <w:tcPr>
            <w:tcW w:w="303" w:type="dxa"/>
            <w:tcBorders/>
            <w:tcMar>
              <w:top w:w="0" w:type="dxa"/>
              <w:left w:w="0" w:type="dxa"/>
              <w:bottom w:w="0" w:type="dxa"/>
              <w:right w:w="0" w:type="dxa"/>
            </w:tcMar>
            <w:vAlign w:val="center"/>
          </w:tcPr>
          <w:p>
            <w:pPr>
              <w:pStyle w:val="TableContents"/>
              <w:bidi w:val="0"/>
              <w:spacing w:before="0" w:after="0"/>
              <w:jc w:val="right"/>
              <w:rPr>
                <w:sz w:val="20"/>
              </w:rPr>
            </w:pPr>
            <w:r>
              <w:rPr>
                <w:sz w:val="20"/>
              </w:rPr>
              <w:t>(1)</w:t>
            </w:r>
          </w:p>
        </w:tc>
        <w:tc>
          <w:tcPr>
            <w:tcW w:w="9902" w:type="dxa"/>
            <w:tcBorders/>
            <w:tcMar>
              <w:top w:w="0" w:type="dxa"/>
              <w:left w:w="0" w:type="dxa"/>
              <w:bottom w:w="0" w:type="dxa"/>
              <w:right w:w="0" w:type="dxa"/>
            </w:tcMar>
            <w:vAlign w:val="center"/>
          </w:tcPr>
          <w:p>
            <w:pPr>
              <w:pStyle w:val="TableContents"/>
              <w:bidi w:val="0"/>
              <w:spacing w:before="0" w:after="0"/>
              <w:jc w:val="left"/>
              <w:rPr>
                <w:sz w:val="20"/>
              </w:rPr>
            </w:pPr>
            <w:r>
              <w:rPr>
                <w:sz w:val="20"/>
              </w:rPr>
              <w:t>(a) An indeterminate aggregate initial offering price or number or amount of securities of each class are being registered and may from time to time be offered at (i) indeterminate prices or amounts and (ii) as may be issuable upon conversion, redemption, exchange, exercise or settlement of any securities registered hereunder, including under any applicable anti-dilution provisions.</w:t>
              <w:br/>
              <w:br/>
              <w:t>(b) In reliance on and in accordance with Rules 456(b) and 457(r) of the Securities Act of 1933 (the “Securities Act”), the Registrant is deferring payment of all of the registration fee required in connection with this Registration Statement.</w:t>
            </w:r>
          </w:p>
        </w:tc>
      </w:tr>
    </w:tbl>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344"/>
        <w:gridCol w:w="9861"/>
      </w:tblGrid>
      <w:tr>
        <w:trPr/>
        <w:tc>
          <w:tcPr>
            <w:tcW w:w="344" w:type="dxa"/>
            <w:tcBorders/>
            <w:vAlign w:val="center"/>
          </w:tcPr>
          <w:p>
            <w:pPr>
              <w:pStyle w:val="TableContents"/>
              <w:bidi w:val="0"/>
              <w:spacing w:before="0" w:after="283"/>
              <w:jc w:val="left"/>
              <w:rPr/>
            </w:pPr>
            <w:r>
              <w:rPr/>
              <w:t> </w:t>
            </w:r>
          </w:p>
        </w:tc>
        <w:tc>
          <w:tcPr>
            <w:tcW w:w="9861" w:type="dxa"/>
            <w:tcBorders/>
            <w:vAlign w:val="center"/>
          </w:tcPr>
          <w:p>
            <w:pPr>
              <w:pStyle w:val="TableContents"/>
              <w:bidi w:val="0"/>
              <w:spacing w:before="0" w:after="283"/>
              <w:jc w:val="left"/>
              <w:rPr/>
            </w:pPr>
            <w:r>
              <w:rPr/>
              <w:t> </w:t>
            </w:r>
          </w:p>
        </w:tc>
      </w:tr>
      <w:tr>
        <w:trPr/>
        <w:tc>
          <w:tcPr>
            <w:tcW w:w="344" w:type="dxa"/>
            <w:tcBorders/>
            <w:tcMar>
              <w:top w:w="0" w:type="dxa"/>
              <w:left w:w="0" w:type="dxa"/>
              <w:bottom w:w="0" w:type="dxa"/>
              <w:right w:w="0" w:type="dxa"/>
            </w:tcMar>
            <w:vAlign w:val="center"/>
          </w:tcPr>
          <w:p>
            <w:pPr>
              <w:pStyle w:val="TableContents"/>
              <w:bidi w:val="0"/>
              <w:spacing w:before="0" w:after="0"/>
              <w:jc w:val="left"/>
              <w:rPr/>
            </w:pPr>
            <w:r>
              <w:rPr/>
              <w:t xml:space="preserve">(2) </w:t>
            </w:r>
          </w:p>
        </w:tc>
        <w:tc>
          <w:tcPr>
            <w:tcW w:w="9861" w:type="dxa"/>
            <w:tcBorders/>
            <w:tcMar>
              <w:top w:w="0" w:type="dxa"/>
              <w:left w:w="0" w:type="dxa"/>
              <w:bottom w:w="0" w:type="dxa"/>
              <w:right w:w="0" w:type="dxa"/>
            </w:tcMar>
            <w:vAlign w:val="center"/>
          </w:tcPr>
          <w:p>
            <w:pPr>
              <w:pStyle w:val="TableContents"/>
              <w:bidi w:val="0"/>
              <w:spacing w:before="0" w:after="0"/>
              <w:jc w:val="left"/>
              <w:rPr/>
            </w:pPr>
            <w:r>
              <w:rPr/>
              <w:t xml:space="preserve">See footnote 1(a). There are being registered under this Registration Statement guarantees of the debt securities of the Registrant by certain of the Registrant’s subsidiaries listed in the “Table of Additional Registrants” in the Registration Statement. No separate consideration will be paid in respect of such guarantees. Pursuant to Rule 457(n) under the Securities Act, no separate registration fee is payable in respect of such guarantees. </w:t>
            </w:r>
          </w:p>
        </w:tc>
      </w:tr>
    </w:tbl>
    <w:p>
      <w:pPr>
        <w:pStyle w:val="TextBody"/>
        <w:bidi w:val="0"/>
        <w:spacing w:before="0" w:after="0"/>
        <w:jc w:val="left"/>
        <w:rPr/>
      </w:pPr>
      <w:r>
        <w:rPr/>
        <w:t xml:space="preserve">  </w:t>
      </w:r>
    </w:p>
    <w:tbl>
      <w:tblPr>
        <w:tblW w:w="3287" w:type="dxa"/>
        <w:jc w:val="left"/>
        <w:tblInd w:w="0" w:type="dxa"/>
        <w:tblLayout w:type="fixed"/>
        <w:tblCellMar>
          <w:top w:w="28" w:type="dxa"/>
          <w:left w:w="28" w:type="dxa"/>
          <w:bottom w:w="28" w:type="dxa"/>
          <w:right w:w="28" w:type="dxa"/>
        </w:tblCellMar>
      </w:tblPr>
      <w:tblGrid>
        <w:gridCol w:w="451"/>
        <w:gridCol w:w="2836"/>
      </w:tblGrid>
      <w:tr>
        <w:trPr/>
        <w:tc>
          <w:tcPr>
            <w:tcW w:w="451" w:type="dxa"/>
            <w:tcBorders/>
            <w:vAlign w:val="center"/>
          </w:tcPr>
          <w:p>
            <w:pPr>
              <w:pStyle w:val="TableContents"/>
              <w:bidi w:val="0"/>
              <w:spacing w:before="0" w:after="283"/>
              <w:jc w:val="left"/>
              <w:rPr/>
            </w:pPr>
            <w:r>
              <w:rPr/>
              <w:t> </w:t>
            </w:r>
          </w:p>
        </w:tc>
        <w:tc>
          <w:tcPr>
            <w:tcW w:w="2836" w:type="dxa"/>
            <w:tcBorders/>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(3) </w:t>
            </w:r>
          </w:p>
        </w:tc>
        <w:tc>
          <w:tcPr>
            <w:tcW w:w="2836" w:type="dxa"/>
            <w:tcBorders/>
            <w:tcMar>
              <w:top w:w="0" w:type="dxa"/>
              <w:left w:w="0" w:type="dxa"/>
              <w:bottom w:w="0" w:type="dxa"/>
              <w:right w:w="0" w:type="dxa"/>
            </w:tcMar>
            <w:vAlign w:val="center"/>
          </w:tcPr>
          <w:p>
            <w:pPr>
              <w:pStyle w:val="TableContents"/>
              <w:bidi w:val="0"/>
              <w:spacing w:before="0" w:after="0"/>
              <w:jc w:val="left"/>
              <w:rPr/>
            </w:pPr>
            <w:r>
              <w:rPr/>
              <w:t xml:space="preserve">See footnotes 1(a) and 1(b). </w:t>
            </w:r>
          </w:p>
        </w:tc>
      </w:tr>
    </w:tbl>
    <w:p>
      <w:pPr>
        <w:pStyle w:val="TextBody"/>
        <w:bidi w:val="0"/>
        <w:spacing w:before="0" w:after="0"/>
        <w:jc w:val="left"/>
        <w:rPr/>
      </w:pPr>
      <w:r>
        <w:rPr/>
        <w:t xml:space="preserve">  </w:t>
      </w:r>
    </w:p>
    <w:tbl>
      <w:tblPr>
        <w:tblW w:w="3287" w:type="dxa"/>
        <w:jc w:val="left"/>
        <w:tblInd w:w="0" w:type="dxa"/>
        <w:tblLayout w:type="fixed"/>
        <w:tblCellMar>
          <w:top w:w="28" w:type="dxa"/>
          <w:left w:w="28" w:type="dxa"/>
          <w:bottom w:w="28" w:type="dxa"/>
          <w:right w:w="28" w:type="dxa"/>
        </w:tblCellMar>
      </w:tblPr>
      <w:tblGrid>
        <w:gridCol w:w="451"/>
        <w:gridCol w:w="2836"/>
      </w:tblGrid>
      <w:tr>
        <w:trPr/>
        <w:tc>
          <w:tcPr>
            <w:tcW w:w="451" w:type="dxa"/>
            <w:tcBorders/>
            <w:vAlign w:val="center"/>
          </w:tcPr>
          <w:p>
            <w:pPr>
              <w:pStyle w:val="TableContents"/>
              <w:bidi w:val="0"/>
              <w:spacing w:before="0" w:after="283"/>
              <w:jc w:val="left"/>
              <w:rPr/>
            </w:pPr>
            <w:r>
              <w:rPr/>
              <w:t> </w:t>
            </w:r>
          </w:p>
        </w:tc>
        <w:tc>
          <w:tcPr>
            <w:tcW w:w="2836" w:type="dxa"/>
            <w:tcBorders/>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(4) </w:t>
            </w:r>
          </w:p>
        </w:tc>
        <w:tc>
          <w:tcPr>
            <w:tcW w:w="2836" w:type="dxa"/>
            <w:tcBorders/>
            <w:tcMar>
              <w:top w:w="0" w:type="dxa"/>
              <w:left w:w="0" w:type="dxa"/>
              <w:bottom w:w="0" w:type="dxa"/>
              <w:right w:w="0" w:type="dxa"/>
            </w:tcMar>
            <w:vAlign w:val="center"/>
          </w:tcPr>
          <w:p>
            <w:pPr>
              <w:pStyle w:val="TableContents"/>
              <w:bidi w:val="0"/>
              <w:spacing w:before="0" w:after="0"/>
              <w:jc w:val="left"/>
              <w:rPr/>
            </w:pPr>
            <w:r>
              <w:rPr/>
              <w:t xml:space="preserve">See footnotes 1(a) and 1(b). </w:t>
            </w:r>
          </w:p>
        </w:tc>
      </w:tr>
    </w:tbl>
    <w:p>
      <w:pPr>
        <w:pStyle w:val="TextBody"/>
        <w:bidi w:val="0"/>
        <w:spacing w:before="0" w:after="0"/>
        <w:jc w:val="left"/>
        <w:rPr/>
      </w:pPr>
      <w:r>
        <w:rPr/>
        <w:t xml:space="preserve">  </w:t>
      </w:r>
    </w:p>
    <w:tbl>
      <w:tblPr>
        <w:tblW w:w="3287" w:type="dxa"/>
        <w:jc w:val="left"/>
        <w:tblInd w:w="0" w:type="dxa"/>
        <w:tblLayout w:type="fixed"/>
        <w:tblCellMar>
          <w:top w:w="28" w:type="dxa"/>
          <w:left w:w="28" w:type="dxa"/>
          <w:bottom w:w="28" w:type="dxa"/>
          <w:right w:w="28" w:type="dxa"/>
        </w:tblCellMar>
      </w:tblPr>
      <w:tblGrid>
        <w:gridCol w:w="451"/>
        <w:gridCol w:w="2836"/>
      </w:tblGrid>
      <w:tr>
        <w:trPr/>
        <w:tc>
          <w:tcPr>
            <w:tcW w:w="451" w:type="dxa"/>
            <w:tcBorders/>
            <w:vAlign w:val="center"/>
          </w:tcPr>
          <w:p>
            <w:pPr>
              <w:pStyle w:val="TableContents"/>
              <w:bidi w:val="0"/>
              <w:spacing w:before="0" w:after="283"/>
              <w:jc w:val="left"/>
              <w:rPr/>
            </w:pPr>
            <w:r>
              <w:rPr/>
              <w:t> </w:t>
            </w:r>
          </w:p>
        </w:tc>
        <w:tc>
          <w:tcPr>
            <w:tcW w:w="2836" w:type="dxa"/>
            <w:tcBorders/>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(5) </w:t>
            </w:r>
          </w:p>
        </w:tc>
        <w:tc>
          <w:tcPr>
            <w:tcW w:w="2836" w:type="dxa"/>
            <w:tcBorders/>
            <w:tcMar>
              <w:top w:w="0" w:type="dxa"/>
              <w:left w:w="0" w:type="dxa"/>
              <w:bottom w:w="0" w:type="dxa"/>
              <w:right w:w="0" w:type="dxa"/>
            </w:tcMar>
            <w:vAlign w:val="center"/>
          </w:tcPr>
          <w:p>
            <w:pPr>
              <w:pStyle w:val="TableContents"/>
              <w:bidi w:val="0"/>
              <w:spacing w:before="0" w:after="0"/>
              <w:jc w:val="left"/>
              <w:rPr/>
            </w:pPr>
            <w:r>
              <w:rPr/>
              <w:t xml:space="preserve">See footnotes 1(a) and 1(b). </w:t>
            </w:r>
          </w:p>
        </w:tc>
      </w:tr>
    </w:tbl>
    <w:p>
      <w:pPr>
        <w:pStyle w:val="TextBody"/>
        <w:bidi w:val="0"/>
        <w:spacing w:before="0" w:after="0"/>
        <w:jc w:val="left"/>
        <w:rPr/>
      </w:pPr>
      <w:r>
        <w:rPr/>
        <w:t xml:space="preserve">  </w:t>
      </w:r>
    </w:p>
    <w:tbl>
      <w:tblPr>
        <w:tblW w:w="3287" w:type="dxa"/>
        <w:jc w:val="left"/>
        <w:tblInd w:w="0" w:type="dxa"/>
        <w:tblLayout w:type="fixed"/>
        <w:tblCellMar>
          <w:top w:w="28" w:type="dxa"/>
          <w:left w:w="28" w:type="dxa"/>
          <w:bottom w:w="28" w:type="dxa"/>
          <w:right w:w="28" w:type="dxa"/>
        </w:tblCellMar>
      </w:tblPr>
      <w:tblGrid>
        <w:gridCol w:w="451"/>
        <w:gridCol w:w="2836"/>
      </w:tblGrid>
      <w:tr>
        <w:trPr/>
        <w:tc>
          <w:tcPr>
            <w:tcW w:w="451" w:type="dxa"/>
            <w:tcBorders/>
            <w:vAlign w:val="center"/>
          </w:tcPr>
          <w:p>
            <w:pPr>
              <w:pStyle w:val="TableContents"/>
              <w:bidi w:val="0"/>
              <w:spacing w:before="0" w:after="283"/>
              <w:jc w:val="left"/>
              <w:rPr/>
            </w:pPr>
            <w:r>
              <w:rPr/>
              <w:t> </w:t>
            </w:r>
          </w:p>
        </w:tc>
        <w:tc>
          <w:tcPr>
            <w:tcW w:w="2836" w:type="dxa"/>
            <w:tcBorders/>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(6) </w:t>
            </w:r>
          </w:p>
        </w:tc>
        <w:tc>
          <w:tcPr>
            <w:tcW w:w="2836" w:type="dxa"/>
            <w:tcBorders/>
            <w:tcMar>
              <w:top w:w="0" w:type="dxa"/>
              <w:left w:w="0" w:type="dxa"/>
              <w:bottom w:w="0" w:type="dxa"/>
              <w:right w:w="0" w:type="dxa"/>
            </w:tcMar>
            <w:vAlign w:val="center"/>
          </w:tcPr>
          <w:p>
            <w:pPr>
              <w:pStyle w:val="TableContents"/>
              <w:bidi w:val="0"/>
              <w:spacing w:before="0" w:after="0"/>
              <w:jc w:val="left"/>
              <w:rPr/>
            </w:pPr>
            <w:r>
              <w:rPr/>
              <w:t xml:space="preserve">See footnotes 1(a) and 1(b). </w:t>
            </w:r>
          </w:p>
        </w:tc>
      </w:tr>
    </w:tbl>
    <w:p>
      <w:pPr>
        <w:pStyle w:val="TextBody"/>
        <w:bidi w:val="0"/>
        <w:spacing w:before="0" w:after="0"/>
        <w:jc w:val="left"/>
        <w:rPr/>
      </w:pPr>
      <w:r>
        <w:rPr/>
        <w:t xml:space="preserve">  </w:t>
      </w:r>
    </w:p>
    <w:tbl>
      <w:tblPr>
        <w:tblW w:w="3287" w:type="dxa"/>
        <w:jc w:val="left"/>
        <w:tblInd w:w="0" w:type="dxa"/>
        <w:tblLayout w:type="fixed"/>
        <w:tblCellMar>
          <w:top w:w="28" w:type="dxa"/>
          <w:left w:w="28" w:type="dxa"/>
          <w:bottom w:w="28" w:type="dxa"/>
          <w:right w:w="28" w:type="dxa"/>
        </w:tblCellMar>
      </w:tblPr>
      <w:tblGrid>
        <w:gridCol w:w="451"/>
        <w:gridCol w:w="2836"/>
      </w:tblGrid>
      <w:tr>
        <w:trPr/>
        <w:tc>
          <w:tcPr>
            <w:tcW w:w="451" w:type="dxa"/>
            <w:tcBorders/>
            <w:vAlign w:val="center"/>
          </w:tcPr>
          <w:p>
            <w:pPr>
              <w:pStyle w:val="TableContents"/>
              <w:bidi w:val="0"/>
              <w:spacing w:before="0" w:after="283"/>
              <w:jc w:val="left"/>
              <w:rPr/>
            </w:pPr>
            <w:r>
              <w:rPr/>
              <w:t> </w:t>
            </w:r>
          </w:p>
        </w:tc>
        <w:tc>
          <w:tcPr>
            <w:tcW w:w="2836" w:type="dxa"/>
            <w:tcBorders/>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(7) </w:t>
            </w:r>
          </w:p>
        </w:tc>
        <w:tc>
          <w:tcPr>
            <w:tcW w:w="2836" w:type="dxa"/>
            <w:tcBorders/>
            <w:tcMar>
              <w:top w:w="0" w:type="dxa"/>
              <w:left w:w="0" w:type="dxa"/>
              <w:bottom w:w="0" w:type="dxa"/>
              <w:right w:w="0" w:type="dxa"/>
            </w:tcMar>
            <w:vAlign w:val="center"/>
          </w:tcPr>
          <w:p>
            <w:pPr>
              <w:pStyle w:val="TableContents"/>
              <w:bidi w:val="0"/>
              <w:spacing w:before="0" w:after="0"/>
              <w:jc w:val="left"/>
              <w:rPr/>
            </w:pPr>
            <w:r>
              <w:rPr/>
              <w:t xml:space="preserve">See footnotes 1(a) and 1(b). </w:t>
            </w:r>
          </w:p>
        </w:tc>
      </w:tr>
    </w:tbl>
    <w:p>
      <w:pPr>
        <w:pStyle w:val="TextBody"/>
        <w:bidi w:val="0"/>
        <w:spacing w:before="0" w:after="0"/>
        <w:jc w:val="left"/>
        <w:rPr/>
      </w:pPr>
      <w:r>
        <w:rPr/>
        <w:t xml:space="preserve">  </w:t>
      </w:r>
    </w:p>
    <w:tbl>
      <w:tblPr>
        <w:tblW w:w="3287" w:type="dxa"/>
        <w:jc w:val="left"/>
        <w:tblInd w:w="0" w:type="dxa"/>
        <w:tblLayout w:type="fixed"/>
        <w:tblCellMar>
          <w:top w:w="28" w:type="dxa"/>
          <w:left w:w="28" w:type="dxa"/>
          <w:bottom w:w="28" w:type="dxa"/>
          <w:right w:w="28" w:type="dxa"/>
        </w:tblCellMar>
      </w:tblPr>
      <w:tblGrid>
        <w:gridCol w:w="451"/>
        <w:gridCol w:w="2836"/>
      </w:tblGrid>
      <w:tr>
        <w:trPr/>
        <w:tc>
          <w:tcPr>
            <w:tcW w:w="451" w:type="dxa"/>
            <w:tcBorders/>
            <w:vAlign w:val="center"/>
          </w:tcPr>
          <w:p>
            <w:pPr>
              <w:pStyle w:val="TableContents"/>
              <w:bidi w:val="0"/>
              <w:spacing w:before="0" w:after="283"/>
              <w:jc w:val="left"/>
              <w:rPr/>
            </w:pPr>
            <w:r>
              <w:rPr/>
              <w:t> </w:t>
            </w:r>
          </w:p>
        </w:tc>
        <w:tc>
          <w:tcPr>
            <w:tcW w:w="2836" w:type="dxa"/>
            <w:tcBorders/>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(8) </w:t>
            </w:r>
          </w:p>
        </w:tc>
        <w:tc>
          <w:tcPr>
            <w:tcW w:w="2836" w:type="dxa"/>
            <w:tcBorders/>
            <w:tcMar>
              <w:top w:w="0" w:type="dxa"/>
              <w:left w:w="0" w:type="dxa"/>
              <w:bottom w:w="0" w:type="dxa"/>
              <w:right w:w="0" w:type="dxa"/>
            </w:tcMar>
            <w:vAlign w:val="center"/>
          </w:tcPr>
          <w:p>
            <w:pPr>
              <w:pStyle w:val="TableContents"/>
              <w:bidi w:val="0"/>
              <w:spacing w:before="0" w:after="0"/>
              <w:jc w:val="left"/>
              <w:rPr/>
            </w:pPr>
            <w:r>
              <w:rPr/>
              <w:t xml:space="preserve">See footnotes 1(a) and 1(b). </w:t>
            </w:r>
          </w:p>
        </w:tc>
      </w:tr>
    </w:tbl>
    <w:p>
      <w:pPr>
        <w:pStyle w:val="TextBody"/>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0943452/000162828026008067/wab-20251231.htm" TargetMode="External"/><Relationship Id="rId4" Type="http://schemas.openxmlformats.org/officeDocument/2006/relationships/hyperlink" Target="https://www.sec.gov/ix?doc=/Archives/edgar/data/0000943452/000162828026026422/wab-20260331.htm" TargetMode="External"/><Relationship Id="rId5" Type="http://schemas.openxmlformats.org/officeDocument/2006/relationships/hyperlink" Target="https://www.sec.gov/ix?doc=/Archives/edgar/data/0000943452/000162828026049139/wab-20260630.htm" TargetMode="External"/><Relationship Id="rId6" Type="http://schemas.openxmlformats.org/officeDocument/2006/relationships/hyperlink" Target="https://www.sec.gov/ix?doc=/Archives/edgar/data/0000943452/000162828026066629/wab-20260930.htm" TargetMode="External"/><Relationship Id="rId7" Type="http://schemas.openxmlformats.org/officeDocument/2006/relationships/hyperlink" Target="https://www.sec.gov/ix?doc=/Archives/edgar/data/0000943452/000114036126021657/ef20073674_8k.htm" TargetMode="External"/><Relationship Id="rId8" Type="http://schemas.openxmlformats.org/officeDocument/2006/relationships/hyperlink" Target="https://www.sec.gov/ix?doc=/Archives/edgar/data/0000943452/000094345226000013/wab-20261001.htm" TargetMode="External"/><Relationship Id="rId9" Type="http://schemas.openxmlformats.org/officeDocument/2006/relationships/hyperlink" Target="https://www.sec.gov/ix?doc=/Archives/edgar/data/0000943452/000162828026022197/wab-20260330.htm" TargetMode="External"/><Relationship Id="rId10" Type="http://schemas.openxmlformats.org/officeDocument/2006/relationships/hyperlink" Target="https://www.sec.gov/Archives/edgar/data/943452/000119312513326831/d579823dex41.htm" TargetMode="External"/><Relationship Id="rId11" Type="http://schemas.openxmlformats.org/officeDocument/2006/relationships/hyperlink" Target="https://www.sec.gov/Archives/edgar/data/943452/000119312516759080/d286174dex42.htm" TargetMode="External"/><Relationship Id="rId12" Type="http://schemas.openxmlformats.org/officeDocument/2006/relationships/hyperlink" Target="https://www.sec.gov/Archives/edgar/data/943452/000119312516759080/d286174dex43.htm" TargetMode="External"/><Relationship Id="rId13" Type="http://schemas.openxmlformats.org/officeDocument/2006/relationships/hyperlink" Target="https://www.sec.gov/Archives/edgar/data/943452/000119312516759080/d286174dex43.htm" TargetMode="External"/><Relationship Id="rId14" Type="http://schemas.openxmlformats.org/officeDocument/2006/relationships/hyperlink" Target="https://www.sec.gov/Archives/edgar/data/943452/000162828017001863/wabex4910k2016.htm" TargetMode="External"/><Relationship Id="rId15" Type="http://schemas.openxmlformats.org/officeDocument/2006/relationships/hyperlink" Target="https://www.sec.gov/Archives/edgar/data/943452/000162828017004956/exhibit41.htm" TargetMode="External"/><Relationship Id="rId16" Type="http://schemas.openxmlformats.org/officeDocument/2006/relationships/hyperlink" Target="https://www.sec.gov/Archives/edgar/data/943452/000119312517231307/d326636dex410.htm" TargetMode="External"/><Relationship Id="rId17" Type="http://schemas.openxmlformats.org/officeDocument/2006/relationships/hyperlink" Target="https://www.sec.gov/Archives/edgar/data/943452/000162828018009841/wabexseventhsupplemental.htm" TargetMode="External"/><Relationship Id="rId18" Type="http://schemas.openxmlformats.org/officeDocument/2006/relationships/hyperlink" Target="https://www.sec.gov/Archives/edgar/data/943452/000162828018009841/wabexeigthsupplementalin.htm" TargetMode="External"/><Relationship Id="rId19" Type="http://schemas.openxmlformats.org/officeDocument/2006/relationships/hyperlink" Target="https://www.sec.gov/Archives/edgar/data/943452/000114036118038440/s002426x14_ex4-3.htm" TargetMode="External"/><Relationship Id="rId20" Type="http://schemas.openxmlformats.org/officeDocument/2006/relationships/hyperlink" Target="https://www.sec.gov/Archives/edgar/data/943452/000114036118038440/s002426x14_ex4-3.htm" TargetMode="External"/><Relationship Id="rId21" Type="http://schemas.openxmlformats.org/officeDocument/2006/relationships/hyperlink" Target="https://www.sec.gov/Archives/edgar/data/943452/000162828019009750/wabex41q22019.htm" TargetMode="External"/><Relationship Id="rId22" Type="http://schemas.openxmlformats.org/officeDocument/2006/relationships/hyperlink" Target="https://www.sec.gov/Archives/edgar/data/943452/000114036124012639/ny20023735x1_ex4-3.htm" TargetMode="External"/><Relationship Id="rId23" Type="http://schemas.openxmlformats.org/officeDocument/2006/relationships/hyperlink" Target="https://www.sec.gov/Archives/edgar/data/943452/000114036124012639/ny20023735x1_ex4-3.htm" TargetMode="External"/><Relationship Id="rId24" Type="http://schemas.openxmlformats.org/officeDocument/2006/relationships/hyperlink" Target="https://www.sec.gov/Archives/edgar/data/943452/000114036125019666/ny20048743x1_ex4-18.htm" TargetMode="External"/><Relationship Id="rId25" Type="http://schemas.openxmlformats.org/officeDocument/2006/relationships/hyperlink" Target="https://www.sec.gov/Archives/edgar/data/943452/000114036125020758/ny20048743x7_ex4-3.htm" TargetMode="External"/><Relationship Id="rId26" Type="http://schemas.openxmlformats.org/officeDocument/2006/relationships/hyperlink" Target="https://www.sec.gov/Archives/edgar/data/943452/000114036125020758/ny20048743x7_ex4-3.htm" TargetMode="External"/><Relationship Id="rId27" Type="http://schemas.openxmlformats.org/officeDocument/2006/relationships/hyperlink" Target="https://www.sec.gov/Archives/edgar/data/943452/000114036125020758/ny20048743x7_ex4-3.htm" TargetMode="External"/><Relationship Id="rId28" Type="http://schemas.openxmlformats.org/officeDocument/2006/relationships/hyperlink" Target="https://www.sec.gov/Archives/edgar/data/943452/000114036121019675/nt10024721x10_ex4-1.htm" TargetMode="External"/><Relationship Id="rId29" Type="http://schemas.openxmlformats.org/officeDocument/2006/relationships/hyperlink" Target="https://www.sec.gov/Archives/edgar/data/943452/000114036121019675/nt10024721x10_ex4-2.htm" TargetMode="External"/><Relationship Id="rId30" Type="http://schemas.openxmlformats.org/officeDocument/2006/relationships/hyperlink" Target="https://www.sec.gov/Archives/edgar/data/943452/000114036121019675/nt10024721x10_ex4-2.htm" TargetMode="External"/><Relationship Id="rId31" Type="http://schemas.openxmlformats.org/officeDocument/2006/relationships/image" Target="media/image2.jpeg"/><Relationship Id="rId32" Type="http://schemas.openxmlformats.org/officeDocument/2006/relationships/image" Target="media/image3.jpeg"/><Relationship Id="rId33" Type="http://schemas.openxmlformats.org/officeDocument/2006/relationships/image" Target="media/image4.jpeg"/><Relationship Id="rId34" Type="http://schemas.openxmlformats.org/officeDocument/2006/relationships/image" Target="media/image5.jpeg"/><Relationship Id="rId35" Type="http://schemas.openxmlformats.org/officeDocument/2006/relationships/image" Target="media/image6.jpeg"/><Relationship Id="rId36" Type="http://schemas.openxmlformats.org/officeDocument/2006/relationships/image" Target="media/image7.jpeg"/><Relationship Id="rId37" Type="http://schemas.openxmlformats.org/officeDocument/2006/relationships/image" Target="media/image8.jpeg"/><Relationship Id="rId38" Type="http://schemas.openxmlformats.org/officeDocument/2006/relationships/image" Target="media/image3.jpeg"/><Relationship Id="rId39" Type="http://schemas.openxmlformats.org/officeDocument/2006/relationships/image" Target="media/image4.jpeg"/><Relationship Id="rId40" Type="http://schemas.openxmlformats.org/officeDocument/2006/relationships/image" Target="media/image5.jpeg"/><Relationship Id="rId41" Type="http://schemas.openxmlformats.org/officeDocument/2006/relationships/image" Target="media/image6.jpeg"/><Relationship Id="rId42" Type="http://schemas.openxmlformats.org/officeDocument/2006/relationships/image" Target="media/image7.jpeg"/><Relationship Id="rId43" Type="http://schemas.openxmlformats.org/officeDocument/2006/relationships/image" Target="media/image8.jpeg"/><Relationship Id="rId44" Type="http://schemas.openxmlformats.org/officeDocument/2006/relationships/image" Target="media/image3.jpeg"/><Relationship Id="rId45" Type="http://schemas.openxmlformats.org/officeDocument/2006/relationships/image" Target="media/image4.jpeg"/><Relationship Id="rId46" Type="http://schemas.openxmlformats.org/officeDocument/2006/relationships/image" Target="media/image5.jpeg"/><Relationship Id="rId47" Type="http://schemas.openxmlformats.org/officeDocument/2006/relationships/image" Target="media/image6.jpeg"/><Relationship Id="rId48" Type="http://schemas.openxmlformats.org/officeDocument/2006/relationships/image" Target="media/image7.jpeg"/><Relationship Id="rId49" Type="http://schemas.openxmlformats.org/officeDocument/2006/relationships/image" Target="media/image8.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93582</Words>
  <Characters>481551</Characters>
  <CharactersWithSpaces>576259</CharactersWithSpaces>
  <Paragraphs>8292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