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56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560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Santana Rafael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 ISABELLA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both"/>
        <w:ind w:right="175"/>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WESTINGHOUSE AIR BRAKE</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TECHNOLOGIES CORP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99" w:lineRule="exact"/>
        <w:rPr>
          <w:sz w:val="20"/>
          <w:szCs w:val="20"/>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9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00" w:type="dxa"/>
            <w:vAlign w:val="bottom"/>
            <w:gridSpan w:val="7"/>
            <w:vMerge w:val="continue"/>
          </w:tcPr>
          <w:p>
            <w:pPr>
              <w:spacing w:after="0"/>
              <w:rPr>
                <w:sz w:val="10"/>
                <w:szCs w:val="10"/>
                <w:color w:val="auto"/>
              </w:rPr>
            </w:pPr>
          </w:p>
        </w:tc>
        <w:tc>
          <w:tcPr>
            <w:tcW w:w="33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PITTSBURGH  PA</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15212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6"/>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6"/>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gridSpan w:val="2"/>
            <w:vMerge w:val="restart"/>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5"/>
          </w:tcPr>
          <w:p>
            <w:pPr>
              <w:jc w:val="center"/>
              <w:ind w:right="1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67"/>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06/05/2026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546</w:t>
            </w:r>
          </w:p>
        </w:tc>
        <w:tc>
          <w:tcPr>
            <w:tcW w:w="46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260.8307</w:t>
            </w:r>
            <w:r>
              <w:rPr>
                <w:rFonts w:ascii="Times New Roman" w:cs="Times New Roman" w:eastAsia="Times New Roman" w:hAnsi="Times New Roman"/>
                <w:sz w:val="22"/>
                <w:szCs w:val="22"/>
                <w:color w:val="008000"/>
                <w:w w:val="95"/>
                <w:vertAlign w:val="superscript"/>
              </w:rPr>
              <w:t>(1)</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125,857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06/05/2026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378</w:t>
            </w:r>
          </w:p>
        </w:tc>
        <w:tc>
          <w:tcPr>
            <w:tcW w:w="46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261.8479</w:t>
            </w:r>
            <w:r>
              <w:rPr>
                <w:rFonts w:ascii="Times New Roman" w:cs="Times New Roman" w:eastAsia="Times New Roman" w:hAnsi="Times New Roman"/>
                <w:sz w:val="22"/>
                <w:szCs w:val="22"/>
                <w:color w:val="008000"/>
                <w:w w:val="95"/>
                <w:vertAlign w:val="superscript"/>
              </w:rPr>
              <w:t>(2)</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125,479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06/05/2026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160</w:t>
            </w:r>
          </w:p>
        </w:tc>
        <w:tc>
          <w:tcPr>
            <w:tcW w:w="46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262.9896</w:t>
            </w:r>
            <w:r>
              <w:rPr>
                <w:rFonts w:ascii="Times New Roman" w:cs="Times New Roman" w:eastAsia="Times New Roman" w:hAnsi="Times New Roman"/>
                <w:sz w:val="22"/>
                <w:szCs w:val="22"/>
                <w:color w:val="008000"/>
                <w:w w:val="95"/>
                <w:vertAlign w:val="superscript"/>
              </w:rPr>
              <w:t>(3)</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125,319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06/05/2026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79</w:t>
            </w:r>
          </w:p>
        </w:tc>
        <w:tc>
          <w:tcPr>
            <w:tcW w:w="46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263.7203</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125,240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06/08/2026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6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259.6609</w:t>
            </w:r>
            <w:r>
              <w:rPr>
                <w:rFonts w:ascii="Times New Roman" w:cs="Times New Roman" w:eastAsia="Times New Roman" w:hAnsi="Times New Roman"/>
                <w:sz w:val="22"/>
                <w:szCs w:val="22"/>
                <w:color w:val="008000"/>
                <w:w w:val="95"/>
                <w:vertAlign w:val="superscript"/>
              </w:rPr>
              <w:t>(5)</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124,840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06/08/2026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299</w:t>
            </w:r>
          </w:p>
        </w:tc>
        <w:tc>
          <w:tcPr>
            <w:tcW w:w="46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260.7966</w:t>
            </w:r>
            <w:r>
              <w:rPr>
                <w:rFonts w:ascii="Times New Roman" w:cs="Times New Roman" w:eastAsia="Times New Roman" w:hAnsi="Times New Roman"/>
                <w:sz w:val="22"/>
                <w:szCs w:val="22"/>
                <w:color w:val="008000"/>
                <w:w w:val="95"/>
                <w:vertAlign w:val="superscript"/>
              </w:rPr>
              <w:t>(6)</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124,541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06/08/2026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193</w:t>
            </w:r>
          </w:p>
        </w:tc>
        <w:tc>
          <w:tcPr>
            <w:tcW w:w="46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261.8074</w:t>
            </w:r>
            <w:r>
              <w:rPr>
                <w:rFonts w:ascii="Times New Roman" w:cs="Times New Roman" w:eastAsia="Times New Roman" w:hAnsi="Times New Roman"/>
                <w:sz w:val="22"/>
                <w:szCs w:val="22"/>
                <w:color w:val="008000"/>
                <w:w w:val="95"/>
                <w:vertAlign w:val="superscript"/>
              </w:rPr>
              <w:t>(7)</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124,348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06/08/2026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251</w:t>
            </w:r>
          </w:p>
        </w:tc>
        <w:tc>
          <w:tcPr>
            <w:tcW w:w="46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262.8299</w:t>
            </w:r>
            <w:r>
              <w:rPr>
                <w:rFonts w:ascii="Times New Roman" w:cs="Times New Roman" w:eastAsia="Times New Roman" w:hAnsi="Times New Roman"/>
                <w:sz w:val="22"/>
                <w:szCs w:val="22"/>
                <w:color w:val="008000"/>
                <w:w w:val="95"/>
                <w:vertAlign w:val="superscript"/>
              </w:rPr>
              <w:t>(8)</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124,097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 Direct</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06/08/2026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w:t>
            </w:r>
          </w:p>
        </w:tc>
        <w:tc>
          <w:tcPr>
            <w:tcW w:w="46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263.763</w:t>
            </w:r>
            <w:r>
              <w:rPr>
                <w:rFonts w:ascii="Times New Roman" w:cs="Times New Roman" w:eastAsia="Times New Roman" w:hAnsi="Times New Roman"/>
                <w:sz w:val="22"/>
                <w:szCs w:val="22"/>
                <w:color w:val="008000"/>
                <w:w w:val="95"/>
                <w:vertAlign w:val="superscript"/>
              </w:rPr>
              <w:t>(9)</w:t>
            </w:r>
          </w:p>
        </w:tc>
        <w:tc>
          <w:tcPr>
            <w:tcW w:w="116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124,077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6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$260.43 to $261.42 inclusive. The reporting person undertakes to provide Westinghouse Air Brake Technologies Corporation ("Wabtec"), any security holder of Wabtec, or the staff of the Securities and Exchange Commission, upon request, full information regarding the number of shares sold at each separate price within the range set forth in footnote (1) to this Form 4.</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$261.45 to $262.45 inclusive. The reporting person undertakes to provide Wabtec, any security holder of Wabtec, or the staff of the Securities and Exchange Commission, upon request, full information regarding the number of shares sold at each separate price within the range set forth in footnote (2) to this Form 4.</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$262.535 to $263.53 inclusive. The reporting person undertakes to provide Wabtec, any security holder of Wabtec, or the staff of the Securities and Exchange Commission, upon request, full information regarding the number of shares sold at each separate price within the range set forth in footnote (3) to this Form 4.</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$263.545 to $263.925 inclusive. The reporting person undertakes to provide Wabtec, any security holder of Wabtec, or the staff of the Securities and Exchange Commission, upon request, full information regarding the number of shares sold at each separate price within the range set forth in footnote (4) to this Form 4.</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$259.32 to $260.315 inclusive. The reporting person undertakes to provide Wabtec, any security holder of Wabtec, or the staff of the Securities and Exchange Commission, upon request, full information regarding the number of shares sold at each separate price within the range set forth in footnote (5) to this Form 4.</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$260.34 to $261.315 inclusive. The reporting person undertakes to provide Wabtec, any security holder of Wabtec, or the staff of the Securities and Exchange Commission, upon request, full information regarding the number of shares sold at each separate price within the range set forth in footnote (6)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$261.385 to $262.355 inclusive. The reporting person</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undertakes to provide Wabtec, any security holder of Wabtec, or the staff of the Securities and Exchange Commission, upon request, full information regarding the number of shares sold at each separate price within the range set forth in footnote (7) to this Form 4.</w:t>
      </w:r>
    </w:p>
    <w:p>
      <w:pPr>
        <w:spacing w:after="0" w:line="8" w:lineRule="exact"/>
        <w:rPr>
          <w:sz w:val="20"/>
          <w:szCs w:val="20"/>
          <w:color w:val="auto"/>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$262.425 to $263.275 inclusive. The reporting person undertakes to provide Wabtec, any security holder of Wabtec, or the staff of the Securities and Exchange Commission, upon request, full information regarding the number of shares sold at each separate price within the range set forth in footnote (8)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$263.745 to $263.79 inclusive. The reporting person undertakes to provide Wabtec, any security holder of Wabtec, or the staff of the Securities and Exchange Commission, upon request, full information regarding the number of shares sold at each separate price within the range set forth in footnote (9) to this Form 4.</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David L. DeNinno, POA for</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Rafael Santana</w:t>
            </w:r>
          </w:p>
        </w:tc>
        <w:tc>
          <w:tcPr>
            <w:tcW w:w="9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9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2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7799" TargetMode="External"/><Relationship Id="rId14" Type="http://schemas.openxmlformats.org/officeDocument/2006/relationships/hyperlink" Target="http://www.sec.gov/cgi-bin/browse-edgar?action=getcompany&amp;CIK=00009434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2026-06-09T12:36:55Z</dcterms:created>
  <dcterms:modified xsi:type="dcterms:W3CDTF">2026-06-09T12:36:55Z</dcterms:modified>
</cp:coreProperties>
</file>