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6784.xml.htm"/>
      <w:bookmarkStart w:id="1" w:name="kswkform4_17914067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Santana Rafael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ISABELLA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WESTINGHOUSE AIR BRAKE TECHNOLOGIES CORP</w:t>
              </w:r>
            </w:hyperlink>
            <w:r>
              <w:rPr/>
              <w:t xml:space="preserve"> [ </w:t>
            </w:r>
            <w:r>
              <w:rPr>
                <w:rFonts w:ascii="Times;serif" w:hAnsi="Times;serif"/>
                <w:color w:val="0000FF"/>
                <w:sz w:val="24"/>
                <w:shd w:fill="FFFFFF" w:val="clear"/>
              </w:rPr>
              <w:t>WAB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591"/>
        <w:gridCol w:w="378"/>
        <w:gridCol w:w="784"/>
        <w:gridCol w:w="435"/>
        <w:gridCol w:w="1105"/>
        <w:gridCol w:w="1145"/>
        <w:gridCol w:w="99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287.2396</w:t>
            </w:r>
            <w:r>
              <w:rPr>
                <w:rFonts w:ascii="Times;serif" w:hAnsi="Times;serif"/>
                <w:color w:val="008000"/>
                <w:position w:val="7"/>
                <w:sz w:val="16"/>
                <w:sz w:val="20"/>
                <w:shd w:fill="FFFFFF" w:val="clear"/>
              </w:rPr>
              <w:t>(1)</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288.1443</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117,164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289.9558</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117,131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291.5177</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116,853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292.3639</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116,239</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292.9924</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291.3697</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115,896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292.3332</w:t>
            </w:r>
            <w:r>
              <w:rPr>
                <w:rFonts w:ascii="Times;serif" w:hAnsi="Times;serif"/>
                <w:color w:val="008000"/>
                <w:position w:val="7"/>
                <w:sz w:val="16"/>
                <w:sz w:val="20"/>
                <w:shd w:fill="FFFFFF" w:val="clear"/>
              </w:rPr>
              <w:t>(8)</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115,551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293.3393</w:t>
            </w:r>
            <w:r>
              <w:rPr>
                <w:rFonts w:ascii="Times;serif" w:hAnsi="Times;serif"/>
                <w:color w:val="008000"/>
                <w:position w:val="7"/>
                <w:sz w:val="16"/>
                <w:sz w:val="20"/>
                <w:shd w:fill="FFFFFF" w:val="clear"/>
              </w:rPr>
              <w:t>(9)</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115,290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 Direct</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294.1597</w:t>
            </w:r>
            <w:r>
              <w:rPr>
                <w:rFonts w:ascii="Times;serif" w:hAnsi="Times;serif"/>
                <w:color w:val="008000"/>
                <w:position w:val="7"/>
                <w:sz w:val="16"/>
                <w:sz w:val="20"/>
                <w:shd w:fill="FFFFFF" w:val="clear"/>
              </w:rPr>
              <w:t>(10)</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115,068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within $1.00 ranging from $286.8700 to $287.6950 inclusive. The reporting person undertakes to provide Westinghouse Air Brake Technologies Corporation ("Wabtec"), any security holder of Wabtec,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$1.00 ranging from $287.9500 to $288.3350 inclusive. The reporting person undertakes to provide Wabtec, any security holder of Wabtec, or the staff of the Securities and Exchange Commission,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within $1.00 ranging from $289.5500 to $290.1800 inclusive. The reporting person undertakes to provide Wabtec, any security holder of Wabtec, or the staff of the Securities and Exchange Commission, upon request, full information regarding the number of shares sold at each separate price within the range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within $1.00 ranging from $290.8925 to $291.8800 inclusive. The reporting person undertakes to provide Wabtec, any security holder of Wabtec, or the staff of the Securities and Exchange Commission, upon request, full information regarding the number of shares sold at each separate price within the range set forth in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within $1.00 ranging from $291.9250 to $292.9050 inclusive. The reporting person undertakes to provide Wabtec, any security holder of Wabtec, or the staff of the Securities and Exchange Commission, upon request, full information regarding the number of shares sold at each separate price within the range set forth in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within $1.00 ranging from $292.9300 to $293.1450 inclusive. The reporting person undertakes to provide Wabtec, any security holder of Wabtec, or the staff of the Securities and Exchange Commission, upon request, full information regarding the number of shares sold at each separate price within the range set forth in footnote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within $1.00 ranging from $290.7650 to $291.7275 inclusive. The reporting person undertakes to provide Wabtec, any security holder of Wabtec, or the staff of the Securities and Exchange Commission, upon request, full information regarding the number of shares sold at each separate price within the range set forth in footnote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within $1.00 ranging from $291.8500 to $292.8350 inclusive. The reporting person undertakes to provide Wabtec, any security holder of Wabtec, or the staff of the Securities and Exchange Commission, upon request, full information regarding the number of shares sold at each separate price within the range set forth in footnote (8)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within $1.00 ranging from $292.8700 to $293.8550 inclusive. The reporting person undertakes to provide Wabtec, any security holder of Wabtec, or the staff of the Securities and Exchange Commission, upon request, full information regarding the number of shares sold at each separate price within the range set forth in footnote (9)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within $1.00 ranging from $293.8800 to $294.5900 inclusive. The reporting person undertakes to provide Wabtec, any security holder of Wabtec, or the staff of the Securities and Exchange Commission, upon request, full information regarding the number of shares sold at each separate price within the range set forth in footnote (10)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DeNinno, POA for Rafael Santana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7799" TargetMode="External"/><Relationship Id="rId5" Type="http://schemas.openxmlformats.org/officeDocument/2006/relationships/hyperlink" Target="http://www.sec.gov/cgi-bin/browse-edgar?action=getcompany&amp;CIK=00009434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1443</Words>
  <Characters>7552</Characters>
  <CharactersWithSpaces>8836</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