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546735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520065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0" w:lineRule="exact"/>
        <w:rPr>
          <w:sz w:val="24"/>
          <w:szCs w:val="24"/>
          <w:color w:val="auto"/>
        </w:rPr>
      </w:pPr>
    </w:p>
    <w:p>
      <w:pPr>
        <w:ind w:left="460" w:hanging="441"/>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4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2022</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8"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ectPr>
          <w:pgSz w:w="11900" w:h="16838" w:orient="portrait"/>
          <w:cols w:equalWidth="0" w:num="1">
            <w:col w:w="11220"/>
          </w:cols>
          <w:pgMar w:left="300" w:top="918" w:right="379" w:bottom="1440" w:gutter="0" w:footer="0" w:header="0"/>
        </w:sectPr>
      </w:pPr>
    </w:p>
    <w:p>
      <w:pPr>
        <w:spacing w:after="0" w:line="14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51" w:lineRule="exact"/>
        <w:rPr>
          <w:sz w:val="24"/>
          <w:szCs w:val="24"/>
          <w:color w:val="auto"/>
        </w:rPr>
      </w:pPr>
    </w:p>
    <w:p>
      <w:pPr>
        <w:sectPr>
          <w:pgSz w:w="11900" w:h="16838" w:orient="portrait"/>
          <w:cols w:equalWidth="0" w:num="2">
            <w:col w:w="2240" w:space="720"/>
            <w:col w:w="8260"/>
          </w:cols>
          <w:pgMar w:left="300" w:top="918"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033-90866</w:t>
      </w:r>
    </w:p>
    <w:p>
      <w:pPr>
        <w:spacing w:after="0" w:line="5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WESTINGHOUSE AIR BRAKE TECHNOLOGIES</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CORPORATION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ectPr>
          <w:pgSz w:w="11900" w:h="16838" w:orient="portrait"/>
          <w:cols w:equalWidth="0" w:num="1">
            <w:col w:w="11220"/>
          </w:cols>
          <w:pgMar w:left="300" w:top="918" w:right="379" w:bottom="1440" w:gutter="0" w:footer="0" w:header="0"/>
          <w:type w:val="continuous"/>
        </w:sectPr>
      </w:pPr>
    </w:p>
    <w:p>
      <w:pPr>
        <w:spacing w:after="0" w:line="20"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25-1615902</w:t>
      </w:r>
    </w:p>
    <w:p>
      <w:pPr>
        <w:spacing w:after="0" w:line="39" w:lineRule="exact"/>
        <w:rPr>
          <w:sz w:val="24"/>
          <w:szCs w:val="24"/>
          <w:color w:val="auto"/>
        </w:rPr>
      </w:pPr>
    </w:p>
    <w:p>
      <w:pPr>
        <w:sectPr>
          <w:pgSz w:w="11900" w:h="16838" w:orient="portrait"/>
          <w:cols w:equalWidth="0" w:num="2">
            <w:col w:w="7420" w:space="720"/>
            <w:col w:w="3080"/>
          </w:cols>
          <w:pgMar w:left="300" w:top="918" w:right="37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0"/>
          <w:szCs w:val="10"/>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(I.R.S. Employer Identification No.)</w:t>
      </w:r>
    </w:p>
    <w:p>
      <w:pPr>
        <w:spacing w:after="0" w:line="68" w:lineRule="exact"/>
        <w:rPr>
          <w:sz w:val="24"/>
          <w:szCs w:val="24"/>
          <w:color w:val="auto"/>
        </w:rPr>
      </w:pPr>
    </w:p>
    <w:p>
      <w:pPr>
        <w:sectPr>
          <w:pgSz w:w="11900" w:h="16838" w:orient="portrait"/>
          <w:cols w:equalWidth="0" w:num="2">
            <w:col w:w="6920" w:space="720"/>
            <w:col w:w="3580"/>
          </w:cols>
          <w:pgMar w:left="300" w:top="918" w:right="3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3"/>
          <w:szCs w:val="13"/>
          <w:b w:val="1"/>
          <w:bCs w:val="1"/>
          <w:color w:val="auto"/>
        </w:rPr>
        <w:t>30 Isabella Street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15212</w:t>
      </w:r>
    </w:p>
    <w:p>
      <w:pPr>
        <w:spacing w:after="0" w:line="39" w:lineRule="exact"/>
        <w:rPr>
          <w:sz w:val="24"/>
          <w:szCs w:val="24"/>
          <w:color w:val="auto"/>
        </w:rPr>
      </w:pPr>
    </w:p>
    <w:p>
      <w:pPr>
        <w:sectPr>
          <w:pgSz w:w="11900" w:h="16838" w:orient="portrait"/>
          <w:cols w:equalWidth="0" w:num="2">
            <w:col w:w="7560" w:space="720"/>
            <w:col w:w="2940"/>
          </w:cols>
          <w:pgMar w:left="300" w:top="918" w:right="37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(Zip code)</w:t>
      </w:r>
    </w:p>
    <w:p>
      <w:pPr>
        <w:spacing w:after="0" w:line="83" w:lineRule="exact"/>
        <w:rPr>
          <w:sz w:val="24"/>
          <w:szCs w:val="24"/>
          <w:color w:val="auto"/>
        </w:rPr>
      </w:pPr>
    </w:p>
    <w:p>
      <w:pPr>
        <w:sectPr>
          <w:pgSz w:w="11900" w:h="16838" w:orient="portrait"/>
          <w:cols w:equalWidth="0" w:num="2">
            <w:col w:w="7500" w:space="720"/>
            <w:col w:w="3000"/>
          </w:cols>
          <w:pgMar w:left="300" w:top="918"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412-825-1000</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ectPr>
          <w:pgSz w:w="11900" w:h="16838" w:orient="portrait"/>
          <w:cols w:equalWidth="0" w:num="1">
            <w:col w:w="11220"/>
          </w:cols>
          <w:pgMar w:left="300" w:top="918" w:right="379" w:bottom="1440" w:gutter="0" w:footer="0" w:header="0"/>
          <w:type w:val="continuous"/>
        </w:sectPr>
      </w:pP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8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422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1"/>
                <w:szCs w:val="11"/>
                <w:b w:val="1"/>
                <w:bCs w:val="1"/>
                <w:color w:val="auto"/>
              </w:rPr>
              <w:t>Class</w:t>
            </w:r>
          </w:p>
        </w:tc>
        <w:tc>
          <w:tcPr>
            <w:tcW w:w="26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4320" w:type="dxa"/>
            <w:vAlign w:val="bottom"/>
            <w:tcBorders>
              <w:bottom w:val="single" w:sz="8" w:color="auto"/>
            </w:tcBorders>
          </w:tcPr>
          <w:p>
            <w:pPr>
              <w:jc w:val="center"/>
              <w:ind w:right="482"/>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55"/>
        </w:trPr>
        <w:tc>
          <w:tcPr>
            <w:tcW w:w="42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Common Stock, $.01 par value per share</w:t>
            </w:r>
          </w:p>
        </w:tc>
        <w:tc>
          <w:tcPr>
            <w:tcW w:w="2660" w:type="dxa"/>
            <w:vAlign w:val="bottom"/>
          </w:tcPr>
          <w:p>
            <w:pPr>
              <w:ind w:left="1160"/>
              <w:spacing w:after="0"/>
              <w:rPr>
                <w:sz w:val="20"/>
                <w:szCs w:val="20"/>
                <w:color w:val="auto"/>
              </w:rPr>
            </w:pPr>
            <w:r>
              <w:rPr>
                <w:rFonts w:ascii="Times New Roman" w:cs="Times New Roman" w:eastAsia="Times New Roman" w:hAnsi="Times New Roman"/>
                <w:sz w:val="12"/>
                <w:szCs w:val="12"/>
                <w:color w:val="auto"/>
              </w:rPr>
              <w:t>WAB</w:t>
            </w:r>
          </w:p>
        </w:tc>
        <w:tc>
          <w:tcPr>
            <w:tcW w:w="4320" w:type="dxa"/>
            <w:vAlign w:val="bottom"/>
          </w:tcPr>
          <w:p>
            <w:pPr>
              <w:jc w:val="center"/>
              <w:ind w:right="482"/>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72" w:lineRule="exact"/>
        <w:rPr>
          <w:sz w:val="24"/>
          <w:szCs w:val="24"/>
          <w:color w:val="auto"/>
        </w:rPr>
      </w:pPr>
    </w:p>
    <w:p>
      <w:pPr>
        <w:ind w:right="260" w:firstLine="382"/>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right="60" w:firstLine="382"/>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firstLine="382"/>
        <w:spacing w:after="0" w:line="26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00" w:top="918" w:right="379" w:bottom="1440" w:gutter="0" w:footer="0" w:header="0"/>
          <w:type w:val="continuous"/>
        </w:sectPr>
      </w:pPr>
    </w:p>
    <w:p>
      <w:pPr>
        <w:spacing w:after="0" w:line="21" w:lineRule="exact"/>
        <w:rPr>
          <w:sz w:val="24"/>
          <w:szCs w:val="24"/>
          <w:color w:val="auto"/>
        </w:rPr>
      </w:pPr>
    </w:p>
    <w:p>
      <w:pPr>
        <w:ind w:left="20" w:right="460"/>
        <w:spacing w:after="0" w:line="306" w:lineRule="auto"/>
        <w:rPr>
          <w:sz w:val="20"/>
          <w:szCs w:val="20"/>
          <w:color w:val="auto"/>
        </w:rPr>
      </w:pPr>
      <w:r>
        <w:rPr>
          <w:rFonts w:ascii="Times New Roman" w:cs="Times New Roman" w:eastAsia="Times New Roman" w:hAnsi="Times New Roman"/>
          <w:sz w:val="12"/>
          <w:szCs w:val="12"/>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87"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87"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308" w:lineRule="exact"/>
        <w:rPr>
          <w:sz w:val="24"/>
          <w:szCs w:val="24"/>
          <w:color w:val="auto"/>
        </w:rPr>
      </w:pPr>
    </w:p>
    <w:p>
      <w:pPr>
        <w:sectPr>
          <w:pgSz w:w="11900" w:h="16838" w:orient="portrait"/>
          <w:cols w:equalWidth="0" w:num="6">
            <w:col w:w="1800" w:space="720"/>
            <w:col w:w="100" w:space="340"/>
            <w:col w:w="1700" w:space="720"/>
            <w:col w:w="100" w:space="340"/>
            <w:col w:w="1200" w:space="720"/>
            <w:col w:w="3480"/>
          </w:cols>
          <w:pgMar w:left="300" w:top="918" w:right="379" w:bottom="1440" w:gutter="0" w:footer="0" w:header="0"/>
          <w:type w:val="continuous"/>
        </w:sectPr>
      </w:pPr>
    </w:p>
    <w:p>
      <w:pPr>
        <w:ind w:right="120" w:firstLine="382"/>
        <w:spacing w:after="0" w:line="154"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 w:lineRule="exact"/>
        <w:rPr>
          <w:sz w:val="24"/>
          <w:szCs w:val="24"/>
          <w:color w:val="auto"/>
        </w:rPr>
      </w:pPr>
    </w:p>
    <w:p>
      <w:pPr>
        <w:ind w:left="380" w:right="4820"/>
        <w:spacing w:after="0" w:line="14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the number of shares outstanding of each of the issuer’s classes of common stock, as of the latest practicable date.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October 27, 2022, there were 181,867,864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638810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20"/>
          </w:cols>
          <w:pgMar w:left="300" w:top="918" w:right="3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WESTINGHOUSE AIR BRAKE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TECHNOLOGIES CORPORATION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9"/>
        </w:trPr>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6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tc>
        <w:tc>
          <w:tcPr>
            <w:tcW w:w="540" w:type="dxa"/>
            <w:vAlign w:val="bottom"/>
          </w:tcPr>
          <w:p>
            <w:pPr>
              <w:spacing w:after="0"/>
              <w:rPr>
                <w:sz w:val="14"/>
                <w:szCs w:val="14"/>
                <w:color w:val="auto"/>
              </w:rPr>
            </w:pPr>
          </w:p>
        </w:tc>
      </w:tr>
      <w:tr>
        <w:trPr>
          <w:trHeight w:val="43"/>
        </w:trPr>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49"/>
        </w:trPr>
        <w:tc>
          <w:tcPr>
            <w:tcW w:w="7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220" w:type="dxa"/>
            <w:vAlign w:val="bottom"/>
            <w:shd w:val="clear" w:color="auto" w:fill="CCEEFF"/>
          </w:tcPr>
          <w:p>
            <w:pPr>
              <w:spacing w:after="0"/>
              <w:rPr>
                <w:sz w:val="12"/>
                <w:szCs w:val="12"/>
                <w:color w:val="auto"/>
              </w:rPr>
            </w:pPr>
          </w:p>
        </w:tc>
        <w:tc>
          <w:tcPr>
            <w:tcW w:w="976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Financial Statements - (Unaudited)</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0000FF"/>
              </w:rPr>
              <w:t>3</w:t>
            </w:r>
          </w:p>
        </w:tc>
      </w:tr>
      <w:tr>
        <w:trPr>
          <w:trHeight w:val="32"/>
        </w:trPr>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r>
        <w:trPr>
          <w:trHeight w:val="154"/>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180" w:type="dxa"/>
            <w:vAlign w:val="bottom"/>
            <w:tcBorders>
              <w:bottom w:val="single" w:sz="8" w:color="0000FF"/>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Balance Sheets as of September 30, 2022 and December 31, 2021</w:t>
            </w:r>
          </w:p>
        </w:tc>
        <w:tc>
          <w:tcPr>
            <w:tcW w:w="4580" w:type="dxa"/>
            <w:vAlign w:val="bottom"/>
            <w:gridSpan w:val="5"/>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3</w:t>
            </w:r>
          </w:p>
        </w:tc>
      </w:tr>
      <w:tr>
        <w:trPr>
          <w:trHeight w:val="166"/>
        </w:trPr>
        <w:tc>
          <w:tcPr>
            <w:tcW w:w="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480" w:type="dxa"/>
            <w:vAlign w:val="bottom"/>
            <w:tcBorders>
              <w:bottom w:val="single" w:sz="8" w:color="0000FF"/>
            </w:tcBorders>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Income for the three and nine months ended September 30, 2022 and 2021</w:t>
            </w:r>
          </w:p>
        </w:tc>
        <w:tc>
          <w:tcPr>
            <w:tcW w:w="3280" w:type="dxa"/>
            <w:vAlign w:val="bottom"/>
            <w:tcBorders>
              <w:bottom w:val="single" w:sz="8" w:color="CCEEFF"/>
            </w:tcBorders>
            <w:gridSpan w:val="3"/>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w:t>
            </w:r>
          </w:p>
        </w:tc>
      </w:tr>
      <w:tr>
        <w:trPr>
          <w:trHeight w:val="154"/>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76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 for the three and nine months ended September 30, 2022 and 2021</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5</w:t>
            </w:r>
          </w:p>
        </w:tc>
      </w:tr>
      <w:tr>
        <w:trPr>
          <w:trHeight w:val="154"/>
        </w:trPr>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0" w:type="dxa"/>
            <w:vAlign w:val="bottom"/>
            <w:tcBorders>
              <w:top w:val="single" w:sz="8" w:color="0000FF"/>
            </w:tcBorders>
            <w:gridSpan w:val="1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Cash Flows for the nine months ended September 30, 2022 and 2021</w:t>
            </w:r>
          </w:p>
        </w:tc>
        <w:tc>
          <w:tcPr>
            <w:tcW w:w="23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6</w:t>
            </w:r>
          </w:p>
        </w:tc>
      </w:tr>
      <w:tr>
        <w:trPr>
          <w:trHeight w:val="32"/>
        </w:trPr>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6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r>
        <w:trPr>
          <w:trHeight w:val="154"/>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40" w:type="dxa"/>
            <w:vAlign w:val="bottom"/>
            <w:tcBorders>
              <w:bottom w:val="single" w:sz="8" w:color="0000FF"/>
            </w:tcBorders>
            <w:gridSpan w:val="14"/>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Shareholders' Equity for the three and nine months ended September 30, 2022 and 2021</w:t>
            </w:r>
          </w:p>
        </w:tc>
        <w:tc>
          <w:tcPr>
            <w:tcW w:w="2520" w:type="dxa"/>
            <w:vAlign w:val="bottom"/>
            <w:gridSpan w:val="2"/>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7</w:t>
            </w:r>
          </w:p>
        </w:tc>
      </w:tr>
      <w:tr>
        <w:trPr>
          <w:trHeight w:val="154"/>
        </w:trPr>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76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9</w:t>
            </w:r>
          </w:p>
        </w:tc>
      </w:tr>
      <w:tr>
        <w:trPr>
          <w:trHeight w:val="32"/>
        </w:trPr>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r>
        <w:trPr>
          <w:trHeight w:val="154"/>
        </w:trPr>
        <w:tc>
          <w:tcPr>
            <w:tcW w:w="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220" w:type="dxa"/>
            <w:vAlign w:val="bottom"/>
          </w:tcPr>
          <w:p>
            <w:pPr>
              <w:spacing w:after="0"/>
              <w:rPr>
                <w:sz w:val="13"/>
                <w:szCs w:val="13"/>
                <w:color w:val="auto"/>
              </w:rPr>
            </w:pPr>
          </w:p>
        </w:tc>
        <w:tc>
          <w:tcPr>
            <w:tcW w:w="5080" w:type="dxa"/>
            <w:vAlign w:val="bottom"/>
            <w:tcBorders>
              <w:bottom w:val="single" w:sz="8" w:color="0000FF"/>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680" w:type="dxa"/>
            <w:vAlign w:val="bottom"/>
            <w:gridSpan w:val="6"/>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24</w:t>
            </w:r>
          </w:p>
        </w:tc>
      </w:tr>
      <w:tr>
        <w:trPr>
          <w:trHeight w:val="166"/>
        </w:trPr>
        <w:tc>
          <w:tcPr>
            <w:tcW w:w="760" w:type="dxa"/>
            <w:vAlign w:val="bottom"/>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Item 3.</w:t>
            </w:r>
          </w:p>
        </w:tc>
        <w:tc>
          <w:tcPr>
            <w:tcW w:w="220" w:type="dxa"/>
            <w:vAlign w:val="bottom"/>
            <w:shd w:val="clear" w:color="auto" w:fill="CCEEFF"/>
          </w:tcPr>
          <w:p>
            <w:pPr>
              <w:spacing w:after="0"/>
              <w:rPr>
                <w:sz w:val="14"/>
                <w:szCs w:val="14"/>
                <w:color w:val="auto"/>
              </w:rPr>
            </w:pPr>
          </w:p>
        </w:tc>
        <w:tc>
          <w:tcPr>
            <w:tcW w:w="976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42</w:t>
            </w:r>
          </w:p>
        </w:tc>
      </w:tr>
      <w:tr>
        <w:trPr>
          <w:trHeight w:val="154"/>
        </w:trPr>
        <w:tc>
          <w:tcPr>
            <w:tcW w:w="760" w:type="dxa"/>
            <w:vAlign w:val="bottom"/>
            <w:tcBorders>
              <w:top w:val="single" w:sz="8" w:color="CCEEFF"/>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Item 4.</w:t>
            </w:r>
          </w:p>
        </w:tc>
        <w:tc>
          <w:tcPr>
            <w:tcW w:w="220" w:type="dxa"/>
            <w:vAlign w:val="bottom"/>
            <w:tcBorders>
              <w:top w:val="single" w:sz="8" w:color="CCEEFF"/>
            </w:tcBorders>
          </w:tcPr>
          <w:p>
            <w:pPr>
              <w:spacing w:after="0"/>
              <w:rPr>
                <w:sz w:val="13"/>
                <w:szCs w:val="13"/>
                <w:color w:val="auto"/>
              </w:rPr>
            </w:pPr>
          </w:p>
        </w:tc>
        <w:tc>
          <w:tcPr>
            <w:tcW w:w="1400" w:type="dxa"/>
            <w:vAlign w:val="bottom"/>
            <w:tcBorders>
              <w:top w:val="single" w:sz="8" w:color="0000FF"/>
              <w:bottom w:val="single" w:sz="8" w:color="0000FF"/>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1980" w:type="dxa"/>
            <w:vAlign w:val="bottom"/>
            <w:tcBorders>
              <w:top w:val="single" w:sz="8" w:color="0000FF"/>
            </w:tcBorders>
            <w:gridSpan w:val="3"/>
          </w:tcPr>
          <w:p>
            <w:pPr>
              <w:spacing w:after="0"/>
              <w:rPr>
                <w:sz w:val="13"/>
                <w:szCs w:val="13"/>
                <w:color w:val="auto"/>
              </w:rPr>
            </w:pPr>
          </w:p>
        </w:tc>
        <w:tc>
          <w:tcPr>
            <w:tcW w:w="6380" w:type="dxa"/>
            <w:vAlign w:val="bottom"/>
            <w:tcBorders>
              <w:top w:val="single" w:sz="8" w:color="CCEEFF"/>
            </w:tcBorders>
            <w:gridSpan w:val="8"/>
          </w:tcPr>
          <w:p>
            <w:pPr>
              <w:spacing w:after="0"/>
              <w:rPr>
                <w:sz w:val="13"/>
                <w:szCs w:val="13"/>
                <w:color w:val="auto"/>
              </w:rPr>
            </w:pPr>
          </w:p>
        </w:tc>
        <w:tc>
          <w:tcPr>
            <w:tcW w:w="54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rPr>
              <w:t>42</w:t>
            </w:r>
          </w:p>
        </w:tc>
      </w:tr>
      <w:tr>
        <w:trPr>
          <w:trHeight w:val="186"/>
        </w:trPr>
        <w:tc>
          <w:tcPr>
            <w:tcW w:w="760" w:type="dxa"/>
            <w:vAlign w:val="bottom"/>
            <w:shd w:val="clear" w:color="auto" w:fill="CCEEFF"/>
          </w:tcPr>
          <w:p>
            <w:pPr>
              <w:spacing w:after="0"/>
              <w:rPr>
                <w:sz w:val="16"/>
                <w:szCs w:val="16"/>
                <w:color w:val="auto"/>
              </w:rPr>
            </w:pPr>
          </w:p>
        </w:tc>
        <w:tc>
          <w:tcPr>
            <w:tcW w:w="9980" w:type="dxa"/>
            <w:vAlign w:val="bottom"/>
            <w:gridSpan w:val="17"/>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PART II—OTHER INFORMATION</w:t>
            </w:r>
          </w:p>
        </w:tc>
        <w:tc>
          <w:tcPr>
            <w:tcW w:w="540" w:type="dxa"/>
            <w:vAlign w:val="bottom"/>
            <w:shd w:val="clear" w:color="auto" w:fill="CCEEFF"/>
          </w:tcPr>
          <w:p>
            <w:pPr>
              <w:spacing w:after="0"/>
              <w:rPr>
                <w:sz w:val="16"/>
                <w:szCs w:val="16"/>
                <w:color w:val="auto"/>
              </w:rPr>
            </w:pPr>
          </w:p>
        </w:tc>
      </w:tr>
      <w:tr>
        <w:trPr>
          <w:trHeight w:val="154"/>
        </w:trPr>
        <w:tc>
          <w:tcPr>
            <w:tcW w:w="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220" w:type="dxa"/>
            <w:vAlign w:val="bottom"/>
          </w:tcPr>
          <w:p>
            <w:pPr>
              <w:spacing w:after="0"/>
              <w:rPr>
                <w:sz w:val="13"/>
                <w:szCs w:val="13"/>
                <w:color w:val="auto"/>
              </w:rPr>
            </w:pPr>
          </w:p>
        </w:tc>
        <w:tc>
          <w:tcPr>
            <w:tcW w:w="1060" w:type="dxa"/>
            <w:vAlign w:val="bottom"/>
            <w:tcBorders>
              <w:bottom w:val="single" w:sz="8" w:color="0000FF"/>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8700" w:type="dxa"/>
            <w:vAlign w:val="bottom"/>
            <w:gridSpan w:val="12"/>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43</w:t>
            </w:r>
          </w:p>
        </w:tc>
      </w:tr>
      <w:tr>
        <w:trPr>
          <w:trHeight w:val="166"/>
        </w:trPr>
        <w:tc>
          <w:tcPr>
            <w:tcW w:w="760" w:type="dxa"/>
            <w:vAlign w:val="bottom"/>
            <w:tcBorders>
              <w:bottom w:val="single" w:sz="8" w:color="CCEEFF"/>
            </w:tcBorders>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Item 1A.</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0000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Risk Factors</w:t>
            </w:r>
          </w:p>
        </w:tc>
        <w:tc>
          <w:tcPr>
            <w:tcW w:w="9040" w:type="dxa"/>
            <w:vAlign w:val="bottom"/>
            <w:tcBorders>
              <w:bottom w:val="single" w:sz="8" w:color="CCEEFF"/>
            </w:tcBorders>
            <w:gridSpan w:val="13"/>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43</w:t>
            </w:r>
          </w:p>
        </w:tc>
      </w:tr>
      <w:tr>
        <w:trPr>
          <w:trHeight w:val="154"/>
        </w:trPr>
        <w:tc>
          <w:tcPr>
            <w:tcW w:w="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220" w:type="dxa"/>
            <w:vAlign w:val="bottom"/>
          </w:tcPr>
          <w:p>
            <w:pPr>
              <w:spacing w:after="0"/>
              <w:rPr>
                <w:sz w:val="13"/>
                <w:szCs w:val="13"/>
                <w:color w:val="auto"/>
              </w:rPr>
            </w:pPr>
          </w:p>
        </w:tc>
        <w:tc>
          <w:tcPr>
            <w:tcW w:w="976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43</w:t>
            </w:r>
          </w:p>
        </w:tc>
      </w:tr>
      <w:tr>
        <w:trPr>
          <w:trHeight w:val="166"/>
        </w:trPr>
        <w:tc>
          <w:tcPr>
            <w:tcW w:w="760" w:type="dxa"/>
            <w:vAlign w:val="bottom"/>
            <w:tcBorders>
              <w:bottom w:val="single" w:sz="8" w:color="CCEEFF"/>
            </w:tcBorders>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Item 4.</w:t>
            </w:r>
          </w:p>
        </w:tc>
        <w:tc>
          <w:tcPr>
            <w:tcW w:w="2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top w:val="single" w:sz="8" w:color="0000FF"/>
              <w:bottom w:val="single" w:sz="8" w:color="0000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Mine Safety Disclosures</w:t>
            </w:r>
          </w:p>
        </w:tc>
        <w:tc>
          <w:tcPr>
            <w:tcW w:w="202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6340" w:type="dxa"/>
            <w:vAlign w:val="bottom"/>
            <w:tcBorders>
              <w:bottom w:val="single" w:sz="8" w:color="CCEEFF"/>
            </w:tcBorders>
            <w:gridSpan w:val="7"/>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44</w:t>
            </w:r>
          </w:p>
        </w:tc>
      </w:tr>
      <w:tr>
        <w:trPr>
          <w:trHeight w:val="154"/>
        </w:trPr>
        <w:tc>
          <w:tcPr>
            <w:tcW w:w="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Item 6.</w:t>
            </w:r>
          </w:p>
        </w:tc>
        <w:tc>
          <w:tcPr>
            <w:tcW w:w="220" w:type="dxa"/>
            <w:vAlign w:val="bottom"/>
          </w:tcPr>
          <w:p>
            <w:pPr>
              <w:spacing w:after="0"/>
              <w:rPr>
                <w:sz w:val="13"/>
                <w:szCs w:val="13"/>
                <w:color w:val="auto"/>
              </w:rPr>
            </w:pPr>
          </w:p>
        </w:tc>
        <w:tc>
          <w:tcPr>
            <w:tcW w:w="480" w:type="dxa"/>
            <w:vAlign w:val="bottom"/>
            <w:tcBorders>
              <w:bottom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98"/>
              </w:rPr>
              <w:t>Exhibits</w:t>
            </w:r>
          </w:p>
        </w:tc>
        <w:tc>
          <w:tcPr>
            <w:tcW w:w="9280" w:type="dxa"/>
            <w:vAlign w:val="bottom"/>
            <w:gridSpan w:val="15"/>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44</w:t>
            </w:r>
          </w:p>
        </w:tc>
      </w:tr>
      <w:tr>
        <w:trPr>
          <w:trHeight w:val="166"/>
        </w:trPr>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76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Signatures</w:t>
            </w: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45</w:t>
            </w:r>
          </w:p>
        </w:tc>
      </w:tr>
      <w:tr>
        <w:trPr>
          <w:trHeight w:val="901"/>
        </w:trPr>
        <w:tc>
          <w:tcPr>
            <w:tcW w:w="7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4480" w:type="dxa"/>
            <w:vAlign w:val="bottom"/>
            <w:tcBorders>
              <w:top w:val="single" w:sz="8" w:color="CCEEFF"/>
            </w:tcBorders>
            <w:gridSpan w:val="8"/>
          </w:tcPr>
          <w:p>
            <w:pPr>
              <w:jc w:val="right"/>
              <w:ind w:right="38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87"/>
        </w:trPr>
        <w:tc>
          <w:tcPr>
            <w:tcW w:w="7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100" w:type="dxa"/>
            <w:vAlign w:val="bottom"/>
            <w:tcBorders>
              <w:bottom w:val="single" w:sz="8" w:color="auto"/>
            </w:tcBorders>
          </w:tcPr>
          <w:p>
            <w:pPr>
              <w:jc w:val="center"/>
              <w:ind w:left="366"/>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 except par value</w:t>
            </w:r>
          </w:p>
        </w:tc>
        <w:tc>
          <w:tcPr>
            <w:tcW w:w="1100" w:type="dxa"/>
            <w:vAlign w:val="bottom"/>
          </w:tcPr>
          <w:p>
            <w:pPr>
              <w:jc w:val="center"/>
              <w:ind w:left="366"/>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jc w:val="right"/>
              <w:ind w:right="377"/>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120" w:type="dxa"/>
            <w:vAlign w:val="bottom"/>
            <w:gridSpan w:val="2"/>
            <w:vMerge w:val="continue"/>
          </w:tcPr>
          <w:p>
            <w:pPr>
              <w:spacing w:after="0"/>
              <w:rPr>
                <w:sz w:val="9"/>
                <w:szCs w:val="9"/>
                <w:color w:val="auto"/>
              </w:rPr>
            </w:pPr>
          </w:p>
        </w:tc>
        <w:tc>
          <w:tcPr>
            <w:tcW w:w="1100" w:type="dxa"/>
            <w:vAlign w:val="bottom"/>
          </w:tcPr>
          <w:p>
            <w:pPr>
              <w:jc w:val="center"/>
              <w:ind w:left="346"/>
              <w:spacing w:after="0" w:line="95" w:lineRule="exact"/>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jc w:val="right"/>
              <w:ind w:right="577"/>
              <w:spacing w:after="0" w:line="95" w:lineRule="exact"/>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6800" w:type="dxa"/>
            <w:vAlign w:val="bottom"/>
            <w:shd w:val="clear" w:color="auto" w:fill="CCEEFF"/>
          </w:tcPr>
          <w:p>
            <w:pPr>
              <w:jc w:val="center"/>
              <w:ind w:right="1283"/>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10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Accounts receivable</w:t>
            </w: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Unbilled accounts receivable</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Inventories</w:t>
            </w: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current assets</w:t>
            </w:r>
          </w:p>
        </w:tc>
        <w:tc>
          <w:tcPr>
            <w:tcW w:w="1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1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 current assets</w:t>
            </w: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3,832</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Goodwill</w:t>
            </w: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8,587</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noncurrent assets</w:t>
            </w:r>
          </w:p>
        </w:tc>
        <w:tc>
          <w:tcPr>
            <w:tcW w:w="1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14,063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10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18,262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800" w:type="dxa"/>
            <w:vAlign w:val="bottom"/>
            <w:shd w:val="clear" w:color="auto" w:fill="CCEEFF"/>
          </w:tcPr>
          <w:p>
            <w:pPr>
              <w:jc w:val="center"/>
              <w:ind w:right="1283"/>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Shareholders’ Equity</w:t>
            </w:r>
          </w:p>
        </w:tc>
        <w:tc>
          <w:tcPr>
            <w:tcW w:w="1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w:t>
            </w:r>
          </w:p>
        </w:tc>
        <w:tc>
          <w:tcPr>
            <w:tcW w:w="110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Customer deposits</w:t>
            </w: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compensation</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Accrued warranty</w:t>
            </w: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 accrued liabilities</w:t>
            </w:r>
          </w:p>
        </w:tc>
        <w:tc>
          <w:tcPr>
            <w:tcW w:w="1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4,056</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postretirement and pension benefits</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Contingent consideration</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Liabilities</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Commitments and contingencies (Note 14)</w:t>
            </w: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12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w w:val="98"/>
              </w:rPr>
              <w:t>Common stock, $.01 par value; 500.0 shares authorized and 226.9 shares issued: 181.9 and 185.8 outstanding at September 30, 2022 and December 31, 2021,</w:t>
            </w:r>
          </w:p>
        </w:tc>
        <w:tc>
          <w:tcPr>
            <w:tcW w:w="110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respectively</w:t>
            </w:r>
          </w:p>
        </w:tc>
        <w:tc>
          <w:tcPr>
            <w:tcW w:w="1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Treasury stock, at cost, 45.0 and 41.1 shares, at September 30, 2022 and December 31, 2021, respectively</w:t>
            </w: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Retained earnings</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4,055</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Westinghouse Air Brake Technologies Corporation shareholders’ equity</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10,201</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3"/>
                <w:szCs w:val="13"/>
                <w:color w:val="auto"/>
              </w:rPr>
              <w:t>Noncontrolling interest</w:t>
            </w:r>
          </w:p>
        </w:tc>
        <w:tc>
          <w:tcPr>
            <w:tcW w:w="1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Equity</w:t>
            </w:r>
          </w:p>
        </w:tc>
        <w:tc>
          <w:tcPr>
            <w:tcW w:w="1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110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18,262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jc w:val="center"/>
              <w:ind w:left="391"/>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ind w:left="431"/>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800" w:type="dxa"/>
            <w:vAlign w:val="bottom"/>
          </w:tcPr>
          <w:p>
            <w:pPr>
              <w:spacing w:after="0"/>
              <w:rPr>
                <w:sz w:val="12"/>
                <w:szCs w:val="12"/>
                <w:color w:val="auto"/>
              </w:rPr>
            </w:pPr>
          </w:p>
        </w:tc>
      </w:tr>
      <w:tr>
        <w:trPr>
          <w:trHeight w:val="127"/>
        </w:trPr>
        <w:tc>
          <w:tcPr>
            <w:tcW w:w="15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3"/>
          </w:tcPr>
          <w:p>
            <w:pPr>
              <w:jc w:val="center"/>
              <w:ind w:left="391"/>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3"/>
          </w:tcPr>
          <w:p>
            <w:pPr>
              <w:jc w:val="center"/>
              <w:ind w:left="431"/>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800" w:type="dxa"/>
            <w:vAlign w:val="bottom"/>
          </w:tcPr>
          <w:p>
            <w:pPr>
              <w:spacing w:after="0"/>
              <w:rPr>
                <w:sz w:val="11"/>
                <w:szCs w:val="11"/>
                <w:color w:val="auto"/>
              </w:rPr>
            </w:pPr>
          </w:p>
        </w:tc>
      </w:tr>
      <w:tr>
        <w:trPr>
          <w:trHeight w:val="149"/>
        </w:trPr>
        <w:tc>
          <w:tcPr>
            <w:tcW w:w="15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jc w:val="center"/>
              <w:ind w:left="39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ind w:left="43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0" w:type="dxa"/>
            <w:vAlign w:val="bottom"/>
          </w:tcPr>
          <w:p>
            <w:pPr>
              <w:spacing w:after="0"/>
              <w:rPr>
                <w:sz w:val="12"/>
                <w:szCs w:val="12"/>
                <w:color w:val="auto"/>
              </w:rPr>
            </w:pPr>
          </w:p>
        </w:tc>
      </w:tr>
      <w:tr>
        <w:trPr>
          <w:trHeight w:val="125"/>
        </w:trPr>
        <w:tc>
          <w:tcPr>
            <w:tcW w:w="5620" w:type="dxa"/>
            <w:vAlign w:val="bottom"/>
            <w:gridSpan w:val="2"/>
          </w:tcPr>
          <w:p>
            <w:pPr>
              <w:spacing w:after="0" w:line="125" w:lineRule="exact"/>
              <w:rPr>
                <w:sz w:val="20"/>
                <w:szCs w:val="20"/>
                <w:color w:val="auto"/>
              </w:rPr>
            </w:pPr>
            <w:r>
              <w:rPr>
                <w:rFonts w:ascii="Times New Roman" w:cs="Times New Roman" w:eastAsia="Times New Roman" w:hAnsi="Times New Roman"/>
                <w:sz w:val="11"/>
                <w:szCs w:val="11"/>
                <w:b w:val="1"/>
                <w:bCs w:val="1"/>
                <w:i w:val="1"/>
                <w:iCs w:val="1"/>
                <w:color w:val="auto"/>
              </w:rPr>
              <w:t>In millions, except per share data</w:t>
            </w:r>
          </w:p>
        </w:tc>
        <w:tc>
          <w:tcPr>
            <w:tcW w:w="300" w:type="dxa"/>
            <w:vAlign w:val="bottom"/>
          </w:tcPr>
          <w:p>
            <w:pPr>
              <w:spacing w:after="0"/>
              <w:rPr>
                <w:sz w:val="10"/>
                <w:szCs w:val="10"/>
                <w:color w:val="auto"/>
              </w:rPr>
            </w:pPr>
          </w:p>
        </w:tc>
        <w:tc>
          <w:tcPr>
            <w:tcW w:w="960" w:type="dxa"/>
            <w:vAlign w:val="bottom"/>
          </w:tcPr>
          <w:p>
            <w:pPr>
              <w:jc w:val="right"/>
              <w:ind w:right="451"/>
              <w:spacing w:after="0" w:line="125"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jc w:val="right"/>
              <w:ind w:right="450"/>
              <w:spacing w:after="0" w:line="125" w:lineRule="exact"/>
              <w:rPr>
                <w:sz w:val="20"/>
                <w:szCs w:val="20"/>
                <w:color w:val="auto"/>
              </w:rPr>
            </w:pPr>
            <w:r>
              <w:rPr>
                <w:rFonts w:ascii="Times New Roman" w:cs="Times New Roman" w:eastAsia="Times New Roman" w:hAnsi="Times New Roman"/>
                <w:sz w:val="11"/>
                <w:szCs w:val="11"/>
                <w:b w:val="1"/>
                <w:bCs w:val="1"/>
                <w:color w:val="auto"/>
                <w:w w:val="99"/>
              </w:rPr>
              <w:t>2021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jc w:val="right"/>
              <w:ind w:right="451"/>
              <w:spacing w:after="0" w:line="125"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jc w:val="right"/>
              <w:ind w:right="450"/>
              <w:spacing w:after="0" w:line="125" w:lineRule="exact"/>
              <w:rPr>
                <w:sz w:val="20"/>
                <w:szCs w:val="20"/>
                <w:color w:val="auto"/>
              </w:rPr>
            </w:pPr>
            <w:r>
              <w:rPr>
                <w:rFonts w:ascii="Times New Roman" w:cs="Times New Roman" w:eastAsia="Times New Roman" w:hAnsi="Times New Roman"/>
                <w:sz w:val="11"/>
                <w:szCs w:val="11"/>
                <w:b w:val="1"/>
                <w:bCs w:val="1"/>
                <w:color w:val="auto"/>
              </w:rPr>
              <w:t>2021</w:t>
            </w:r>
          </w:p>
        </w:tc>
      </w:tr>
      <w:tr>
        <w:trPr>
          <w:trHeight w:val="22"/>
        </w:trPr>
        <w:tc>
          <w:tcPr>
            <w:tcW w:w="156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156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0"/>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5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Sales of goods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w:t>
            </w:r>
          </w:p>
        </w:tc>
      </w:tr>
      <w:tr>
        <w:trPr>
          <w:trHeight w:val="180"/>
        </w:trPr>
        <w:tc>
          <w:tcPr>
            <w:tcW w:w="56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Sales of services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r>
      <w:tr>
        <w:trPr>
          <w:trHeight w:val="171"/>
        </w:trPr>
        <w:tc>
          <w:tcPr>
            <w:tcW w:w="5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net sales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r>
      <w:tr>
        <w:trPr>
          <w:trHeight w:val="180"/>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5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Cost of goods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(3,368)</w:t>
            </w:r>
          </w:p>
        </w:tc>
      </w:tr>
      <w:tr>
        <w:trPr>
          <w:trHeight w:val="180"/>
        </w:trPr>
        <w:tc>
          <w:tcPr>
            <w:tcW w:w="56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Cost of services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w:t>
            </w:r>
          </w:p>
        </w:tc>
      </w:tr>
      <w:tr>
        <w:trPr>
          <w:trHeight w:val="171"/>
        </w:trPr>
        <w:tc>
          <w:tcPr>
            <w:tcW w:w="5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cost of sales</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w:t>
            </w:r>
          </w:p>
        </w:tc>
      </w:tr>
      <w:tr>
        <w:trPr>
          <w:trHeight w:val="171"/>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w:t>
            </w:r>
          </w:p>
        </w:tc>
      </w:tr>
      <w:tr>
        <w:trPr>
          <w:trHeight w:val="18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0"/>
        </w:trPr>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r>
      <w:tr>
        <w:trPr>
          <w:trHeight w:val="180"/>
        </w:trPr>
        <w:tc>
          <w:tcPr>
            <w:tcW w:w="5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Engineering expenses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80"/>
        </w:trPr>
        <w:tc>
          <w:tcPr>
            <w:tcW w:w="56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Amortization expense</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71"/>
        </w:trPr>
        <w:tc>
          <w:tcPr>
            <w:tcW w:w="5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r>
      <w:tr>
        <w:trPr>
          <w:trHeight w:val="171"/>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Income from operations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r>
      <w:tr>
        <w:trPr>
          <w:trHeight w:val="18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and expenses: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0"/>
        </w:trPr>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80"/>
        </w:trPr>
        <w:tc>
          <w:tcPr>
            <w:tcW w:w="5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income, net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1"/>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180"/>
        </w:trPr>
        <w:tc>
          <w:tcPr>
            <w:tcW w:w="5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71"/>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r>
      <w:tr>
        <w:trPr>
          <w:trHeight w:val="180"/>
        </w:trPr>
        <w:tc>
          <w:tcPr>
            <w:tcW w:w="5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20"/>
        </w:trPr>
        <w:tc>
          <w:tcPr>
            <w:tcW w:w="156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156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0"/>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0"/>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20"/>
        </w:trPr>
        <w:tc>
          <w:tcPr>
            <w:tcW w:w="156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2"/>
        </w:trPr>
        <w:tc>
          <w:tcPr>
            <w:tcW w:w="56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Diluted</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80"/>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20"/>
        </w:trPr>
        <w:tc>
          <w:tcPr>
            <w:tcW w:w="156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156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0"/>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r>
      <w:tr>
        <w:trPr>
          <w:trHeight w:val="184"/>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w:t>
            </w:r>
          </w:p>
        </w:tc>
      </w:tr>
    </w:tbl>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460" w:top="759"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512"/>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532"/>
              <w:spacing w:after="0"/>
              <w:rPr>
                <w:sz w:val="20"/>
                <w:szCs w:val="20"/>
                <w:color w:val="auto"/>
              </w:rPr>
            </w:pPr>
            <w:r>
              <w:rPr>
                <w:rFonts w:ascii="Times New Roman" w:cs="Times New Roman" w:eastAsia="Times New Roman" w:hAnsi="Times New Roman"/>
                <w:sz w:val="13"/>
                <w:szCs w:val="13"/>
                <w:b w:val="1"/>
                <w:bCs w:val="1"/>
                <w:color w:val="auto"/>
                <w:w w:val="99"/>
              </w:rPr>
              <w:t>Unaudited</w:t>
            </w:r>
          </w:p>
        </w:tc>
        <w:tc>
          <w:tcPr>
            <w:tcW w:w="960" w:type="dxa"/>
            <w:vAlign w:val="bottom"/>
          </w:tcPr>
          <w:p>
            <w:pPr>
              <w:spacing w:after="0"/>
              <w:rPr>
                <w:sz w:val="14"/>
                <w:szCs w:val="14"/>
                <w:color w:val="auto"/>
              </w:rPr>
            </w:pPr>
          </w:p>
        </w:tc>
      </w:t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3"/>
          </w:tcPr>
          <w:p>
            <w:pPr>
              <w:jc w:val="center"/>
              <w:ind w:left="512"/>
              <w:spacing w:after="0" w:line="132" w:lineRule="exact"/>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3"/>
          </w:tcPr>
          <w:p>
            <w:pPr>
              <w:jc w:val="center"/>
              <w:ind w:left="532"/>
              <w:spacing w:after="0" w:line="132" w:lineRule="exact"/>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9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532"/>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532"/>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96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4880" w:type="dxa"/>
            <w:vAlign w:val="bottom"/>
            <w:gridSpan w:val="2"/>
          </w:tcPr>
          <w:p>
            <w:pPr>
              <w:spacing w:after="0" w:line="110"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1"/>
                <w:szCs w:val="11"/>
                <w:color w:val="auto"/>
              </w:rPr>
            </w:pPr>
          </w:p>
        </w:tc>
        <w:tc>
          <w:tcPr>
            <w:tcW w:w="1180" w:type="dxa"/>
            <w:vAlign w:val="bottom"/>
          </w:tcPr>
          <w:p>
            <w:pPr>
              <w:jc w:val="right"/>
              <w:ind w:right="572"/>
              <w:spacing w:after="0" w:line="110"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jc w:val="right"/>
              <w:ind w:right="571"/>
              <w:spacing w:after="0" w:line="110" w:lineRule="exact"/>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jc w:val="right"/>
              <w:ind w:right="572"/>
              <w:spacing w:after="0" w:line="110"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jc w:val="right"/>
              <w:ind w:right="571"/>
              <w:spacing w:after="0" w:line="110"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171"/>
        </w:trPr>
        <w:tc>
          <w:tcPr>
            <w:tcW w:w="20" w:type="dxa"/>
            <w:vAlign w:val="bottom"/>
            <w:shd w:val="clear" w:color="auto" w:fill="CCEEFF"/>
          </w:tcPr>
          <w:p>
            <w:pPr>
              <w:spacing w:after="0"/>
              <w:rPr>
                <w:sz w:val="14"/>
                <w:szCs w:val="14"/>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80"/>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20" w:type="dxa"/>
            <w:vAlign w:val="bottom"/>
            <w:shd w:val="clear" w:color="auto" w:fill="CCEEFF"/>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on pension benefit plans and post-retirement benefit plans</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Other comprehensive loss before tax</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0"/>
        </w:trPr>
        <w:tc>
          <w:tcPr>
            <w:tcW w:w="20" w:type="dxa"/>
            <w:vAlign w:val="bottom"/>
            <w:shd w:val="clear" w:color="auto" w:fill="CCEEFF"/>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 related to components of other comprehensive loss</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20" w:type="dxa"/>
            <w:vAlign w:val="bottom"/>
            <w:tcBorders>
              <w:bottom w:val="single" w:sz="8" w:color="CCEEFF"/>
            </w:tcBorders>
          </w:tcPr>
          <w:p>
            <w:pPr>
              <w:spacing w:after="0"/>
              <w:rPr>
                <w:sz w:val="14"/>
                <w:szCs w:val="14"/>
                <w:color w:val="auto"/>
              </w:rPr>
            </w:pPr>
          </w:p>
        </w:tc>
        <w:tc>
          <w:tcPr>
            <w:tcW w:w="48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 income attributable to Wabtec shareholders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 w:name="page6"/>
    <w:bookmarkEnd w:id="5"/>
    <w:p>
      <w:pPr>
        <w:ind w:left="3760"/>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530"/>
              <w:spacing w:after="0"/>
              <w:rPr>
                <w:sz w:val="20"/>
                <w:szCs w:val="20"/>
                <w:color w:val="auto"/>
              </w:rPr>
            </w:pPr>
            <w:r>
              <w:rPr>
                <w:rFonts w:ascii="Times New Roman" w:cs="Times New Roman" w:eastAsia="Times New Roman" w:hAnsi="Times New Roman"/>
                <w:sz w:val="13"/>
                <w:szCs w:val="13"/>
                <w:b w:val="1"/>
                <w:bCs w:val="1"/>
                <w:color w:val="auto"/>
                <w:w w:val="99"/>
              </w:rPr>
              <w:t>Unaudited</w:t>
            </w:r>
          </w:p>
        </w:tc>
        <w:tc>
          <w:tcPr>
            <w:tcW w:w="960" w:type="dxa"/>
            <w:vAlign w:val="bottom"/>
          </w:tcPr>
          <w:p>
            <w:pPr>
              <w:spacing w:after="0"/>
              <w:rPr>
                <w:sz w:val="14"/>
                <w:szCs w:val="14"/>
                <w:color w:val="auto"/>
              </w:rPr>
            </w:pPr>
          </w:p>
        </w:tc>
      </w:t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3"/>
          </w:tcPr>
          <w:p>
            <w:pPr>
              <w:jc w:val="center"/>
              <w:ind w:left="530"/>
              <w:spacing w:after="0" w:line="132" w:lineRule="exact"/>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96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96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1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0"/>
                <w:szCs w:val="10"/>
                <w:color w:val="auto"/>
              </w:rPr>
            </w:pPr>
          </w:p>
        </w:tc>
        <w:tc>
          <w:tcPr>
            <w:tcW w:w="1160" w:type="dxa"/>
            <w:vAlign w:val="bottom"/>
          </w:tcPr>
          <w:p>
            <w:pPr>
              <w:jc w:val="right"/>
              <w:ind w:right="570"/>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jc w:val="right"/>
              <w:ind w:right="570"/>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Below market intangible amortization</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Net loss on disposal of property, plant and equipment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Accounts receivable and unbilled accounts receivable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income taxes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Accrued liabilities and customer deposits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180"/>
        </w:trPr>
        <w:tc>
          <w:tcPr>
            <w:tcW w:w="20" w:type="dxa"/>
            <w:vAlign w:val="bottom"/>
            <w:tcBorders>
              <w:bottom w:val="single" w:sz="8" w:color="CCEEFF"/>
            </w:tcBorders>
          </w:tcPr>
          <w:p>
            <w:pPr>
              <w:spacing w:after="0"/>
              <w:rPr>
                <w:sz w:val="15"/>
                <w:szCs w:val="15"/>
                <w:color w:val="auto"/>
              </w:rPr>
            </w:pPr>
          </w:p>
        </w:tc>
        <w:tc>
          <w:tcPr>
            <w:tcW w:w="81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Proceeds from disposal of property, plant and equipment</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debt, net of issuance costs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Payments of debt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Repurchase of stock</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Cash dividends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changes in currency exchange rates</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20" w:type="dxa"/>
            <w:vAlign w:val="bottom"/>
          </w:tcPr>
          <w:p>
            <w:pPr>
              <w:spacing w:after="0"/>
              <w:rPr>
                <w:sz w:val="14"/>
                <w:szCs w:val="14"/>
                <w:color w:val="auto"/>
              </w:rPr>
            </w:pP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Increase (decrease) in cash</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r>
      <w:tr>
        <w:trPr>
          <w:trHeight w:val="171"/>
        </w:trPr>
        <w:tc>
          <w:tcPr>
            <w:tcW w:w="20" w:type="dxa"/>
            <w:vAlign w:val="bottom"/>
          </w:tcPr>
          <w:p>
            <w:pPr>
              <w:spacing w:after="0"/>
              <w:rPr>
                <w:sz w:val="14"/>
                <w:szCs w:val="14"/>
                <w:color w:val="auto"/>
              </w:rPr>
            </w:pPr>
          </w:p>
        </w:tc>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 w:name="page7"/>
    <w:bookmarkEnd w:id="6"/>
    <w:p>
      <w:pPr>
        <w:ind w:left="3500"/>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80" w:type="dxa"/>
            <w:vAlign w:val="bottom"/>
          </w:tcPr>
          <w:p>
            <w:pPr>
              <w:spacing w:after="0"/>
              <w:rPr>
                <w:sz w:val="10"/>
                <w:szCs w:val="10"/>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Common Stock</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Additional Paid-in</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Treasury Stock</w:t>
            </w:r>
          </w:p>
        </w:tc>
        <w:tc>
          <w:tcPr>
            <w:tcW w:w="10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Treasury Stock</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1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Accumulated Other</w:t>
            </w:r>
          </w:p>
        </w:tc>
        <w:tc>
          <w:tcPr>
            <w:tcW w:w="8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80" w:type="dxa"/>
            <w:vAlign w:val="bottom"/>
          </w:tcPr>
          <w:p>
            <w:pPr>
              <w:spacing w:after="0"/>
              <w:rPr>
                <w:sz w:val="10"/>
                <w:szCs w:val="10"/>
                <w:color w:val="auto"/>
              </w:rPr>
            </w:pPr>
          </w:p>
        </w:tc>
        <w:tc>
          <w:tcPr>
            <w:tcW w:w="600" w:type="dxa"/>
            <w:vAlign w:val="bottom"/>
            <w:vMerge w:val="restart"/>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In millions</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7"/>
                <w:szCs w:val="7"/>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80" w:type="dxa"/>
            <w:vAlign w:val="bottom"/>
          </w:tcPr>
          <w:p>
            <w:pPr>
              <w:spacing w:after="0"/>
              <w:rPr>
                <w:sz w:val="7"/>
                <w:szCs w:val="7"/>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100" w:type="dxa"/>
            <w:vAlign w:val="bottom"/>
          </w:tcPr>
          <w:p>
            <w:pPr>
              <w:spacing w:after="0"/>
              <w:rPr>
                <w:sz w:val="7"/>
                <w:szCs w:val="7"/>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9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Comprehensive Loss</w:t>
            </w:r>
          </w:p>
        </w:tc>
        <w:tc>
          <w:tcPr>
            <w:tcW w:w="80" w:type="dxa"/>
            <w:vAlign w:val="bottom"/>
          </w:tcPr>
          <w:p>
            <w:pPr>
              <w:spacing w:after="0"/>
              <w:rPr>
                <w:sz w:val="7"/>
                <w:szCs w:val="7"/>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Balance, December 31, 2021</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226.9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7,916</w:t>
            </w: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(1,306)</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4,055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(466)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10,239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Cash dividends ($0.15 dividend per share)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0" w:type="dxa"/>
            <w:vAlign w:val="bottom"/>
          </w:tcPr>
          <w:p>
            <w:pPr>
              <w:spacing w:after="0"/>
              <w:rPr>
                <w:sz w:val="1"/>
                <w:szCs w:val="1"/>
                <w:color w:val="auto"/>
              </w:rPr>
            </w:pPr>
          </w:p>
        </w:tc>
      </w:tr>
      <w:tr>
        <w:trPr>
          <w:trHeight w:val="100"/>
        </w:trPr>
        <w:tc>
          <w:tcPr>
            <w:tcW w:w="2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Proceeds from treasury stock issued from the exercise of</w:t>
            </w: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options and other benefit plans, net of tax</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 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Other comprehensive income,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repurchase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0" w:type="dxa"/>
            <w:vAlign w:val="bottom"/>
          </w:tcPr>
          <w:p>
            <w:pPr>
              <w:spacing w:after="0"/>
              <w:rPr>
                <w:sz w:val="1"/>
                <w:szCs w:val="1"/>
                <w:color w:val="auto"/>
              </w:rPr>
            </w:pPr>
          </w:p>
        </w:tc>
      </w:tr>
      <w:tr>
        <w:trPr>
          <w:trHeight w:val="124"/>
        </w:trPr>
        <w:tc>
          <w:tcPr>
            <w:tcW w:w="20" w:type="dxa"/>
            <w:vAlign w:val="bottom"/>
            <w:tcBorders>
              <w:bottom w:val="single" w:sz="8" w:color="CCEEFF"/>
            </w:tcBorders>
          </w:tcPr>
          <w:p>
            <w:pPr>
              <w:spacing w:after="0"/>
              <w:rPr>
                <w:sz w:val="10"/>
                <w:szCs w:val="10"/>
                <w:color w:val="auto"/>
              </w:rPr>
            </w:pPr>
          </w:p>
        </w:tc>
        <w:tc>
          <w:tcPr>
            <w:tcW w:w="2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March 31, 2022</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226.9</w:t>
            </w:r>
          </w:p>
        </w:tc>
        <w:tc>
          <w:tcPr>
            <w:tcW w:w="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7,917</w:t>
            </w:r>
          </w:p>
        </w:tc>
        <w:tc>
          <w:tcPr>
            <w:tcW w:w="10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(44.0)</w:t>
            </w:r>
          </w:p>
        </w:tc>
        <w:tc>
          <w:tcPr>
            <w:tcW w:w="8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(1,597)</w:t>
            </w:r>
          </w:p>
        </w:tc>
        <w:tc>
          <w:tcPr>
            <w:tcW w:w="10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4,176</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0"/>
                <w:szCs w:val="10"/>
                <w:color w:val="auto"/>
              </w:rPr>
              <w:t>(449)</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39</w:t>
            </w:r>
          </w:p>
        </w:tc>
        <w:tc>
          <w:tcPr>
            <w:tcW w:w="8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10,088</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dividends ($0.15 dividend per share)</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color w:val="auto"/>
              </w:rPr>
              <w:t>Proceeds from treasury stock issued from the exercise of</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 options and other benefit plans,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2"/>
                <w:szCs w:val="12"/>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166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loss, net of tax</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(192)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 repurchase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0" w:type="dxa"/>
            <w:vAlign w:val="bottom"/>
          </w:tcPr>
          <w:p>
            <w:pPr>
              <w:spacing w:after="0"/>
              <w:rPr>
                <w:sz w:val="1"/>
                <w:szCs w:val="1"/>
                <w:color w:val="auto"/>
              </w:rPr>
            </w:pPr>
          </w:p>
        </w:tc>
      </w:tr>
      <w:tr>
        <w:trPr>
          <w:trHeight w:val="133"/>
        </w:trPr>
        <w:tc>
          <w:tcPr>
            <w:tcW w:w="20" w:type="dxa"/>
            <w:vAlign w:val="bottom"/>
            <w:tcBorders>
              <w:top w:val="single" w:sz="8" w:color="CCEEFF"/>
            </w:tcBorders>
            <w:shd w:val="clear" w:color="auto" w:fill="CCEEFF"/>
          </w:tcPr>
          <w:p>
            <w:pPr>
              <w:spacing w:after="0"/>
              <w:rPr>
                <w:sz w:val="11"/>
                <w:szCs w:val="11"/>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June 30, 2022</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226.9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7,926</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(45.0)</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(1,696)</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4,314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rPr>
              <w:t>(641)</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42</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9,947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Cash dividends ($0.15 dividend per share)</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0" w:type="dxa"/>
            <w:vAlign w:val="bottom"/>
          </w:tcPr>
          <w:p>
            <w:pPr>
              <w:spacing w:after="0"/>
              <w:rPr>
                <w:sz w:val="1"/>
                <w:szCs w:val="1"/>
                <w:color w:val="auto"/>
              </w:rPr>
            </w:pPr>
          </w:p>
        </w:tc>
      </w:tr>
      <w:tr>
        <w:trPr>
          <w:trHeight w:val="100"/>
        </w:trPr>
        <w:tc>
          <w:tcPr>
            <w:tcW w:w="2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Proceeds from treasury stock issued from the exercise of</w:t>
            </w: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options and other benefit plans, net of tax</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 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Other comprehensive loss,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(167)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repurchase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September 30, 2022</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226.9</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7,937</w:t>
            </w:r>
          </w:p>
        </w:tc>
        <w:tc>
          <w:tcPr>
            <w:tcW w:w="10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(45.0)</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(1,697)</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4,447</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0"/>
                <w:szCs w:val="10"/>
                <w:color w:val="auto"/>
              </w:rPr>
              <w:t>(808)</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44</w:t>
            </w: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80" w:type="dxa"/>
            <w:vAlign w:val="bottom"/>
          </w:tcPr>
          <w:p>
            <w:pPr>
              <w:spacing w:after="0"/>
              <w:rPr>
                <w:sz w:val="10"/>
                <w:szCs w:val="10"/>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Common Stock</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Additional Paid-in</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Treasury Stock</w:t>
            </w:r>
          </w:p>
        </w:tc>
        <w:tc>
          <w:tcPr>
            <w:tcW w:w="10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Treasury Stock</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1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Accumulated Other</w:t>
            </w:r>
          </w:p>
        </w:tc>
        <w:tc>
          <w:tcPr>
            <w:tcW w:w="8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80" w:type="dxa"/>
            <w:vAlign w:val="bottom"/>
          </w:tcPr>
          <w:p>
            <w:pPr>
              <w:spacing w:after="0"/>
              <w:rPr>
                <w:sz w:val="10"/>
                <w:szCs w:val="10"/>
                <w:color w:val="auto"/>
              </w:rPr>
            </w:pPr>
          </w:p>
        </w:tc>
        <w:tc>
          <w:tcPr>
            <w:tcW w:w="600" w:type="dxa"/>
            <w:vAlign w:val="bottom"/>
            <w:vMerge w:val="restart"/>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In millions, except per share data</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7"/>
                <w:szCs w:val="7"/>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80" w:type="dxa"/>
            <w:vAlign w:val="bottom"/>
          </w:tcPr>
          <w:p>
            <w:pPr>
              <w:spacing w:after="0"/>
              <w:rPr>
                <w:sz w:val="7"/>
                <w:szCs w:val="7"/>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100" w:type="dxa"/>
            <w:vAlign w:val="bottom"/>
          </w:tcPr>
          <w:p>
            <w:pPr>
              <w:spacing w:after="0"/>
              <w:rPr>
                <w:sz w:val="7"/>
                <w:szCs w:val="7"/>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9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Comprehensive Loss</w:t>
            </w:r>
          </w:p>
        </w:tc>
        <w:tc>
          <w:tcPr>
            <w:tcW w:w="80" w:type="dxa"/>
            <w:vAlign w:val="bottom"/>
          </w:tcPr>
          <w:p>
            <w:pPr>
              <w:spacing w:after="0"/>
              <w:rPr>
                <w:sz w:val="7"/>
                <w:szCs w:val="7"/>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Balance, December 31, 2020</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226.9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7,881</w:t>
            </w: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(1,010)</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3,589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10,153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Cash dividends ($0.12 dividend per share)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100"/>
        </w:trPr>
        <w:tc>
          <w:tcPr>
            <w:tcW w:w="2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Proceeds from treasury stock issued from the exercise of</w:t>
            </w: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options and other benefit plans, net of tax</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 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1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Other comprehensive loss,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repurchase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4"/>
        </w:trPr>
        <w:tc>
          <w:tcPr>
            <w:tcW w:w="20" w:type="dxa"/>
            <w:vAlign w:val="bottom"/>
            <w:tcBorders>
              <w:bottom w:val="single" w:sz="8" w:color="CCEEFF"/>
            </w:tcBorders>
          </w:tcPr>
          <w:p>
            <w:pPr>
              <w:spacing w:after="0"/>
              <w:rPr>
                <w:sz w:val="10"/>
                <w:szCs w:val="10"/>
                <w:color w:val="auto"/>
              </w:rPr>
            </w:pPr>
          </w:p>
        </w:tc>
        <w:tc>
          <w:tcPr>
            <w:tcW w:w="2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March 31, 2021</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226.9</w:t>
            </w:r>
          </w:p>
        </w:tc>
        <w:tc>
          <w:tcPr>
            <w:tcW w:w="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7,884</w:t>
            </w:r>
          </w:p>
        </w:tc>
        <w:tc>
          <w:tcPr>
            <w:tcW w:w="10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(38.0)</w:t>
            </w:r>
          </w:p>
        </w:tc>
        <w:tc>
          <w:tcPr>
            <w:tcW w:w="8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(1,011)</w:t>
            </w:r>
          </w:p>
        </w:tc>
        <w:tc>
          <w:tcPr>
            <w:tcW w:w="10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3,678</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(409)</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10,177</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dividends ($0.12 dividend per share)</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color w:val="auto"/>
              </w:rPr>
              <w:t>Proceeds from treasury stock issued from the exercise of</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 options and other benefit plans,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2"/>
                <w:szCs w:val="12"/>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income, net of tax</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24"/>
        </w:trPr>
        <w:tc>
          <w:tcPr>
            <w:tcW w:w="20" w:type="dxa"/>
            <w:vAlign w:val="bottom"/>
            <w:tcBorders>
              <w:bottom w:val="single" w:sz="8" w:color="CCEEFF"/>
            </w:tcBorders>
          </w:tcPr>
          <w:p>
            <w:pPr>
              <w:spacing w:after="0"/>
              <w:rPr>
                <w:sz w:val="10"/>
                <w:szCs w:val="10"/>
                <w:color w:val="auto"/>
              </w:rPr>
            </w:pPr>
          </w:p>
        </w:tc>
        <w:tc>
          <w:tcPr>
            <w:tcW w:w="2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June 30, 2021</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226.9</w:t>
            </w:r>
          </w:p>
        </w:tc>
        <w:tc>
          <w:tcPr>
            <w:tcW w:w="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7,897</w:t>
            </w:r>
          </w:p>
        </w:tc>
        <w:tc>
          <w:tcPr>
            <w:tcW w:w="10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(37.9)</w:t>
            </w:r>
          </w:p>
        </w:tc>
        <w:tc>
          <w:tcPr>
            <w:tcW w:w="8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(1,009)</w:t>
            </w:r>
          </w:p>
        </w:tc>
        <w:tc>
          <w:tcPr>
            <w:tcW w:w="10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3,780</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(376)</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10,327</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dividends ($0.12 dividend per share)</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color w:val="auto"/>
              </w:rPr>
              <w:t>Proceeds from treasury stock issued from the exercise of</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 options and other benefit plans, net of tax</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2"/>
                <w:szCs w:val="12"/>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loss, net of tax</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 repurchase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(199)</w:t>
            </w:r>
          </w:p>
        </w:tc>
        <w:tc>
          <w:tcPr>
            <w:tcW w:w="0" w:type="dxa"/>
            <w:vAlign w:val="bottom"/>
          </w:tcPr>
          <w:p>
            <w:pPr>
              <w:spacing w:after="0"/>
              <w:rPr>
                <w:sz w:val="1"/>
                <w:szCs w:val="1"/>
                <w:color w:val="auto"/>
              </w:rPr>
            </w:pPr>
          </w:p>
        </w:tc>
      </w:tr>
      <w:tr>
        <w:trPr>
          <w:trHeight w:val="158"/>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September 30, 2021</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226.9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7,906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3,888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2022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BUSINESS</w:t>
      </w:r>
    </w:p>
    <w:p>
      <w:pPr>
        <w:spacing w:after="0" w:line="96"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4"/>
          <w:szCs w:val="14"/>
          <w:color w:val="auto"/>
        </w:rPr>
        <w:t>Westinghouse Air Brake Technologies Corporation (“Wabtec” or the "Company") is one of the world’s largest providers of value-added, technology-based locomotives, equipment, systems, and services for the global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nine months of 2022, approximately 55% of the Company’s net sales came from customers outside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ACCOUNTING POLICIES</w:t>
      </w:r>
    </w:p>
    <w:p>
      <w:pPr>
        <w:spacing w:after="0" w:line="83" w:lineRule="exact"/>
        <w:rPr>
          <w:sz w:val="20"/>
          <w:szCs w:val="20"/>
          <w:color w:val="auto"/>
        </w:rPr>
      </w:pPr>
    </w:p>
    <w:p>
      <w:pPr>
        <w:ind w:right="20" w:firstLine="382"/>
        <w:spacing w:after="0" w:line="246" w:lineRule="auto"/>
        <w:rPr>
          <w:sz w:val="20"/>
          <w:szCs w:val="20"/>
          <w:color w:val="auto"/>
        </w:rPr>
      </w:pPr>
      <w:r>
        <w:rPr>
          <w:rFonts w:ascii="Times New Roman" w:cs="Times New Roman" w:eastAsia="Times New Roman" w:hAnsi="Times New Roman"/>
          <w:sz w:val="14"/>
          <w:szCs w:val="14"/>
          <w:b w:val="1"/>
          <w:bCs w:val="1"/>
          <w:i w:val="1"/>
          <w:iCs w:val="1"/>
          <w:color w:val="auto"/>
        </w:rPr>
        <w:t xml:space="preserve">Basis of Presentation </w:t>
      </w:r>
      <w:r>
        <w:rPr>
          <w:rFonts w:ascii="Times New Roman" w:cs="Times New Roman" w:eastAsia="Times New Roman" w:hAnsi="Times New Roman"/>
          <w:sz w:val="14"/>
          <w:szCs w:val="14"/>
          <w:color w:val="auto"/>
        </w:rPr>
        <w:t>The unaudited condensed consolidated interim financial statements have been prepared in accordance with generally accepted accounting principles ("GAAP")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w:t>
      </w:r>
    </w:p>
    <w:p>
      <w:pPr>
        <w:spacing w:after="0" w:line="58" w:lineRule="exact"/>
        <w:rPr>
          <w:sz w:val="20"/>
          <w:szCs w:val="20"/>
          <w:color w:val="auto"/>
        </w:rPr>
      </w:pPr>
    </w:p>
    <w:p>
      <w:pPr>
        <w:ind w:firstLine="382"/>
        <w:spacing w:after="0" w:line="243" w:lineRule="auto"/>
        <w:rPr>
          <w:sz w:val="20"/>
          <w:szCs w:val="20"/>
          <w:color w:val="auto"/>
        </w:rPr>
      </w:pPr>
      <w:r>
        <w:rPr>
          <w:rFonts w:ascii="Times New Roman" w:cs="Times New Roman" w:eastAsia="Times New Roman" w:hAnsi="Times New Roman"/>
          <w:sz w:val="14"/>
          <w:szCs w:val="14"/>
          <w:color w:val="auto"/>
        </w:rPr>
        <w:t>Results for these interim periods are not necessarily indicative of results to be expected for the full year particularly in light of the ongoing COVID-19 pandemic, supply chain disruptions, labor availability, broad-based inflation, and the impacts resulting from Russia's invasion of Ukraine.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may have on our business, global supply chain operations and our customers, suppliers, and end-markets.</w:t>
      </w:r>
    </w:p>
    <w:p>
      <w:pPr>
        <w:spacing w:after="0" w:line="59" w:lineRule="exact"/>
        <w:rPr>
          <w:sz w:val="20"/>
          <w:szCs w:val="20"/>
          <w:color w:val="auto"/>
        </w:rPr>
      </w:pPr>
    </w:p>
    <w:p>
      <w:pPr>
        <w:jc w:val="both"/>
        <w:ind w:right="40" w:firstLine="382"/>
        <w:spacing w:after="0" w:line="254" w:lineRule="auto"/>
        <w:rPr>
          <w:sz w:val="20"/>
          <w:szCs w:val="20"/>
          <w:color w:val="auto"/>
        </w:rPr>
      </w:pPr>
      <w:r>
        <w:rPr>
          <w:rFonts w:ascii="Times New Roman" w:cs="Times New Roman" w:eastAsia="Times New Roman" w:hAnsi="Times New Roman"/>
          <w:sz w:val="14"/>
          <w:szCs w:val="14"/>
          <w:color w:val="auto"/>
        </w:rPr>
        <w:t>For the year ended December 31, 2021, Wabtec had earnings of approximately $40 million attributable to customers in Russia, while earnings from customers in Ukraine and Belarus were not significant. As of September 30, 2022, Wabtec had approximately $16 million of assets related to Russian operations, which were primarily cash and inventory. Assets related to Ukraine and Belarus operations are not significant.</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operates on a four-four-five week accounting quarter, and the quarters end on or about March 31, June 30, September 30, and December 31.</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notes included herein should be read in conjunction with the audited consolidated financial statements included in Wabtec’s Annual Report on Form 10-K for the year ended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2021. The December 31, 2021 information has been derived from the Company’s Annual Report on Form 10-K for the year ended December 31, 2021.</w:t>
      </w:r>
    </w:p>
    <w:p>
      <w:pPr>
        <w:spacing w:after="0" w:line="77" w:lineRule="exact"/>
        <w:rPr>
          <w:sz w:val="20"/>
          <w:szCs w:val="20"/>
          <w:color w:val="auto"/>
        </w:rPr>
      </w:pPr>
    </w:p>
    <w:p>
      <w:pPr>
        <w:ind w:right="4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Use of Estimates </w:t>
      </w:r>
      <w:r>
        <w:rPr>
          <w:rFonts w:ascii="Times New Roman" w:cs="Times New Roman" w:eastAsia="Times New Roman" w:hAnsi="Times New Roman"/>
          <w:sz w:val="14"/>
          <w:szCs w:val="14"/>
          <w:color w:val="auto"/>
        </w:rPr>
        <w:t>The preparation of financial statements in conformity with GAAP in the United States requires the Company to make estimates and assumptions that affect the reported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49" w:lineRule="exact"/>
        <w:rPr>
          <w:sz w:val="20"/>
          <w:szCs w:val="20"/>
          <w:color w:val="auto"/>
        </w:rPr>
      </w:pPr>
    </w:p>
    <w:p>
      <w:pPr>
        <w:ind w:right="8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Recognition </w:t>
      </w:r>
      <w:r>
        <w:rPr>
          <w:rFonts w:ascii="Times New Roman" w:cs="Times New Roman" w:eastAsia="Times New Roman" w:hAnsi="Times New Roman"/>
          <w:sz w:val="14"/>
          <w:szCs w:val="14"/>
          <w:color w:val="auto"/>
        </w:rPr>
        <w:t>A majority of the Company’s revenues are derived from performance obligations that are satisfied at a point in time when control passes to the customer. The remaining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revenues are earned over time. Generally, for performance obligations satisfied at a point in time control passes at the time of shipment in accordance with agreed upon delivery terms.</w:t>
      </w:r>
    </w:p>
    <w:p>
      <w:pPr>
        <w:spacing w:after="0" w:line="37" w:lineRule="exact"/>
        <w:rPr>
          <w:sz w:val="20"/>
          <w:szCs w:val="20"/>
          <w:color w:val="auto"/>
        </w:rPr>
      </w:pPr>
    </w:p>
    <w:p>
      <w:pPr>
        <w:ind w:right="20" w:firstLine="382"/>
        <w:spacing w:after="0" w:line="260" w:lineRule="auto"/>
        <w:rPr>
          <w:sz w:val="20"/>
          <w:szCs w:val="20"/>
          <w:color w:val="auto"/>
        </w:rPr>
      </w:pPr>
      <w:r>
        <w:rPr>
          <w:rFonts w:ascii="Times New Roman" w:cs="Times New Roman" w:eastAsia="Times New Roman" w:hAnsi="Times New Roman"/>
          <w:sz w:val="14"/>
          <w:szCs w:val="14"/>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revenues and cost estimates are reviewed and revised periodically throughout the year and adjustments are reflected in the accounting period as such amounts are determined.</w:t>
      </w:r>
    </w:p>
    <w:p>
      <w:pPr>
        <w:spacing w:after="0" w:line="94"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61"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58"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Remaining performance obligations represent the transaction price of firm customer orders subject to standard industry cancellation provisions and substantial scope-of-work adjustments. As of September 30, 2022, the Company's remaining performance obligations were approximately $22.2 billion. The Company expects to recognize revenue of approximately 25% of the remaining performance obligations over the next 12 months, with the remainder recognized thereafter.</w:t>
      </w:r>
    </w:p>
    <w:p>
      <w:pPr>
        <w:spacing w:after="0" w:line="49"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Revolving Receivables Program </w:t>
      </w:r>
      <w:r>
        <w:rPr>
          <w:rFonts w:ascii="Times New Roman" w:cs="Times New Roman" w:eastAsia="Times New Roman" w:hAnsi="Times New Roman"/>
          <w:sz w:val="14"/>
          <w:szCs w:val="14"/>
          <w:color w:val="auto"/>
        </w:rPr>
        <w:t>The Company utilizes a revolving facility to sell certain receivables of the Company and certain of its subsidiaries (the "Originators"). The Originators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contribute receivables to our bankruptcy-remote subsidiary, which sells the receivables to a financial institution on a recurring basis in exchange for cash equal to the gross receivables sold. During the third quarter of 2022, the Company amended its revolving receivables facility to increase the amount of certain receivables that can be sold to such financial institution from $200 million to up to $350 million. The bankruptcy remote subsidiary is a separate legal entity with its own creditors, and its assets are not available to pay creditors of the Company or any other affiliates of the Company. As customers pay their balances, we transfer additional receivables into the program, which results in our gross receivables sold exceeding collections reinvested for any applicable period. The sold receivables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At September 30, 2022 and 2021 the bankruptcy-remote subsidiary held receivables of $634 million and $285 million, respectively. The transfers are recorded at the fair value of the proceeds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received and obligations assumed less derecognized receivables. No obligation was recorded at September 30, 2022 or 2021 as the estimated expected credit losses on receivables sold is insignificant.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maximum exposure to losses related to these receivables transferred is limited to the amount outstanding.</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a summary of receivables sold: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80" w:type="dxa"/>
            <w:vAlign w:val="bottom"/>
          </w:tcPr>
          <w:p>
            <w:pPr>
              <w:spacing w:after="0"/>
              <w:rPr>
                <w:sz w:val="11"/>
                <w:szCs w:val="11"/>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80" w:type="dxa"/>
            <w:vAlign w:val="bottom"/>
          </w:tcPr>
          <w:p>
            <w:pPr>
              <w:spacing w:after="0"/>
              <w:rPr>
                <w:sz w:val="11"/>
                <w:szCs w:val="11"/>
                <w:color w:val="auto"/>
              </w:rPr>
            </w:pPr>
          </w:p>
        </w:tc>
        <w:tc>
          <w:tcPr>
            <w:tcW w:w="1340" w:type="dxa"/>
            <w:vAlign w:val="bottom"/>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1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gridSpan w:val="2"/>
          </w:tcPr>
          <w:p>
            <w:pPr>
              <w:ind w:left="120"/>
              <w:spacing w:after="0" w:line="95" w:lineRule="exact"/>
              <w:rPr>
                <w:sz w:val="20"/>
                <w:szCs w:val="20"/>
                <w:color w:val="auto"/>
              </w:rPr>
            </w:pPr>
            <w:r>
              <w:rPr>
                <w:rFonts w:ascii="Times New Roman" w:cs="Times New Roman" w:eastAsia="Times New Roman" w:hAnsi="Times New Roman"/>
                <w:sz w:val="10"/>
                <w:szCs w:val="10"/>
                <w:b w:val="1"/>
                <w:bCs w:val="1"/>
                <w:color w:val="auto"/>
              </w:rPr>
              <w:t>September 30, 2022</w:t>
            </w:r>
          </w:p>
        </w:tc>
        <w:tc>
          <w:tcPr>
            <w:tcW w:w="180" w:type="dxa"/>
            <w:vAlign w:val="bottom"/>
          </w:tcPr>
          <w:p>
            <w:pPr>
              <w:spacing w:after="0"/>
              <w:rPr>
                <w:sz w:val="9"/>
                <w:szCs w:val="9"/>
                <w:color w:val="auto"/>
              </w:rPr>
            </w:pPr>
          </w:p>
        </w:tc>
        <w:tc>
          <w:tcPr>
            <w:tcW w:w="1340" w:type="dxa"/>
            <w:vAlign w:val="bottom"/>
          </w:tcPr>
          <w:p>
            <w:pPr>
              <w:jc w:val="right"/>
              <w:ind w:right="216"/>
              <w:spacing w:after="0" w:line="95" w:lineRule="exact"/>
              <w:rPr>
                <w:sz w:val="20"/>
                <w:szCs w:val="20"/>
                <w:color w:val="auto"/>
              </w:rPr>
            </w:pPr>
            <w:r>
              <w:rPr>
                <w:rFonts w:ascii="Times New Roman" w:cs="Times New Roman" w:eastAsia="Times New Roman" w:hAnsi="Times New Roman"/>
                <w:sz w:val="10"/>
                <w:szCs w:val="10"/>
                <w:b w:val="1"/>
                <w:bCs w:val="1"/>
                <w:color w:val="auto"/>
              </w:rPr>
              <w:t>September 30, 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receivables sold/cash proceeds received</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Collections reinvested under revolving receivables agreement</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proceeds received</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48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Depreciation Expense </w:t>
      </w:r>
      <w:r>
        <w:rPr>
          <w:rFonts w:ascii="Times New Roman" w:cs="Times New Roman" w:eastAsia="Times New Roman" w:hAnsi="Times New Roman"/>
          <w:sz w:val="14"/>
          <w:szCs w:val="14"/>
          <w:color w:val="auto"/>
        </w:rPr>
        <w:t>Depreciation of property, plant and equipment related to the manufacturing of products or services provided is included in Cost of goods or Cost of services.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Depreciation of other property, plant and equipment that is not attributable to the manufacturing of products or services provided is included in Selling, general and administrative expenses or Engineering expenses depending on how the property, plant and equipment is used.</w:t>
      </w:r>
    </w:p>
    <w:p>
      <w:pPr>
        <w:spacing w:after="0" w:line="49" w:lineRule="exact"/>
        <w:rPr>
          <w:sz w:val="20"/>
          <w:szCs w:val="20"/>
          <w:color w:val="auto"/>
        </w:rPr>
      </w:pPr>
    </w:p>
    <w:p>
      <w:pPr>
        <w:ind w:right="18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Goodwill and Intangible Assets </w:t>
      </w:r>
      <w:r>
        <w:rPr>
          <w:rFonts w:ascii="Times New Roman" w:cs="Times New Roman" w:eastAsia="Times New Roman" w:hAnsi="Times New Roman"/>
          <w:sz w:val="14"/>
          <w:szCs w:val="14"/>
          <w:color w:val="auto"/>
        </w:rPr>
        <w:t>Goodwill and other intangible assets with indefinite lives are not amortized. Other intangibles (with definite lives) are amortized on a straight-line basis over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their estimated economic lives. Amortizable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0" w:name="page11"/>
    <w:bookmarkEnd w:id="10"/>
    <w:p>
      <w:pPr>
        <w:ind w:right="80"/>
        <w:spacing w:after="0" w:line="264" w:lineRule="auto"/>
        <w:rPr>
          <w:sz w:val="20"/>
          <w:szCs w:val="20"/>
          <w:color w:val="auto"/>
        </w:rPr>
      </w:pPr>
      <w:r>
        <w:rPr>
          <w:rFonts w:ascii="Times New Roman" w:cs="Times New Roman" w:eastAsia="Times New Roman" w:hAnsi="Times New Roman"/>
          <w:sz w:val="14"/>
          <w:szCs w:val="14"/>
          <w:color w:val="auto"/>
        </w:rPr>
        <w:t>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the carrying value may not be recoverable. Periodically, management of the Company assesses whether or not an indicator of impairment is present that would necessitate an impairment analysis to be performed.</w:t>
      </w:r>
    </w:p>
    <w:p>
      <w:pPr>
        <w:spacing w:after="0" w:line="54" w:lineRule="exact"/>
        <w:rPr>
          <w:sz w:val="20"/>
          <w:szCs w:val="20"/>
          <w:color w:val="auto"/>
        </w:rPr>
      </w:pPr>
    </w:p>
    <w:p>
      <w:pPr>
        <w:ind w:firstLine="382"/>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Accounting Standards Recently Issued </w:t>
      </w:r>
      <w:r>
        <w:rPr>
          <w:rFonts w:ascii="Times New Roman" w:cs="Times New Roman" w:eastAsia="Times New Roman" w:hAnsi="Times New Roman"/>
          <w:sz w:val="14"/>
          <w:szCs w:val="14"/>
          <w:color w:val="auto"/>
        </w:rPr>
        <w:t>In September 2022, the Financial Accounting Standards Board ("FASB") issued Accounting Standards Update ("ASU") 2022-04,</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Liabilities - Supplier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 xml:space="preserve">Finance Programs (Subtopic 405-50): Disclosure of Supplier Finance Obligations. </w:t>
      </w:r>
      <w:r>
        <w:rPr>
          <w:rFonts w:ascii="Times New Roman" w:cs="Times New Roman" w:eastAsia="Times New Roman" w:hAnsi="Times New Roman"/>
          <w:sz w:val="14"/>
          <w:szCs w:val="14"/>
          <w:color w:val="auto"/>
        </w:rPr>
        <w:t>The amendments in this update outline specific quantitative and qualitative disclosure requirements for entities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use supplier finance programs in connection with the purchase of goods or services. The amendments in this update do not affect the recognition, measurement, or financial statement presentation of obligations covered by supplier finance programs. The amendments in this update will be effective for Wabtec's reporting periods beginning January 1, 2023 and will require increased interim and annual disclosures be provided on current and comparable reporting periods presented in annual and interim company filings.</w:t>
      </w:r>
    </w:p>
    <w:p>
      <w:pPr>
        <w:spacing w:after="0" w:line="55" w:lineRule="exact"/>
        <w:rPr>
          <w:sz w:val="20"/>
          <w:szCs w:val="20"/>
          <w:color w:val="auto"/>
        </w:rPr>
      </w:pPr>
    </w:p>
    <w:p>
      <w:pPr>
        <w:ind w:right="120" w:firstLine="382"/>
        <w:spacing w:after="0" w:line="265" w:lineRule="auto"/>
        <w:rPr>
          <w:sz w:val="20"/>
          <w:szCs w:val="20"/>
          <w:color w:val="auto"/>
        </w:rPr>
      </w:pPr>
      <w:r>
        <w:rPr>
          <w:rFonts w:ascii="Times New Roman" w:cs="Times New Roman" w:eastAsia="Times New Roman" w:hAnsi="Times New Roman"/>
          <w:sz w:val="14"/>
          <w:szCs w:val="14"/>
          <w:color w:val="auto"/>
        </w:rPr>
        <w:t xml:space="preserve">In October 2021, the FASB issued ASU 2021-08, </w:t>
      </w:r>
      <w:r>
        <w:rPr>
          <w:rFonts w:ascii="Times New Roman" w:cs="Times New Roman" w:eastAsia="Times New Roman" w:hAnsi="Times New Roman"/>
          <w:sz w:val="14"/>
          <w:szCs w:val="14"/>
          <w:i w:val="1"/>
          <w:iCs w:val="1"/>
          <w:color w:val="auto"/>
        </w:rPr>
        <w:t>Business Combinations (Topic 805): Accounting for Contract Assets and Contract Liabilities from Contracts with Customers.</w:t>
      </w:r>
      <w:r>
        <w:rPr>
          <w:rFonts w:ascii="Times New Roman" w:cs="Times New Roman" w:eastAsia="Times New Roman" w:hAnsi="Times New Roman"/>
          <w:sz w:val="14"/>
          <w:szCs w:val="14"/>
          <w:color w:val="auto"/>
        </w:rPr>
        <w:t xml:space="preserve"> The amendments in this update provide specific guidance on how to recognize and measure acquired contract assets and contract liabilities from revenue contracts in a business combination and address how to determine whether a contract liability is recognized by the acquirer in a business combination. The amendments in this update will be effective for Wabtec on January 1, 2023 and will be applied prospectively to business combinations occurring on or after the effective date.</w:t>
      </w:r>
    </w:p>
    <w:p>
      <w:pPr>
        <w:spacing w:after="0" w:line="53" w:lineRule="exact"/>
        <w:rPr>
          <w:sz w:val="20"/>
          <w:szCs w:val="20"/>
          <w:color w:val="auto"/>
        </w:rPr>
      </w:pPr>
    </w:p>
    <w:p>
      <w:pPr>
        <w:ind w:right="60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Accumulated Other Comprehensive Loss </w:t>
      </w:r>
      <w:r>
        <w:rPr>
          <w:rFonts w:ascii="Times New Roman" w:cs="Times New Roman" w:eastAsia="Times New Roman" w:hAnsi="Times New Roman"/>
          <w:sz w:val="14"/>
          <w:szCs w:val="14"/>
          <w:color w:val="auto"/>
        </w:rPr>
        <w:t>Comprehensive income (loss) comprises both net income and Other comprehensive (loss) income resulting from the change in equity from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transactions and other events and circumstances from non-owner sources.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changes in Accumulated other comprehensive loss by component, including any tax impacts, for the three months ended September 30, 2022 and 2021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Foreign currency translation</w:t>
            </w:r>
          </w:p>
        </w:tc>
        <w:tc>
          <w:tcPr>
            <w:tcW w:w="200" w:type="dxa"/>
            <w:vAlign w:val="bottom"/>
          </w:tcPr>
          <w:p>
            <w:pPr>
              <w:spacing w:after="0"/>
              <w:rPr>
                <w:sz w:val="11"/>
                <w:szCs w:val="11"/>
                <w:color w:val="auto"/>
              </w:rPr>
            </w:pPr>
          </w:p>
        </w:tc>
        <w:tc>
          <w:tcPr>
            <w:tcW w:w="15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Derivative contracts</w:t>
            </w:r>
          </w:p>
        </w:tc>
        <w:tc>
          <w:tcPr>
            <w:tcW w:w="120" w:type="dxa"/>
            <w:vAlign w:val="bottom"/>
          </w:tcPr>
          <w:p>
            <w:pPr>
              <w:spacing w:after="0"/>
              <w:rPr>
                <w:sz w:val="11"/>
                <w:szCs w:val="11"/>
                <w:color w:val="auto"/>
              </w:rPr>
            </w:pPr>
          </w:p>
        </w:tc>
        <w:tc>
          <w:tcPr>
            <w:tcW w:w="160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Pension and postretirement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benefit plans</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38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35"/>
              <w:spacing w:after="0" w:line="116"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33"/>
              <w:spacing w:after="0" w:line="116"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35"/>
              <w:spacing w:after="0" w:line="116"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33"/>
              <w:spacing w:after="0" w:line="116"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16"/>
              <w:spacing w:after="0" w:line="116"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33"/>
              <w:spacing w:after="0" w:line="116"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35"/>
              <w:spacing w:after="0" w:line="116" w:lineRule="exact"/>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33"/>
              <w:spacing w:after="0" w:line="116" w:lineRule="exact"/>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7"/>
              </w:rPr>
              <w:t>(2)</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comprehensive (loss) income, net</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7"/>
              </w:rPr>
              <w:t>(2)</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changes in Accumulated other comprehensive loss by component, including any tax impacts, for the nine months ended September 30, 2022 and 2021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Foreign currency translation</w:t>
            </w:r>
          </w:p>
        </w:tc>
        <w:tc>
          <w:tcPr>
            <w:tcW w:w="180" w:type="dxa"/>
            <w:vAlign w:val="bottom"/>
          </w:tcPr>
          <w:p>
            <w:pPr>
              <w:spacing w:after="0"/>
              <w:rPr>
                <w:sz w:val="11"/>
                <w:szCs w:val="11"/>
                <w:color w:val="auto"/>
              </w:rPr>
            </w:pPr>
          </w:p>
        </w:tc>
        <w:tc>
          <w:tcPr>
            <w:tcW w:w="15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Derivative contracts</w:t>
            </w:r>
          </w:p>
        </w:tc>
        <w:tc>
          <w:tcPr>
            <w:tcW w:w="120" w:type="dxa"/>
            <w:vAlign w:val="bottom"/>
          </w:tcPr>
          <w:p>
            <w:pPr>
              <w:spacing w:after="0"/>
              <w:rPr>
                <w:sz w:val="11"/>
                <w:szCs w:val="11"/>
                <w:color w:val="auto"/>
              </w:rPr>
            </w:pPr>
          </w:p>
        </w:tc>
        <w:tc>
          <w:tcPr>
            <w:tcW w:w="162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Pension and postretirement</w:t>
            </w:r>
          </w:p>
        </w:tc>
        <w:tc>
          <w:tcPr>
            <w:tcW w:w="180" w:type="dxa"/>
            <w:vAlign w:val="bottom"/>
          </w:tcPr>
          <w:p>
            <w:pPr>
              <w:spacing w:after="0"/>
              <w:rPr>
                <w:sz w:val="11"/>
                <w:szCs w:val="11"/>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benefit plans</w:t>
            </w:r>
          </w:p>
        </w:tc>
        <w:tc>
          <w:tcPr>
            <w:tcW w:w="1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2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213"/>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32"/>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33"/>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52"/>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215"/>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32"/>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33"/>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52"/>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loss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comprehensive (loss) income, net</w:t>
            </w: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2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loss are recognized in "Other income, net" with the tax impact recognized in "Income tax expense."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3. ACQUISITIONS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Nordco</w:t>
      </w:r>
    </w:p>
    <w:p>
      <w:pPr>
        <w:spacing w:after="0" w:line="96" w:lineRule="exact"/>
        <w:rPr>
          <w:sz w:val="20"/>
          <w:szCs w:val="20"/>
          <w:color w:val="auto"/>
        </w:rPr>
      </w:pPr>
    </w:p>
    <w:p>
      <w:pPr>
        <w:ind w:right="380" w:firstLine="382"/>
        <w:spacing w:after="0" w:line="287" w:lineRule="auto"/>
        <w:rPr>
          <w:sz w:val="20"/>
          <w:szCs w:val="20"/>
          <w:color w:val="auto"/>
        </w:rPr>
      </w:pPr>
      <w:r>
        <w:rPr>
          <w:rFonts w:ascii="Times New Roman" w:cs="Times New Roman" w:eastAsia="Times New Roman" w:hAnsi="Times New Roman"/>
          <w:sz w:val="14"/>
          <w:szCs w:val="14"/>
          <w:color w:val="auto"/>
        </w:rPr>
        <w:t>On March 31, 2021, the Company acquired Nordco, a leading North American supplier of new, rebuilt and used maintenance of way equipment. Nordco's products and services portfolio includes mobile railcar movers and ultrasonic rail flaw detection technologies. The purchase price paid for 100% ownership of Nordco was approximately $410 million.</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fair value of the Nordco assets acquired and liabilities assumed: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 acquired</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Accounts receivable</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Inventory</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current assets</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Goodwill</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intangible assets</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noncurrent assets</w:t>
            </w:r>
          </w:p>
        </w:tc>
        <w:tc>
          <w:tcPr>
            <w:tcW w:w="6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20" w:type="dxa"/>
            <w:vAlign w:val="bottom"/>
          </w:tcPr>
          <w:p>
            <w:pPr>
              <w:spacing w:after="0"/>
              <w:rPr>
                <w:sz w:val="14"/>
                <w:szCs w:val="14"/>
                <w:color w:val="auto"/>
              </w:rPr>
            </w:pPr>
          </w:p>
        </w:tc>
        <w:tc>
          <w:tcPr>
            <w:tcW w:w="9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assets acquired</w:t>
            </w:r>
          </w:p>
        </w:tc>
        <w:tc>
          <w:tcPr>
            <w:tcW w:w="6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assumed</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Current liabilities</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Noncurrent liabilities</w:t>
            </w:r>
          </w:p>
        </w:tc>
        <w:tc>
          <w:tcPr>
            <w:tcW w:w="6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1"/>
        </w:trPr>
        <w:tc>
          <w:tcPr>
            <w:tcW w:w="20" w:type="dxa"/>
            <w:vAlign w:val="bottom"/>
            <w:tcBorders>
              <w:bottom w:val="single" w:sz="8" w:color="CCEEFF"/>
            </w:tcBorders>
          </w:tcPr>
          <w:p>
            <w:pPr>
              <w:spacing w:after="0"/>
              <w:rPr>
                <w:sz w:val="14"/>
                <w:szCs w:val="14"/>
                <w:color w:val="auto"/>
              </w:rPr>
            </w:pPr>
          </w:p>
        </w:tc>
        <w:tc>
          <w:tcPr>
            <w:tcW w:w="97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97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assets acquired</w:t>
            </w: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382"/>
        <w:spacing w:after="0" w:line="264" w:lineRule="auto"/>
        <w:rPr>
          <w:sz w:val="20"/>
          <w:szCs w:val="20"/>
          <w:color w:val="auto"/>
        </w:rPr>
      </w:pPr>
      <w:r>
        <w:rPr>
          <w:rFonts w:ascii="Times New Roman" w:cs="Times New Roman" w:eastAsia="Times New Roman" w:hAnsi="Times New Roman"/>
          <w:sz w:val="14"/>
          <w:szCs w:val="14"/>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 Contingent liabilities assumed as part of the transaction were not material.</w:t>
      </w:r>
    </w:p>
    <w:p>
      <w:pPr>
        <w:spacing w:after="0" w:line="56" w:lineRule="exact"/>
        <w:rPr>
          <w:sz w:val="20"/>
          <w:szCs w:val="20"/>
          <w:color w:val="auto"/>
        </w:rPr>
      </w:pPr>
    </w:p>
    <w:p>
      <w:pPr>
        <w:ind w:right="320" w:firstLine="382"/>
        <w:spacing w:after="0" w:line="264" w:lineRule="auto"/>
        <w:rPr>
          <w:sz w:val="20"/>
          <w:szCs w:val="20"/>
          <w:color w:val="auto"/>
        </w:rPr>
      </w:pPr>
      <w:r>
        <w:rPr>
          <w:rFonts w:ascii="Times New Roman" w:cs="Times New Roman" w:eastAsia="Times New Roman" w:hAnsi="Times New Roman"/>
          <w:sz w:val="14"/>
          <w:szCs w:val="14"/>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are reported within the Services product line of the Freight Segment. The pro forma impact on Wabtec’s sales and results of operations, including the pro forma effect of events that are directly attributable to the acquisition, was not significant.</w:t>
      </w:r>
    </w:p>
    <w:p>
      <w:pPr>
        <w:spacing w:after="0" w:line="56" w:lineRule="exact"/>
        <w:rPr>
          <w:sz w:val="20"/>
          <w:szCs w:val="20"/>
          <w:color w:val="auto"/>
        </w:rPr>
      </w:pPr>
    </w:p>
    <w:p>
      <w:pPr>
        <w:ind w:right="520" w:firstLine="382"/>
        <w:spacing w:after="0" w:line="287" w:lineRule="auto"/>
        <w:rPr>
          <w:sz w:val="20"/>
          <w:szCs w:val="20"/>
          <w:color w:val="auto"/>
        </w:rPr>
      </w:pPr>
      <w:r>
        <w:rPr>
          <w:rFonts w:ascii="Times New Roman" w:cs="Times New Roman" w:eastAsia="Times New Roman" w:hAnsi="Times New Roman"/>
          <w:sz w:val="14"/>
          <w:szCs w:val="14"/>
          <w:color w:val="auto"/>
        </w:rPr>
        <w:t>During the second quarter of 2022 the Company made two strategic acquisitions for a combined purchase price of $69 million within the Digital Electronics product line of the Freight Segment which are individually and collectively immaterial. The Company also made acquisitions in prior periods not listed above which are individually and collectively immaterial.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INVENTORIES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inventory, net of reserves, were: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468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40" w:type="dxa"/>
            <w:vAlign w:val="bottom"/>
            <w:gridSpan w:val="2"/>
            <w:vMerge w:val="continue"/>
          </w:tcPr>
          <w:p>
            <w:pPr>
              <w:spacing w:after="0"/>
              <w:rPr>
                <w:sz w:val="10"/>
                <w:szCs w:val="10"/>
                <w:color w:val="auto"/>
              </w:rPr>
            </w:pPr>
          </w:p>
        </w:tc>
        <w:tc>
          <w:tcPr>
            <w:tcW w:w="5800" w:type="dxa"/>
            <w:vAlign w:val="bottom"/>
            <w:gridSpan w:val="2"/>
          </w:tcPr>
          <w:p>
            <w:pPr>
              <w:jc w:val="right"/>
              <w:ind w:right="194"/>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right"/>
              <w:ind w:right="574"/>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46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Work-in-progress</w:t>
            </w:r>
          </w:p>
        </w:tc>
        <w:tc>
          <w:tcPr>
            <w:tcW w:w="4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46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inventories</w:t>
            </w:r>
          </w:p>
        </w:tc>
        <w:tc>
          <w:tcPr>
            <w:tcW w:w="4680" w:type="dxa"/>
            <w:vAlign w:val="bottom"/>
          </w:tcPr>
          <w:p>
            <w:pPr>
              <w:spacing w:after="0"/>
              <w:rPr>
                <w:sz w:val="14"/>
                <w:szCs w:val="14"/>
                <w:color w:val="auto"/>
              </w:rPr>
            </w:pPr>
          </w:p>
        </w:tc>
        <w:tc>
          <w:tcPr>
            <w:tcW w:w="112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80" w:type="dxa"/>
            <w:vAlign w:val="bottom"/>
            <w:vMerge w:val="restart"/>
          </w:tcPr>
          <w:p>
            <w:pPr>
              <w:jc w:val="right"/>
              <w:ind w:right="2356"/>
              <w:spacing w:after="0"/>
              <w:rPr>
                <w:sz w:val="20"/>
                <w:szCs w:val="20"/>
                <w:color w:val="auto"/>
              </w:rPr>
            </w:pPr>
            <w:r>
              <w:rPr>
                <w:rFonts w:ascii="Times New Roman" w:cs="Times New Roman" w:eastAsia="Times New Roman" w:hAnsi="Times New Roman"/>
                <w:sz w:val="14"/>
                <w:szCs w:val="14"/>
                <w:color w:val="auto"/>
              </w:rPr>
              <w:t>12</w:t>
            </w: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920" w:type="dxa"/>
            <w:vAlign w:val="bottom"/>
            <w:tcBorders>
              <w:bottom w:val="single" w:sz="8" w:color="9A9A9A"/>
            </w:tcBorders>
          </w:tcPr>
          <w:p>
            <w:pPr>
              <w:spacing w:after="0"/>
              <w:rPr>
                <w:sz w:val="7"/>
                <w:szCs w:val="7"/>
                <w:color w:val="auto"/>
              </w:rPr>
            </w:pPr>
          </w:p>
        </w:tc>
        <w:tc>
          <w:tcPr>
            <w:tcW w:w="46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5. GOODWILL AND INTANGIBLE ASSETS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 in the carrying amount of goodwill by segment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40" w:type="dxa"/>
            <w:vAlign w:val="bottom"/>
          </w:tcPr>
          <w:p>
            <w:pPr>
              <w:spacing w:after="0"/>
              <w:rPr>
                <w:sz w:val="11"/>
                <w:szCs w:val="11"/>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Freight Segment</w:t>
            </w:r>
          </w:p>
        </w:tc>
        <w:tc>
          <w:tcPr>
            <w:tcW w:w="220" w:type="dxa"/>
            <w:vAlign w:val="bottom"/>
          </w:tcPr>
          <w:p>
            <w:pPr>
              <w:spacing w:after="0"/>
              <w:rPr>
                <w:sz w:val="11"/>
                <w:szCs w:val="11"/>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Transit Segment</w:t>
            </w:r>
          </w:p>
        </w:tc>
        <w:tc>
          <w:tcPr>
            <w:tcW w:w="360" w:type="dxa"/>
            <w:vAlign w:val="bottom"/>
          </w:tcPr>
          <w:p>
            <w:pPr>
              <w:spacing w:after="0"/>
              <w:rPr>
                <w:sz w:val="11"/>
                <w:szCs w:val="11"/>
                <w:color w:val="auto"/>
              </w:rPr>
            </w:pPr>
          </w:p>
        </w:tc>
        <w:tc>
          <w:tcPr>
            <w:tcW w:w="116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8,587</w:t>
            </w:r>
          </w:p>
        </w:tc>
      </w:tr>
      <w:tr>
        <w:trPr>
          <w:trHeight w:val="180"/>
        </w:trPr>
        <w:tc>
          <w:tcPr>
            <w:tcW w:w="20" w:type="dxa"/>
            <w:vAlign w:val="bottom"/>
          </w:tcPr>
          <w:p>
            <w:pPr>
              <w:spacing w:after="0"/>
              <w:rPr>
                <w:sz w:val="15"/>
                <w:szCs w:val="15"/>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Additions/adjustments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impact</w:t>
            </w: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71"/>
        </w:trPr>
        <w:tc>
          <w:tcPr>
            <w:tcW w:w="20" w:type="dxa"/>
            <w:vAlign w:val="bottom"/>
          </w:tcPr>
          <w:p>
            <w:pPr>
              <w:spacing w:after="0"/>
              <w:rPr>
                <w:sz w:val="14"/>
                <w:szCs w:val="14"/>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8,361</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520" w:firstLine="382"/>
        <w:spacing w:after="0" w:line="287" w:lineRule="auto"/>
        <w:rPr>
          <w:sz w:val="20"/>
          <w:szCs w:val="20"/>
          <w:color w:val="auto"/>
        </w:rPr>
      </w:pPr>
      <w:r>
        <w:rPr>
          <w:rFonts w:ascii="Times New Roman" w:cs="Times New Roman" w:eastAsia="Times New Roman" w:hAnsi="Times New Roman"/>
          <w:sz w:val="14"/>
          <w:szCs w:val="14"/>
          <w:color w:val="auto"/>
        </w:rPr>
        <w:t>As of September 30, 2022 and December 31, 2021, the Company’s trade names had a net carrying amount of $568 million and $635 million, respectively. The Company believes these intangibles have indefinite lives, with the exception of the right to use the GE Transportation trade name, to which the Company has assigned a useful life of 5 years.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Intangible assets of the Company, other than goodwill and trade names,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120" w:type="dxa"/>
            <w:vAlign w:val="bottom"/>
            <w:gridSpan w:val="2"/>
            <w:vMerge w:val="continue"/>
          </w:tcPr>
          <w:p>
            <w:pPr>
              <w:spacing w:after="0"/>
              <w:rPr>
                <w:sz w:val="10"/>
                <w:szCs w:val="10"/>
                <w:color w:val="auto"/>
              </w:rPr>
            </w:pPr>
          </w:p>
        </w:tc>
        <w:tc>
          <w:tcPr>
            <w:tcW w:w="1120" w:type="dxa"/>
            <w:vAlign w:val="bottom"/>
          </w:tcPr>
          <w:p>
            <w:pPr>
              <w:jc w:val="right"/>
              <w:ind w:right="196"/>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right"/>
              <w:ind w:right="574"/>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Backlog, net of accumulated amortization of $391 and $309</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Customer relationships, net of accumulated amortization of $359 and $331</w:t>
            </w:r>
          </w:p>
        </w:tc>
        <w:tc>
          <w:tcPr>
            <w:tcW w:w="1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Acquired technology, net of accumulated amortization of $412 and $334</w:t>
            </w:r>
          </w:p>
        </w:tc>
        <w:tc>
          <w:tcPr>
            <w:tcW w:w="11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At September 30, 2022 the weighted average remaining useful lives of backlog, customer relationships and acquired technology were 10 years, 16 years and 9 years, respectively. The backlog intangible asset primarily consists of in-place long-term service agreements acquired by the Company in conjunction with the acquisition of GE Transportation in 2019. Amortization expense for intangible assets was $73 million and $218 million for the three and nine months ended September 30, 2022, respectively, and $73 million and $215 million for the three and nine months ended September 30, 2021, respectively.</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Amortization expense for the five succeeding years is estimated to be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49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Remainder of 2022</w:t>
            </w:r>
          </w:p>
        </w:tc>
        <w:tc>
          <w:tcPr>
            <w:tcW w:w="49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54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2023</w:t>
            </w:r>
          </w:p>
        </w:tc>
        <w:tc>
          <w:tcPr>
            <w:tcW w:w="4900" w:type="dxa"/>
            <w:vAlign w:val="bottom"/>
          </w:tcPr>
          <w:p>
            <w:pPr>
              <w:spacing w:after="0"/>
              <w:rPr>
                <w:sz w:val="15"/>
                <w:szCs w:val="15"/>
                <w:color w:val="auto"/>
              </w:rPr>
            </w:pPr>
          </w:p>
        </w:tc>
        <w:tc>
          <w:tcPr>
            <w:tcW w:w="49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180"/>
        </w:trPr>
        <w:tc>
          <w:tcPr>
            <w:tcW w:w="5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2024</w:t>
            </w:r>
          </w:p>
        </w:tc>
        <w:tc>
          <w:tcPr>
            <w:tcW w:w="4900" w:type="dxa"/>
            <w:vAlign w:val="bottom"/>
            <w:shd w:val="clear" w:color="auto" w:fill="CCEEFF"/>
          </w:tcPr>
          <w:p>
            <w:pPr>
              <w:spacing w:after="0"/>
              <w:rPr>
                <w:sz w:val="15"/>
                <w:szCs w:val="15"/>
                <w:color w:val="auto"/>
              </w:rPr>
            </w:pPr>
          </w:p>
        </w:tc>
        <w:tc>
          <w:tcPr>
            <w:tcW w:w="49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180"/>
        </w:trPr>
        <w:tc>
          <w:tcPr>
            <w:tcW w:w="54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2025</w:t>
            </w:r>
          </w:p>
        </w:tc>
        <w:tc>
          <w:tcPr>
            <w:tcW w:w="4900" w:type="dxa"/>
            <w:vAlign w:val="bottom"/>
          </w:tcPr>
          <w:p>
            <w:pPr>
              <w:spacing w:after="0"/>
              <w:rPr>
                <w:sz w:val="15"/>
                <w:szCs w:val="15"/>
                <w:color w:val="auto"/>
              </w:rPr>
            </w:pPr>
          </w:p>
        </w:tc>
        <w:tc>
          <w:tcPr>
            <w:tcW w:w="49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80"/>
        </w:trPr>
        <w:tc>
          <w:tcPr>
            <w:tcW w:w="5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2026</w:t>
            </w:r>
          </w:p>
        </w:tc>
        <w:tc>
          <w:tcPr>
            <w:tcW w:w="4900" w:type="dxa"/>
            <w:vAlign w:val="bottom"/>
            <w:shd w:val="clear" w:color="auto" w:fill="CCEEFF"/>
          </w:tcPr>
          <w:p>
            <w:pPr>
              <w:spacing w:after="0"/>
              <w:rPr>
                <w:sz w:val="15"/>
                <w:szCs w:val="15"/>
                <w:color w:val="auto"/>
              </w:rPr>
            </w:pPr>
          </w:p>
        </w:tc>
        <w:tc>
          <w:tcPr>
            <w:tcW w:w="49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CONTRACT ASSETS AND CONTRACT LIABILITIES</w:t>
      </w:r>
    </w:p>
    <w:p>
      <w:pPr>
        <w:spacing w:after="0" w:line="96" w:lineRule="exact"/>
        <w:rPr>
          <w:sz w:val="20"/>
          <w:szCs w:val="20"/>
          <w:color w:val="auto"/>
        </w:rPr>
      </w:pPr>
    </w:p>
    <w:p>
      <w:pPr>
        <w:ind w:right="180" w:firstLine="382"/>
        <w:spacing w:after="0" w:line="260" w:lineRule="auto"/>
        <w:rPr>
          <w:sz w:val="20"/>
          <w:szCs w:val="20"/>
          <w:color w:val="auto"/>
        </w:rPr>
      </w:pPr>
      <w:r>
        <w:rPr>
          <w:rFonts w:ascii="Times New Roman" w:cs="Times New Roman" w:eastAsia="Times New Roman" w:hAnsi="Times New Roman"/>
          <w:sz w:val="14"/>
          <w:szCs w:val="14"/>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sheets. Noncurrent contract assets were $198 million at September 30, 2022 and</w:t>
      </w:r>
    </w:p>
    <w:p>
      <w:pPr>
        <w:ind w:right="100"/>
        <w:spacing w:after="0" w:line="259" w:lineRule="auto"/>
        <w:rPr>
          <w:sz w:val="20"/>
          <w:szCs w:val="20"/>
          <w:color w:val="auto"/>
        </w:rPr>
      </w:pPr>
      <w:r>
        <w:rPr>
          <w:rFonts w:ascii="Times New Roman" w:cs="Times New Roman" w:eastAsia="Times New Roman" w:hAnsi="Times New Roman"/>
          <w:sz w:val="14"/>
          <w:szCs w:val="14"/>
          <w:color w:val="auto"/>
        </w:rPr>
        <w:t>$153 million at December 31, 2021. Included in noncurrent contract assets are certain costs that are specifically related to a contract but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59" w:lineRule="exact"/>
        <w:rPr>
          <w:sz w:val="20"/>
          <w:szCs w:val="20"/>
          <w:color w:val="auto"/>
        </w:rPr>
      </w:pPr>
    </w:p>
    <w:p>
      <w:pPr>
        <w:ind w:right="140" w:firstLine="382"/>
        <w:spacing w:after="0" w:line="259" w:lineRule="auto"/>
        <w:rPr>
          <w:sz w:val="20"/>
          <w:szCs w:val="20"/>
          <w:color w:val="auto"/>
        </w:rPr>
      </w:pPr>
      <w:r>
        <w:rPr>
          <w:rFonts w:ascii="Times New Roman" w:cs="Times New Roman" w:eastAsia="Times New Roman" w:hAnsi="Times New Roman"/>
          <w:sz w:val="14"/>
          <w:szCs w:val="14"/>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sheets. Noncurrent contract liabilities were $79 million at September 30, 2022 and $88 million at December 31, 2021.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3" w:name="page14"/>
    <w:bookmarkEnd w:id="13"/>
    <w:p>
      <w:pPr>
        <w:ind w:right="380"/>
        <w:spacing w:after="0" w:line="287" w:lineRule="auto"/>
        <w:rPr>
          <w:sz w:val="20"/>
          <w:szCs w:val="20"/>
          <w:color w:val="auto"/>
        </w:rPr>
      </w:pPr>
      <w:r>
        <w:rPr>
          <w:rFonts w:ascii="Times New Roman" w:cs="Times New Roman" w:eastAsia="Times New Roman" w:hAnsi="Times New Roman"/>
          <w:sz w:val="14"/>
          <w:szCs w:val="14"/>
          <w:color w:val="auto"/>
        </w:rPr>
        <w:t>contracts were $110 million and $107 million at September 30, 2022 and December 31, 2021, respectively. These provisions for estimated losses are classified as current liabilities and included within the caption “Other accrued liabilities” on the consolidated balance sheets.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 in the carrying amount of contract assets and contract liabilities for the nine months ended September 30, 2022 and 2021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Contract Assets</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1"/>
                <w:szCs w:val="11"/>
                <w:color w:val="auto"/>
              </w:rPr>
            </w:pPr>
          </w:p>
        </w:tc>
        <w:tc>
          <w:tcPr>
            <w:tcW w:w="1160" w:type="dxa"/>
            <w:vAlign w:val="bottom"/>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Recognized in current year</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Reclassified to accounts receivable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impact</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September 30</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Contract Liabilities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7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gridSpan w:val="2"/>
            <w:vMerge w:val="continue"/>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Pr>
          <w:p>
            <w:pPr>
              <w:spacing w:after="0"/>
              <w:rPr>
                <w:sz w:val="14"/>
                <w:szCs w:val="14"/>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Recognized in current year</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in beginning balance reclassified to revenue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Current year amounts reclassified to revenue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impact</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September 30</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LEASES</w:t>
      </w:r>
    </w:p>
    <w:p>
      <w:pPr>
        <w:spacing w:after="0" w:line="9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The right-of-use assets are classified as noncurrent and included within the caption "Other noncurrent assets" on the consolidated balance sheets. The current portion of lease liabilities are classified under the caption "Other accrued liabilities," while the noncurrent portion of lease liabilities are classified under the caption "Other long-term liabilities" on the consolidated balance sheets.</w:t>
      </w:r>
    </w:p>
    <w:p>
      <w:pPr>
        <w:spacing w:after="0" w:line="58" w:lineRule="exact"/>
        <w:rPr>
          <w:sz w:val="20"/>
          <w:szCs w:val="20"/>
          <w:color w:val="auto"/>
        </w:rPr>
      </w:pPr>
    </w:p>
    <w:p>
      <w:pPr>
        <w:jc w:val="both"/>
        <w:ind w:right="60" w:firstLine="382"/>
        <w:spacing w:after="0" w:line="254" w:lineRule="auto"/>
        <w:rPr>
          <w:sz w:val="20"/>
          <w:szCs w:val="20"/>
          <w:color w:val="auto"/>
        </w:rPr>
      </w:pPr>
      <w:r>
        <w:rPr>
          <w:rFonts w:ascii="Times New Roman" w:cs="Times New Roman" w:eastAsia="Times New Roman" w:hAnsi="Times New Roman"/>
          <w:sz w:val="14"/>
          <w:szCs w:val="14"/>
          <w:color w:val="auto"/>
        </w:rPr>
        <w:t>Operating lease expense was $15 million and $44 million for the three and nine months ended September 30, 2022, respectively, and $16 million and $44 million for the three and nine months ended September 30, 2021, respectively. New operating leases of $34 million and $58 million were added during the three and nine months ended September 30, 2022, respectively. Wabtec does not have material financing leases, short-term or variable leases or sublease income.</w:t>
      </w:r>
    </w:p>
    <w:p>
      <w:pPr>
        <w:spacing w:after="0" w:line="62" w:lineRule="exact"/>
        <w:rPr>
          <w:sz w:val="20"/>
          <w:szCs w:val="20"/>
          <w:color w:val="auto"/>
        </w:rPr>
      </w:pPr>
    </w:p>
    <w:p>
      <w:pPr>
        <w:ind w:right="480" w:firstLine="382"/>
        <w:spacing w:after="0" w:line="287" w:lineRule="auto"/>
        <w:rPr>
          <w:sz w:val="20"/>
          <w:szCs w:val="20"/>
          <w:color w:val="auto"/>
        </w:rPr>
      </w:pPr>
      <w:r>
        <w:rPr>
          <w:rFonts w:ascii="Times New Roman" w:cs="Times New Roman" w:eastAsia="Times New Roman" w:hAnsi="Times New Roman"/>
          <w:sz w:val="14"/>
          <w:szCs w:val="14"/>
          <w:color w:val="auto"/>
        </w:rPr>
        <w:t>As most of the Company's leases do not provide a readily stated discount rate, the Company must estimate the rate to discount lease payments using its incremental borrowing rate. The Company has established discount rates by geographic region ranging from 1% to 9%.</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4" w:name="page15"/>
    <w:bookmarkEnd w:id="14"/>
    <w:p>
      <w:pPr>
        <w:ind w:left="380"/>
        <w:spacing w:after="0"/>
        <w:rPr>
          <w:sz w:val="20"/>
          <w:szCs w:val="20"/>
          <w:color w:val="auto"/>
        </w:rPr>
      </w:pPr>
      <w:r>
        <w:rPr>
          <w:rFonts w:ascii="Times New Roman" w:cs="Times New Roman" w:eastAsia="Times New Roman" w:hAnsi="Times New Roman"/>
          <w:sz w:val="14"/>
          <w:szCs w:val="14"/>
          <w:color w:val="auto"/>
        </w:rPr>
        <w:t>Scheduled payments of lease liabilities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3"/>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Remaining 2022</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Less: Present value discount</w:t>
            </w: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312</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bottom w:val="single" w:sz="8" w:color="CCEEFF"/>
            </w:tcBorders>
            <w:gridSpan w:val="15"/>
            <w:vMerge w:val="restart"/>
          </w:tcPr>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remaining lease term and discount rate assumptions used to develop the present value of operating lease liabilities:</w:t>
            </w: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9080" w:type="dxa"/>
            <w:vAlign w:val="bottom"/>
            <w:gridSpan w:val="15"/>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254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gridSpan w:val="3"/>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2021</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8.4</w:t>
            </w: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80" w:type="dxa"/>
            <w:vAlign w:val="bottom"/>
          </w:tcPr>
          <w:p>
            <w:pPr>
              <w:spacing w:after="0"/>
              <w:rPr>
                <w:sz w:val="16"/>
                <w:szCs w:val="16"/>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3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8. LONG-TERM DEBT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Long-term debt consisted of the following:</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September 30, 2022</w:t>
            </w: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tcBorders>
              <w:bottom w:val="single" w:sz="8" w:color="auto"/>
            </w:tcBorders>
            <w:gridSpan w:val="8"/>
          </w:tcPr>
          <w:p>
            <w:pPr>
              <w:jc w:val="right"/>
              <w:ind w:right="877"/>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4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Effective Interest</w:t>
            </w:r>
          </w:p>
        </w:tc>
        <w:tc>
          <w:tcPr>
            <w:tcW w:w="12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Face Value</w:t>
            </w:r>
          </w:p>
        </w:tc>
        <w:tc>
          <w:tcPr>
            <w:tcW w:w="240" w:type="dxa"/>
            <w:vAlign w:val="bottom"/>
          </w:tcPr>
          <w:p>
            <w:pPr>
              <w:spacing w:after="0"/>
              <w:rPr>
                <w:sz w:val="11"/>
                <w:szCs w:val="11"/>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Book Value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7"/>
                <w:szCs w:val="7"/>
                <w:b w:val="1"/>
                <w:bCs w:val="1"/>
                <w:color w:val="auto"/>
              </w:rPr>
              <w:t>1</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w w:val="98"/>
              </w:rPr>
              <w:t>Book Value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3"/>
            <w:vMerge w:val="restart"/>
          </w:tcPr>
          <w:p>
            <w:pPr>
              <w:jc w:val="right"/>
              <w:ind w:right="840"/>
              <w:spacing w:after="0"/>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60" w:type="dxa"/>
            <w:vAlign w:val="bottom"/>
            <w:gridSpan w:val="2"/>
            <w:vMerge w:val="continue"/>
          </w:tcPr>
          <w:p>
            <w:pPr>
              <w:spacing w:after="0"/>
              <w:rPr>
                <w:sz w:val="9"/>
                <w:szCs w:val="9"/>
                <w:color w:val="auto"/>
              </w:rPr>
            </w:pPr>
          </w:p>
        </w:tc>
        <w:tc>
          <w:tcPr>
            <w:tcW w:w="1100" w:type="dxa"/>
            <w:vAlign w:val="bottom"/>
            <w:gridSpan w:val="2"/>
          </w:tcPr>
          <w:p>
            <w:pPr>
              <w:jc w:val="center"/>
              <w:ind w:right="100"/>
              <w:spacing w:after="0" w:line="95" w:lineRule="exact"/>
              <w:rPr>
                <w:sz w:val="20"/>
                <w:szCs w:val="20"/>
                <w:color w:val="auto"/>
              </w:rPr>
            </w:pPr>
            <w:r>
              <w:rPr>
                <w:rFonts w:ascii="Times New Roman" w:cs="Times New Roman" w:eastAsia="Times New Roman" w:hAnsi="Times New Roman"/>
                <w:sz w:val="10"/>
                <w:szCs w:val="10"/>
                <w:b w:val="1"/>
                <w:bCs w:val="1"/>
                <w:color w:val="auto"/>
              </w:rPr>
              <w:t>Rate</w:t>
            </w: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Restated Credit Agreement:</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Revolving Credit Facility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4.8 %</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tcPr>
          <w:p>
            <w:pPr>
              <w:spacing w:after="0"/>
              <w:rPr>
                <w:sz w:val="13"/>
                <w:szCs w:val="13"/>
                <w:color w:val="auto"/>
              </w:rPr>
            </w:pPr>
          </w:p>
        </w:tc>
        <w:tc>
          <w:tcPr>
            <w:tcW w:w="980" w:type="dxa"/>
            <w:vAlign w:val="bottom"/>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160" w:type="dxa"/>
            <w:vAlign w:val="bottom"/>
            <w:gridSpan w:val="3"/>
          </w:tcPr>
          <w:p>
            <w:pPr>
              <w:jc w:val="right"/>
              <w:ind w:right="92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Senior Notes:</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4.375% Senior Notes, due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4.15% Senior Notes, due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3.20% Senior Notes, due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3.45% Senior Notes, due 2026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1.25% Senior Notes (EUR), due 2027</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4.70% Senior Notes, due 2028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1,244</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1,243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1,423</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Other Borrowings</w:t>
            </w: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w:t>
            </w: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4,075</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4,058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4,383</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1"/>
                <w:szCs w:val="11"/>
                <w:color w:val="auto"/>
              </w:rPr>
              <w:t>Less: current portion</w:t>
            </w: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Long-term portion</w:t>
            </w: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3,824</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3,549</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4,056</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See Note 13 for information on the fair value measurement of the Company's long-term debt.</w:t>
      </w:r>
    </w:p>
    <w:p>
      <w:pPr>
        <w:spacing w:after="0" w:line="99"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Variances between Face Value and Book Value are the result of unamortized discounts and debt issuance fees. Amortization of discounts and debt issuance fees are included in the calculation of Effective Interest Rate.</w:t>
      </w:r>
    </w:p>
    <w:p>
      <w:pPr>
        <w:spacing w:after="0" w:line="39" w:lineRule="exact"/>
        <w:rPr>
          <w:sz w:val="20"/>
          <w:szCs w:val="20"/>
          <w:color w:val="auto"/>
        </w:rPr>
      </w:pPr>
    </w:p>
    <w:p>
      <w:pPr>
        <w:ind w:right="220" w:firstLine="382"/>
        <w:spacing w:after="0" w:line="264" w:lineRule="auto"/>
        <w:rPr>
          <w:sz w:val="20"/>
          <w:szCs w:val="20"/>
          <w:color w:val="auto"/>
        </w:rPr>
      </w:pPr>
      <w:r>
        <w:rPr>
          <w:rFonts w:ascii="Times New Roman" w:cs="Times New Roman" w:eastAsia="Times New Roman" w:hAnsi="Times New Roman"/>
          <w:sz w:val="14"/>
          <w:szCs w:val="14"/>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September 30, 2022 and December 31, 2021, the Company had total combined unamortized discount and debt issuance costs of $22 million and $23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96" w:lineRule="exact"/>
        <w:rPr>
          <w:sz w:val="20"/>
          <w:szCs w:val="20"/>
          <w:color w:val="auto"/>
        </w:rPr>
      </w:pPr>
    </w:p>
    <w:p>
      <w:pPr>
        <w:ind w:right="400" w:firstLine="382"/>
        <w:spacing w:after="0" w:line="287" w:lineRule="auto"/>
        <w:rPr>
          <w:sz w:val="20"/>
          <w:szCs w:val="20"/>
          <w:color w:val="auto"/>
        </w:rPr>
      </w:pPr>
      <w:r>
        <w:rPr>
          <w:rFonts w:ascii="Times New Roman" w:cs="Times New Roman" w:eastAsia="Times New Roman" w:hAnsi="Times New Roman"/>
          <w:sz w:val="14"/>
          <w:szCs w:val="14"/>
          <w:color w:val="auto"/>
        </w:rPr>
        <w:t>On June 8, 2018, the Company entered into a credit agreement (“Original Credit Agreement”) consisting of (i) term loans denominated in euros and U.S. dollars and (ii) a multi-currency revolving loan facility, providing for an equivalent in U.S. dollars of up to $1.2 billion. On August 15, 2022, the Company entered into a new unsecured credit agreement ("Restated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5" w:name="page16"/>
    <w:bookmarkEnd w:id="15"/>
    <w:p>
      <w:pPr>
        <w:ind w:right="40"/>
        <w:spacing w:after="0" w:line="259" w:lineRule="auto"/>
        <w:rPr>
          <w:sz w:val="20"/>
          <w:szCs w:val="20"/>
          <w:color w:val="auto"/>
        </w:rPr>
      </w:pPr>
      <w:r>
        <w:rPr>
          <w:rFonts w:ascii="Times New Roman" w:cs="Times New Roman" w:eastAsia="Times New Roman" w:hAnsi="Times New Roman"/>
          <w:sz w:val="14"/>
          <w:szCs w:val="14"/>
          <w:color w:val="auto"/>
        </w:rPr>
        <w:t>Credit Agreement"), which amended, restated and replaced the Original Credit Agreement. The Restated Credit Agreement is with a syndicate of lenders and provides for borrowings consisting of (i) a multi-currency revolving credit facility, providing for an equivalent in U.S. dollars of up to $1.5 billion (the “Revolving Credit Facility”) and (ii) a new $250 million delayed draw term loan facility (the “Delayed Draw Term Loan”), all pursuant to the terms and conditions of the Restated Credit Agreement (which are substantially similar with the terms of the Original Credit Agreement). The Restated Credit Agreement allows the Company to request, at prevailing market rates, an aggregate amount not to exceed $750 million, (a) increases to the borrowing commitments under the Revolving Credit Facility and/or (b) new incremental term loan commitments. The agreement contains affirmative, negative and financial covenants, and events of default customary for facilities of this type.</w:t>
      </w:r>
    </w:p>
    <w:p>
      <w:pPr>
        <w:spacing w:after="0" w:line="61"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The Revolving Credit Facility matures on August 15, 2027. The Delayed Draw Term Loan is available for borrowings until February 15, 2024 and any borrowings under the Delayed Draw Term Loan will mature on August 15, 2027. Amounts borrowed and repaid under the Delayed Draw Term Loan may not be reborrowed. The applicable interest rate for borrowings under the Restated Credit Agreement includes a base rate plus an interest rate spread up to 1.75% based on the lower of the pricing corresponding to (i) the Company’s financial leverage or (ii) the Company’s public rating. Obligations under the Restated Credit Agreement have been guaranteed by certain of the Company’s subsidiaries.</w:t>
      </w:r>
    </w:p>
    <w:p>
      <w:pPr>
        <w:spacing w:after="0" w:line="56"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Under the Restated Credit Agreement, the Company has agreed to maintain an Interest Coverage Ratio of at least 3.0 to 1.0, and a Leverage Ratio not to exceed 3.5 to 1.0. The Interest Coverage Ratio is defined as EBITDA (earnings before interest, taxes, depreciation, and amortization) to Interest Expense for the four quarters then ended. The Leverage Ratio is defined as Net Debt as of the last day of such fiscal quarter to EBITDA for the four quarters then ended. Additionally, the Company may submit a request for an increased maximum Leverage Ratio in contemplation of a Material Acquisition. All terms are as defined in the Restated Credit Agreement.</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was in compliance with all financial covenants in the Restated Credit Agreement as of September 30, 2022.</w:t>
      </w:r>
    </w:p>
    <w:p>
      <w:pPr>
        <w:spacing w:after="0" w:line="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availability under the Restated Credit Agreement at September 30,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0"/>
        </w:trPr>
        <w:tc>
          <w:tcPr>
            <w:tcW w:w="9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Revolving Credit Facility Availability</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r>
      <w:tr>
        <w:trPr>
          <w:trHeight w:val="168"/>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Delayed Draw Term Loan</w:t>
            </w: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r>
      <w:tr>
        <w:trPr>
          <w:trHeight w:val="172"/>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Borrowings</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68"/>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Letters of Credit Under Credit Agreement</w:t>
            </w:r>
          </w:p>
        </w:tc>
        <w:tc>
          <w:tcPr>
            <w:tcW w:w="6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3"/>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Availability</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96"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4"/>
          <w:szCs w:val="14"/>
          <w:color w:val="auto"/>
        </w:rPr>
        <w:t>The Company or its subsidiaries may issue senior notes from time to time. These notes are comprised of our 4.375% Senior Notes due 2023 (the "2023 Notes"), 4.15% Senior Notes due 2024 (the "2024 Notes"), 3.20% Senior Notes due 2025 (the "2025 Notes"), 3.45% Senior Notes due 2026 (the "2026 Notes"), 1.25% Senior Notes (EUR) due 2027 (the "Euro Notes"), and 4.70% Senior Notes due 2028 (the "2028 Notes"). The 2023 Notes, 2024 Notes, 2025 Notes, 2026 Notes and 2028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second quarter of 2022, the Company redeemed $25 million of principal from the 2024 Notes plus a premium and the related accrued interest.</w:t>
      </w:r>
    </w:p>
    <w:p>
      <w:pPr>
        <w:spacing w:after="0" w:line="94"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4"/>
          <w:szCs w:val="14"/>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Senior Credit Facility. The Euro Notes were issued by Wabtec Transportation Netherlands B.V. and are fully and unconditionally guaranteed by the Company.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6" w:name="page17"/>
    <w:bookmarkEnd w:id="16"/>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STOCK-BASED COMPENSATION</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As of September 30, 2022,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15, 2030, and as of September 30, 2022 the number of shares available for future grants under the 2011 Plan was approximately 5.3 million shares. The Company also maintains a 1995 Non-Employee Directors’ Fee and Stock Option Plan as amended and restated (“the Directors Plan”).</w:t>
      </w:r>
    </w:p>
    <w:p>
      <w:pPr>
        <w:spacing w:after="0" w:line="56" w:lineRule="exact"/>
        <w:rPr>
          <w:sz w:val="20"/>
          <w:szCs w:val="20"/>
          <w:color w:val="auto"/>
        </w:rPr>
      </w:pPr>
    </w:p>
    <w:p>
      <w:pPr>
        <w:ind w:right="160" w:firstLine="382"/>
        <w:spacing w:after="0" w:line="270" w:lineRule="auto"/>
        <w:rPr>
          <w:sz w:val="20"/>
          <w:szCs w:val="20"/>
          <w:color w:val="auto"/>
        </w:rPr>
      </w:pPr>
      <w:r>
        <w:rPr>
          <w:rFonts w:ascii="Times New Roman" w:cs="Times New Roman" w:eastAsia="Times New Roman" w:hAnsi="Times New Roman"/>
          <w:sz w:val="14"/>
          <w:szCs w:val="14"/>
          <w:color w:val="auto"/>
        </w:rPr>
        <w:t>Stock-based compensation expense was $12 million and $35 million for the three and nine months ended September 30, 2022, respectively, and $10 million and $34 million for the three and nine months ended September 30, 2021, respectively. At September 30, 2022, unamortized compensation expense related to stock options, non-vested restricted shares and incentive stock units expected to vest totaled $57 million.</w:t>
      </w:r>
    </w:p>
    <w:p>
      <w:pPr>
        <w:spacing w:after="0" w:line="49" w:lineRule="exact"/>
        <w:rPr>
          <w:sz w:val="20"/>
          <w:szCs w:val="20"/>
          <w:color w:val="auto"/>
        </w:rPr>
      </w:pPr>
    </w:p>
    <w:p>
      <w:pPr>
        <w:ind w:right="20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Options </w:t>
      </w:r>
      <w:r>
        <w:rPr>
          <w:rFonts w:ascii="Times New Roman" w:cs="Times New Roman" w:eastAsia="Times New Roman" w:hAnsi="Times New Roman"/>
          <w:sz w:val="14"/>
          <w:szCs w:val="14"/>
          <w:color w:val="auto"/>
        </w:rPr>
        <w:t>Stock options are granted to eligible employees at an exercise price equivalent to the stock's fair market value, which is the average of the high and low Wabtec stock price 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date of grant. New options granted become exercisable over a three-year vesting period. Options expire 10 years from the date of grant. No stock options were granted during the nine months ended September 30, 2022.</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Company’s stock option activity and related information for the 2011 Plan, the 2000 Plan and the Directors Plan for the nine months ended September 30,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left="401"/>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40" w:type="dxa"/>
            <w:vAlign w:val="bottom"/>
          </w:tcPr>
          <w:p>
            <w:pPr>
              <w:spacing w:after="0"/>
              <w:rPr>
                <w:sz w:val="11"/>
                <w:szCs w:val="11"/>
                <w:color w:val="auto"/>
              </w:rPr>
            </w:pPr>
          </w:p>
        </w:tc>
        <w:tc>
          <w:tcPr>
            <w:tcW w:w="1280" w:type="dxa"/>
            <w:vAlign w:val="bottom"/>
            <w:vMerge w:val="restart"/>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53"/>
        </w:trPr>
        <w:tc>
          <w:tcPr>
            <w:tcW w:w="48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vMerge w:val="restart"/>
          </w:tcPr>
          <w:p>
            <w:pPr>
              <w:jc w:val="center"/>
              <w:ind w:left="401"/>
              <w:spacing w:after="0" w:line="115"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2"/>
            <w:vMerge w:val="restart"/>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4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4880" w:type="dxa"/>
            <w:vAlign w:val="bottom"/>
          </w:tcPr>
          <w:p>
            <w:pPr>
              <w:spacing w:after="0"/>
              <w:rPr>
                <w:sz w:val="5"/>
                <w:szCs w:val="5"/>
                <w:color w:val="auto"/>
              </w:rPr>
            </w:pPr>
          </w:p>
        </w:tc>
        <w:tc>
          <w:tcPr>
            <w:tcW w:w="1540" w:type="dxa"/>
            <w:vAlign w:val="bottom"/>
            <w:vMerge w:val="restart"/>
          </w:tcPr>
          <w:p>
            <w:pPr>
              <w:ind w:left="580"/>
              <w:spacing w:after="0" w:line="115" w:lineRule="exact"/>
              <w:rPr>
                <w:sz w:val="20"/>
                <w:szCs w:val="20"/>
                <w:color w:val="auto"/>
              </w:rPr>
            </w:pPr>
            <w:r>
              <w:rPr>
                <w:rFonts w:ascii="Times New Roman" w:cs="Times New Roman" w:eastAsia="Times New Roman" w:hAnsi="Times New Roman"/>
                <w:sz w:val="11"/>
                <w:szCs w:val="11"/>
                <w:b w:val="1"/>
                <w:bCs w:val="1"/>
                <w:color w:val="auto"/>
              </w:rPr>
              <w:t>Options</w:t>
            </w:r>
          </w:p>
        </w:tc>
        <w:tc>
          <w:tcPr>
            <w:tcW w:w="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vMerge w:val="restart"/>
          </w:tcPr>
          <w:p>
            <w:pPr>
              <w:jc w:val="center"/>
              <w:ind w:right="196"/>
              <w:spacing w:after="0" w:line="115" w:lineRule="exact"/>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53"/>
        </w:trPr>
        <w:tc>
          <w:tcPr>
            <w:tcW w:w="48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vMerge w:val="restart"/>
          </w:tcPr>
          <w:p>
            <w:pPr>
              <w:jc w:val="center"/>
              <w:ind w:left="401"/>
              <w:spacing w:after="0" w:line="108"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2"/>
            <w:vMerge w:val="restart"/>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4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48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vMerge w:val="restart"/>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94"/>
        </w:trPr>
        <w:tc>
          <w:tcPr>
            <w:tcW w:w="48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vMerge w:val="restart"/>
          </w:tcPr>
          <w:p>
            <w:pPr>
              <w:jc w:val="center"/>
              <w:ind w:left="401"/>
              <w:spacing w:after="0"/>
              <w:rPr>
                <w:sz w:val="20"/>
                <w:szCs w:val="20"/>
                <w:color w:val="auto"/>
              </w:rPr>
            </w:pPr>
            <w:r>
              <w:rPr>
                <w:rFonts w:ascii="Times New Roman" w:cs="Times New Roman" w:eastAsia="Times New Roman" w:hAnsi="Times New Roman"/>
                <w:sz w:val="11"/>
                <w:szCs w:val="11"/>
                <w:b w:val="1"/>
                <w:bCs w:val="1"/>
                <w:color w:val="auto"/>
              </w:rPr>
              <w:t>Price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Contractual Life</w:t>
            </w:r>
          </w:p>
        </w:tc>
        <w:tc>
          <w:tcPr>
            <w:tcW w:w="2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48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5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531,915</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75.40</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(55,944)</w:t>
            </w:r>
          </w:p>
        </w:tc>
        <w:tc>
          <w:tcPr>
            <w:tcW w:w="1160" w:type="dxa"/>
            <w:vAlign w:val="bottom"/>
            <w:gridSpan w:val="2"/>
          </w:tcPr>
          <w:p>
            <w:pPr>
              <w:jc w:val="right"/>
              <w:ind w:right="92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74.64</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Canceled</w:t>
            </w:r>
          </w:p>
        </w:tc>
        <w:tc>
          <w:tcPr>
            <w:tcW w:w="154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(21,052)</w:t>
            </w:r>
          </w:p>
        </w:tc>
        <w:tc>
          <w:tcPr>
            <w:tcW w:w="1160" w:type="dxa"/>
            <w:vAlign w:val="bottom"/>
            <w:gridSpan w:val="2"/>
            <w:shd w:val="clear" w:color="auto" w:fill="CCEEFF"/>
          </w:tcPr>
          <w:p>
            <w:pPr>
              <w:jc w:val="right"/>
              <w:ind w:right="92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74.59</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2022</w:t>
            </w:r>
          </w:p>
        </w:tc>
        <w:tc>
          <w:tcPr>
            <w:tcW w:w="1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454,919</w:t>
            </w:r>
          </w:p>
        </w:tc>
        <w:tc>
          <w:tcPr>
            <w:tcW w:w="1160" w:type="dxa"/>
            <w:vAlign w:val="bottom"/>
            <w:gridSpan w:val="2"/>
          </w:tcPr>
          <w:p>
            <w:pPr>
              <w:jc w:val="right"/>
              <w:ind w:right="92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75.53</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September 30, 2022</w:t>
            </w:r>
          </w:p>
        </w:tc>
        <w:tc>
          <w:tcPr>
            <w:tcW w:w="1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347,995</w:t>
            </w:r>
          </w:p>
        </w:tc>
        <w:tc>
          <w:tcPr>
            <w:tcW w:w="1160" w:type="dxa"/>
            <w:vAlign w:val="bottom"/>
            <w:gridSpan w:val="2"/>
            <w:shd w:val="clear" w:color="auto" w:fill="CCEEFF"/>
          </w:tcPr>
          <w:p>
            <w:pPr>
              <w:jc w:val="right"/>
              <w:ind w:right="92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74.44</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both"/>
        <w:ind w:right="6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Restricted Stock, Restricted Units and Incentive Stock </w:t>
      </w:r>
      <w:r>
        <w:rPr>
          <w:rFonts w:ascii="Times New Roman" w:cs="Times New Roman" w:eastAsia="Times New Roman" w:hAnsi="Times New Roman"/>
          <w:sz w:val="14"/>
          <w:szCs w:val="14"/>
          <w:color w:val="auto"/>
        </w:rPr>
        <w:t>As provided for under the 2011 Plan and 2000 Plan, eligible employees are granted restricted stock that generally vests over three years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from the date of grant. Under the Directors Plan, restricted stock awards vest one year from the date of grant.</w:t>
      </w:r>
    </w:p>
    <w:p>
      <w:pPr>
        <w:spacing w:after="0" w:line="37"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4"/>
          <w:szCs w:val="14"/>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September 30, 2022, the Company estimates that it will achieve 135%, 120% and 106% for the incentive stock awards expected to vest based on performance for the three-year periods ending December 31, 2022, 2023, and 2024, respectively, and has recorded incentive compensation expense accordingly. If the estimate of the number of these incentive stock units expected to vest changes in a future accounting period, cumulative compensation expense could increase or decrease resulting in recognition in the current period for the elapsed portion of the vesting period and would change future expense for the remaining vesting period.</w:t>
      </w:r>
    </w:p>
    <w:p>
      <w:pPr>
        <w:spacing w:after="0" w:line="62"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Compensation expense for the non-vested restricted stock and incentive stock units is based on the average of the high and low Wabtec stock price on the date of grant and recognized over the applicable vesting period.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7" w:name="page18"/>
    <w:bookmarkEnd w:id="17"/>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restricted stock activity and incentive stock units' activity for the nine months ended September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0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Restricted</w:t>
            </w:r>
          </w:p>
        </w:tc>
        <w:tc>
          <w:tcPr>
            <w:tcW w:w="1520" w:type="dxa"/>
            <w:vAlign w:val="bottom"/>
            <w:vMerge w:val="restart"/>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Incentive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0" w:type="dxa"/>
            <w:vAlign w:val="bottom"/>
          </w:tcPr>
          <w:p>
            <w:pPr>
              <w:spacing w:after="0"/>
              <w:rPr>
                <w:sz w:val="1"/>
                <w:szCs w:val="1"/>
                <w:color w:val="auto"/>
              </w:rPr>
            </w:pPr>
          </w:p>
        </w:tc>
      </w:tr>
      <w:tr>
        <w:trPr>
          <w:trHeight w:val="115"/>
        </w:trPr>
        <w:tc>
          <w:tcPr>
            <w:tcW w:w="65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jc w:val="center"/>
              <w:ind w:right="175"/>
              <w:spacing w:after="0" w:line="115" w:lineRule="exact"/>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16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520" w:type="dxa"/>
            <w:vAlign w:val="bottom"/>
          </w:tcPr>
          <w:p>
            <w:pPr>
              <w:jc w:val="right"/>
              <w:ind w:right="554"/>
              <w:spacing w:after="0" w:line="117"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center"/>
              <w:ind w:right="175"/>
              <w:spacing w:after="0" w:line="117" w:lineRule="exact"/>
              <w:rPr>
                <w:sz w:val="20"/>
                <w:szCs w:val="20"/>
                <w:color w:val="auto"/>
              </w:rPr>
            </w:pPr>
            <w:r>
              <w:rPr>
                <w:rFonts w:ascii="Times New Roman" w:cs="Times New Roman" w:eastAsia="Times New Roman" w:hAnsi="Times New Roman"/>
                <w:sz w:val="11"/>
                <w:szCs w:val="11"/>
                <w:b w:val="1"/>
                <w:bCs w:val="1"/>
                <w:color w:val="auto"/>
              </w:rPr>
              <w:t>Date Fair</w:t>
            </w:r>
          </w:p>
        </w:tc>
        <w:tc>
          <w:tcPr>
            <w:tcW w:w="0" w:type="dxa"/>
            <w:vAlign w:val="bottom"/>
          </w:tcPr>
          <w:p>
            <w:pPr>
              <w:spacing w:after="0"/>
              <w:rPr>
                <w:sz w:val="1"/>
                <w:szCs w:val="1"/>
                <w:color w:val="auto"/>
              </w:rPr>
            </w:pPr>
          </w:p>
        </w:tc>
      </w:tr>
      <w:tr>
        <w:trPr>
          <w:trHeight w:val="154"/>
        </w:trPr>
        <w:tc>
          <w:tcPr>
            <w:tcW w:w="65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and Units</w:t>
            </w:r>
          </w:p>
        </w:tc>
        <w:tc>
          <w:tcPr>
            <w:tcW w:w="1520" w:type="dxa"/>
            <w:vAlign w:val="bottom"/>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6"/>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507,698</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607,101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w:t>
            </w:r>
          </w:p>
        </w:tc>
        <w:tc>
          <w:tcPr>
            <w:tcW w:w="0" w:type="dxa"/>
            <w:vAlign w:val="bottom"/>
          </w:tcPr>
          <w:p>
            <w:pPr>
              <w:spacing w:after="0"/>
              <w:rPr>
                <w:sz w:val="1"/>
                <w:szCs w:val="1"/>
                <w:color w:val="auto"/>
              </w:rPr>
            </w:pPr>
          </w:p>
        </w:tc>
      </w:tr>
      <w:tr>
        <w:trPr>
          <w:trHeight w:val="180"/>
        </w:trPr>
        <w:tc>
          <w:tcPr>
            <w:tcW w:w="6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449,076</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176,657</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91.16</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Vested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(213,043)</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(43,039)</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74.98</w:t>
            </w:r>
          </w:p>
        </w:tc>
        <w:tc>
          <w:tcPr>
            <w:tcW w:w="0" w:type="dxa"/>
            <w:vAlign w:val="bottom"/>
          </w:tcPr>
          <w:p>
            <w:pPr>
              <w:spacing w:after="0"/>
              <w:rPr>
                <w:sz w:val="1"/>
                <w:szCs w:val="1"/>
                <w:color w:val="auto"/>
              </w:rPr>
            </w:pPr>
          </w:p>
        </w:tc>
      </w:tr>
      <w:tr>
        <w:trPr>
          <w:trHeight w:val="180"/>
        </w:trPr>
        <w:tc>
          <w:tcPr>
            <w:tcW w:w="6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 for incentive stock awards expected to vest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26,222</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84.10</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Canceled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(37,548)</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(38,313)</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75.69</w:t>
            </w:r>
          </w:p>
        </w:tc>
        <w:tc>
          <w:tcPr>
            <w:tcW w:w="0" w:type="dxa"/>
            <w:vAlign w:val="bottom"/>
          </w:tcPr>
          <w:p>
            <w:pPr>
              <w:spacing w:after="0"/>
              <w:rPr>
                <w:sz w:val="1"/>
                <w:szCs w:val="1"/>
                <w:color w:val="auto"/>
              </w:rPr>
            </w:pPr>
          </w:p>
        </w:tc>
      </w:tr>
      <w:tr>
        <w:trPr>
          <w:trHeight w:val="17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2022</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706,183</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728,628</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84.56</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INCOME TAXES</w:t>
      </w:r>
    </w:p>
    <w:p>
      <w:pPr>
        <w:spacing w:after="0" w:line="96"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The overall effective tax rate of 24.7% and 25.1% for the three and nine months ended September 30, 2022, respectively, differs from the U.S. federal statutory rate of 21.0% primarily due to the impact of state and foreign taxes.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EARNINGS PER SHARE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computation of basic and diluted earnings per share for Net income attributable to Wabtec shareholders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4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i w:val="1"/>
                <w:iCs w:val="1"/>
                <w:color w:val="auto"/>
              </w:rPr>
              <w:t>In millions, except per share data</w:t>
            </w:r>
          </w:p>
        </w:tc>
        <w:tc>
          <w:tcPr>
            <w:tcW w:w="320" w:type="dxa"/>
            <w:vAlign w:val="bottom"/>
          </w:tcPr>
          <w:p>
            <w:pPr>
              <w:spacing w:after="0"/>
              <w:rPr>
                <w:sz w:val="10"/>
                <w:szCs w:val="10"/>
                <w:color w:val="auto"/>
              </w:rPr>
            </w:pPr>
          </w:p>
        </w:tc>
        <w:tc>
          <w:tcPr>
            <w:tcW w:w="1060" w:type="dxa"/>
            <w:vAlign w:val="bottom"/>
          </w:tcPr>
          <w:p>
            <w:pPr>
              <w:jc w:val="right"/>
              <w:ind w:right="514"/>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jc w:val="right"/>
              <w:ind w:right="511"/>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right"/>
              <w:ind w:right="514"/>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jc w:val="right"/>
              <w:ind w:right="511"/>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5"/>
                <w:szCs w:val="15"/>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4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Denominator</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Assumed conversion of dilutive stock-based compensation plans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Wabtec shareholders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54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100" w:type="dxa"/>
            <w:vAlign w:val="bottom"/>
          </w:tcPr>
          <w:p>
            <w:pPr>
              <w:spacing w:after="0"/>
              <w:rPr>
                <w:sz w:val="16"/>
                <w:szCs w:val="16"/>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8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6"/>
                <w:szCs w:val="16"/>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320" w:firstLine="382"/>
        <w:spacing w:after="0" w:line="271" w:lineRule="auto"/>
        <w:rPr>
          <w:sz w:val="20"/>
          <w:szCs w:val="20"/>
          <w:color w:val="auto"/>
        </w:rPr>
      </w:pPr>
      <w:r>
        <w:rPr>
          <w:rFonts w:ascii="Times New Roman" w:cs="Times New Roman" w:eastAsia="Times New Roman" w:hAnsi="Times New Roman"/>
          <w:sz w:val="14"/>
          <w:szCs w:val="14"/>
          <w:color w:val="auto"/>
        </w:rPr>
        <w:t>Approximately 0.1 million outstanding shares of stock options for the three and nine months ended September 30, 2021 were not included in the computation of diluted earnings per share because their exercise price exceeded the average market price of the Company's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WARRANTIES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reconciles the changes in the Company’s product warranty reserve for the nine months ended September 30, 2022 and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44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Warranty expense</w:t>
            </w:r>
          </w:p>
        </w:tc>
        <w:tc>
          <w:tcPr>
            <w:tcW w:w="4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Warranty claim payments</w:t>
            </w:r>
          </w:p>
        </w:tc>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impact/other</w:t>
            </w:r>
          </w:p>
        </w:tc>
        <w:tc>
          <w:tcPr>
            <w:tcW w:w="44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September 30</w:t>
            </w:r>
          </w:p>
        </w:tc>
        <w:tc>
          <w:tcPr>
            <w:tcW w:w="44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80" w:type="dxa"/>
            <w:vAlign w:val="bottom"/>
            <w:vMerge w:val="restart"/>
          </w:tcPr>
          <w:p>
            <w:pPr>
              <w:jc w:val="right"/>
              <w:ind w:right="2349"/>
              <w:spacing w:after="0"/>
              <w:rPr>
                <w:sz w:val="20"/>
                <w:szCs w:val="20"/>
                <w:color w:val="auto"/>
              </w:rPr>
            </w:pPr>
            <w:r>
              <w:rPr>
                <w:rFonts w:ascii="Times New Roman" w:cs="Times New Roman" w:eastAsia="Times New Roman" w:hAnsi="Times New Roman"/>
                <w:sz w:val="14"/>
                <w:szCs w:val="14"/>
                <w:color w:val="auto"/>
              </w:rPr>
              <w:t>18</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44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13. FAIR VALUE MEASUREMENT AND DERIVATIVE INSTRUMENTS</w:t>
      </w:r>
    </w:p>
    <w:p>
      <w:pPr>
        <w:spacing w:after="0" w:line="9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49" w:lineRule="exact"/>
        <w:rPr>
          <w:sz w:val="20"/>
          <w:szCs w:val="20"/>
          <w:color w:val="auto"/>
        </w:rPr>
      </w:pPr>
    </w:p>
    <w:p>
      <w:pPr>
        <w:ind w:firstLine="38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Valuation Hierarchy. </w:t>
      </w:r>
      <w:r>
        <w:rPr>
          <w:rFonts w:ascii="Times New Roman" w:cs="Times New Roman" w:eastAsia="Times New Roman" w:hAnsi="Times New Roman"/>
          <w:sz w:val="14"/>
          <w:szCs w:val="14"/>
          <w:color w:val="auto"/>
        </w:rPr>
        <w:t>ASC 820 establishes a valuation hierarchy for disclosure of the inputs to valuation used to measure fair value. This hierarchy prioritizes the inputs into three broad levels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and,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57" w:lineRule="exact"/>
        <w:rPr>
          <w:sz w:val="20"/>
          <w:szCs w:val="20"/>
          <w:color w:val="auto"/>
        </w:rPr>
      </w:pPr>
    </w:p>
    <w:p>
      <w:pPr>
        <w:ind w:right="100" w:firstLine="382"/>
        <w:spacing w:after="0" w:line="256" w:lineRule="auto"/>
        <w:rPr>
          <w:sz w:val="20"/>
          <w:szCs w:val="20"/>
          <w:color w:val="auto"/>
        </w:rPr>
      </w:pPr>
      <w:r>
        <w:rPr>
          <w:rFonts w:ascii="Times New Roman" w:cs="Times New Roman" w:eastAsia="Times New Roman" w:hAnsi="Times New Roman"/>
          <w:sz w:val="14"/>
          <w:szCs w:val="14"/>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September 30, 2022 and December 31, 2021. The Company’s defined benefit pension plan assets consist primarily of equity security funds, debt security funds, insurance contracts,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The Senior Notes are considered Level 2 based on the fair value valuation hierarchy. Contingent consideration related to the GE Transportation acquisition is considered Level 3 based on the fair value valuation hierarchy. At September 30, 2022 and December 31, 2021, $110 million was classified as "Other accrued liabilities" on the Company's Consolidated Balance Sheets and</w:t>
      </w:r>
    </w:p>
    <w:p>
      <w:pPr>
        <w:spacing w:after="0" w:line="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4"/>
          <w:szCs w:val="14"/>
          <w:color w:val="auto"/>
        </w:rPr>
        <w:t>$143 million and $141 million, respectively, was included within long-term liabilities classified as "Contingent consideration" on the Company's Consolidated Balance Sheets. The fair value approximates the carrying value at September 30, 2022 and December 31, 2021.</w:t>
      </w:r>
    </w:p>
    <w:p>
      <w:pPr>
        <w:spacing w:after="0" w:line="51" w:lineRule="exact"/>
        <w:rPr>
          <w:sz w:val="20"/>
          <w:szCs w:val="20"/>
          <w:color w:val="auto"/>
        </w:rPr>
      </w:pPr>
    </w:p>
    <w:p>
      <w:pPr>
        <w:ind w:right="120" w:firstLine="382"/>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Hedging Activities </w:t>
      </w:r>
      <w:r>
        <w:rPr>
          <w:rFonts w:ascii="Times New Roman" w:cs="Times New Roman" w:eastAsia="Times New Roman" w:hAnsi="Times New Roman"/>
          <w:sz w:val="14"/>
          <w:szCs w:val="14"/>
          <w:color w:val="auto"/>
        </w:rPr>
        <w:t>In the normal course of business, the Company is exposed to market risk related to interest rates, commodity prices and foreign currency exchange rate fluctuations,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Exchange Risk</w:t>
      </w:r>
    </w:p>
    <w:p>
      <w:pPr>
        <w:spacing w:after="0" w:line="96"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three and nine months ended September 30, 2022 and 2021, the amounts reclassified into income were not material.</w:t>
      </w:r>
    </w:p>
    <w:p>
      <w:pPr>
        <w:spacing w:after="0" w:line="56" w:lineRule="exact"/>
        <w:rPr>
          <w:sz w:val="20"/>
          <w:szCs w:val="20"/>
          <w:color w:val="auto"/>
        </w:rPr>
      </w:pPr>
    </w:p>
    <w:p>
      <w:pPr>
        <w:ind w:right="280" w:firstLine="382"/>
        <w:spacing w:after="0" w:line="259" w:lineRule="auto"/>
        <w:rPr>
          <w:sz w:val="20"/>
          <w:szCs w:val="20"/>
          <w:color w:val="auto"/>
        </w:rPr>
      </w:pPr>
      <w:r>
        <w:rPr>
          <w:rFonts w:ascii="Times New Roman" w:cs="Times New Roman" w:eastAsia="Times New Roman" w:hAnsi="Times New Roman"/>
          <w:sz w:val="14"/>
          <w:szCs w:val="14"/>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61"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9" w:name="page20"/>
    <w:bookmarkEnd w:id="19"/>
    <w:p>
      <w:pPr>
        <w:ind w:right="180"/>
        <w:spacing w:after="0" w:line="287" w:lineRule="auto"/>
        <w:rPr>
          <w:sz w:val="20"/>
          <w:szCs w:val="20"/>
          <w:color w:val="auto"/>
        </w:rPr>
      </w:pPr>
      <w:r>
        <w:rPr>
          <w:rFonts w:ascii="Times New Roman" w:cs="Times New Roman" w:eastAsia="Times New Roman" w:hAnsi="Times New Roman"/>
          <w:sz w:val="14"/>
          <w:szCs w:val="14"/>
          <w:color w:val="auto"/>
        </w:rPr>
        <w:t>component of Other income, net. The net loss related to these contracts was $3 million and $11 million for the three and nine months ended September 30, 2022, respectively, and a net loss of $3 million for the nine months ended September 30, 2021. These contracts typically mature within one year.</w:t>
      </w:r>
    </w:p>
    <w:p>
      <w:pPr>
        <w:spacing w:after="0" w:line="39" w:lineRule="exact"/>
        <w:rPr>
          <w:sz w:val="20"/>
          <w:szCs w:val="20"/>
          <w:color w:val="auto"/>
        </w:rPr>
      </w:pPr>
    </w:p>
    <w:p>
      <w:pPr>
        <w:ind w:right="60" w:firstLine="382"/>
        <w:spacing w:after="0" w:line="278" w:lineRule="auto"/>
        <w:rPr>
          <w:sz w:val="20"/>
          <w:szCs w:val="20"/>
          <w:color w:val="auto"/>
        </w:rPr>
      </w:pPr>
      <w:r>
        <w:rPr>
          <w:rFonts w:ascii="Times New Roman" w:cs="Times New Roman" w:eastAsia="Times New Roman" w:hAnsi="Times New Roman"/>
          <w:sz w:val="14"/>
          <w:szCs w:val="14"/>
          <w:color w:val="auto"/>
        </w:rPr>
        <w:t>The following table summarizes the gross notional amounts and fair values of the designated and non-designated hedges discussed in the above sections as of September 30, 2022, which are included in "Other current assets" and "Other accrued liabilities" on the Consolidated Balance Sheets:</w:t>
      </w: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Gross Notional Amount</w:t>
            </w:r>
          </w:p>
        </w:tc>
      </w:tr>
      <w:tr>
        <w:trPr>
          <w:trHeight w:val="122"/>
        </w:trPr>
        <w:tc>
          <w:tcPr>
            <w:tcW w:w="20" w:type="dxa"/>
            <w:vAlign w:val="bottom"/>
          </w:tcPr>
          <w:p>
            <w:pPr>
              <w:spacing w:after="0"/>
              <w:rPr>
                <w:sz w:val="10"/>
                <w:szCs w:val="10"/>
                <w:color w:val="auto"/>
              </w:rPr>
            </w:pPr>
          </w:p>
        </w:tc>
        <w:tc>
          <w:tcPr>
            <w:tcW w:w="30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620" w:type="dxa"/>
            <w:vAlign w:val="bottom"/>
            <w:gridSpan w:val="2"/>
          </w:tcPr>
          <w:p>
            <w:pPr>
              <w:jc w:val="center"/>
              <w:ind w:right="80"/>
              <w:spacing w:after="0" w:line="103" w:lineRule="exact"/>
              <w:rPr>
                <w:sz w:val="20"/>
                <w:szCs w:val="20"/>
                <w:color w:val="auto"/>
              </w:rPr>
            </w:pPr>
            <w:r>
              <w:rPr>
                <w:rFonts w:ascii="Times New Roman" w:cs="Times New Roman" w:eastAsia="Times New Roman" w:hAnsi="Times New Roman"/>
                <w:sz w:val="11"/>
                <w:szCs w:val="11"/>
                <w:b w:val="1"/>
                <w:bCs w:val="1"/>
                <w:color w:val="auto"/>
              </w:rPr>
              <w:t>Level</w:t>
            </w:r>
          </w:p>
        </w:tc>
        <w:tc>
          <w:tcPr>
            <w:tcW w:w="280" w:type="dxa"/>
            <w:vAlign w:val="bottom"/>
          </w:tcPr>
          <w:p>
            <w:pPr>
              <w:spacing w:after="0"/>
              <w:rPr>
                <w:sz w:val="10"/>
                <w:szCs w:val="10"/>
                <w:color w:val="auto"/>
              </w:rPr>
            </w:pPr>
          </w:p>
        </w:tc>
        <w:tc>
          <w:tcPr>
            <w:tcW w:w="1340" w:type="dxa"/>
            <w:vAlign w:val="bottom"/>
            <w:gridSpan w:val="2"/>
          </w:tcPr>
          <w:p>
            <w:pPr>
              <w:ind w:left="180"/>
              <w:spacing w:after="0" w:line="107" w:lineRule="exact"/>
              <w:rPr>
                <w:sz w:val="20"/>
                <w:szCs w:val="20"/>
                <w:color w:val="auto"/>
              </w:rPr>
            </w:pPr>
            <w:r>
              <w:rPr>
                <w:rFonts w:ascii="Times New Roman" w:cs="Times New Roman" w:eastAsia="Times New Roman" w:hAnsi="Times New Roman"/>
                <w:sz w:val="12"/>
                <w:szCs w:val="12"/>
                <w:b w:val="1"/>
                <w:bCs w:val="1"/>
                <w:color w:val="auto"/>
              </w:rPr>
              <w:t>Designated</w:t>
            </w:r>
          </w:p>
        </w:tc>
        <w:tc>
          <w:tcPr>
            <w:tcW w:w="300" w:type="dxa"/>
            <w:vAlign w:val="bottom"/>
          </w:tcPr>
          <w:p>
            <w:pPr>
              <w:spacing w:after="0"/>
              <w:rPr>
                <w:sz w:val="10"/>
                <w:szCs w:val="10"/>
                <w:color w:val="auto"/>
              </w:rPr>
            </w:pPr>
          </w:p>
        </w:tc>
        <w:tc>
          <w:tcPr>
            <w:tcW w:w="124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b w:val="1"/>
                <w:bCs w:val="1"/>
                <w:color w:val="auto"/>
              </w:rPr>
              <w:t>Non-Designated</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ind w:left="200"/>
              <w:spacing w:after="0" w:line="107" w:lineRule="exact"/>
              <w:rPr>
                <w:sz w:val="20"/>
                <w:szCs w:val="20"/>
                <w:color w:val="auto"/>
              </w:rPr>
            </w:pPr>
            <w:r>
              <w:rPr>
                <w:rFonts w:ascii="Times New Roman" w:cs="Times New Roman" w:eastAsia="Times New Roman" w:hAnsi="Times New Roman"/>
                <w:sz w:val="12"/>
                <w:szCs w:val="12"/>
                <w:b w:val="1"/>
                <w:bCs w:val="1"/>
                <w:color w:val="auto"/>
              </w:rPr>
              <w:t>Designated</w:t>
            </w:r>
          </w:p>
        </w:tc>
        <w:tc>
          <w:tcPr>
            <w:tcW w:w="220" w:type="dxa"/>
            <w:vAlign w:val="bottom"/>
          </w:tcPr>
          <w:p>
            <w:pPr>
              <w:spacing w:after="0"/>
              <w:rPr>
                <w:sz w:val="10"/>
                <w:szCs w:val="10"/>
                <w:color w:val="auto"/>
              </w:rPr>
            </w:pPr>
          </w:p>
        </w:tc>
        <w:tc>
          <w:tcPr>
            <w:tcW w:w="1320" w:type="dxa"/>
            <w:vAlign w:val="bottom"/>
          </w:tcPr>
          <w:p>
            <w:pPr>
              <w:jc w:val="right"/>
              <w:ind w:right="272"/>
              <w:spacing w:after="0" w:line="107" w:lineRule="exact"/>
              <w:rPr>
                <w:sz w:val="20"/>
                <w:szCs w:val="20"/>
                <w:color w:val="auto"/>
              </w:rPr>
            </w:pPr>
            <w:r>
              <w:rPr>
                <w:rFonts w:ascii="Times New Roman" w:cs="Times New Roman" w:eastAsia="Times New Roman" w:hAnsi="Times New Roman"/>
                <w:sz w:val="12"/>
                <w:szCs w:val="12"/>
                <w:b w:val="1"/>
                <w:bCs w:val="1"/>
                <w:color w:val="auto"/>
              </w:rPr>
              <w:t>Non-Designated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current assets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Cross-currency Swaps</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right="80" w:firstLine="382"/>
        <w:spacing w:after="0" w:line="278" w:lineRule="auto"/>
        <w:rPr>
          <w:sz w:val="20"/>
          <w:szCs w:val="20"/>
          <w:color w:val="auto"/>
        </w:rPr>
      </w:pPr>
      <w:r>
        <w:rPr>
          <w:rFonts w:ascii="Times New Roman" w:cs="Times New Roman" w:eastAsia="Times New Roman" w:hAnsi="Times New Roman"/>
          <w:sz w:val="14"/>
          <w:szCs w:val="14"/>
          <w:color w:val="auto"/>
        </w:rPr>
        <w:t>The following table summarizes the gross notional amounts and fair values of the designated and non-designated hedges discussed in the above sections as of December 31, 2021, which are included in "Other current assets" and "Other accrued liabilities" on the Consolidated Balance Sheets:</w:t>
      </w: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3"/>
                <w:szCs w:val="13"/>
                <w:b w:val="1"/>
                <w:bCs w:val="1"/>
                <w:color w:val="auto"/>
              </w:rPr>
              <w:t>Gross Notional Amount</w:t>
            </w:r>
          </w:p>
        </w:tc>
      </w:tr>
      <w:tr>
        <w:trPr>
          <w:trHeight w:val="122"/>
        </w:trPr>
        <w:tc>
          <w:tcPr>
            <w:tcW w:w="20" w:type="dxa"/>
            <w:vAlign w:val="bottom"/>
          </w:tcPr>
          <w:p>
            <w:pPr>
              <w:spacing w:after="0"/>
              <w:rPr>
                <w:sz w:val="10"/>
                <w:szCs w:val="10"/>
                <w:color w:val="auto"/>
              </w:rPr>
            </w:pPr>
          </w:p>
        </w:tc>
        <w:tc>
          <w:tcPr>
            <w:tcW w:w="30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600" w:type="dxa"/>
            <w:vAlign w:val="bottom"/>
            <w:gridSpan w:val="2"/>
          </w:tcPr>
          <w:p>
            <w:pPr>
              <w:jc w:val="center"/>
              <w:ind w:right="100"/>
              <w:spacing w:after="0" w:line="103" w:lineRule="exact"/>
              <w:rPr>
                <w:sz w:val="20"/>
                <w:szCs w:val="20"/>
                <w:color w:val="auto"/>
              </w:rPr>
            </w:pPr>
            <w:r>
              <w:rPr>
                <w:rFonts w:ascii="Times New Roman" w:cs="Times New Roman" w:eastAsia="Times New Roman" w:hAnsi="Times New Roman"/>
                <w:sz w:val="11"/>
                <w:szCs w:val="11"/>
                <w:b w:val="1"/>
                <w:bCs w:val="1"/>
                <w:color w:val="auto"/>
              </w:rPr>
              <w:t>Level</w:t>
            </w:r>
          </w:p>
        </w:tc>
        <w:tc>
          <w:tcPr>
            <w:tcW w:w="280" w:type="dxa"/>
            <w:vAlign w:val="bottom"/>
          </w:tcPr>
          <w:p>
            <w:pPr>
              <w:spacing w:after="0"/>
              <w:rPr>
                <w:sz w:val="10"/>
                <w:szCs w:val="10"/>
                <w:color w:val="auto"/>
              </w:rPr>
            </w:pPr>
          </w:p>
        </w:tc>
        <w:tc>
          <w:tcPr>
            <w:tcW w:w="1340" w:type="dxa"/>
            <w:vAlign w:val="bottom"/>
            <w:gridSpan w:val="2"/>
          </w:tcPr>
          <w:p>
            <w:pPr>
              <w:ind w:left="180"/>
              <w:spacing w:after="0" w:line="107" w:lineRule="exact"/>
              <w:rPr>
                <w:sz w:val="20"/>
                <w:szCs w:val="20"/>
                <w:color w:val="auto"/>
              </w:rPr>
            </w:pPr>
            <w:r>
              <w:rPr>
                <w:rFonts w:ascii="Times New Roman" w:cs="Times New Roman" w:eastAsia="Times New Roman" w:hAnsi="Times New Roman"/>
                <w:sz w:val="12"/>
                <w:szCs w:val="12"/>
                <w:b w:val="1"/>
                <w:bCs w:val="1"/>
                <w:color w:val="auto"/>
              </w:rPr>
              <w:t>Designated</w:t>
            </w:r>
          </w:p>
        </w:tc>
        <w:tc>
          <w:tcPr>
            <w:tcW w:w="280" w:type="dxa"/>
            <w:vAlign w:val="bottom"/>
          </w:tcPr>
          <w:p>
            <w:pPr>
              <w:spacing w:after="0"/>
              <w:rPr>
                <w:sz w:val="10"/>
                <w:szCs w:val="10"/>
                <w:color w:val="auto"/>
              </w:rPr>
            </w:pPr>
          </w:p>
        </w:tc>
        <w:tc>
          <w:tcPr>
            <w:tcW w:w="124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b w:val="1"/>
                <w:bCs w:val="1"/>
                <w:color w:val="auto"/>
              </w:rPr>
              <w:t>Non-Designated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tcPr>
          <w:p>
            <w:pPr>
              <w:ind w:left="200"/>
              <w:spacing w:after="0" w:line="107" w:lineRule="exact"/>
              <w:rPr>
                <w:sz w:val="20"/>
                <w:szCs w:val="20"/>
                <w:color w:val="auto"/>
              </w:rPr>
            </w:pPr>
            <w:r>
              <w:rPr>
                <w:rFonts w:ascii="Times New Roman" w:cs="Times New Roman" w:eastAsia="Times New Roman" w:hAnsi="Times New Roman"/>
                <w:sz w:val="12"/>
                <w:szCs w:val="12"/>
                <w:b w:val="1"/>
                <w:bCs w:val="1"/>
                <w:color w:val="auto"/>
              </w:rPr>
              <w:t>Designated</w:t>
            </w:r>
          </w:p>
        </w:tc>
        <w:tc>
          <w:tcPr>
            <w:tcW w:w="200" w:type="dxa"/>
            <w:vAlign w:val="bottom"/>
          </w:tcPr>
          <w:p>
            <w:pPr>
              <w:spacing w:after="0"/>
              <w:rPr>
                <w:sz w:val="10"/>
                <w:szCs w:val="10"/>
                <w:color w:val="auto"/>
              </w:rPr>
            </w:pPr>
          </w:p>
        </w:tc>
        <w:tc>
          <w:tcPr>
            <w:tcW w:w="1320" w:type="dxa"/>
            <w:vAlign w:val="bottom"/>
          </w:tcPr>
          <w:p>
            <w:pPr>
              <w:jc w:val="right"/>
              <w:ind w:right="252"/>
              <w:spacing w:after="0" w:line="107" w:lineRule="exact"/>
              <w:rPr>
                <w:sz w:val="20"/>
                <w:szCs w:val="20"/>
                <w:color w:val="auto"/>
              </w:rPr>
            </w:pPr>
            <w:r>
              <w:rPr>
                <w:rFonts w:ascii="Times New Roman" w:cs="Times New Roman" w:eastAsia="Times New Roman" w:hAnsi="Times New Roman"/>
                <w:sz w:val="12"/>
                <w:szCs w:val="12"/>
                <w:b w:val="1"/>
                <w:bCs w:val="1"/>
                <w:color w:val="auto"/>
              </w:rPr>
              <w:t>Non-Designated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current assets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Cross-currency Swaps</w:t>
            </w: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current assets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96" w:lineRule="exact"/>
        <w:rPr>
          <w:sz w:val="20"/>
          <w:szCs w:val="20"/>
          <w:color w:val="auto"/>
        </w:rPr>
      </w:pPr>
    </w:p>
    <w:p>
      <w:pPr>
        <w:jc w:val="both"/>
        <w:ind w:right="480" w:firstLine="382"/>
        <w:spacing w:after="0" w:line="301" w:lineRule="auto"/>
        <w:rPr>
          <w:sz w:val="20"/>
          <w:szCs w:val="20"/>
          <w:color w:val="auto"/>
        </w:rPr>
      </w:pPr>
      <w:r>
        <w:rPr>
          <w:rFonts w:ascii="Times New Roman" w:cs="Times New Roman" w:eastAsia="Times New Roman" w:hAnsi="Times New Roman"/>
          <w:sz w:val="14"/>
          <w:szCs w:val="14"/>
          <w:color w:val="auto"/>
        </w:rPr>
        <w:t>The Company may use interest rate swap contracts on certain investing and borrowing transactions to manage its net exposure to interest rate changes and to reduce its overall cost of borrowing. The Company does not use leveraged swaps and, in general, does not leverage any of its investment activities that would put principal capital at risk. For the nine months ended September 30, 2022 and 2021 the amounts reclassified into income were not material.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Commodity Price Risk</w:t>
      </w:r>
    </w:p>
    <w:p>
      <w:pPr>
        <w:spacing w:after="0" w:line="96"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The Company may use commodity forward contracts and futures to mitigate its exposure to commodity price changes and to reduce its overall cost of manufacturing. For the nine months ended September 30, 2022 and 2021 the amounts recognized as income or expense were not 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COMMITMENTS AND CONTINGENCIES</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5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846" w:right="439" w:bottom="1440" w:gutter="0" w:footer="0" w:header="0"/>
        </w:sectPr>
      </w:pPr>
    </w:p>
    <w:bookmarkStart w:id="20" w:name="page21"/>
    <w:bookmarkEnd w:id="20"/>
    <w:p>
      <w:pPr>
        <w:ind w:right="20" w:firstLine="382"/>
        <w:spacing w:after="0" w:line="256" w:lineRule="auto"/>
        <w:rPr>
          <w:sz w:val="20"/>
          <w:szCs w:val="20"/>
          <w:color w:val="auto"/>
        </w:rPr>
      </w:pPr>
      <w:r>
        <w:rPr>
          <w:rFonts w:ascii="Times New Roman" w:cs="Times New Roman" w:eastAsia="Times New Roman" w:hAnsi="Times New Roman"/>
          <w:sz w:val="14"/>
          <w:szCs w:val="14"/>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$37 million through July 31, 2017 and were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claim notices or alleged damages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complaint generally supports Xorail’s position and does not name or implicate Xorail. DTC's claim against RTD proceeded to trial on September 21, 2020; the trial has been completed, including post-trial submissions.</w:t>
      </w:r>
    </w:p>
    <w:p>
      <w:pPr>
        <w:spacing w:after="0" w:line="61"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SEGMENT INFORMATION</w:t>
      </w:r>
    </w:p>
    <w:p>
      <w:pPr>
        <w:spacing w:after="0" w:line="96" w:lineRule="exact"/>
        <w:rPr>
          <w:sz w:val="20"/>
          <w:szCs w:val="20"/>
          <w:color w:val="auto"/>
        </w:rPr>
      </w:pPr>
    </w:p>
    <w:p>
      <w:pPr>
        <w:ind w:right="420" w:firstLine="382"/>
        <w:spacing w:after="0" w:line="287" w:lineRule="auto"/>
        <w:rPr>
          <w:sz w:val="20"/>
          <w:szCs w:val="20"/>
          <w:color w:val="auto"/>
        </w:rPr>
      </w:pPr>
      <w:r>
        <w:rPr>
          <w:rFonts w:ascii="Times New Roman" w:cs="Times New Roman" w:eastAsia="Times New Roman" w:hAnsi="Times New Roman"/>
          <w:sz w:val="14"/>
          <w:szCs w:val="14"/>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w:t>
      </w:r>
    </w:p>
    <w:p>
      <w:pPr>
        <w:spacing w:after="0" w:line="37" w:lineRule="exact"/>
        <w:rPr>
          <w:sz w:val="20"/>
          <w:szCs w:val="20"/>
          <w:color w:val="auto"/>
        </w:rPr>
      </w:pPr>
    </w:p>
    <w:p>
      <w:pPr>
        <w:ind w:right="180" w:firstLine="382"/>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Freight Segment </w:t>
      </w:r>
      <w:r>
        <w:rPr>
          <w:rFonts w:ascii="Times New Roman" w:cs="Times New Roman" w:eastAsia="Times New Roman" w:hAnsi="Times New Roman"/>
          <w:sz w:val="14"/>
          <w:szCs w:val="14"/>
          <w:color w:val="auto"/>
        </w:rPr>
        <w:t>primarily builds new locomotives, manufactures and services components for new and existing freight cars and locomotives, rebuilds freight locomotives, supplies railway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 We refer to sales of both goods, such as spare parts and equipment upgrades, and related services, such as monitoring, maintenance and repairs, as sales in our Services product line.</w:t>
      </w:r>
    </w:p>
    <w:p>
      <w:pPr>
        <w:spacing w:after="0" w:line="53" w:lineRule="exact"/>
        <w:rPr>
          <w:sz w:val="20"/>
          <w:szCs w:val="20"/>
          <w:color w:val="auto"/>
        </w:rPr>
      </w:pPr>
    </w:p>
    <w:p>
      <w:pPr>
        <w:ind w:right="140" w:firstLine="382"/>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Transit Segment </w:t>
      </w:r>
      <w:r>
        <w:rPr>
          <w:rFonts w:ascii="Times New Roman" w:cs="Times New Roman" w:eastAsia="Times New Roman" w:hAnsi="Times New Roman"/>
          <w:sz w:val="14"/>
          <w:szCs w:val="14"/>
          <w:color w:val="auto"/>
        </w:rPr>
        <w:t>primarily manufactures and services components for new and existing passenger transit vehicles, typically regional trains, high speed trains, subway cars, light-rail vehicles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buses. It also refurbishes subway cars and provides heating, ventilation, and air conditioning equipment and doors for buses and subway cars. Customers include public transit authorities and municipalities, leasing companies and manufacturers of subway cars and buses around the world.</w:t>
      </w:r>
    </w:p>
    <w:p>
      <w:pPr>
        <w:spacing w:after="0" w:line="51" w:lineRule="exact"/>
        <w:rPr>
          <w:sz w:val="20"/>
          <w:szCs w:val="20"/>
          <w:color w:val="auto"/>
        </w:rPr>
      </w:pPr>
    </w:p>
    <w:p>
      <w:pPr>
        <w:jc w:val="both"/>
        <w:ind w:right="100" w:firstLine="382"/>
        <w:spacing w:after="0" w:line="270" w:lineRule="auto"/>
        <w:rPr>
          <w:sz w:val="20"/>
          <w:szCs w:val="20"/>
          <w:color w:val="auto"/>
        </w:rPr>
      </w:pPr>
      <w:r>
        <w:rPr>
          <w:rFonts w:ascii="Times New Roman" w:cs="Times New Roman" w:eastAsia="Times New Roman" w:hAnsi="Times New Roman"/>
          <w:sz w:val="14"/>
          <w:szCs w:val="14"/>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Segment financial information for the three months ended September 30, 2022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8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Freight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Transit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Activities and</w:t>
            </w:r>
          </w:p>
        </w:tc>
        <w:tc>
          <w:tcPr>
            <w:tcW w:w="360" w:type="dxa"/>
            <w:vAlign w:val="bottom"/>
          </w:tcPr>
          <w:p>
            <w:pPr>
              <w:spacing w:after="0"/>
              <w:rPr>
                <w:sz w:val="11"/>
                <w:szCs w:val="11"/>
                <w:color w:val="auto"/>
              </w:rPr>
            </w:pPr>
          </w:p>
        </w:tc>
        <w:tc>
          <w:tcPr>
            <w:tcW w:w="1160" w:type="dxa"/>
            <w:vAlign w:val="bottom"/>
            <w:vMerge w:val="restart"/>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8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80" w:type="dxa"/>
            <w:vAlign w:val="bottom"/>
          </w:tcPr>
          <w:p>
            <w:pPr>
              <w:jc w:val="right"/>
              <w:ind w:right="13"/>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73"/>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2"/>
                <w:szCs w:val="12"/>
                <w:b w:val="1"/>
                <w:bCs w:val="1"/>
                <w:color w:val="auto"/>
              </w:rPr>
              <w:t>Elimination</w:t>
            </w:r>
          </w:p>
        </w:tc>
        <w:tc>
          <w:tcPr>
            <w:tcW w:w="3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to external customers</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center"/>
              <w:ind w:left="972"/>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Intersegment sales/(elimination)</w:t>
            </w:r>
          </w:p>
        </w:tc>
        <w:tc>
          <w:tcPr>
            <w:tcW w:w="10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left="952"/>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sales</w:t>
            </w:r>
          </w:p>
        </w:tc>
        <w:tc>
          <w:tcPr>
            <w:tcW w:w="108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center"/>
              <w:ind w:left="952"/>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60" w:type="dxa"/>
            <w:vAlign w:val="bottom"/>
            <w:gridSpan w:val="2"/>
            <w:vMerge w:val="continue"/>
          </w:tcPr>
          <w:p>
            <w:pPr>
              <w:spacing w:after="0"/>
              <w:rPr>
                <w:sz w:val="12"/>
                <w:szCs w:val="12"/>
                <w:color w:val="auto"/>
              </w:rPr>
            </w:pPr>
          </w:p>
        </w:tc>
        <w:tc>
          <w:tcPr>
            <w:tcW w:w="1080" w:type="dxa"/>
            <w:vAlign w:val="bottom"/>
          </w:tcPr>
          <w:p>
            <w:pPr>
              <w:jc w:val="right"/>
              <w:ind w:right="913"/>
              <w:spacing w:after="0" w:line="14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2"/>
                <w:szCs w:val="12"/>
                <w:color w:val="auto"/>
              </w:rPr>
            </w:pPr>
          </w:p>
        </w:tc>
        <w:tc>
          <w:tcPr>
            <w:tcW w:w="1140" w:type="dxa"/>
            <w:vAlign w:val="bottom"/>
          </w:tcPr>
          <w:p>
            <w:pPr>
              <w:jc w:val="right"/>
              <w:ind w:right="973"/>
              <w:spacing w:after="0" w:line="143"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2"/>
                <w:szCs w:val="12"/>
                <w:color w:val="auto"/>
              </w:rPr>
            </w:pPr>
          </w:p>
        </w:tc>
        <w:tc>
          <w:tcPr>
            <w:tcW w:w="220" w:type="dxa"/>
            <w:vAlign w:val="bottom"/>
          </w:tcPr>
          <w:p>
            <w:pPr>
              <w:jc w:val="right"/>
              <w:ind w:right="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center"/>
              <w:ind w:left="952"/>
              <w:spacing w:after="0" w:line="143"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360" w:type="dxa"/>
            <w:vAlign w:val="bottom"/>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0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8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center"/>
              <w:ind w:left="952"/>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1" w:name="page22"/>
    <w:bookmarkEnd w:id="21"/>
    <w:p>
      <w:pPr>
        <w:ind w:left="380"/>
        <w:spacing w:after="0"/>
        <w:rPr>
          <w:sz w:val="20"/>
          <w:szCs w:val="20"/>
          <w:color w:val="auto"/>
        </w:rPr>
      </w:pPr>
      <w:r>
        <w:rPr>
          <w:rFonts w:ascii="Times New Roman" w:cs="Times New Roman" w:eastAsia="Times New Roman" w:hAnsi="Times New Roman"/>
          <w:sz w:val="14"/>
          <w:szCs w:val="14"/>
          <w:color w:val="auto"/>
        </w:rPr>
        <w:t>Segment financial information for the three months ended September 30, 2021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8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Freight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Transit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Activities and</w:t>
            </w:r>
          </w:p>
        </w:tc>
        <w:tc>
          <w:tcPr>
            <w:tcW w:w="360" w:type="dxa"/>
            <w:vAlign w:val="bottom"/>
          </w:tcPr>
          <w:p>
            <w:pPr>
              <w:spacing w:after="0"/>
              <w:rPr>
                <w:sz w:val="11"/>
                <w:szCs w:val="11"/>
                <w:color w:val="auto"/>
              </w:rPr>
            </w:pPr>
          </w:p>
        </w:tc>
        <w:tc>
          <w:tcPr>
            <w:tcW w:w="1160" w:type="dxa"/>
            <w:vAlign w:val="bottom"/>
            <w:vMerge w:val="restart"/>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8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80" w:type="dxa"/>
            <w:vAlign w:val="bottom"/>
          </w:tcPr>
          <w:p>
            <w:pPr>
              <w:jc w:val="right"/>
              <w:ind w:right="13"/>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73"/>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2"/>
                <w:szCs w:val="12"/>
                <w:b w:val="1"/>
                <w:bCs w:val="1"/>
                <w:color w:val="auto"/>
              </w:rPr>
              <w:t>Elimination</w:t>
            </w:r>
          </w:p>
        </w:tc>
        <w:tc>
          <w:tcPr>
            <w:tcW w:w="3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to external customers</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center"/>
              <w:ind w:left="972"/>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Intersegment sales/(elimination)</w:t>
            </w:r>
          </w:p>
        </w:tc>
        <w:tc>
          <w:tcPr>
            <w:tcW w:w="10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left="952"/>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sales</w:t>
            </w:r>
          </w:p>
        </w:tc>
        <w:tc>
          <w:tcPr>
            <w:tcW w:w="108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center"/>
              <w:ind w:left="952"/>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60" w:type="dxa"/>
            <w:vAlign w:val="bottom"/>
            <w:gridSpan w:val="2"/>
            <w:vMerge w:val="continue"/>
          </w:tcPr>
          <w:p>
            <w:pPr>
              <w:spacing w:after="0"/>
              <w:rPr>
                <w:sz w:val="12"/>
                <w:szCs w:val="12"/>
                <w:color w:val="auto"/>
              </w:rPr>
            </w:pPr>
          </w:p>
        </w:tc>
        <w:tc>
          <w:tcPr>
            <w:tcW w:w="1080" w:type="dxa"/>
            <w:vAlign w:val="bottom"/>
          </w:tcPr>
          <w:p>
            <w:pPr>
              <w:jc w:val="right"/>
              <w:ind w:right="913"/>
              <w:spacing w:after="0" w:line="14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2"/>
                <w:szCs w:val="12"/>
                <w:color w:val="auto"/>
              </w:rPr>
            </w:pPr>
          </w:p>
        </w:tc>
        <w:tc>
          <w:tcPr>
            <w:tcW w:w="1140" w:type="dxa"/>
            <w:vAlign w:val="bottom"/>
          </w:tcPr>
          <w:p>
            <w:pPr>
              <w:jc w:val="right"/>
              <w:ind w:right="973"/>
              <w:spacing w:after="0" w:line="143"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2"/>
                <w:szCs w:val="12"/>
                <w:color w:val="auto"/>
              </w:rPr>
            </w:pPr>
          </w:p>
        </w:tc>
        <w:tc>
          <w:tcPr>
            <w:tcW w:w="220" w:type="dxa"/>
            <w:vAlign w:val="bottom"/>
          </w:tcPr>
          <w:p>
            <w:pPr>
              <w:jc w:val="right"/>
              <w:ind w:right="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center"/>
              <w:ind w:left="952"/>
              <w:spacing w:after="0" w:line="143"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360" w:type="dxa"/>
            <w:vAlign w:val="bottom"/>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0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8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center"/>
              <w:ind w:left="952"/>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Segment financial information for the nine months ended September 30, 2022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8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Freight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2"/>
              </w:rPr>
              <w:t>Transit</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Activities and</w:t>
            </w:r>
          </w:p>
        </w:tc>
        <w:tc>
          <w:tcPr>
            <w:tcW w:w="360" w:type="dxa"/>
            <w:vAlign w:val="bottom"/>
          </w:tcPr>
          <w:p>
            <w:pPr>
              <w:spacing w:after="0"/>
              <w:rPr>
                <w:sz w:val="11"/>
                <w:szCs w:val="11"/>
                <w:color w:val="auto"/>
              </w:rPr>
            </w:pPr>
          </w:p>
        </w:tc>
        <w:tc>
          <w:tcPr>
            <w:tcW w:w="1160" w:type="dxa"/>
            <w:vAlign w:val="bottom"/>
            <w:vMerge w:val="restart"/>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8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80" w:type="dxa"/>
            <w:vAlign w:val="bottom"/>
          </w:tcPr>
          <w:p>
            <w:pPr>
              <w:jc w:val="right"/>
              <w:ind w:right="13"/>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2"/>
          </w:tcPr>
          <w:p>
            <w:pPr>
              <w:jc w:val="center"/>
              <w:ind w:right="420"/>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2"/>
                <w:szCs w:val="12"/>
                <w:b w:val="1"/>
                <w:bCs w:val="1"/>
                <w:color w:val="auto"/>
              </w:rPr>
              <w:t>Elimination</w:t>
            </w:r>
          </w:p>
        </w:tc>
        <w:tc>
          <w:tcPr>
            <w:tcW w:w="3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to external customers</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6,056</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Intersegment sales/(elimination)</w:t>
            </w:r>
          </w:p>
        </w:tc>
        <w:tc>
          <w:tcPr>
            <w:tcW w:w="10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sales</w:t>
            </w:r>
          </w:p>
        </w:tc>
        <w:tc>
          <w:tcPr>
            <w:tcW w:w="108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60" w:type="dxa"/>
            <w:vAlign w:val="bottom"/>
            <w:gridSpan w:val="2"/>
            <w:vMerge w:val="continue"/>
          </w:tcPr>
          <w:p>
            <w:pPr>
              <w:spacing w:after="0"/>
              <w:rPr>
                <w:sz w:val="12"/>
                <w:szCs w:val="12"/>
                <w:color w:val="auto"/>
              </w:rPr>
            </w:pPr>
          </w:p>
        </w:tc>
        <w:tc>
          <w:tcPr>
            <w:tcW w:w="1080" w:type="dxa"/>
            <w:vAlign w:val="bottom"/>
          </w:tcPr>
          <w:p>
            <w:pPr>
              <w:jc w:val="right"/>
              <w:ind w:right="913"/>
              <w:spacing w:after="0" w:line="14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655</w:t>
            </w:r>
          </w:p>
        </w:tc>
        <w:tc>
          <w:tcPr>
            <w:tcW w:w="80" w:type="dxa"/>
            <w:vAlign w:val="bottom"/>
          </w:tcPr>
          <w:p>
            <w:pPr>
              <w:spacing w:after="0"/>
              <w:rPr>
                <w:sz w:val="12"/>
                <w:szCs w:val="12"/>
                <w:color w:val="auto"/>
              </w:rPr>
            </w:pPr>
          </w:p>
        </w:tc>
        <w:tc>
          <w:tcPr>
            <w:tcW w:w="320" w:type="dxa"/>
            <w:vAlign w:val="bottom"/>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2"/>
                <w:szCs w:val="12"/>
                <w:color w:val="auto"/>
              </w:rPr>
            </w:pPr>
          </w:p>
        </w:tc>
        <w:tc>
          <w:tcPr>
            <w:tcW w:w="220" w:type="dxa"/>
            <w:vAlign w:val="bottom"/>
          </w:tcPr>
          <w:p>
            <w:pPr>
              <w:jc w:val="right"/>
              <w:ind w:right="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2"/>
                <w:szCs w:val="12"/>
                <w:color w:val="auto"/>
              </w:rPr>
            </w:pPr>
          </w:p>
        </w:tc>
        <w:tc>
          <w:tcPr>
            <w:tcW w:w="360" w:type="dxa"/>
            <w:vAlign w:val="bottom"/>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0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8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Segment financial information for the nine months ended September 30, 2021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restart"/>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w w:val="97"/>
              </w:rPr>
              <w:t>Freight</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Transit</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center"/>
              <w:ind w:right="3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Activities and</w:t>
            </w:r>
          </w:p>
        </w:tc>
        <w:tc>
          <w:tcPr>
            <w:tcW w:w="560" w:type="dxa"/>
            <w:vAlign w:val="bottom"/>
          </w:tcPr>
          <w:p>
            <w:pPr>
              <w:spacing w:after="0"/>
              <w:rPr>
                <w:sz w:val="11"/>
                <w:szCs w:val="11"/>
                <w:color w:val="auto"/>
              </w:rPr>
            </w:pPr>
          </w:p>
        </w:tc>
        <w:tc>
          <w:tcPr>
            <w:tcW w:w="960" w:type="dxa"/>
            <w:vAlign w:val="bottom"/>
            <w:vMerge w:val="restart"/>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8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0" w:type="dxa"/>
            <w:vAlign w:val="bottom"/>
          </w:tcPr>
          <w:p>
            <w:pPr>
              <w:spacing w:after="0"/>
              <w:rPr>
                <w:sz w:val="11"/>
                <w:szCs w:val="11"/>
                <w:color w:val="auto"/>
              </w:rPr>
            </w:pPr>
          </w:p>
        </w:tc>
        <w:tc>
          <w:tcPr>
            <w:tcW w:w="1000" w:type="dxa"/>
            <w:vAlign w:val="bottom"/>
          </w:tcPr>
          <w:p>
            <w:pPr>
              <w:jc w:val="center"/>
              <w:ind w:left="436"/>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jc w:val="right"/>
              <w:ind w:right="14"/>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center"/>
              <w:ind w:right="340"/>
              <w:spacing w:after="0" w:line="107" w:lineRule="exact"/>
              <w:rPr>
                <w:sz w:val="20"/>
                <w:szCs w:val="20"/>
                <w:color w:val="auto"/>
              </w:rPr>
            </w:pPr>
            <w:r>
              <w:rPr>
                <w:rFonts w:ascii="Times New Roman" w:cs="Times New Roman" w:eastAsia="Times New Roman" w:hAnsi="Times New Roman"/>
                <w:sz w:val="12"/>
                <w:szCs w:val="12"/>
                <w:b w:val="1"/>
                <w:bCs w:val="1"/>
                <w:color w:val="auto"/>
              </w:rPr>
              <w:t>Elimination</w:t>
            </w:r>
          </w:p>
        </w:tc>
        <w:tc>
          <w:tcPr>
            <w:tcW w:w="5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to external customers</w:t>
            </w:r>
          </w:p>
        </w:tc>
        <w:tc>
          <w:tcPr>
            <w:tcW w:w="1020" w:type="dxa"/>
            <w:vAlign w:val="bottom"/>
            <w:gridSpan w:val="2"/>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Intersegment sales/(elimination)</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sales</w:t>
            </w:r>
          </w:p>
        </w:tc>
        <w:tc>
          <w:tcPr>
            <w:tcW w:w="1020" w:type="dxa"/>
            <w:vAlign w:val="bottom"/>
            <w:tcBorders>
              <w:bottom w:val="single" w:sz="8" w:color="auto"/>
            </w:tcBorders>
            <w:gridSpan w:val="2"/>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60" w:type="dxa"/>
            <w:vAlign w:val="bottom"/>
            <w:gridSpan w:val="2"/>
            <w:vMerge w:val="continue"/>
          </w:tcPr>
          <w:p>
            <w:pPr>
              <w:spacing w:after="0"/>
              <w:rPr>
                <w:sz w:val="12"/>
                <w:szCs w:val="12"/>
                <w:color w:val="auto"/>
              </w:rPr>
            </w:pPr>
          </w:p>
        </w:tc>
        <w:tc>
          <w:tcPr>
            <w:tcW w:w="1020" w:type="dxa"/>
            <w:vAlign w:val="bottom"/>
            <w:gridSpan w:val="2"/>
          </w:tcPr>
          <w:p>
            <w:pPr>
              <w:jc w:val="right"/>
              <w:ind w:right="856"/>
              <w:spacing w:after="0" w:line="143"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914"/>
              <w:spacing w:after="0" w:line="14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159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ind w:right="104"/>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4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20" w:type="dxa"/>
            <w:vAlign w:val="bottom"/>
            <w:tcBorders>
              <w:top w:val="single" w:sz="8" w:color="auto"/>
              <w:bottom w:val="single" w:sz="8" w:color="auto"/>
            </w:tcBorders>
            <w:gridSpan w:val="2"/>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top w:val="single" w:sz="8" w:color="auto"/>
              <w:bottom w:val="single" w:sz="8" w:color="auto"/>
            </w:tcBorders>
            <w:gridSpan w:val="2"/>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Sales to external customers by product line are as follows:</w:t>
            </w: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gridSpan w:val="5"/>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0" w:type="dxa"/>
            <w:vAlign w:val="bottom"/>
          </w:tcPr>
          <w:p>
            <w:pPr>
              <w:spacing w:after="0"/>
              <w:rPr>
                <w:sz w:val="10"/>
                <w:szCs w:val="10"/>
                <w:color w:val="auto"/>
              </w:rPr>
            </w:pPr>
          </w:p>
        </w:tc>
        <w:tc>
          <w:tcPr>
            <w:tcW w:w="1000" w:type="dxa"/>
            <w:vAlign w:val="bottom"/>
          </w:tcPr>
          <w:p>
            <w:pPr>
              <w:jc w:val="right"/>
              <w:ind w:right="36"/>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94"/>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jc w:val="center"/>
              <w:ind w:right="152"/>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jc w:val="right"/>
              <w:ind w:right="570"/>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Freight Segment</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Services</w:t>
            </w:r>
          </w:p>
        </w:tc>
        <w:tc>
          <w:tcPr>
            <w:tcW w:w="1020" w:type="dxa"/>
            <w:vAlign w:val="bottom"/>
            <w:gridSpan w:val="2"/>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Equipment</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Components</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Digital Electronics</w:t>
            </w:r>
          </w:p>
        </w:tc>
        <w:tc>
          <w:tcPr>
            <w:tcW w:w="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Freight Segment</w:t>
            </w:r>
          </w:p>
        </w:tc>
        <w:tc>
          <w:tcPr>
            <w:tcW w:w="20" w:type="dxa"/>
            <w:vAlign w:val="bottom"/>
          </w:tcPr>
          <w:p>
            <w:pPr>
              <w:spacing w:after="0"/>
              <w:rPr>
                <w:sz w:val="14"/>
                <w:szCs w:val="14"/>
                <w:color w:val="auto"/>
              </w:rPr>
            </w:pPr>
          </w:p>
        </w:tc>
        <w:tc>
          <w:tcPr>
            <w:tcW w:w="10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Transit Segment</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Original Equipment Manufacturer</w:t>
            </w:r>
          </w:p>
        </w:tc>
        <w:tc>
          <w:tcPr>
            <w:tcW w:w="1020" w:type="dxa"/>
            <w:vAlign w:val="bottom"/>
            <w:gridSpan w:val="2"/>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Aftermarket</w:t>
            </w:r>
          </w:p>
        </w:tc>
        <w:tc>
          <w:tcPr>
            <w:tcW w:w="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Transit Segment</w:t>
            </w:r>
          </w:p>
        </w:tc>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2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22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16. OTHER INCOME,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Other income, net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96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6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90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0"/>
                <w:szCs w:val="10"/>
                <w:color w:val="auto"/>
              </w:rPr>
            </w:pPr>
          </w:p>
        </w:tc>
        <w:tc>
          <w:tcPr>
            <w:tcW w:w="1160" w:type="dxa"/>
            <w:vAlign w:val="bottom"/>
          </w:tcPr>
          <w:p>
            <w:pPr>
              <w:jc w:val="right"/>
              <w:ind w:right="572"/>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jc w:val="right"/>
              <w:ind w:right="571"/>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jc w:val="right"/>
              <w:ind w:right="573"/>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jc w:val="right"/>
              <w:ind w:right="571"/>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(loss) gain</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center"/>
              <w:ind w:left="892"/>
              <w:spacing w:after="0"/>
              <w:rPr>
                <w:sz w:val="20"/>
                <w:szCs w:val="20"/>
                <w:color w:val="auto"/>
              </w:rPr>
            </w:pPr>
            <w:r>
              <w:rPr>
                <w:rFonts w:ascii="Times New Roman" w:cs="Times New Roman" w:eastAsia="Times New Roman" w:hAnsi="Times New Roman"/>
                <w:sz w:val="14"/>
                <w:szCs w:val="14"/>
                <w:color w:val="auto"/>
                <w:w w:val="97"/>
              </w:rPr>
              <w:t>(6)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20" w:type="dxa"/>
            <w:vAlign w:val="bottom"/>
          </w:tcPr>
          <w:p>
            <w:pPr>
              <w:spacing w:after="0"/>
              <w:rPr>
                <w:sz w:val="15"/>
                <w:szCs w:val="15"/>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income</w:t>
            </w:r>
          </w:p>
        </w:tc>
        <w:tc>
          <w:tcPr>
            <w:tcW w:w="360" w:type="dxa"/>
            <w:vAlign w:val="bottom"/>
          </w:tcPr>
          <w:p>
            <w:pPr>
              <w:spacing w:after="0"/>
              <w:rPr>
                <w:sz w:val="15"/>
                <w:szCs w:val="15"/>
                <w:color w:val="auto"/>
              </w:rPr>
            </w:pPr>
          </w:p>
        </w:tc>
        <w:tc>
          <w:tcPr>
            <w:tcW w:w="1160" w:type="dxa"/>
            <w:vAlign w:val="bottom"/>
          </w:tcPr>
          <w:p>
            <w:pPr>
              <w:jc w:val="center"/>
              <w:ind w:left="912"/>
              <w:spacing w:after="0"/>
              <w:rPr>
                <w:sz w:val="20"/>
                <w:szCs w:val="20"/>
                <w:color w:val="auto"/>
              </w:rPr>
            </w:pPr>
            <w:r>
              <w:rPr>
                <w:rFonts w:ascii="Times New Roman" w:cs="Times New Roman" w:eastAsia="Times New Roman" w:hAnsi="Times New Roman"/>
                <w:sz w:val="14"/>
                <w:szCs w:val="14"/>
                <w:color w:val="auto"/>
                <w:w w:val="85"/>
              </w:rPr>
              <w:t>6</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2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return on pension assets/amortization</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left="912"/>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20" w:type="dxa"/>
            <w:vAlign w:val="bottom"/>
          </w:tcPr>
          <w:p>
            <w:pPr>
              <w:spacing w:after="0"/>
              <w:rPr>
                <w:sz w:val="15"/>
                <w:szCs w:val="15"/>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miscellaneous income (expense), net</w:t>
            </w:r>
          </w:p>
        </w:tc>
        <w:tc>
          <w:tcPr>
            <w:tcW w:w="360" w:type="dxa"/>
            <w:vAlign w:val="bottom"/>
          </w:tcPr>
          <w:p>
            <w:pPr>
              <w:spacing w:after="0"/>
              <w:rPr>
                <w:sz w:val="15"/>
                <w:szCs w:val="15"/>
                <w:color w:val="auto"/>
              </w:rPr>
            </w:pPr>
          </w:p>
        </w:tc>
        <w:tc>
          <w:tcPr>
            <w:tcW w:w="1160" w:type="dxa"/>
            <w:vAlign w:val="bottom"/>
          </w:tcPr>
          <w:p>
            <w:pPr>
              <w:jc w:val="center"/>
              <w:ind w:left="912"/>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9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Other income, net</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center"/>
              <w:ind w:left="912"/>
              <w:spacing w:after="0"/>
              <w:rPr>
                <w:sz w:val="20"/>
                <w:szCs w:val="20"/>
                <w:color w:val="auto"/>
              </w:rPr>
            </w:pPr>
            <w:r>
              <w:rPr>
                <w:rFonts w:ascii="Times New Roman" w:cs="Times New Roman" w:eastAsia="Times New Roman" w:hAnsi="Times New Roman"/>
                <w:sz w:val="14"/>
                <w:szCs w:val="14"/>
                <w:color w:val="auto"/>
                <w:w w:val="85"/>
              </w:rPr>
              <w:t>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86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3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3" w:name="page24"/>
    <w:bookmarkEnd w:id="23"/>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98" w:lineRule="exact"/>
        <w:rPr>
          <w:sz w:val="20"/>
          <w:szCs w:val="20"/>
          <w:color w:val="auto"/>
        </w:rPr>
      </w:pPr>
    </w:p>
    <w:p>
      <w:pPr>
        <w:jc w:val="both"/>
        <w:ind w:right="580" w:firstLine="382"/>
        <w:spacing w:after="0" w:line="261" w:lineRule="auto"/>
        <w:rPr>
          <w:sz w:val="20"/>
          <w:szCs w:val="20"/>
          <w:color w:val="auto"/>
        </w:rPr>
      </w:pPr>
      <w:r>
        <w:rPr>
          <w:rFonts w:ascii="Times New Roman" w:cs="Times New Roman" w:eastAsia="Times New Roman" w:hAnsi="Times New Roman"/>
          <w:sz w:val="13"/>
          <w:szCs w:val="13"/>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2021, filed with the Securities and Exchange Commission on February 17, 2022.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Wabtec is one of the world’s largest providers of value-added, technology-based locomotives, equipment, systems, and services for the global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nine months of 2022, approximately 55% of the Company’s net sales came from customers outside the United States.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Update</w:t>
      </w:r>
    </w:p>
    <w:p>
      <w:pPr>
        <w:spacing w:after="0" w:line="96" w:lineRule="exact"/>
        <w:rPr>
          <w:sz w:val="20"/>
          <w:szCs w:val="20"/>
          <w:color w:val="auto"/>
        </w:rPr>
      </w:pPr>
    </w:p>
    <w:p>
      <w:pPr>
        <w:ind w:right="140" w:firstLine="382"/>
        <w:spacing w:after="0" w:line="264" w:lineRule="auto"/>
        <w:rPr>
          <w:sz w:val="20"/>
          <w:szCs w:val="20"/>
          <w:color w:val="auto"/>
        </w:rPr>
      </w:pPr>
      <w:r>
        <w:rPr>
          <w:rFonts w:ascii="Times New Roman" w:cs="Times New Roman" w:eastAsia="Times New Roman" w:hAnsi="Times New Roman"/>
          <w:sz w:val="14"/>
          <w:szCs w:val="14"/>
          <w:color w:val="auto"/>
        </w:rPr>
        <w:t>The unfavorable global economic conditions driven by the impacts of the COVID-19 pandemic and supply chain disruptions, and further intensified by the Russian invasion of Ukraine, continue to have an adverse impact on our operations and business results. Impacts for the three and nine months ended September 30, 2022 and 2021, are discussed in more detail in the Results of Operations section below. Supply chain disruptions and labor availability have caused component, raw material and chip shortages resulting in an adverse effect on the timing of the Company’s revenue generation. Additionally, broad-based inflation, escalation of diesel, metals and other commodity costs, transportation and logistics costs, and labor costs all continue to impact our results.</w:t>
      </w:r>
    </w:p>
    <w:p>
      <w:pPr>
        <w:spacing w:after="0" w:line="56" w:lineRule="exact"/>
        <w:rPr>
          <w:sz w:val="20"/>
          <w:szCs w:val="20"/>
          <w:color w:val="auto"/>
        </w:rPr>
      </w:pPr>
    </w:p>
    <w:p>
      <w:pPr>
        <w:ind w:right="60" w:firstLine="382"/>
        <w:spacing w:after="0" w:line="258" w:lineRule="auto"/>
        <w:rPr>
          <w:sz w:val="20"/>
          <w:szCs w:val="20"/>
          <w:color w:val="auto"/>
        </w:rPr>
      </w:pPr>
      <w:r>
        <w:rPr>
          <w:rFonts w:ascii="Times New Roman" w:cs="Times New Roman" w:eastAsia="Times New Roman" w:hAnsi="Times New Roman"/>
          <w:sz w:val="14"/>
          <w:szCs w:val="14"/>
          <w:color w:val="auto"/>
        </w:rPr>
        <w:t>The Russian invasion of Ukraine and the resultant sanctions related to Russia and Belarus have further impacted our supply and distribution channels and caused significant price inflation which had, and are expected to continue to have, adverse effects on Wabtec’s business results. For the year ended December 31, 2021, Wabtec had earnings of approximately $40 million attributable to customers in Russia, while earnings from customers in Ukraine and Belarus were not significant. As of September 30, 2022, Wabtec had approximately $16 million of assets related to Russian operations, which were primarily cash and inventory. Management has determined, based on information currently available, that these assets are expected to be recoverable and therefore no impairment was recorded during the first nine months of 2022. This will continue to be monitored and may result in a future impairment charge based on changes in the situation. Management determined that inventory related to operations in Ukraine were not expected to be recoverable and were written off resulting in an insignificant charge during the first quarter of 2022. Remaining assets related to Ukraine and those in Belarus were not significant.</w:t>
      </w:r>
    </w:p>
    <w:p>
      <w:pPr>
        <w:spacing w:after="0" w:line="62"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4"/>
          <w:szCs w:val="14"/>
          <w:color w:val="auto"/>
        </w:rPr>
        <w:t>The Company has implemented various mitigating actions intended to lessen the impact of these unfavorable economic conditions.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where possible. The Company expects to continue to incur increased costs in future quarters. Management will continue to monitor the evolving situations but, as a result of the numerous uncertainties surrounding the COVID-19 pandemic, recent supply chain disruptions and the Russian invasion of Ukraine, we are unable to specifically predict the extent and length of time that our business may be negatively impacted. We also face the possibility that additional actions may be taken by governmental authorities and private industry, or government policies may become more restrictive in response to the COVID-19 pandemic, especially if COVID-19 transmission rates increase in certain areas. Changes in trade regulations and sanctions including retaliatory measures, advancements or changes in the conflict in Ukraine, the impact of variants of COVID-19, actions taken in response to COVID-19 including curtailing operations of our plants, or significant adverse impacts to our customers, suppliers, distribution channels and operating locations, could result in material adverse impacts to the business, including impairment charges from changes in estimates.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 Incident</w:t>
      </w:r>
    </w:p>
    <w:p>
      <w:pPr>
        <w:spacing w:after="0" w:line="96"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As previously announced, on June 26, 2022, we detected a cyber security incident which impacted the Company’s network. The Company promptly activated incident response protocols, which included shutting down certain systems, and commenced an investigation of the incident, which is ongoing. The Company also notified law enforcement and engaged legal counsel and other third-party incident response and cybersecurity professionals.</w:t>
      </w:r>
    </w:p>
    <w:p>
      <w:pPr>
        <w:spacing w:after="0" w:line="51"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Based on the Company's assessment to date and on the information currently known, the incident has not had a significant financial impact and the Company does not believe the incident will have a material impact on its business,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operations or financial results. The Company maintains cyber insurance, subject to certain deductibles and policy limitations typical for its size and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Integration 2.0</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During the first quarter of 2022, Wabtec announced a three-year strategic review expected to target incremental run rate synergies estimated to be between $75 million and $90 million by 2025. The scope of the review will include consolidating our operating footprint, reducing headcount, streamlining the end-to-end manufacturing process, restructuring the North America distribution channels, expanding operations in low-cost countries and simplifying the business through systems enablement, including the source-to-pay process. Management will also consider additional capital investments to further simplify and streamline the business. The Company anticipates that it will incur one-time restructuring charges in the future to execute on decisions resulting from the review, currently estimated to be approximately $135 million to $165 million. The estimate could change based on the specific programs approved or changes to the scope of the review. No significant programs related to Integration 2.0 were initiated during the nine months ended September 30, 2022.</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Results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THIRD QUARTER 2022 COMPARED TO THIRD QUARTER 2021</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4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4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480" w:type="dxa"/>
            <w:vAlign w:val="bottom"/>
            <w:gridSpan w:val="3"/>
          </w:tcPr>
          <w:p>
            <w:pPr>
              <w:spacing w:after="0" w:line="119"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jc w:val="right"/>
              <w:ind w:right="591"/>
              <w:spacing w:after="0" w:line="119"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jc w:val="right"/>
              <w:ind w:right="570"/>
              <w:spacing w:after="0" w:line="119" w:lineRule="exact"/>
              <w:rPr>
                <w:sz w:val="20"/>
                <w:szCs w:val="20"/>
                <w:color w:val="auto"/>
              </w:rPr>
            </w:pPr>
            <w:r>
              <w:rPr>
                <w:rFonts w:ascii="Times New Roman" w:cs="Times New Roman" w:eastAsia="Times New Roman" w:hAnsi="Times New Roman"/>
                <w:sz w:val="11"/>
                <w:szCs w:val="11"/>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480" w:type="dxa"/>
            <w:vAlign w:val="bottom"/>
            <w:gridSpan w:val="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Net sales:</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4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Sales of goods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services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 net sales</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4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Cost of goods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services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71"/>
        </w:trPr>
        <w:tc>
          <w:tcPr>
            <w:tcW w:w="20" w:type="dxa"/>
            <w:vAlign w:val="bottom"/>
            <w:tcBorders>
              <w:bottom w:val="single" w:sz="8" w:color="CCEEFF"/>
            </w:tcBorders>
          </w:tcPr>
          <w:p>
            <w:pPr>
              <w:spacing w:after="0"/>
              <w:rPr>
                <w:sz w:val="14"/>
                <w:szCs w:val="14"/>
                <w:color w:val="auto"/>
              </w:rPr>
            </w:pPr>
          </w:p>
        </w:tc>
        <w:tc>
          <w:tcPr>
            <w:tcW w:w="648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4"/>
                <w:szCs w:val="14"/>
                <w:color w:val="auto"/>
              </w:rPr>
              <w:t>Total cost of sales</w:t>
            </w:r>
          </w:p>
        </w:tc>
        <w:tc>
          <w:tcPr>
            <w:tcW w:w="2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180"/>
        </w:trPr>
        <w:tc>
          <w:tcPr>
            <w:tcW w:w="20" w:type="dxa"/>
            <w:vAlign w:val="bottom"/>
          </w:tcPr>
          <w:p>
            <w:pPr>
              <w:spacing w:after="0"/>
              <w:rPr>
                <w:sz w:val="15"/>
                <w:szCs w:val="15"/>
                <w:color w:val="auto"/>
              </w:rPr>
            </w:pPr>
          </w:p>
        </w:tc>
        <w:tc>
          <w:tcPr>
            <w:tcW w:w="64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Engineering expenses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 expense</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1"/>
        </w:trPr>
        <w:tc>
          <w:tcPr>
            <w:tcW w:w="20" w:type="dxa"/>
            <w:vAlign w:val="bottom"/>
            <w:tcBorders>
              <w:bottom w:val="single" w:sz="8" w:color="CCEEFF"/>
            </w:tcBorders>
          </w:tcPr>
          <w:p>
            <w:pPr>
              <w:spacing w:after="0"/>
              <w:rPr>
                <w:sz w:val="14"/>
                <w:szCs w:val="14"/>
                <w:color w:val="auto"/>
              </w:rPr>
            </w:pPr>
          </w:p>
        </w:tc>
        <w:tc>
          <w:tcPr>
            <w:tcW w:w="648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from operations</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income and expenses: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2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2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10320" w:type="dxa"/>
            <w:vAlign w:val="bottom"/>
            <w:gridSpan w:val="10"/>
          </w:tcPr>
          <w:p>
            <w:pPr>
              <w:ind w:left="36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sales in the three months ended September 30, 2022 from the three months ended September 30, 2021:</w:t>
            </w:r>
          </w:p>
        </w:tc>
        <w:tc>
          <w:tcPr>
            <w:tcW w:w="94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40" w:type="dxa"/>
            <w:vAlign w:val="bottom"/>
          </w:tcPr>
          <w:p>
            <w:pPr>
              <w:spacing w:after="0"/>
              <w:rPr>
                <w:sz w:val="12"/>
                <w:szCs w:val="1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Freight Segment</w:t>
            </w:r>
          </w:p>
        </w:tc>
        <w:tc>
          <w:tcPr>
            <w:tcW w:w="220" w:type="dxa"/>
            <w:vAlign w:val="bottom"/>
          </w:tcPr>
          <w:p>
            <w:pPr>
              <w:spacing w:after="0"/>
              <w:rPr>
                <w:sz w:val="12"/>
                <w:szCs w:val="1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Transit Segment</w:t>
            </w:r>
          </w:p>
        </w:tc>
        <w:tc>
          <w:tcPr>
            <w:tcW w:w="580" w:type="dxa"/>
            <w:vAlign w:val="bottom"/>
          </w:tcPr>
          <w:p>
            <w:pPr>
              <w:spacing w:after="0"/>
              <w:rPr>
                <w:sz w:val="12"/>
                <w:szCs w:val="12"/>
                <w:color w:val="auto"/>
              </w:rPr>
            </w:pPr>
          </w:p>
        </w:tc>
        <w:tc>
          <w:tcPr>
            <w:tcW w:w="940" w:type="dxa"/>
            <w:vAlign w:val="bottom"/>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Quarter 2021 Net Sales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r>
      <w:tr>
        <w:trPr>
          <w:trHeight w:val="180"/>
        </w:trPr>
        <w:tc>
          <w:tcPr>
            <w:tcW w:w="20" w:type="dxa"/>
            <w:vAlign w:val="bottom"/>
          </w:tcPr>
          <w:p>
            <w:pPr>
              <w:spacing w:after="0"/>
              <w:rPr>
                <w:sz w:val="15"/>
                <w:szCs w:val="15"/>
                <w:color w:val="auto"/>
              </w:rPr>
            </w:pPr>
          </w:p>
        </w:tc>
        <w:tc>
          <w:tcPr>
            <w:tcW w:w="6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Organic</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Quarter 2022 Net Sales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sales for the three months ended September 30, 2022 increased by $174 million, or 9.1%, to $2.08 billion compared to the same period in 2021. Freight Segment organic sales increased</w:t>
      </w:r>
    </w:p>
    <w:p>
      <w:pPr>
        <w:spacing w:after="0" w:line="237" w:lineRule="auto"/>
        <w:rPr>
          <w:sz w:val="20"/>
          <w:szCs w:val="20"/>
          <w:color w:val="auto"/>
        </w:rPr>
      </w:pPr>
      <w:r>
        <w:rPr>
          <w:rFonts w:ascii="Times New Roman" w:cs="Times New Roman" w:eastAsia="Times New Roman" w:hAnsi="Times New Roman"/>
          <w:sz w:val="14"/>
          <w:szCs w:val="14"/>
          <w:color w:val="auto"/>
        </w:rPr>
        <w:t>$239 million driven primarily by Equipment sales from higher international locomotive deliveries and higher mining equipment sales, and Services sales from higher locomotive modernizations and a</w:t>
      </w:r>
    </w:p>
    <w:p>
      <w:pPr>
        <w:spacing w:after="0" w:line="237" w:lineRule="auto"/>
        <w:rPr>
          <w:sz w:val="20"/>
          <w:szCs w:val="20"/>
          <w:color w:val="auto"/>
        </w:rPr>
      </w:pPr>
      <w:r>
        <w:rPr>
          <w:rFonts w:ascii="Times New Roman" w:cs="Times New Roman" w:eastAsia="Times New Roman" w:hAnsi="Times New Roman"/>
          <w:sz w:val="14"/>
          <w:szCs w:val="14"/>
          <w:color w:val="auto"/>
        </w:rPr>
        <w:t>larger active locomotive fleet. In addition, Components sales increased due to a higher railcar build and increased railcars in operation, and Digital sales increased due to higher demand for on-board</w:t>
      </w:r>
    </w:p>
    <w:p>
      <w:pPr>
        <w:spacing w:after="0"/>
        <w:rPr>
          <w:sz w:val="20"/>
          <w:szCs w:val="20"/>
          <w:color w:val="auto"/>
        </w:rPr>
      </w:pPr>
      <w:r>
        <w:rPr>
          <w:rFonts w:ascii="Times New Roman" w:cs="Times New Roman" w:eastAsia="Times New Roman" w:hAnsi="Times New Roman"/>
          <w:sz w:val="14"/>
          <w:szCs w:val="14"/>
          <w:color w:val="auto"/>
        </w:rPr>
        <w:t>locomotive products and network optimization software. Transit Segment organic sales increased $15 million primarily due to higher demand for OEM and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6" w:name="page27"/>
    <w:bookmarkEnd w:id="26"/>
    <w:p>
      <w:pPr>
        <w:ind w:right="220"/>
        <w:spacing w:after="0" w:line="379" w:lineRule="auto"/>
        <w:rPr>
          <w:sz w:val="20"/>
          <w:szCs w:val="20"/>
          <w:color w:val="auto"/>
        </w:rPr>
      </w:pPr>
      <w:r>
        <w:rPr>
          <w:rFonts w:ascii="Times New Roman" w:cs="Times New Roman" w:eastAsia="Times New Roman" w:hAnsi="Times New Roman"/>
          <w:sz w:val="14"/>
          <w:szCs w:val="14"/>
          <w:color w:val="auto"/>
        </w:rPr>
        <w:t xml:space="preserve">Aftermarket products. Sales from acquisitions contributed $19 million to the change in net sales and unfavorable exchange rates, primarily in the Transit Segment, decreased sales by $99 million. </w:t>
      </w:r>
      <w:r>
        <w:rPr>
          <w:rFonts w:ascii="Times New Roman" w:cs="Times New Roman" w:eastAsia="Times New Roman" w:hAnsi="Times New Roman"/>
          <w:sz w:val="14"/>
          <w:szCs w:val="14"/>
          <w:b w:val="1"/>
          <w:bCs w:val="1"/>
          <w:color w:val="auto"/>
        </w:rPr>
        <w:t>Cost of sales</w:t>
      </w:r>
    </w:p>
    <w:p>
      <w:pPr>
        <w:spacing w:after="0" w:line="1"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Cost of sales for the three months ended September 30, 2022 increased by $129 million, or 9.9%, to $1.43 billion compared to the same period in 2021. Cost of sales as a percentage of sales was 68.9% and 68.4% for the three months ended September 30, 2022 and 2021, respectively, representing a 0.5 percentage point increase. The increase can be attributed to increased materials, transportation and labor costs and an unfavorable product mix partially offset by improved productivity and decreased restructuring cost. Cost of sales for the three months ended September 30, 2022 and 2021 included $5 million and $23 million, respectively, of restructuring costs, primarily for headcount actions and footprint rationalization.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Total operating expenses increased $1 million, or 0.3%, for the three months ended September 30, 2022 compared to the same period in 2021. Operating expenses as a percentage of sales was 18.6% and 20.2% for the three months ended September 30, 2022 and 2021, respectively. Selling, general and administrative expenses ("SG&amp;A") decreased $9 million due to lower restructuring and transaction costs. Restructuring and transaction costs included in SG&amp;A were $4 million and $12 million for the three months ended September 30, 2022 and 2021, respectively, and were primarily for headcount actions and footprint rationalization programs. Engineering expenses increased $10 million primarily due to investments in new technology. Amortization expense remained flat year over year.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expense, net</w:t>
      </w:r>
    </w:p>
    <w:p>
      <w:pPr>
        <w:spacing w:after="0" w:line="96" w:lineRule="exact"/>
        <w:rPr>
          <w:sz w:val="20"/>
          <w:szCs w:val="20"/>
          <w:color w:val="auto"/>
        </w:rPr>
      </w:pPr>
    </w:p>
    <w:p>
      <w:pPr>
        <w:ind w:right="180" w:firstLine="382"/>
        <w:spacing w:after="0" w:line="287" w:lineRule="auto"/>
        <w:rPr>
          <w:sz w:val="20"/>
          <w:szCs w:val="20"/>
          <w:color w:val="auto"/>
        </w:rPr>
      </w:pPr>
      <w:r>
        <w:rPr>
          <w:rFonts w:ascii="Times New Roman" w:cs="Times New Roman" w:eastAsia="Times New Roman" w:hAnsi="Times New Roman"/>
          <w:sz w:val="14"/>
          <w:szCs w:val="14"/>
          <w:color w:val="auto"/>
        </w:rPr>
        <w:t>Interest expense, net, increased $6 million for the three months ended September 30, 2022 compared to the same period in 2021 primarily due to higher effective interest rates in the current period.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net, increased to $4 million of income for the three months ended September 30, 2022 driven by higher equity income in the current year.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The effective income tax rate was 24.7% and 24.8% for the three months ended September 30, 2022 and 2021, respectively. The decrease in the quarterly effective tax rate is primarily the result of a more favorable earnings mix for the period ended September 30, 2022.</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Freight Segment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our Freight Segment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2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2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9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0"/>
                <w:szCs w:val="10"/>
                <w:color w:val="auto"/>
              </w:rPr>
            </w:pPr>
          </w:p>
        </w:tc>
        <w:tc>
          <w:tcPr>
            <w:tcW w:w="1240" w:type="dxa"/>
            <w:vAlign w:val="bottom"/>
          </w:tcPr>
          <w:p>
            <w:pPr>
              <w:jc w:val="right"/>
              <w:ind w:right="611"/>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jc w:val="right"/>
              <w:ind w:right="610"/>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Sales of goods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883</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services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412</w:t>
            </w:r>
          </w:p>
        </w:tc>
      </w:tr>
      <w:tr>
        <w:trPr>
          <w:trHeight w:val="171"/>
        </w:trPr>
        <w:tc>
          <w:tcPr>
            <w:tcW w:w="20" w:type="dxa"/>
            <w:vAlign w:val="bottom"/>
          </w:tcPr>
          <w:p>
            <w:pPr>
              <w:spacing w:after="0"/>
              <w:rPr>
                <w:sz w:val="14"/>
                <w:szCs w:val="14"/>
                <w:color w:val="auto"/>
              </w:rPr>
            </w:pPr>
          </w:p>
        </w:tc>
        <w:tc>
          <w:tcPr>
            <w:tcW w:w="79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net sales</w:t>
            </w:r>
          </w:p>
        </w:tc>
        <w:tc>
          <w:tcPr>
            <w:tcW w:w="380" w:type="dxa"/>
            <w:vAlign w:val="bottom"/>
          </w:tcPr>
          <w:p>
            <w:pPr>
              <w:spacing w:after="0"/>
              <w:rPr>
                <w:sz w:val="14"/>
                <w:szCs w:val="14"/>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1,295</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Cost of goods</w:t>
            </w:r>
          </w:p>
        </w:tc>
        <w:tc>
          <w:tcPr>
            <w:tcW w:w="380" w:type="dxa"/>
            <w:vAlign w:val="bottom"/>
          </w:tcPr>
          <w:p>
            <w:pPr>
              <w:spacing w:after="0"/>
              <w:rPr>
                <w:sz w:val="15"/>
                <w:szCs w:val="15"/>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(626)</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services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(225)</w:t>
            </w:r>
          </w:p>
        </w:tc>
      </w:tr>
      <w:tr>
        <w:trPr>
          <w:trHeight w:val="171"/>
        </w:trPr>
        <w:tc>
          <w:tcPr>
            <w:tcW w:w="20" w:type="dxa"/>
            <w:vAlign w:val="bottom"/>
            <w:tcBorders>
              <w:bottom w:val="single" w:sz="8" w:color="CCEEFF"/>
            </w:tcBorders>
          </w:tcPr>
          <w:p>
            <w:pPr>
              <w:spacing w:after="0"/>
              <w:rPr>
                <w:sz w:val="14"/>
                <w:szCs w:val="14"/>
                <w:color w:val="auto"/>
              </w:rPr>
            </w:pPr>
          </w:p>
        </w:tc>
        <w:tc>
          <w:tcPr>
            <w:tcW w:w="79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Total cost of sales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(851)</w:t>
            </w:r>
          </w:p>
        </w:tc>
      </w:tr>
      <w:tr>
        <w:trPr>
          <w:trHeight w:val="65"/>
        </w:trPr>
        <w:tc>
          <w:tcPr>
            <w:tcW w:w="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tcPr>
          <w:p>
            <w:pPr>
              <w:spacing w:after="0"/>
              <w:rPr>
                <w:sz w:val="15"/>
                <w:szCs w:val="15"/>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444</w:t>
            </w:r>
          </w:p>
        </w:tc>
      </w:tr>
      <w:tr>
        <w:trPr>
          <w:trHeight w:val="85"/>
        </w:trPr>
        <w:tc>
          <w:tcPr>
            <w:tcW w:w="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4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(249)</w:t>
            </w:r>
          </w:p>
        </w:tc>
      </w:tr>
      <w:tr>
        <w:trPr>
          <w:trHeight w:val="65"/>
        </w:trPr>
        <w:tc>
          <w:tcPr>
            <w:tcW w:w="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from operations ($)</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195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operations (% of net sales)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64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net sales for the Freight Segment in the third quarter of 2022 from the third quarter of 2021: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Quarter 2021 Net Sales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Changes in Sales by Product Line:</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Equipment</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Services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Components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2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Digital Electronics</w:t>
            </w:r>
          </w:p>
        </w:tc>
        <w:tc>
          <w:tcPr>
            <w:tcW w:w="3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Quarter 2022 Net Sales</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96" w:lineRule="exact"/>
        <w:rPr>
          <w:sz w:val="20"/>
          <w:szCs w:val="20"/>
          <w:color w:val="auto"/>
        </w:rPr>
      </w:pPr>
    </w:p>
    <w:p>
      <w:pPr>
        <w:jc w:val="both"/>
        <w:ind w:right="20" w:firstLine="382"/>
        <w:spacing w:after="0" w:line="264" w:lineRule="auto"/>
        <w:rPr>
          <w:sz w:val="20"/>
          <w:szCs w:val="20"/>
          <w:color w:val="auto"/>
        </w:rPr>
      </w:pPr>
      <w:r>
        <w:rPr>
          <w:rFonts w:ascii="Times New Roman" w:cs="Times New Roman" w:eastAsia="Times New Roman" w:hAnsi="Times New Roman"/>
          <w:sz w:val="14"/>
          <w:szCs w:val="14"/>
          <w:color w:val="auto"/>
        </w:rPr>
        <w:t>Freight Segment sales increased by $236 million, or 18.2%, to $1.53 billion, compared to the same period in 2021. Equipment sales increased due to higher international locomotive deliveries and higher mining equipment sales, Services sales increased from higher locomotive modernizations and a larger active locomotive fleet, Components sales increased due to a higher railcar build and increased railcars in operation, and Digital sales increased due to higher demand for on-board locomotive products and network optimization software. Sales from acquisitions contributed $18 million to the change in net sales and the effects of unfavorable foreign exchange rates decreased sales by $21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96" w:lineRule="exact"/>
        <w:rPr>
          <w:sz w:val="20"/>
          <w:szCs w:val="20"/>
          <w:color w:val="auto"/>
        </w:rPr>
      </w:pPr>
    </w:p>
    <w:p>
      <w:pPr>
        <w:ind w:right="160" w:firstLine="382"/>
        <w:spacing w:after="0" w:line="261" w:lineRule="auto"/>
        <w:rPr>
          <w:sz w:val="20"/>
          <w:szCs w:val="20"/>
          <w:color w:val="auto"/>
        </w:rPr>
      </w:pPr>
      <w:r>
        <w:rPr>
          <w:rFonts w:ascii="Times New Roman" w:cs="Times New Roman" w:eastAsia="Times New Roman" w:hAnsi="Times New Roman"/>
          <w:sz w:val="14"/>
          <w:szCs w:val="14"/>
          <w:color w:val="auto"/>
        </w:rPr>
        <w:t>Freight Segment cost of sales for the three months ended September 30, 2022 increased by $183 million, or 21.5%, to $1.03 billion, compared to the same period in 2021. The increase is primarily due to the increase in sales and increased materials, transportation and labor costs. Cost of sales as a percentage of sales was 67.5% and 65.8% for the three months ended September 30, 2022 and 2021, respectively, representing a 1.7 percentage point increase driven by an unfavorable product mix and the increased costs discussed above. Cost of sales for the three months ended September 30, 2022 included restructuring costs of $4 million primarily for headcount actions. Cost of sales for the three months ended September 30, 2021 included transaction costs of $1 million primarily related to the acquisition of Nordco.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Freight Segment operating expenses increased $15 million, or 6.0%, for the three months ended September 30, 2022 compared to the same period in 2021. SG&amp;A increased $2 million due to incremental expense from acquisitions. SG&amp;A for the three months ended September 30, 2022 includes $1 million of restructuring costs, compared to $2 million for the same period in 2021. Engineering expenses increased $13 million primarily due to investments in new technology. Amortization expense increased $1 million due to acquisitions.</w:t>
      </w: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844"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Transit Segment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our Transit Segment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2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2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9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0"/>
                <w:szCs w:val="10"/>
                <w:color w:val="auto"/>
              </w:rPr>
            </w:pPr>
          </w:p>
        </w:tc>
        <w:tc>
          <w:tcPr>
            <w:tcW w:w="1240" w:type="dxa"/>
            <w:vAlign w:val="bottom"/>
          </w:tcPr>
          <w:p>
            <w:pPr>
              <w:jc w:val="right"/>
              <w:ind w:right="612"/>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jc w:val="right"/>
              <w:ind w:right="610"/>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612</w:t>
            </w:r>
          </w:p>
        </w:tc>
      </w:tr>
      <w:tr>
        <w:trPr>
          <w:trHeight w:val="180"/>
        </w:trPr>
        <w:tc>
          <w:tcPr>
            <w:tcW w:w="2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(454)</w:t>
            </w:r>
          </w:p>
        </w:tc>
      </w:tr>
      <w:tr>
        <w:trPr>
          <w:trHeight w:val="171"/>
        </w:trPr>
        <w:tc>
          <w:tcPr>
            <w:tcW w:w="20" w:type="dxa"/>
            <w:vAlign w:val="bottom"/>
            <w:shd w:val="clear" w:color="auto" w:fill="CCEEFF"/>
          </w:tcPr>
          <w:p>
            <w:pPr>
              <w:spacing w:after="0"/>
              <w:rPr>
                <w:sz w:val="14"/>
                <w:szCs w:val="14"/>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158</w:t>
            </w:r>
          </w:p>
        </w:tc>
      </w:tr>
      <w:tr>
        <w:trPr>
          <w:trHeight w:val="85"/>
        </w:trPr>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(114)</w:t>
            </w:r>
          </w:p>
        </w:tc>
      </w:tr>
      <w:tr>
        <w:trPr>
          <w:trHeight w:val="65"/>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operations ($)</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92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Income from operations (% of net sales)</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9.6 %</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7.2 %</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964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net sales for the Transit Segment in the third quarter of 2022 from the third quarter of 2021: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Quarter 2021 Net Sales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Changes in Sales by Product Line:</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Original Equipment Manufacturing</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2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Aftermarket</w:t>
            </w:r>
          </w:p>
        </w:tc>
        <w:tc>
          <w:tcPr>
            <w:tcW w:w="3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Quarter 2022 Net Sales</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25" w:lineRule="exact"/>
        <w:rPr>
          <w:sz w:val="20"/>
          <w:szCs w:val="20"/>
          <w:color w:val="auto"/>
        </w:rPr>
      </w:pPr>
    </w:p>
    <w:p>
      <w:pPr>
        <w:ind w:right="240" w:firstLine="382"/>
        <w:spacing w:after="0" w:line="259" w:lineRule="auto"/>
        <w:rPr>
          <w:sz w:val="20"/>
          <w:szCs w:val="20"/>
          <w:color w:val="auto"/>
        </w:rPr>
      </w:pPr>
      <w:r>
        <w:rPr>
          <w:rFonts w:ascii="Times New Roman" w:cs="Times New Roman" w:eastAsia="Times New Roman" w:hAnsi="Times New Roman"/>
          <w:sz w:val="14"/>
          <w:szCs w:val="14"/>
          <w:color w:val="auto"/>
        </w:rPr>
        <w:t>Transit Segment sales for the three months ended September 30, 2022 decreased by $62 million, or 10.1%, to $550 million compared to the same period in 2021. The effects of unfavorable foreign exchange rates decreased sales by $78 million. Transit Segment organic sales increased by $15 million due to increased demand and an increase in government transportation spending partially offset by the carryover effects of the cyber incident in the second quarter.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96"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4"/>
          <w:szCs w:val="14"/>
          <w:color w:val="auto"/>
        </w:rPr>
        <w:t>Transit Segment cost of sales for the three months ended September 30, 2022 decreased by $55 million, or 12.1%, to $399 million compared to the same period in 2021. The decrease is primarily due to the decrease in sales discussed above along with a decrease in restructuring cost in the current year. Cost of sales as a percentage of sales was 72.5% and 74.2% for the three months ended September 30, 2022 and 2021, respectively, representing a 1.7 percentage point decrease. This can be attributed to improved productivity, higher pricing, the exit of low margin businesses in the United Kingdom, and prior year structured cost actions taken through restructuring programs, partially offset by increased materials, transportation and labor costs and inefficiencies associated with the cyber incident. Cost of sales for the three months ended September 30, 2022 and 2021 includes $1 million and $22 million, respectively, of restructuring costs, primarily for footprint rationalization in Europe and headcount actions.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Transit Segment operating expenses decreased $16 million, or 14.0%, for the three months ended September 30, 2022 compared to the same period in 2021. SG&amp;A decreased $14 million for the three months ended September 30, 2022 compared to the same period in 2021 due to the effects of foreign exchange rates and lower employee compensation and benefit costs. SG&amp;A for the three months ended September 30, 2022 and 2021 includes $2 million and $5 million of restructuring costs, respectively, primarily for footprint rationalization and related headcount actions. Additionally, engineering and amortization expenses remained consistent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FIRST NINE MONTHS OF 2022 COMPARED TO FIRST NINE MONTHS OF 2021</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96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6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480" w:type="dxa"/>
            <w:vAlign w:val="bottom"/>
            <w:gridSpan w:val="3"/>
          </w:tcPr>
          <w:p>
            <w:pPr>
              <w:spacing w:after="0" w:line="119"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jc w:val="right"/>
              <w:ind w:right="591"/>
              <w:spacing w:after="0" w:line="119"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jc w:val="right"/>
              <w:ind w:right="570"/>
              <w:spacing w:after="0" w:line="119" w:lineRule="exact"/>
              <w:rPr>
                <w:sz w:val="20"/>
                <w:szCs w:val="20"/>
                <w:color w:val="auto"/>
              </w:rPr>
            </w:pPr>
            <w:r>
              <w:rPr>
                <w:rFonts w:ascii="Times New Roman" w:cs="Times New Roman" w:eastAsia="Times New Roman" w:hAnsi="Times New Roman"/>
                <w:sz w:val="11"/>
                <w:szCs w:val="11"/>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480" w:type="dxa"/>
            <w:vAlign w:val="bottom"/>
            <w:gridSpan w:val="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Net sales:</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4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Sales of goods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4,562</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services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 net sales</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5,749</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4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Cost of goods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services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r>
      <w:tr>
        <w:trPr>
          <w:trHeight w:val="171"/>
        </w:trPr>
        <w:tc>
          <w:tcPr>
            <w:tcW w:w="20" w:type="dxa"/>
            <w:vAlign w:val="bottom"/>
            <w:tcBorders>
              <w:bottom w:val="single" w:sz="8" w:color="CCEEFF"/>
            </w:tcBorders>
          </w:tcPr>
          <w:p>
            <w:pPr>
              <w:spacing w:after="0"/>
              <w:rPr>
                <w:sz w:val="14"/>
                <w:szCs w:val="14"/>
                <w:color w:val="auto"/>
              </w:rPr>
            </w:pPr>
          </w:p>
        </w:tc>
        <w:tc>
          <w:tcPr>
            <w:tcW w:w="648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4"/>
                <w:szCs w:val="14"/>
                <w:color w:val="auto"/>
              </w:rPr>
              <w:t>Total cost of sales</w:t>
            </w:r>
          </w:p>
        </w:tc>
        <w:tc>
          <w:tcPr>
            <w:tcW w:w="2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(4,168)</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r>
      <w:tr>
        <w:trPr>
          <w:trHeight w:val="180"/>
        </w:trPr>
        <w:tc>
          <w:tcPr>
            <w:tcW w:w="20" w:type="dxa"/>
            <w:vAlign w:val="bottom"/>
          </w:tcPr>
          <w:p>
            <w:pPr>
              <w:spacing w:after="0"/>
              <w:rPr>
                <w:sz w:val="15"/>
                <w:szCs w:val="15"/>
                <w:color w:val="auto"/>
              </w:rPr>
            </w:pPr>
          </w:p>
        </w:tc>
        <w:tc>
          <w:tcPr>
            <w:tcW w:w="64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Engineering expenses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 expense</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71"/>
        </w:trPr>
        <w:tc>
          <w:tcPr>
            <w:tcW w:w="20" w:type="dxa"/>
            <w:vAlign w:val="bottom"/>
            <w:tcBorders>
              <w:bottom w:val="single" w:sz="8" w:color="CCEEFF"/>
            </w:tcBorders>
          </w:tcPr>
          <w:p>
            <w:pPr>
              <w:spacing w:after="0"/>
              <w:rPr>
                <w:sz w:val="14"/>
                <w:szCs w:val="14"/>
                <w:color w:val="auto"/>
              </w:rPr>
            </w:pPr>
          </w:p>
        </w:tc>
        <w:tc>
          <w:tcPr>
            <w:tcW w:w="648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from operations</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income and expenses: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2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2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10300" w:type="dxa"/>
            <w:vAlign w:val="bottom"/>
            <w:gridSpan w:val="10"/>
          </w:tcPr>
          <w:p>
            <w:pPr>
              <w:ind w:left="36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sales in the nine months ended September 30, 2022 from the nine months ended September 30, 2021:</w:t>
            </w:r>
          </w:p>
        </w:tc>
        <w:tc>
          <w:tcPr>
            <w:tcW w:w="96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40" w:type="dxa"/>
            <w:vAlign w:val="bottom"/>
          </w:tcPr>
          <w:p>
            <w:pPr>
              <w:spacing w:after="0"/>
              <w:rPr>
                <w:sz w:val="12"/>
                <w:szCs w:val="1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Freight Segment</w:t>
            </w:r>
          </w:p>
        </w:tc>
        <w:tc>
          <w:tcPr>
            <w:tcW w:w="220" w:type="dxa"/>
            <w:vAlign w:val="bottom"/>
          </w:tcPr>
          <w:p>
            <w:pPr>
              <w:spacing w:after="0"/>
              <w:rPr>
                <w:sz w:val="12"/>
                <w:szCs w:val="1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Transit Segment</w:t>
            </w:r>
          </w:p>
        </w:tc>
        <w:tc>
          <w:tcPr>
            <w:tcW w:w="560" w:type="dxa"/>
            <w:vAlign w:val="bottom"/>
          </w:tcPr>
          <w:p>
            <w:pPr>
              <w:spacing w:after="0"/>
              <w:rPr>
                <w:sz w:val="12"/>
                <w:szCs w:val="12"/>
                <w:color w:val="auto"/>
              </w:rPr>
            </w:pPr>
          </w:p>
        </w:tc>
        <w:tc>
          <w:tcPr>
            <w:tcW w:w="960" w:type="dxa"/>
            <w:vAlign w:val="bottom"/>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Nine Months of 2021 Net Sales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r>
      <w:tr>
        <w:trPr>
          <w:trHeight w:val="180"/>
        </w:trPr>
        <w:tc>
          <w:tcPr>
            <w:tcW w:w="20" w:type="dxa"/>
            <w:vAlign w:val="bottom"/>
          </w:tcPr>
          <w:p>
            <w:pPr>
              <w:spacing w:after="0"/>
              <w:rPr>
                <w:sz w:val="15"/>
                <w:szCs w:val="15"/>
                <w:color w:val="auto"/>
              </w:rPr>
            </w:pPr>
          </w:p>
        </w:tc>
        <w:tc>
          <w:tcPr>
            <w:tcW w:w="6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Organic</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Nine Months of 2022 Net Sales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16" w:lineRule="exact"/>
        <w:rPr>
          <w:sz w:val="20"/>
          <w:szCs w:val="20"/>
          <w:color w:val="auto"/>
        </w:rPr>
      </w:pPr>
    </w:p>
    <w:p>
      <w:pPr>
        <w:ind w:right="180" w:firstLine="382"/>
        <w:spacing w:after="0"/>
        <w:rPr>
          <w:sz w:val="20"/>
          <w:szCs w:val="20"/>
          <w:color w:val="auto"/>
        </w:rPr>
      </w:pPr>
      <w:r>
        <w:rPr>
          <w:rFonts w:ascii="Times New Roman" w:cs="Times New Roman" w:eastAsia="Times New Roman" w:hAnsi="Times New Roman"/>
          <w:sz w:val="14"/>
          <w:szCs w:val="14"/>
          <w:color w:val="auto"/>
        </w:rPr>
        <w:t>Net sales for the nine months ended September 30, 2022 increased by $307 million, or 5.3%, to $6.06 billion compared to the same period in 2021. Freight Segment organic sales increased $508 million driven primarily by Services sales from higher locomotive modernizations and a larger active locomotive fleet. In addition, Equipment sales increased due to higher international locomotive deliveries and higher mining equipment sales, and Components sales increased due to a higher railcar build, increased railcars in operation and growth in industrial end-markets. Transit Segment organic sales decreased $54 million primarily due to supply chain issues caused by the COVID-19 pandemic and the prior year exit of low margin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31" w:name="page32"/>
    <w:bookmarkEnd w:id="31"/>
    <w:p>
      <w:pPr>
        <w:spacing w:after="0" w:line="271" w:lineRule="auto"/>
        <w:rPr>
          <w:sz w:val="20"/>
          <w:szCs w:val="20"/>
          <w:color w:val="auto"/>
        </w:rPr>
      </w:pPr>
      <w:r>
        <w:rPr>
          <w:rFonts w:ascii="Times New Roman" w:cs="Times New Roman" w:eastAsia="Times New Roman" w:hAnsi="Times New Roman"/>
          <w:sz w:val="14"/>
          <w:szCs w:val="14"/>
          <w:color w:val="auto"/>
        </w:rPr>
        <w:t>businesses and contracts in the United Kingdom. Sales from acquisitions contributed $65 million, primarily in the Freight Segment, and unfavorable exchange rates, primarily in the Transit Segment, decreased sales by $212 million.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96"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Cost of sales for the nine months ended September 30, 2022 increased by $136 million, or 3.4%, to $4.17 billion compared to the same period in 2021. The increase is primarily due to the increase in sales and increased materials, labor and transportation costs, partially offset due to favorable product mix between operating segments and product lines. Cost of sales as a percentage of sales was 68.8% and 70.1% for the nine months ended September 30, 2022 and 2021, respectively, representing a 1.3 percentage point decrease. The decrease as a percentage of sales can be attributed to favorable product mix, higher pricing and strong productivity and lower restructuring cost, partially offset by the increase in the costs described above. Cost of sales for the nine months ended September 30, 2022 and 2021 included $12 million and $48 million, respectively, of restructuring costs, primarily for headcount actions and footprint rationalization.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Total operating expenses increased $19 million, or 1.7%, for the nine months ended September 30, 2022 compared to the same period in 2021. Operating expenses as a percentage of sales was 18.6% and 19.2% for the nine months ended September 30, 2022 and 2021, respectively. SG&amp;A decreased $9 million for the nine months ended September 30, compared to the same period in 2021 due to the impacts of foreign exchange rates and lower restructuring and transaction costs, partially offset by higher technology costs and incremental expense from acquisitions. Restructuring and transaction costs included in SG&amp;A were $8 million and $32 million for the nine months ended September 30, 2022 and 2021, respectively, and were primarily for headcount actions and footprint rationalization programs. Engineering expenses increased $25 million primarily due to investments in new technology and incremental expense from acquisitions. Amortization expense increased $3 million primarily due to the acquisition of Nordco.</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expense,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Interest expense, net, remained consistent for the nine months ended September 30, 2022 compared to the same period in 2021.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net</w:t>
      </w:r>
    </w:p>
    <w:p>
      <w:pPr>
        <w:spacing w:after="0" w:line="96" w:lineRule="exact"/>
        <w:rPr>
          <w:sz w:val="20"/>
          <w:szCs w:val="20"/>
          <w:color w:val="auto"/>
        </w:rPr>
      </w:pPr>
    </w:p>
    <w:p>
      <w:pPr>
        <w:ind w:right="280" w:firstLine="382"/>
        <w:spacing w:after="0" w:line="287" w:lineRule="auto"/>
        <w:rPr>
          <w:sz w:val="20"/>
          <w:szCs w:val="20"/>
          <w:color w:val="auto"/>
        </w:rPr>
      </w:pPr>
      <w:r>
        <w:rPr>
          <w:rFonts w:ascii="Times New Roman" w:cs="Times New Roman" w:eastAsia="Times New Roman" w:hAnsi="Times New Roman"/>
          <w:sz w:val="14"/>
          <w:szCs w:val="14"/>
          <w:color w:val="auto"/>
        </w:rPr>
        <w:t>Other income, net, was $15 million of income for the nine months ended September 30, 2022 compared to $25 million of income in the same period of 2021 primarily driven by a foreign exchange loss of $5 million in the current year as compared to a gain of $7 million in the prior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The effective income tax rate was 25.1% and 26.0% for the nine months ended September 30, 2022 and 2021, respectively. The decrease in the effective tax rate is primarily the result of a more favorable earnings mix for the nine months ended September 30, 2022.</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Freight Segment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our Freight Segment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3"/>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2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2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9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0"/>
                <w:szCs w:val="10"/>
                <w:color w:val="auto"/>
              </w:rPr>
            </w:pPr>
          </w:p>
        </w:tc>
        <w:tc>
          <w:tcPr>
            <w:tcW w:w="1240" w:type="dxa"/>
            <w:vAlign w:val="bottom"/>
          </w:tcPr>
          <w:p>
            <w:pPr>
              <w:jc w:val="right"/>
              <w:ind w:right="611"/>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jc w:val="right"/>
              <w:ind w:right="610"/>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Sales of goods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3,014</w:t>
            </w:r>
          </w:p>
        </w:tc>
        <w:tc>
          <w:tcPr>
            <w:tcW w:w="10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2,646</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services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1,168</w:t>
            </w:r>
          </w:p>
        </w:tc>
      </w:tr>
      <w:tr>
        <w:trPr>
          <w:trHeight w:val="171"/>
        </w:trPr>
        <w:tc>
          <w:tcPr>
            <w:tcW w:w="20" w:type="dxa"/>
            <w:vAlign w:val="bottom"/>
          </w:tcPr>
          <w:p>
            <w:pPr>
              <w:spacing w:after="0"/>
              <w:rPr>
                <w:sz w:val="14"/>
                <w:szCs w:val="14"/>
                <w:color w:val="auto"/>
              </w:rPr>
            </w:pPr>
          </w:p>
        </w:tc>
        <w:tc>
          <w:tcPr>
            <w:tcW w:w="79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net sales</w:t>
            </w:r>
          </w:p>
        </w:tc>
        <w:tc>
          <w:tcPr>
            <w:tcW w:w="380" w:type="dxa"/>
            <w:vAlign w:val="bottom"/>
          </w:tcPr>
          <w:p>
            <w:pPr>
              <w:spacing w:after="0"/>
              <w:rPr>
                <w:sz w:val="14"/>
                <w:szCs w:val="14"/>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4,343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3,814</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Cost of goods</w:t>
            </w:r>
          </w:p>
        </w:tc>
        <w:tc>
          <w:tcPr>
            <w:tcW w:w="380" w:type="dxa"/>
            <w:vAlign w:val="bottom"/>
          </w:tcPr>
          <w:p>
            <w:pPr>
              <w:spacing w:after="0"/>
              <w:rPr>
                <w:sz w:val="15"/>
                <w:szCs w:val="15"/>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(2,203)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(1,951)</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services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(650)</w:t>
            </w:r>
          </w:p>
        </w:tc>
      </w:tr>
      <w:tr>
        <w:trPr>
          <w:trHeight w:val="171"/>
        </w:trPr>
        <w:tc>
          <w:tcPr>
            <w:tcW w:w="20" w:type="dxa"/>
            <w:vAlign w:val="bottom"/>
            <w:tcBorders>
              <w:bottom w:val="single" w:sz="8" w:color="CCEEFF"/>
            </w:tcBorders>
          </w:tcPr>
          <w:p>
            <w:pPr>
              <w:spacing w:after="0"/>
              <w:rPr>
                <w:sz w:val="14"/>
                <w:szCs w:val="14"/>
                <w:color w:val="auto"/>
              </w:rPr>
            </w:pPr>
          </w:p>
        </w:tc>
        <w:tc>
          <w:tcPr>
            <w:tcW w:w="79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Total cost of sales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(2,929)</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(2,601)</w:t>
            </w:r>
          </w:p>
        </w:tc>
      </w:tr>
      <w:tr>
        <w:trPr>
          <w:trHeight w:val="65"/>
        </w:trPr>
        <w:tc>
          <w:tcPr>
            <w:tcW w:w="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tcPr>
          <w:p>
            <w:pPr>
              <w:spacing w:after="0"/>
              <w:rPr>
                <w:sz w:val="15"/>
                <w:szCs w:val="15"/>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1,213</w:t>
            </w:r>
          </w:p>
        </w:tc>
      </w:tr>
      <w:tr>
        <w:trPr>
          <w:trHeight w:val="85"/>
        </w:trPr>
        <w:tc>
          <w:tcPr>
            <w:tcW w:w="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4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(703)</w:t>
            </w:r>
          </w:p>
        </w:tc>
      </w:tr>
      <w:tr>
        <w:trPr>
          <w:trHeight w:val="65"/>
        </w:trPr>
        <w:tc>
          <w:tcPr>
            <w:tcW w:w="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from operations ($)</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operations (% of net sales)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net sales for the Freight Segment in the first nine months of 2022 from the first nine months of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Nine Months of 2021 Net Sales</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Changes in Sales by Product Line:</w:t>
            </w: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Services</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Equipment</w:t>
            </w:r>
          </w:p>
        </w:tc>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Components</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20" w:type="dxa"/>
            <w:vAlign w:val="bottom"/>
            <w:tcBorders>
              <w:bottom w:val="single" w:sz="8" w:color="CCEEFF"/>
            </w:tcBorders>
          </w:tcPr>
          <w:p>
            <w:pPr>
              <w:spacing w:after="0"/>
              <w:rPr>
                <w:sz w:val="15"/>
                <w:szCs w:val="15"/>
                <w:color w:val="auto"/>
              </w:rPr>
            </w:pPr>
          </w:p>
        </w:tc>
        <w:tc>
          <w:tcPr>
            <w:tcW w:w="97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Digital Electronics</w:t>
            </w: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9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Nine Months of 2022 Net Sales</w:t>
            </w: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96" w:lineRule="exact"/>
        <w:rPr>
          <w:sz w:val="20"/>
          <w:szCs w:val="20"/>
          <w:color w:val="auto"/>
        </w:rPr>
      </w:pPr>
    </w:p>
    <w:p>
      <w:pPr>
        <w:jc w:val="both"/>
        <w:ind w:right="60" w:firstLine="382"/>
        <w:spacing w:after="0" w:line="270" w:lineRule="auto"/>
        <w:rPr>
          <w:sz w:val="20"/>
          <w:szCs w:val="20"/>
          <w:color w:val="auto"/>
        </w:rPr>
      </w:pPr>
      <w:r>
        <w:rPr>
          <w:rFonts w:ascii="Times New Roman" w:cs="Times New Roman" w:eastAsia="Times New Roman" w:hAnsi="Times New Roman"/>
          <w:sz w:val="14"/>
          <w:szCs w:val="14"/>
          <w:color w:val="auto"/>
        </w:rPr>
        <w:t>Freight Segment sales increased by $529 million or 13.9%, to $4.34 billion, compared to the same period in 2021. Services sales increased from higher locomotive modernizations and a larger active locomotive fleet, Equipment sales increased due to higher international locomotive deliveries and higher mining equipment sales, and Components sales increased due to a higher railcar build and increased railcars in operation. Sales from acquisitions, contributed $62 million and the effects of unfavorable foreign exchange rates decreased sales by $41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9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Freight Segment cost of sales for the nine months ended September 30, 2022 increased by $328 million, or 12.6%, to $2.93 billion, compared to the same period in 2021. The increase is primarily due to the increase in sales and increased materials, transportation and labor costs. Cost of sales as a percentage of sales was 67.4% and 68.2% for the nine months ended September 30, 2022 and 2021, respectively, representing a 0.8 percentage point decrease which benefited from favorable product mix, increased pricing, improved productivity and synergy savings. Cost of sales for the nine months ended September 30, 2022 and 2021 includes $7 million and $6 million, respectively, of restructuring and transaction costs, primarily for headcount actions. The nine months ended September 30, 2021 also included transaction costs related to the Nordco acquisition.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6" w:lineRule="exact"/>
        <w:rPr>
          <w:sz w:val="20"/>
          <w:szCs w:val="20"/>
          <w:color w:val="auto"/>
        </w:rPr>
      </w:pPr>
    </w:p>
    <w:p>
      <w:pPr>
        <w:ind w:firstLine="382"/>
        <w:spacing w:after="0" w:line="263" w:lineRule="auto"/>
        <w:rPr>
          <w:sz w:val="20"/>
          <w:szCs w:val="20"/>
          <w:color w:val="auto"/>
        </w:rPr>
      </w:pPr>
      <w:r>
        <w:rPr>
          <w:rFonts w:ascii="Times New Roman" w:cs="Times New Roman" w:eastAsia="Times New Roman" w:hAnsi="Times New Roman"/>
          <w:sz w:val="14"/>
          <w:szCs w:val="14"/>
          <w:color w:val="auto"/>
        </w:rPr>
        <w:t>Freight Segment operating expenses increased $56 million, or 8.0%, for the nine months ended September 30, 2022 compared to the same period in 2021. SG&amp;A increased $23 million primarily due to incremental expense from acquisitions and higher technology costs, partially offset by a decrease in restructuring and transaction costs. Restructuring and transaction costs included in SG&amp;A for the nine months ended September 30, 2022 were $1 million compared to $11 million for the same period in 2021 primarily for headcount actions as part of the integration of GE Transportation. Engineering expenses increased $29 million primarily due to investments in new technology and incremental expense from acquisitions. Amortization expense increased $4 million due to acquisitions.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Transit Segment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our Transit Segment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4"/>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2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2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9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0"/>
                <w:szCs w:val="10"/>
                <w:color w:val="auto"/>
              </w:rPr>
            </w:pPr>
          </w:p>
        </w:tc>
        <w:tc>
          <w:tcPr>
            <w:tcW w:w="1240" w:type="dxa"/>
            <w:vAlign w:val="bottom"/>
          </w:tcPr>
          <w:p>
            <w:pPr>
              <w:jc w:val="right"/>
              <w:ind w:right="612"/>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jc w:val="right"/>
              <w:ind w:right="610"/>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1,935</w:t>
            </w:r>
          </w:p>
        </w:tc>
      </w:tr>
      <w:tr>
        <w:trPr>
          <w:trHeight w:val="180"/>
        </w:trPr>
        <w:tc>
          <w:tcPr>
            <w:tcW w:w="2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(1,432)</w:t>
            </w:r>
          </w:p>
        </w:tc>
      </w:tr>
      <w:tr>
        <w:trPr>
          <w:trHeight w:val="171"/>
        </w:trPr>
        <w:tc>
          <w:tcPr>
            <w:tcW w:w="20" w:type="dxa"/>
            <w:vAlign w:val="bottom"/>
            <w:shd w:val="clear" w:color="auto" w:fill="CCEEFF"/>
          </w:tcPr>
          <w:p>
            <w:pPr>
              <w:spacing w:after="0"/>
              <w:rPr>
                <w:sz w:val="14"/>
                <w:szCs w:val="14"/>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503</w:t>
            </w:r>
          </w:p>
        </w:tc>
      </w:tr>
      <w:tr>
        <w:trPr>
          <w:trHeight w:val="85"/>
        </w:trPr>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(344)</w:t>
            </w:r>
          </w:p>
        </w:tc>
      </w:tr>
      <w:tr>
        <w:trPr>
          <w:trHeight w:val="65"/>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operations ($)</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92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Income from operations (% of net sales)</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9.8 %</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8.2 %</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1024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net sales for the Transit Segment in the first nine months of 2022 from the first nine months of 2021:</w:t>
            </w:r>
          </w:p>
        </w:tc>
        <w:tc>
          <w:tcPr>
            <w:tcW w:w="102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Nine Months of 2021 Net Sales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Changes in Sales by Product Line:</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Original Equipment Manufacturing</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2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Aftermarket</w:t>
            </w:r>
          </w:p>
        </w:tc>
        <w:tc>
          <w:tcPr>
            <w:tcW w:w="3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Nine Months of 2022 Net Sales</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25" w:lineRule="exact"/>
        <w:rPr>
          <w:sz w:val="20"/>
          <w:szCs w:val="20"/>
          <w:color w:val="auto"/>
        </w:rPr>
      </w:pPr>
    </w:p>
    <w:p>
      <w:pPr>
        <w:ind w:right="60" w:firstLine="382"/>
        <w:spacing w:after="0" w:line="256" w:lineRule="auto"/>
        <w:rPr>
          <w:sz w:val="20"/>
          <w:szCs w:val="20"/>
          <w:color w:val="auto"/>
        </w:rPr>
      </w:pPr>
      <w:r>
        <w:rPr>
          <w:rFonts w:ascii="Times New Roman" w:cs="Times New Roman" w:eastAsia="Times New Roman" w:hAnsi="Times New Roman"/>
          <w:sz w:val="14"/>
          <w:szCs w:val="14"/>
          <w:color w:val="auto"/>
        </w:rPr>
        <w:t>Transit Segment sales for the nine months ended September 30, 2022 decreased by $222 million, or 11.5%, to $1.71 billion compared to the same period in 2021, with unfavorable foreign exchange rates reducing sales $171 million. Sales of Original Equipment Manufacturing decreased due to supply chain issues caused by the COVID-19 pandemic partially offset by higher demand and an increase in government transportation spending. Aftermarket sales decreased from lower maintenance and overhauls driven by the prior year exit of low margin businesses and contracts in the United Kingdom, as well as supply chain issues caused by the COVID-19 pandemic. Additionally, both Original Equipment Manufacturing and Aftermarket sales were impacted by a manufacturing disruption caused by the second quarter cyber incident.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9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Transit Segment cost of sales for the nine months ended September 30, 2022 decreased by $193 million, or 13.5%, to $1.24 billion compared to the same period in 2021. The decrease is primarily due to the decrease in sales discussed above and decreased restructuring costs. Cost of sales as a percentage of sales was 72.3% and 74.0% for the nine months ended September 30, 2022 and 2021, respectively, representing a 1.7 percentage point decrease. This can be attributed to improved productivity, higher pricing, the exit of low margin businesses in the United Kingdom, and prior year structured cost actions taken through restructuring programs, partially offset by increased metals, transportation and labor costs. Cost of sales for the nine months ended September 30, 2022 and 2021 included $5 million and $43 million, respectively, of restructuring costs, primarily for headcount actions and footprint rationalization in Europe.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Transit Segment operating expenses decreased $38 million, or 11.0%, for the nine months ended September 30, 2022 compared to the same period in 2021. SG&amp;A decreased $33 million due to the decrease in sales, the effects of foreign exchange rates and decreased restructuring cost. SG&amp;A for the nine months ended September 30, 2022 and 2021 included $5 million and $12 million, respectively, of restructuring costs, primarily for headcount actions in Europe. Additionally, engineering and amortization expenses remained consistent year over year.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ind w:right="140" w:firstLine="382"/>
        <w:spacing w:after="0" w:line="269" w:lineRule="auto"/>
        <w:rPr>
          <w:sz w:val="20"/>
          <w:szCs w:val="20"/>
          <w:color w:val="auto"/>
        </w:rPr>
      </w:pPr>
      <w:r>
        <w:rPr>
          <w:rFonts w:ascii="Times New Roman" w:cs="Times New Roman" w:eastAsia="Times New Roman" w:hAnsi="Times New Roman"/>
          <w:sz w:val="14"/>
          <w:szCs w:val="14"/>
          <w:color w:val="auto"/>
        </w:rPr>
        <w:t>Liquidity is provided primarily by operating cash flow and borrowings under the Company’s Senior Notes and unsecured credit facility with a consortium of commercial banks. Additionally, the Company utilizes the revolving receivables program and supply chain financing program described below for added flexibility as part of our liquidity management strategy.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96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6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1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960" w:type="dxa"/>
            <w:vAlign w:val="bottom"/>
          </w:tcPr>
          <w:p>
            <w:pPr>
              <w:jc w:val="right"/>
              <w:ind w:right="12"/>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jc w:val="right"/>
              <w:ind w:right="572"/>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provided by (used for):</w:t>
            </w: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Operating activities</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center"/>
              <w:ind w:left="572"/>
              <w:spacing w:after="0"/>
              <w:rPr>
                <w:sz w:val="20"/>
                <w:szCs w:val="20"/>
                <w:color w:val="auto"/>
              </w:rPr>
            </w:pPr>
            <w:r>
              <w:rPr>
                <w:rFonts w:ascii="Times New Roman" w:cs="Times New Roman" w:eastAsia="Times New Roman" w:hAnsi="Times New Roman"/>
                <w:sz w:val="14"/>
                <w:szCs w:val="14"/>
                <w:color w:val="auto"/>
                <w:w w:val="95"/>
              </w:rPr>
              <w:t>759</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Investing activities</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8"/>
              </w:rPr>
              <w:t>(149)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4"/>
                <w:szCs w:val="14"/>
                <w:color w:val="auto"/>
                <w:w w:val="98"/>
              </w:rPr>
              <w:t>(475)</w:t>
            </w:r>
          </w:p>
        </w:tc>
      </w:tr>
      <w:tr>
        <w:trPr>
          <w:trHeight w:val="184"/>
        </w:trPr>
        <w:tc>
          <w:tcPr>
            <w:tcW w:w="20" w:type="dxa"/>
            <w:vAlign w:val="bottom"/>
          </w:tcPr>
          <w:p>
            <w:pPr>
              <w:spacing w:after="0"/>
              <w:rPr>
                <w:sz w:val="16"/>
                <w:szCs w:val="16"/>
                <w:color w:val="auto"/>
              </w:rPr>
            </w:pP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Financing activities</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8"/>
              </w:rPr>
              <w:t>(395)</w:t>
            </w:r>
          </w:p>
        </w:tc>
        <w:tc>
          <w:tcPr>
            <w:tcW w:w="100" w:type="dxa"/>
            <w:vAlign w:val="bottom"/>
          </w:tcPr>
          <w:p>
            <w:pPr>
              <w:spacing w:after="0"/>
              <w:rPr>
                <w:sz w:val="16"/>
                <w:szCs w:val="16"/>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center"/>
              <w:ind w:left="552"/>
              <w:spacing w:after="0"/>
              <w:rPr>
                <w:sz w:val="20"/>
                <w:szCs w:val="20"/>
                <w:color w:val="auto"/>
              </w:rPr>
            </w:pPr>
            <w:r>
              <w:rPr>
                <w:rFonts w:ascii="Times New Roman" w:cs="Times New Roman" w:eastAsia="Times New Roman" w:hAnsi="Times New Roman"/>
                <w:sz w:val="14"/>
                <w:szCs w:val="14"/>
                <w:color w:val="auto"/>
                <w:w w:val="98"/>
              </w:rPr>
              <w:t>(433)</w:t>
            </w:r>
          </w:p>
        </w:tc>
      </w:tr>
    </w:tbl>
    <w:p>
      <w:pPr>
        <w:spacing w:after="0" w:line="181" w:lineRule="exact"/>
        <w:rPr>
          <w:sz w:val="20"/>
          <w:szCs w:val="20"/>
          <w:color w:val="auto"/>
        </w:rPr>
      </w:pPr>
    </w:p>
    <w:p>
      <w:pPr>
        <w:ind w:right="12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Operating activities </w:t>
      </w:r>
      <w:r>
        <w:rPr>
          <w:rFonts w:ascii="Times New Roman" w:cs="Times New Roman" w:eastAsia="Times New Roman" w:hAnsi="Times New Roman"/>
          <w:sz w:val="14"/>
          <w:szCs w:val="14"/>
          <w:color w:val="auto"/>
        </w:rPr>
        <w:t>In the first nine months of 2022, cash provided by operating activities was $628 million compared to $759 million in the first nine months of 2021. Significant changes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sources and (uses) of cash for the nine month periods include the following:</w:t>
      </w:r>
    </w:p>
    <w:p>
      <w:pPr>
        <w:spacing w:after="0" w:line="37"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$92 million attributable to higher Net income and other changes in the related statements of income amounts;</w:t>
      </w:r>
    </w:p>
    <w:p>
      <w:pPr>
        <w:spacing w:after="0" w:line="93" w:lineRule="exact"/>
        <w:rPr>
          <w:rFonts w:ascii="Times New Roman" w:cs="Times New Roman" w:eastAsia="Times New Roman" w:hAnsi="Times New Roman"/>
          <w:sz w:val="14"/>
          <w:szCs w:val="14"/>
          <w:color w:val="auto"/>
        </w:rPr>
      </w:pPr>
    </w:p>
    <w:p>
      <w:pPr>
        <w:ind w:left="520" w:right="340" w:hanging="260"/>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$(252) million from net changes in working capital primarily driven by: $(369) million unfavorable change in inventory primarily from proactive inventory build-ups ahead of expected growth and in response to supply chain challenges, $(74) million related to changes in receivables due to timing and volume of sales and the net change in the Revolving Receivables Program, and $191 million in accounts payable, primarily due to the timing of payments to suppliers;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million from higher employee related benefit payments, inclusive of payments related to severance accruals;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$156 million from changes in the timing of customer deposits.</w:t>
      </w:r>
    </w:p>
    <w:p>
      <w:pPr>
        <w:spacing w:after="0" w:line="92" w:lineRule="exact"/>
        <w:rPr>
          <w:sz w:val="20"/>
          <w:szCs w:val="20"/>
          <w:color w:val="auto"/>
        </w:rPr>
      </w:pPr>
    </w:p>
    <w:p>
      <w:pPr>
        <w:ind w:right="60" w:firstLine="382"/>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Investing activities </w:t>
      </w:r>
      <w:r>
        <w:rPr>
          <w:rFonts w:ascii="Times New Roman" w:cs="Times New Roman" w:eastAsia="Times New Roman" w:hAnsi="Times New Roman"/>
          <w:sz w:val="14"/>
          <w:szCs w:val="14"/>
          <w:color w:val="auto"/>
        </w:rPr>
        <w:t>In the first nine months of 2022 and 2021, cash used for investing activities was $(149) million and $(475) million, respectively. The major components of the cash outflow</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2022 were $(82) million in additions to property, plant and equipment for investments in our facilities and manufacturing processes and $(69) million for strategic acquisitions. This compares to $(78) million in additions to property, plant, and equipment and $(405) million in net cash paid for acquisitions in the first nine months of 2021. Additional information with respect to acquisitions is included in Note 3 of the “Notes to Condensed Consolidated Financial Statements” included in Part I, Item 1 of this report.</w:t>
      </w:r>
    </w:p>
    <w:p>
      <w:pPr>
        <w:spacing w:after="0" w:line="53" w:lineRule="exact"/>
        <w:rPr>
          <w:sz w:val="20"/>
          <w:szCs w:val="20"/>
          <w:color w:val="auto"/>
        </w:rPr>
      </w:pPr>
    </w:p>
    <w:p>
      <w:pPr>
        <w:ind w:right="8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Financing activities </w:t>
      </w:r>
      <w:r>
        <w:rPr>
          <w:rFonts w:ascii="Times New Roman" w:cs="Times New Roman" w:eastAsia="Times New Roman" w:hAnsi="Times New Roman"/>
          <w:sz w:val="14"/>
          <w:szCs w:val="14"/>
          <w:color w:val="auto"/>
        </w:rPr>
        <w:t>In the first nine months of 2022, cash used for financing activities was $(395) million which included $93 million from changes in debt, $(400) million in stock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repurchases, and $(83) million of dividend payments. In the first nine months of 2021, cash used for financing activities was $(433) million, which included $(162) million in net repayments of debt, $(200) million in stock repurchases and $(69) million of dividend payments.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second quarter of 2022, the Company redeemed $25 million of principal from the 2024 Notes plus a premium and the related accrued interest.</w:t>
      </w:r>
    </w:p>
    <w:p>
      <w:pPr>
        <w:spacing w:after="0" w:line="94"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On August 15, 2022, the Company amended, restated and replaced the then-existing credit agreement. The Restated Credit Agreement updated the multi-currency revolving loan facility from $1.2 billion to $1.5 billion and added a new Delayed Draw Term Loan of up to $250 million. Additional information with respect to credit facilities and long-term debt is included in Note 8 of the "Notes to Condensed Consolidated Financial Statements" included in Part I, Item 1 of this report.</w:t>
      </w:r>
    </w:p>
    <w:p>
      <w:pPr>
        <w:spacing w:after="0" w:line="51" w:lineRule="exact"/>
        <w:rPr>
          <w:sz w:val="20"/>
          <w:szCs w:val="20"/>
          <w:color w:val="auto"/>
        </w:rPr>
      </w:pPr>
    </w:p>
    <w:p>
      <w:pPr>
        <w:ind w:right="160" w:firstLine="382"/>
        <w:spacing w:after="0" w:line="270" w:lineRule="auto"/>
        <w:rPr>
          <w:sz w:val="20"/>
          <w:szCs w:val="20"/>
          <w:color w:val="auto"/>
        </w:rPr>
      </w:pPr>
      <w:r>
        <w:rPr>
          <w:rFonts w:ascii="Times New Roman" w:cs="Times New Roman" w:eastAsia="Times New Roman" w:hAnsi="Times New Roman"/>
          <w:sz w:val="14"/>
          <w:szCs w:val="14"/>
          <w:color w:val="auto"/>
        </w:rPr>
        <w:t>As of September 30, 2022, the Company held approximately $514 million of cash and cash equivalents, of which approximately $1 million was held within the United States and approximately $513 million was held outside of the United States, primarily in India, Europe, China, and Brazil. While repatriation of some cash held outside the United States may be restricted by local laws, most of the Company’s foreign cash could be repatriated to the United States net of any tax impacts.</w:t>
      </w:r>
    </w:p>
    <w:p>
      <w:pPr>
        <w:spacing w:after="0" w:line="51"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color w:val="auto"/>
        </w:rPr>
        <w:t>Revolving Receivables Program</w:t>
      </w:r>
    </w:p>
    <w:p>
      <w:pPr>
        <w:spacing w:after="0" w:line="96" w:lineRule="exact"/>
        <w:rPr>
          <w:sz w:val="20"/>
          <w:szCs w:val="20"/>
          <w:color w:val="auto"/>
        </w:rPr>
      </w:pPr>
    </w:p>
    <w:p>
      <w:pPr>
        <w:ind w:right="220" w:firstLine="382"/>
        <w:spacing w:after="0" w:line="261" w:lineRule="auto"/>
        <w:rPr>
          <w:sz w:val="20"/>
          <w:szCs w:val="20"/>
          <w:color w:val="auto"/>
        </w:rPr>
      </w:pPr>
      <w:r>
        <w:rPr>
          <w:rFonts w:ascii="Times New Roman" w:cs="Times New Roman" w:eastAsia="Times New Roman" w:hAnsi="Times New Roman"/>
          <w:sz w:val="14"/>
          <w:szCs w:val="14"/>
          <w:color w:val="auto"/>
        </w:rPr>
        <w:t>The Company utilizes a revolving receivables facility to sell up to $350 million of certain receivables through our bankruptcy-remote facility to a financial institution on a recurring basis in exchange for cash equal to the gross receivables sold. As customers pay their balances, we transfer additional receivables into the program, which results in our gross receivables sold exceeding collections reinvested for any applicable periods. Net cash proceeds from the revolving receivables program were $205 million and $84 million for the nine months ended September 30, 2022 and 2021, respectively. Additional information with respect to the Revolving Receivables Program is included in Note 2 of "Notes to Condensed Consolidated Financial Statements" included in Part I, Item 1 of this report.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Chain Financing Program</w:t>
      </w:r>
    </w:p>
    <w:p>
      <w:pPr>
        <w:spacing w:after="0" w:line="96"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and does not receive an economic benefit from the financial institutions. The arrangements do not change the payable terms negotiated by the Company and our vendors and does not result in a change in the classification of amounts due as accounts payable in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Guarantor Summarized Financial Information</w:t>
      </w:r>
    </w:p>
    <w:p>
      <w:pPr>
        <w:spacing w:after="0" w:line="96" w:lineRule="exact"/>
        <w:rPr>
          <w:sz w:val="20"/>
          <w:szCs w:val="20"/>
          <w:color w:val="auto"/>
        </w:rPr>
      </w:pPr>
    </w:p>
    <w:p>
      <w:pPr>
        <w:ind w:right="300" w:firstLine="382"/>
        <w:spacing w:after="0" w:line="270" w:lineRule="auto"/>
        <w:rPr>
          <w:sz w:val="20"/>
          <w:szCs w:val="20"/>
          <w:color w:val="auto"/>
        </w:rPr>
      </w:pPr>
      <w:r>
        <w:rPr>
          <w:rFonts w:ascii="Times New Roman" w:cs="Times New Roman" w:eastAsia="Times New Roman" w:hAnsi="Times New Roman"/>
          <w:sz w:val="14"/>
          <w:szCs w:val="14"/>
          <w:color w:val="auto"/>
        </w:rPr>
        <w:t>The obligations under the Company's US Notes and Senior Credit Facility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Company.</w:t>
      </w:r>
    </w:p>
    <w:p>
      <w:pPr>
        <w:spacing w:after="0" w:line="51" w:lineRule="exact"/>
        <w:rPr>
          <w:sz w:val="20"/>
          <w:szCs w:val="20"/>
          <w:color w:val="auto"/>
        </w:rPr>
      </w:pPr>
    </w:p>
    <w:p>
      <w:pPr>
        <w:jc w:val="both"/>
        <w:ind w:right="520" w:firstLine="382"/>
        <w:spacing w:after="0" w:line="270" w:lineRule="auto"/>
        <w:rPr>
          <w:sz w:val="20"/>
          <w:szCs w:val="20"/>
          <w:color w:val="auto"/>
        </w:rPr>
      </w:pPr>
      <w:r>
        <w:rPr>
          <w:rFonts w:ascii="Times New Roman" w:cs="Times New Roman" w:eastAsia="Times New Roman" w:hAnsi="Times New Roman"/>
          <w:sz w:val="14"/>
          <w:szCs w:val="14"/>
          <w:color w:val="auto"/>
        </w:rPr>
        <w:t>On January 1, 2022, the Company completed an internal legal entity reorganization that resulted in changes to the subsidiaries and operating divisions serving as guarantors under the Company's US Notes and Senior Credit Facility. As such, certain prior year amounts have been reclassified, where necessary, to conform to the current year presentation in line with the legal reorganization. Refer to Exhibit 22.1 for the updated list of guarantor subsidiaries.</w:t>
      </w:r>
    </w:p>
    <w:p>
      <w:pPr>
        <w:spacing w:after="0" w:line="51"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The following tables present summarized financial information of the parent and the guarantor subsidiaries on a combined basis for the Company's US Notes and Senior Credit Facility. The combined summarized financial information eliminates intercompany balances and transactions among the parent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Summarized Statement of Income</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27"/>
        </w:trPr>
        <w:tc>
          <w:tcPr>
            <w:tcW w:w="5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Westinghouse Air Brake Technologies Corp.</w:t>
            </w:r>
          </w:p>
        </w:tc>
      </w:tr>
      <w:tr>
        <w:trPr>
          <w:trHeight w:val="149"/>
        </w:trPr>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and Guarantor Subsidiaries</w:t>
            </w:r>
          </w:p>
        </w:tc>
      </w:tr>
      <w:tr>
        <w:trPr>
          <w:trHeight w:val="125"/>
        </w:trPr>
        <w:tc>
          <w:tcPr>
            <w:tcW w:w="520" w:type="dxa"/>
            <w:vAlign w:val="bottom"/>
            <w:tcBorders>
              <w:bottom w:val="single" w:sz="8" w:color="auto"/>
            </w:tcBorders>
          </w:tcPr>
          <w:p>
            <w:pPr>
              <w:spacing w:after="0" w:line="125"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8540" w:type="dxa"/>
            <w:vAlign w:val="bottom"/>
          </w:tcPr>
          <w:p>
            <w:pPr>
              <w:spacing w:after="0"/>
              <w:rPr>
                <w:sz w:val="10"/>
                <w:szCs w:val="10"/>
                <w:color w:val="auto"/>
              </w:rPr>
            </w:pPr>
          </w:p>
        </w:tc>
        <w:tc>
          <w:tcPr>
            <w:tcW w:w="22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Nine Months Ended September 30, 2022</w:t>
            </w:r>
          </w:p>
        </w:tc>
      </w:tr>
      <w:tr>
        <w:trPr>
          <w:trHeight w:val="22"/>
        </w:trPr>
        <w:tc>
          <w:tcPr>
            <w:tcW w:w="5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21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w:t>
            </w: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w:t>
            </w:r>
          </w:p>
        </w:tc>
      </w:tr>
      <w:tr>
        <w:trPr>
          <w:trHeight w:val="184"/>
        </w:trPr>
        <w:tc>
          <w:tcPr>
            <w:tcW w:w="2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r>
      <w:tr>
        <w:trPr>
          <w:trHeight w:val="181"/>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371"/>
        </w:trPr>
        <w:tc>
          <w:tcPr>
            <w:tcW w:w="20" w:type="dxa"/>
            <w:vAlign w:val="bottom"/>
          </w:tcPr>
          <w:p>
            <w:pPr>
              <w:spacing w:after="0"/>
              <w:rPr>
                <w:sz w:val="24"/>
                <w:szCs w:val="24"/>
                <w:color w:val="auto"/>
              </w:rPr>
            </w:pPr>
          </w:p>
        </w:tc>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Summarized Balance Sheet</w:t>
            </w: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76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180" w:type="dxa"/>
            <w:vAlign w:val="bottom"/>
            <w:gridSpan w:val="4"/>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Westinghouse Air Brake Technologies Corp. and Guarantor Subsidiaries</w:t>
            </w:r>
          </w:p>
        </w:tc>
      </w:tr>
      <w:tr>
        <w:trPr>
          <w:trHeight w:val="136"/>
        </w:trPr>
        <w:tc>
          <w:tcPr>
            <w:tcW w:w="2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September 30, 2022</w:t>
            </w:r>
          </w:p>
        </w:tc>
        <w:tc>
          <w:tcPr>
            <w:tcW w:w="440" w:type="dxa"/>
            <w:vAlign w:val="bottom"/>
          </w:tcPr>
          <w:p>
            <w:pPr>
              <w:spacing w:after="0"/>
              <w:rPr>
                <w:sz w:val="11"/>
                <w:szCs w:val="11"/>
                <w:color w:val="auto"/>
              </w:rPr>
            </w:pPr>
          </w:p>
        </w:tc>
        <w:tc>
          <w:tcPr>
            <w:tcW w:w="176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6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w:t>
            </w:r>
          </w:p>
        </w:tc>
      </w:tr>
      <w:tr>
        <w:trPr>
          <w:trHeight w:val="180"/>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296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8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w:t>
            </w: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96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r>
      <w:tr>
        <w:trPr>
          <w:trHeight w:val="180"/>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296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8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3,483</w:t>
            </w: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96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r>
      <w:tr>
        <w:trPr>
          <w:trHeight w:val="70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7" w:name="page38"/>
    <w:bookmarkEnd w:id="37"/>
    <w:p>
      <w:pPr>
        <w:ind w:left="380"/>
        <w:spacing w:after="0"/>
        <w:rPr>
          <w:sz w:val="20"/>
          <w:szCs w:val="20"/>
          <w:color w:val="auto"/>
        </w:rPr>
      </w:pPr>
      <w:r>
        <w:rPr>
          <w:rFonts w:ascii="Times New Roman" w:cs="Times New Roman" w:eastAsia="Times New Roman" w:hAnsi="Times New Roman"/>
          <w:sz w:val="14"/>
          <w:szCs w:val="14"/>
          <w:color w:val="auto"/>
        </w:rPr>
        <w:t>The following is a description of the transactions between the combined Westinghouse Air Brake Technologies Corp. and guarantor subsidiaries with non-guarantor subsidiaries.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27"/>
        </w:trPr>
        <w:tc>
          <w:tcPr>
            <w:tcW w:w="5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Westinghouse Air Brake Technologies Corp.</w:t>
            </w:r>
          </w:p>
        </w:tc>
      </w:tr>
      <w:tr>
        <w:trPr>
          <w:trHeight w:val="149"/>
        </w:trPr>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and Guarantor Subsidiaries</w:t>
            </w:r>
          </w:p>
        </w:tc>
      </w:tr>
      <w:tr>
        <w:trPr>
          <w:trHeight w:val="125"/>
        </w:trPr>
        <w:tc>
          <w:tcPr>
            <w:tcW w:w="520" w:type="dxa"/>
            <w:vAlign w:val="bottom"/>
            <w:tcBorders>
              <w:bottom w:val="single" w:sz="8" w:color="auto"/>
            </w:tcBorders>
          </w:tcPr>
          <w:p>
            <w:pPr>
              <w:spacing w:after="0" w:line="125"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8540" w:type="dxa"/>
            <w:vAlign w:val="bottom"/>
          </w:tcPr>
          <w:p>
            <w:pPr>
              <w:spacing w:after="0"/>
              <w:rPr>
                <w:sz w:val="10"/>
                <w:szCs w:val="10"/>
                <w:color w:val="auto"/>
              </w:rPr>
            </w:pPr>
          </w:p>
        </w:tc>
        <w:tc>
          <w:tcPr>
            <w:tcW w:w="22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Nine Months Ended September 30, 2022</w:t>
            </w:r>
          </w:p>
        </w:tc>
      </w:tr>
      <w:tr>
        <w:trPr>
          <w:trHeight w:val="22"/>
        </w:trPr>
        <w:tc>
          <w:tcPr>
            <w:tcW w:w="5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21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 to non-guarantor subsidiaries</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r>
      <w:tr>
        <w:trPr>
          <w:trHeight w:val="184"/>
        </w:trPr>
        <w:tc>
          <w:tcPr>
            <w:tcW w:w="20" w:type="dxa"/>
            <w:vAlign w:val="bottom"/>
          </w:tcPr>
          <w:p>
            <w:pPr>
              <w:spacing w:after="0"/>
              <w:rPr>
                <w:sz w:val="16"/>
                <w:szCs w:val="16"/>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from non-guarantor subsidiaries</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3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2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Westinghouse Air Brake Technologies Corp.</w:t>
            </w: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and Guarantor Subsidiaries</w:t>
            </w:r>
          </w:p>
        </w:tc>
      </w:tr>
      <w:tr>
        <w:trPr>
          <w:trHeight w:val="125"/>
        </w:trPr>
        <w:tc>
          <w:tcPr>
            <w:tcW w:w="20" w:type="dxa"/>
            <w:vAlign w:val="bottom"/>
          </w:tcPr>
          <w:p>
            <w:pPr>
              <w:spacing w:after="0"/>
              <w:rPr>
                <w:sz w:val="10"/>
                <w:szCs w:val="10"/>
                <w:color w:val="auto"/>
              </w:rPr>
            </w:pPr>
          </w:p>
        </w:tc>
        <w:tc>
          <w:tcPr>
            <w:tcW w:w="9060" w:type="dxa"/>
            <w:vAlign w:val="bottom"/>
            <w:gridSpan w:val="2"/>
          </w:tcPr>
          <w:p>
            <w:pPr>
              <w:spacing w:after="0" w:line="125"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60" w:type="dxa"/>
            <w:vAlign w:val="bottom"/>
          </w:tcPr>
          <w:p>
            <w:pPr>
              <w:spacing w:after="0"/>
              <w:rPr>
                <w:sz w:val="10"/>
                <w:szCs w:val="10"/>
                <w:color w:val="auto"/>
              </w:rPr>
            </w:pPr>
          </w:p>
        </w:tc>
        <w:tc>
          <w:tcPr>
            <w:tcW w:w="1940" w:type="dxa"/>
            <w:vAlign w:val="bottom"/>
          </w:tcPr>
          <w:p>
            <w:pPr>
              <w:jc w:val="center"/>
              <w:ind w:right="176"/>
              <w:spacing w:after="0" w:line="125" w:lineRule="exact"/>
              <w:rPr>
                <w:sz w:val="20"/>
                <w:szCs w:val="20"/>
                <w:color w:val="auto"/>
              </w:rPr>
            </w:pPr>
            <w:r>
              <w:rPr>
                <w:rFonts w:ascii="Times New Roman" w:cs="Times New Roman" w:eastAsia="Times New Roman" w:hAnsi="Times New Roman"/>
                <w:sz w:val="11"/>
                <w:szCs w:val="11"/>
                <w:b w:val="1"/>
                <w:bCs w:val="1"/>
                <w:color w:val="auto"/>
              </w:rPr>
              <w:t>September 30, 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8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due from/(to) non-guarantor subsidiaries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(6,601)</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Summarized Financial Information—Euro Notes</w:t>
      </w:r>
    </w:p>
    <w:p>
      <w:pPr>
        <w:spacing w:after="0" w:line="85" w:lineRule="exact"/>
        <w:rPr>
          <w:sz w:val="20"/>
          <w:szCs w:val="20"/>
          <w:color w:val="auto"/>
        </w:rPr>
      </w:pPr>
    </w:p>
    <w:p>
      <w:pPr>
        <w:jc w:val="both"/>
        <w:ind w:right="80" w:firstLine="382"/>
        <w:spacing w:after="0" w:line="239" w:lineRule="auto"/>
        <w:rPr>
          <w:sz w:val="20"/>
          <w:szCs w:val="20"/>
          <w:color w:val="auto"/>
        </w:rPr>
      </w:pPr>
      <w:r>
        <w:rPr>
          <w:rFonts w:ascii="Times New Roman" w:cs="Times New Roman" w:eastAsia="Times New Roman" w:hAnsi="Times New Roman"/>
          <w:sz w:val="14"/>
          <w:szCs w:val="14"/>
          <w:color w:val="auto"/>
        </w:rPr>
        <w:t>The obligations under Wabtec Netherlands’ Euro Notes are fully and unconditionally guaranteed by the Company. Wabtec Netherlands is a wholly-owned, indirect subsidiary of the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50" w:lineRule="exact"/>
        <w:rPr>
          <w:sz w:val="20"/>
          <w:szCs w:val="20"/>
          <w:color w:val="auto"/>
        </w:rPr>
      </w:pPr>
    </w:p>
    <w:p>
      <w:pPr>
        <w:ind w:right="20" w:firstLine="382"/>
        <w:spacing w:after="0" w:line="271" w:lineRule="auto"/>
        <w:rPr>
          <w:sz w:val="20"/>
          <w:szCs w:val="20"/>
          <w:color w:val="auto"/>
        </w:rPr>
      </w:pPr>
      <w:r>
        <w:rPr>
          <w:rFonts w:ascii="Times New Roman" w:cs="Times New Roman" w:eastAsia="Times New Roman" w:hAnsi="Times New Roman"/>
          <w:sz w:val="14"/>
          <w:szCs w:val="14"/>
          <w:color w:val="auto"/>
        </w:rPr>
        <w:t>On January 1, 2022, the Company completed an internal legal entity reorganization that resulted in changes to the operating divisions serving as the parent guarantor under the Company's Euro Notes. As such, certain prior year amounts have been reclassified, where necessary, to conform to the current year presentation in line with the legal reorganization.</w:t>
      </w:r>
    </w:p>
    <w:p>
      <w:pPr>
        <w:spacing w:after="0" w:line="29" w:lineRule="exact"/>
        <w:rPr>
          <w:sz w:val="20"/>
          <w:szCs w:val="20"/>
          <w:color w:val="auto"/>
        </w:rPr>
      </w:pPr>
    </w:p>
    <w:p>
      <w:pPr>
        <w:ind w:right="220" w:firstLine="382"/>
        <w:spacing w:after="0" w:line="238" w:lineRule="auto"/>
        <w:rPr>
          <w:sz w:val="20"/>
          <w:szCs w:val="20"/>
          <w:color w:val="auto"/>
        </w:rPr>
      </w:pPr>
      <w:r>
        <w:rPr>
          <w:rFonts w:ascii="Times New Roman" w:cs="Times New Roman" w:eastAsia="Times New Roman" w:hAnsi="Times New Roman"/>
          <w:sz w:val="14"/>
          <w:szCs w:val="14"/>
          <w:color w:val="auto"/>
        </w:rPr>
        <w:t>The following tables present summarized financial information of Wabtec Netherlands, as the Issuer of the Euro Notes, and the Company, as the parent Guarantor, on a combined basis. The combined summarized financial information eliminates all intercompany balances and transactions among Wabtec Netherlands and the Company as well as all equity in earnings from and investments in any subsidiary of the Company, other than Wabtec Netherlands, which we refer to below as the Non-Guarantor Subsidiaries. The summarized financial information is provided in accordance with the reporting requirements of Rule 13-01 under SEC Regulation S-X for the issuer and parent guarantor.</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Summarized Statement of Income</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59"/>
        </w:trPr>
        <w:tc>
          <w:tcPr>
            <w:tcW w:w="5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Issuer and Guarantor</w:t>
            </w:r>
          </w:p>
        </w:tc>
      </w:tr>
      <w:tr>
        <w:trPr>
          <w:trHeight w:val="136"/>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854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 September 30, 2022</w:t>
            </w:r>
          </w:p>
        </w:tc>
      </w:tr>
      <w:tr>
        <w:trPr>
          <w:trHeight w:val="22"/>
        </w:trPr>
        <w:tc>
          <w:tcPr>
            <w:tcW w:w="5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21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w:t>
            </w:r>
          </w:p>
        </w:tc>
        <w:tc>
          <w:tcPr>
            <w:tcW w:w="2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4"/>
        </w:trPr>
        <w:tc>
          <w:tcPr>
            <w:tcW w:w="2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1"/>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2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371"/>
        </w:trPr>
        <w:tc>
          <w:tcPr>
            <w:tcW w:w="20" w:type="dxa"/>
            <w:vAlign w:val="bottom"/>
          </w:tcPr>
          <w:p>
            <w:pPr>
              <w:spacing w:after="0"/>
              <w:rPr>
                <w:sz w:val="24"/>
                <w:szCs w:val="24"/>
                <w:color w:val="auto"/>
              </w:rPr>
            </w:pPr>
          </w:p>
        </w:tc>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Summarized Balance Sheet</w:t>
            </w:r>
          </w:p>
        </w:tc>
        <w:tc>
          <w:tcPr>
            <w:tcW w:w="2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62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0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Issuer and Guarantor</w:t>
            </w:r>
          </w:p>
        </w:tc>
        <w:tc>
          <w:tcPr>
            <w:tcW w:w="1620" w:type="dxa"/>
            <w:vAlign w:val="bottom"/>
          </w:tcPr>
          <w:p>
            <w:pPr>
              <w:spacing w:after="0"/>
              <w:rPr>
                <w:sz w:val="13"/>
                <w:szCs w:val="13"/>
                <w:color w:val="auto"/>
              </w:rPr>
            </w:pPr>
          </w:p>
        </w:tc>
      </w:tr>
      <w:tr>
        <w:trPr>
          <w:trHeight w:val="136"/>
        </w:trPr>
        <w:tc>
          <w:tcPr>
            <w:tcW w:w="2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2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September 30, 2022</w:t>
            </w:r>
          </w:p>
        </w:tc>
        <w:tc>
          <w:tcPr>
            <w:tcW w:w="580" w:type="dxa"/>
            <w:vAlign w:val="bottom"/>
          </w:tcPr>
          <w:p>
            <w:pPr>
              <w:spacing w:after="0"/>
              <w:rPr>
                <w:sz w:val="11"/>
                <w:szCs w:val="11"/>
                <w:color w:val="auto"/>
              </w:rPr>
            </w:pPr>
          </w:p>
        </w:tc>
        <w:tc>
          <w:tcPr>
            <w:tcW w:w="162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6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80"/>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302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02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r>
      <w:tr>
        <w:trPr>
          <w:trHeight w:val="180"/>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02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w:t>
            </w:r>
          </w:p>
        </w:tc>
        <w:tc>
          <w:tcPr>
            <w:tcW w:w="8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02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70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rPr>
              <w:t>38</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38" w:name="page39"/>
    <w:bookmarkEnd w:id="38"/>
    <w:p>
      <w:pPr>
        <w:ind w:right="40" w:firstLine="382"/>
        <w:spacing w:after="0" w:line="255" w:lineRule="auto"/>
        <w:rPr>
          <w:sz w:val="20"/>
          <w:szCs w:val="20"/>
          <w:color w:val="auto"/>
        </w:rPr>
      </w:pPr>
      <w:r>
        <w:rPr>
          <w:rFonts w:ascii="Times New Roman" w:cs="Times New Roman" w:eastAsia="Times New Roman" w:hAnsi="Times New Roman"/>
          <w:sz w:val="14"/>
          <w:szCs w:val="14"/>
          <w:color w:val="auto"/>
        </w:rPr>
        <w:t>The following is a description of the transactions between the combined Westinghouse Air Brake Technologies Corp. and Wabtec Netherlands, with the subsidiaries of Westinghouse Air Brake Technologies Corp., other than Wabtec Netherlands, none of which are guarantors of the Euro Notes.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59"/>
        </w:trPr>
        <w:tc>
          <w:tcPr>
            <w:tcW w:w="5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Issuer and Guarantor</w:t>
            </w:r>
          </w:p>
        </w:tc>
      </w:tr>
      <w:tr>
        <w:trPr>
          <w:trHeight w:val="136"/>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854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 Ended September 30, 2022</w:t>
            </w:r>
          </w:p>
        </w:tc>
      </w:tr>
      <w:tr>
        <w:trPr>
          <w:trHeight w:val="22"/>
        </w:trPr>
        <w:tc>
          <w:tcPr>
            <w:tcW w:w="5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21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 to non-guarantor subsidiaries</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4"/>
        </w:trPr>
        <w:tc>
          <w:tcPr>
            <w:tcW w:w="20" w:type="dxa"/>
            <w:vAlign w:val="bottom"/>
          </w:tcPr>
          <w:p>
            <w:pPr>
              <w:spacing w:after="0"/>
              <w:rPr>
                <w:sz w:val="16"/>
                <w:szCs w:val="16"/>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from non-guarantor subsidiaries</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3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jc w:val="center"/>
              <w:ind w:right="256"/>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5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center"/>
              <w:ind w:right="256"/>
              <w:spacing w:after="0"/>
              <w:rPr>
                <w:sz w:val="20"/>
                <w:szCs w:val="20"/>
                <w:color w:val="auto"/>
              </w:rPr>
            </w:pPr>
            <w:r>
              <w:rPr>
                <w:rFonts w:ascii="Times New Roman" w:cs="Times New Roman" w:eastAsia="Times New Roman" w:hAnsi="Times New Roman"/>
                <w:sz w:val="11"/>
                <w:szCs w:val="11"/>
                <w:b w:val="1"/>
                <w:bCs w:val="1"/>
                <w:color w:val="auto"/>
              </w:rPr>
              <w:t>Issuer and Guarantor</w:t>
            </w:r>
          </w:p>
        </w:tc>
      </w:tr>
      <w:tr>
        <w:trPr>
          <w:trHeight w:val="136"/>
        </w:trPr>
        <w:tc>
          <w:tcPr>
            <w:tcW w:w="20" w:type="dxa"/>
            <w:vAlign w:val="bottom"/>
          </w:tcPr>
          <w:p>
            <w:pPr>
              <w:spacing w:after="0"/>
              <w:rPr>
                <w:sz w:val="11"/>
                <w:szCs w:val="11"/>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40" w:type="dxa"/>
            <w:vAlign w:val="bottom"/>
          </w:tcPr>
          <w:p>
            <w:pPr>
              <w:spacing w:after="0"/>
              <w:rPr>
                <w:sz w:val="11"/>
                <w:szCs w:val="11"/>
                <w:color w:val="auto"/>
              </w:rPr>
            </w:pPr>
          </w:p>
        </w:tc>
        <w:tc>
          <w:tcPr>
            <w:tcW w:w="1860" w:type="dxa"/>
            <w:vAlign w:val="bottom"/>
          </w:tcPr>
          <w:p>
            <w:pPr>
              <w:jc w:val="center"/>
              <w:ind w:right="256"/>
              <w:spacing w:after="0"/>
              <w:rPr>
                <w:sz w:val="20"/>
                <w:szCs w:val="20"/>
                <w:color w:val="auto"/>
              </w:rPr>
            </w:pPr>
            <w:r>
              <w:rPr>
                <w:rFonts w:ascii="Times New Roman" w:cs="Times New Roman" w:eastAsia="Times New Roman" w:hAnsi="Times New Roman"/>
                <w:sz w:val="11"/>
                <w:szCs w:val="11"/>
                <w:b w:val="1"/>
                <w:bCs w:val="1"/>
                <w:color w:val="auto"/>
              </w:rPr>
              <w:t>September 30, 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8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due from/(to) non-guarantor subsidiaries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(8,138)</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Company Stock Repurchase Plan</w:t>
      </w:r>
    </w:p>
    <w:p>
      <w:pPr>
        <w:spacing w:after="0" w:line="96"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On February 10, 2022, the Board of Directors increased its stock repurchase authorization to increase the amount available for stock repurchases to $750 million of the Company’s outstanding shares. This new stock repurchase authorization superseded the previous authorization of $500 million of which approximately $155 million remained. No time limit was set for the completion of the program which conforms to the requirements under the Senior Credit Facility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September 30, 2022, approximately $395 million was remaining under the stock repurchase plan.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9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These forward-looking statements are subject to various risks, uncertainties and assumptions about us, including, among other things: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and industry conditions</w:t>
      </w:r>
    </w:p>
    <w:p>
      <w:pPr>
        <w:spacing w:after="0" w:line="43" w:lineRule="exact"/>
        <w:rPr>
          <w:sz w:val="20"/>
          <w:szCs w:val="20"/>
          <w:color w:val="auto"/>
        </w:rPr>
      </w:pPr>
    </w:p>
    <w:p>
      <w:pPr>
        <w:ind w:left="480" w:right="40" w:hanging="252"/>
        <w:spacing w:after="0" w:line="238" w:lineRule="auto"/>
        <w:tabs>
          <w:tab w:leader="none" w:pos="476" w:val="left"/>
        </w:tabs>
        <w:numPr>
          <w:ilvl w:val="0"/>
          <w:numId w:val="4"/>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general economic and/or industry specific conditions, including the impacts of tax and tariff programs, inflation, supply chain disruptions, foreign currency exchange, and industry consolidation;</w:t>
      </w:r>
    </w:p>
    <w:p>
      <w:pPr>
        <w:spacing w:after="0" w:line="28" w:lineRule="exact"/>
        <w:rPr>
          <w:rFonts w:ascii="Arial" w:cs="Arial" w:eastAsia="Arial" w:hAnsi="Arial"/>
          <w:sz w:val="17"/>
          <w:szCs w:val="17"/>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prolonged unfavorable economic and industry conditions in the markets served by us, including North America, South America, Europe, Australia, Asia and Africa;</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 in demand for freight cars, locomotives, passenger transit cars, buses and related products and services;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major original equipment manufacturer customers;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equipment manufacturers’ program delays;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services in the freight and passenger rail industry;</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our products and services;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either being delayed, canceled, not returning to historical levels, or reduced or any combination of the foregoing;</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consolidations in the rail industry;</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outsourcing by our customers;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demand for faster and more efficient braking equipment;</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interest rates and foreign currency exchange rates;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credit; or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39" w:name="page40"/>
    <w:bookmarkEnd w:id="39"/>
    <w:p>
      <w:pPr>
        <w:ind w:left="480" w:right="300" w:hanging="252"/>
        <w:spacing w:after="0" w:line="283" w:lineRule="auto"/>
        <w:tabs>
          <w:tab w:leader="none" w:pos="47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consensus as to what attributes are required for projects to be considered "green" or "sustainable" or negative perceptions regarding determinations in such regard with respect to our Green Finance Framework;</w:t>
      </w:r>
    </w:p>
    <w:p>
      <w:pPr>
        <w:spacing w:after="0"/>
        <w:rPr>
          <w:sz w:val="20"/>
          <w:szCs w:val="20"/>
          <w:color w:val="auto"/>
        </w:rPr>
      </w:pPr>
      <w:r>
        <w:rPr>
          <w:rFonts w:ascii="Times New Roman" w:cs="Times New Roman" w:eastAsia="Times New Roman" w:hAnsi="Times New Roman"/>
          <w:sz w:val="14"/>
          <w:szCs w:val="14"/>
          <w:b w:val="1"/>
          <w:bCs w:val="1"/>
          <w:color w:val="auto"/>
        </w:rPr>
        <w:t>Operating factors</w:t>
      </w:r>
    </w:p>
    <w:p>
      <w:pPr>
        <w:spacing w:after="0" w:line="53" w:lineRule="exact"/>
        <w:rPr>
          <w:sz w:val="20"/>
          <w:szCs w:val="20"/>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disruptions;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difficulties;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conditions and costs;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raw material costs;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introduction of new products;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under material long-term contracts;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availability and relations;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hiring and retention of key personnel;</w:t>
      </w:r>
    </w:p>
    <w:p>
      <w:pPr>
        <w:spacing w:after="0" w:line="51" w:lineRule="exact"/>
        <w:rPr>
          <w:rFonts w:ascii="Times New Roman" w:cs="Times New Roman" w:eastAsia="Times New Roman" w:hAnsi="Times New Roman"/>
          <w:sz w:val="14"/>
          <w:szCs w:val="14"/>
          <w:color w:val="auto"/>
        </w:rPr>
      </w:pPr>
    </w:p>
    <w:p>
      <w:pPr>
        <w:ind w:left="480" w:right="180" w:hanging="252"/>
        <w:spacing w:after="0" w:line="284" w:lineRule="auto"/>
        <w:tabs>
          <w:tab w:leader="none" w:pos="4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and integration of acquisitions;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use of new technology; or</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and data protection risks;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factors</w:t>
      </w:r>
    </w:p>
    <w:p>
      <w:pPr>
        <w:spacing w:after="0" w:line="53" w:lineRule="exact"/>
        <w:rPr>
          <w:sz w:val="20"/>
          <w:szCs w:val="20"/>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actions of competitors; or</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negotiations with partners, suppliers, customers or others;</w:t>
      </w:r>
    </w:p>
    <w:p>
      <w:pPr>
        <w:spacing w:after="0" w:line="4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Political/governmental factors</w:t>
      </w:r>
    </w:p>
    <w:p>
      <w:pPr>
        <w:spacing w:after="0" w:line="53"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stability in relevant areas of the world, including the impacts of war and conflicts;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regulation/deregulation of our customers and/or the rail industry;</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levels of governmental funding on transit projects, including for some of our customers;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developments and laws and regulations, including those related to Positive Train Control;</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income tax legislation;</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sanctions imposed on countries and persons; or</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negotiations with governments;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COVID-19 factors</w:t>
      </w:r>
    </w:p>
    <w:p>
      <w:pPr>
        <w:spacing w:after="0" w:line="53" w:lineRule="exact"/>
        <w:rPr>
          <w:sz w:val="20"/>
          <w:szCs w:val="20"/>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and duration of the pandemic;</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deterioration of general economic conditions;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shutdown of one or more of our operating facilities;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and sourcing disruptions;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of our customers to pay timely for goods and services delivered;</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of our employees;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retain and recruit talented employees; or</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obtaining debt or equity financing;</w:t>
      </w:r>
    </w:p>
    <w:p>
      <w:pPr>
        <w:spacing w:after="0" w:line="94"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2021 and the risk factor added in Part II, Item 1A of this report on Form 10-Q.</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6"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A summary of critical accounting estimates is included in the Company’s Annual Report on Form 10-K for the year ended December 31, 2021. In particular, judgment is used in areas such as accounts receivable and the allowance for doubtful accounts, inventories, goodwill and indefinite-lived intangibles, business combinations, warranty reserves, stock-based compensation, income taxes, and revenue recognition. There have been no significant changes in the related accounting policies since December 31, 2021.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9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During the second quarter of 2022, the Company redeemed $25 million of principal from the 2024 Notes plus a premium and the related accrued interest. As a result, contractual obligations related to the repayment of Long-term debt for 2023-2024 were reduced from $1,012 million to $987 million.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44" w:right="399" w:bottom="1440" w:gutter="0" w:footer="0" w:header="0"/>
        </w:sectPr>
      </w:pPr>
    </w:p>
    <w:bookmarkStart w:id="41" w:name="page42"/>
    <w:bookmarkEnd w:id="41"/>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QUANTITATIVE AND QUALITATIVE DISCLOSURES ABOUT MARKET RISK</w:t>
      </w:r>
    </w:p>
    <w:p>
      <w:pPr>
        <w:spacing w:after="0" w:line="96" w:lineRule="exact"/>
        <w:rPr>
          <w:sz w:val="20"/>
          <w:szCs w:val="20"/>
          <w:color w:val="auto"/>
        </w:rPr>
      </w:pPr>
    </w:p>
    <w:p>
      <w:pPr>
        <w:ind w:right="180" w:firstLine="382"/>
        <w:spacing w:after="0" w:line="270" w:lineRule="auto"/>
        <w:rPr>
          <w:sz w:val="20"/>
          <w:szCs w:val="20"/>
          <w:color w:val="auto"/>
        </w:rPr>
      </w:pPr>
      <w:r>
        <w:rPr>
          <w:rFonts w:ascii="Times New Roman" w:cs="Times New Roman" w:eastAsia="Times New Roman" w:hAnsi="Times New Roman"/>
          <w:sz w:val="14"/>
          <w:szCs w:val="14"/>
          <w:color w:val="auto"/>
        </w:rPr>
        <w:t>See "Quantitative and Qualitative Disclosures About Market Risk" in Item 7A of Part II of our Annual Report on Form 10-K for the year ended December 31, 2021. Our exposure to market risk has not changed materially since December 31, 2021. Refer to Note 13 - Fair Value Measurement and Derivative Instruments of "Notes to Condensed Consolidated Financial Statements" included in Part I, Item 1 of this report for additional information regarding interest rate and foreign currency exchange risk.</w:t>
      </w:r>
    </w:p>
    <w:p>
      <w:pPr>
        <w:spacing w:after="0" w:line="15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Wabtec’s principal executive officer and its principal financial officer have evaluated the effectiveness of Wabtec’s “disclosure controls and procedures,” (as defined in Exchange Act Rule 13a-15(e)) as of September 30, 2022.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64"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There was no change in Wabtec’s “internal control over financial reporting” (as defined in Rule 13a-15(f) under the Exchange Act) that occurred during the quarter ended September 30, 2022, that has materially affected, or is reasonably likely to materially affect, Wabtec’s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Additional information with respect to legal proceedings is included in Note 14 of “Notes to Condensed Consolidated Financial Statements” included in Part I, Item 1 of this report.</w:t>
      </w:r>
    </w:p>
    <w:p>
      <w:pPr>
        <w:spacing w:after="0" w:line="28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96"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In response to the Russian invasion of Ukraine and the impact of the conflict on the Company and the global markets, the Company is providing the below additional risk factor. Other than the below, there have been no material changes in our risk factors from those disclosed in our Annual Report on Form 10-K for the year ended December 31, 2021.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ongoing conflict between Russia and Ukraine may adversely affect our business and results of operations.</w:t>
      </w:r>
    </w:p>
    <w:p>
      <w:pPr>
        <w:spacing w:after="0" w:line="96" w:lineRule="exact"/>
        <w:rPr>
          <w:sz w:val="20"/>
          <w:szCs w:val="20"/>
          <w:color w:val="auto"/>
        </w:rPr>
      </w:pPr>
    </w:p>
    <w:p>
      <w:pPr>
        <w:ind w:right="20" w:firstLine="382"/>
        <w:spacing w:after="0" w:line="249" w:lineRule="auto"/>
        <w:rPr>
          <w:sz w:val="20"/>
          <w:szCs w:val="20"/>
          <w:color w:val="auto"/>
        </w:rPr>
      </w:pPr>
      <w:r>
        <w:rPr>
          <w:rFonts w:ascii="Times New Roman" w:cs="Times New Roman" w:eastAsia="Times New Roman" w:hAnsi="Times New Roman"/>
          <w:sz w:val="14"/>
          <w:szCs w:val="14"/>
          <w:color w:val="auto"/>
        </w:rPr>
        <w:t>Given the nature of our business and our global operations, political, economic, and other conditions in foreign countries and regions, including geopolitical risks such as those arising from the current conflict between Russia and Ukraine, may adversely affect our business and results of operations. The broader consequences of this conflict, which may include further sanctions, embargoes, regional instability, and geopolitical shifts; disruptions to transportation and distribution routes, or strategic decisions to alter certain routes; potential retaliatory action by the Russian government against companies, including us, including nationalization of foreign businesses and/or assets in Russia; increased tensions between the United States and countries in which we operate; and the extent of the conflict’s effect on our business and results of operations as well as the global economy, cannot be predicted.</w:t>
      </w:r>
    </w:p>
    <w:p>
      <w:pPr>
        <w:spacing w:after="0" w:line="67" w:lineRule="exact"/>
        <w:rPr>
          <w:sz w:val="20"/>
          <w:szCs w:val="20"/>
          <w:color w:val="auto"/>
        </w:rPr>
      </w:pPr>
    </w:p>
    <w:p>
      <w:pPr>
        <w:ind w:right="140" w:firstLine="382"/>
        <w:spacing w:after="0" w:line="254" w:lineRule="auto"/>
        <w:rPr>
          <w:sz w:val="20"/>
          <w:szCs w:val="20"/>
          <w:color w:val="auto"/>
        </w:rPr>
      </w:pPr>
      <w:r>
        <w:rPr>
          <w:rFonts w:ascii="Times New Roman" w:cs="Times New Roman" w:eastAsia="Times New Roman" w:hAnsi="Times New Roman"/>
          <w:sz w:val="14"/>
          <w:szCs w:val="14"/>
          <w:color w:val="auto"/>
        </w:rPr>
        <w:t>Additionally, Wabtec has operations and a strategic joint venture in Kazakhstan that have continued operating but have incurred supply, distribution and currency impacts as an indirect result from the Russian invasion of Ukraine. To date, the operations in Kazakhstan have not been significantly impacted by the ongoing conflict outside of the overall unfavorable impact to economic conditions; however, the future impact to these operations cannot be predicted.</w:t>
      </w:r>
    </w:p>
    <w:p>
      <w:pPr>
        <w:spacing w:after="0" w:line="62" w:lineRule="exact"/>
        <w:rPr>
          <w:sz w:val="20"/>
          <w:szCs w:val="20"/>
          <w:color w:val="auto"/>
        </w:rPr>
      </w:pPr>
    </w:p>
    <w:p>
      <w:pPr>
        <w:ind w:firstLine="382"/>
        <w:spacing w:after="0" w:line="249" w:lineRule="auto"/>
        <w:rPr>
          <w:sz w:val="20"/>
          <w:szCs w:val="20"/>
          <w:color w:val="auto"/>
        </w:rPr>
      </w:pPr>
      <w:r>
        <w:rPr>
          <w:rFonts w:ascii="Times New Roman" w:cs="Times New Roman" w:eastAsia="Times New Roman" w:hAnsi="Times New Roman"/>
          <w:sz w:val="14"/>
          <w:szCs w:val="14"/>
          <w:color w:val="auto"/>
        </w:rPr>
        <w:t>To the extent the current conflict between Russia and Ukraine adversely affects our business, particularly in Russia and Kazakhstan, it may also have the effect of heightening many other risks disclosed in our Annual Report, any of which could materially and adversely affect our business and results of operations. Such risks include, but are not limited to, adverse effects on macroeconomic conditions, including inflation and business spending; disruptions to our global technology infrastructure, including through cyberattack, ransom attack, or cyber-intrusion; adverse changes in international trade policies and relations; our ability to maintain or increase our prices, our ability to implement and execute our business strategy, disruptions in global supply chains, our exposure to foreign currency fluctuations, and constraints, volatility, or disruption in the capital markets, difficulty staffing and managing impacted operations, and the recoverability of assets in the region.</w:t>
      </w:r>
    </w:p>
    <w:p>
      <w:pPr>
        <w:spacing w:after="0" w:line="16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stock repurchase activity for the three months ended September 30, 2022:</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 Purchases of Common Stock</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20" w:type="dxa"/>
            <w:vAlign w:val="bottom"/>
            <w:tcBorders>
              <w:top w:val="single" w:sz="8" w:color="auto"/>
            </w:tcBorders>
          </w:tcPr>
          <w:p>
            <w:pPr>
              <w:spacing w:after="0"/>
              <w:rPr>
                <w:sz w:val="8"/>
                <w:szCs w:val="8"/>
                <w:color w:val="auto"/>
              </w:rPr>
            </w:pPr>
          </w:p>
        </w:tc>
        <w:tc>
          <w:tcPr>
            <w:tcW w:w="2120" w:type="dxa"/>
            <w:vAlign w:val="bottom"/>
            <w:tcBorders>
              <w:top w:val="single" w:sz="8" w:color="auto"/>
            </w:tcBorders>
          </w:tcPr>
          <w:p>
            <w:pPr>
              <w:spacing w:after="0"/>
              <w:rPr>
                <w:sz w:val="8"/>
                <w:szCs w:val="8"/>
                <w:color w:val="auto"/>
              </w:rPr>
            </w:pPr>
          </w:p>
        </w:tc>
        <w:tc>
          <w:tcPr>
            <w:tcW w:w="26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color w:val="auto"/>
              </w:rPr>
              <w:t>Average Price Paid per</w:t>
            </w:r>
          </w:p>
        </w:tc>
        <w:tc>
          <w:tcPr>
            <w:tcW w:w="1680" w:type="dxa"/>
            <w:vAlign w:val="bottom"/>
            <w:tcBorders>
              <w:top w:val="single" w:sz="8" w:color="auto"/>
            </w:tcBorders>
            <w:gridSpan w:val="2"/>
          </w:tcPr>
          <w:p>
            <w:pPr>
              <w:jc w:val="center"/>
              <w:ind w:right="100"/>
              <w:spacing w:after="0" w:line="101" w:lineRule="exact"/>
              <w:rPr>
                <w:sz w:val="20"/>
                <w:szCs w:val="20"/>
                <w:color w:val="auto"/>
              </w:rPr>
            </w:pPr>
            <w:r>
              <w:rPr>
                <w:rFonts w:ascii="Times New Roman" w:cs="Times New Roman" w:eastAsia="Times New Roman" w:hAnsi="Times New Roman"/>
                <w:sz w:val="11"/>
                <w:szCs w:val="11"/>
                <w:color w:val="auto"/>
              </w:rPr>
              <w:t>Total Number of Shares</w:t>
            </w:r>
          </w:p>
        </w:tc>
        <w:tc>
          <w:tcPr>
            <w:tcW w:w="166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color w:val="auto"/>
              </w:rPr>
              <w:t>Maximum Dollar Value of Shares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 except shares and price per share</w:t>
            </w: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Total Number of Shares Purchased</w:t>
            </w: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6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color w:val="auto"/>
              </w:rPr>
              <w:t>Purchased as Part of Publicly</w:t>
            </w:r>
          </w:p>
        </w:tc>
        <w:tc>
          <w:tcPr>
            <w:tcW w:w="166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color w:val="auto"/>
              </w:rPr>
              <w:t>That May Yet Be Purchased Under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820" w:type="dxa"/>
            <w:vAlign w:val="bottom"/>
            <w:gridSpan w:val="3"/>
            <w:vMerge w:val="continue"/>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200"/>
              <w:spacing w:after="0" w:line="93" w:lineRule="exact"/>
              <w:rPr>
                <w:sz w:val="20"/>
                <w:szCs w:val="20"/>
                <w:color w:val="auto"/>
              </w:rPr>
            </w:pPr>
            <w:r>
              <w:rPr>
                <w:rFonts w:ascii="Times New Roman" w:cs="Times New Roman" w:eastAsia="Times New Roman" w:hAnsi="Times New Roman"/>
                <w:sz w:val="10"/>
                <w:szCs w:val="10"/>
                <w:color w:val="auto"/>
              </w:rPr>
              <w:t>Share</w:t>
            </w:r>
          </w:p>
        </w:tc>
        <w:tc>
          <w:tcPr>
            <w:tcW w:w="1680" w:type="dxa"/>
            <w:vAlign w:val="bottom"/>
            <w:gridSpan w:val="2"/>
          </w:tcPr>
          <w:p>
            <w:pPr>
              <w:jc w:val="center"/>
              <w:ind w:right="100"/>
              <w:spacing w:after="0" w:line="93" w:lineRule="exact"/>
              <w:rPr>
                <w:sz w:val="20"/>
                <w:szCs w:val="20"/>
                <w:color w:val="auto"/>
              </w:rPr>
            </w:pPr>
            <w:r>
              <w:rPr>
                <w:rFonts w:ascii="Times New Roman" w:cs="Times New Roman" w:eastAsia="Times New Roman" w:hAnsi="Times New Roman"/>
                <w:sz w:val="10"/>
                <w:szCs w:val="10"/>
                <w:color w:val="auto"/>
              </w:rPr>
              <w:t>Announced Programs (1)</w:t>
            </w:r>
          </w:p>
        </w:tc>
        <w:tc>
          <w:tcPr>
            <w:tcW w:w="260" w:type="dxa"/>
            <w:vAlign w:val="bottom"/>
          </w:tcPr>
          <w:p>
            <w:pPr>
              <w:spacing w:after="0"/>
              <w:rPr>
                <w:sz w:val="9"/>
                <w:szCs w:val="9"/>
                <w:color w:val="auto"/>
              </w:rPr>
            </w:pPr>
          </w:p>
        </w:tc>
        <w:tc>
          <w:tcPr>
            <w:tcW w:w="1400" w:type="dxa"/>
            <w:vAlign w:val="bottom"/>
          </w:tcPr>
          <w:p>
            <w:pPr>
              <w:jc w:val="center"/>
              <w:ind w:right="213"/>
              <w:spacing w:after="0" w:line="93" w:lineRule="exact"/>
              <w:rPr>
                <w:sz w:val="20"/>
                <w:szCs w:val="20"/>
                <w:color w:val="auto"/>
              </w:rPr>
            </w:pPr>
            <w:r>
              <w:rPr>
                <w:rFonts w:ascii="Times New Roman" w:cs="Times New Roman" w:eastAsia="Times New Roman" w:hAnsi="Times New Roman"/>
                <w:sz w:val="10"/>
                <w:szCs w:val="10"/>
                <w:color w:val="auto"/>
              </w:rPr>
              <w:t>the Programs (1)</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2022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81.73</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August 2022</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2022</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quarter ended September 30, 2022</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81.73</w:t>
            </w:r>
          </w:p>
        </w:tc>
        <w:tc>
          <w:tcPr>
            <w:tcW w:w="10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11,214</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120" w:firstLine="5"/>
        <w:spacing w:after="0" w:line="261" w:lineRule="auto"/>
        <w:tabs>
          <w:tab w:leader="none" w:pos="30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10, 2022, the Board of Directors increased its stock repurchase authorization to increase the amount available for stock repurchases to $750 million of the Company’s outstanding shares. This new stock repurchase authorization superseded the previous authorization of $500 million, of which approximately $155 million remained at the reauthorization date. No time limit was set for the completion of the program which conforms to the requirements under the Senior Credit Facility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September 30, 2022, approximately $395 million was remaining under the stock repurchase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43" w:name="page44"/>
    <w:bookmarkEnd w:id="43"/>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exhibits are being filed with this report:</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Amendment and Restatement Agreement, dated as of August 15, 2022, among Westinghouse Air Brake Technologies Corporation, Wabtec Transportation Netherlands BV,</w:t>
            </w:r>
          </w:p>
        </w:tc>
        <w:tc>
          <w:tcPr>
            <w:tcW w:w="0" w:type="dxa"/>
            <w:vAlign w:val="bottom"/>
          </w:tcPr>
          <w:p>
            <w:pPr>
              <w:spacing w:after="0"/>
              <w:rPr>
                <w:sz w:val="1"/>
                <w:szCs w:val="1"/>
                <w:color w:val="auto"/>
              </w:rPr>
            </w:pPr>
          </w:p>
        </w:tc>
      </w:tr>
      <w:tr>
        <w:trPr>
          <w:trHeight w:val="118"/>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w:t>
            </w:r>
          </w:p>
        </w:tc>
        <w:tc>
          <w:tcPr>
            <w:tcW w:w="9700" w:type="dxa"/>
            <w:vAlign w:val="bottom"/>
            <w:tcBorders>
              <w:top w:val="single" w:sz="8" w:color="0000FF"/>
              <w:bottom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the other loan parties hereto, the lenders party thereto, the issuing banks thereto, the swingline lender and PNC Bank, National Association as administrative agent (including</w:t>
            </w:r>
          </w:p>
        </w:tc>
        <w:tc>
          <w:tcPr>
            <w:tcW w:w="10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40" w:type="dxa"/>
            <w:vAlign w:val="bottom"/>
            <w:vMerge w:val="continue"/>
          </w:tcPr>
          <w:p>
            <w:pPr>
              <w:spacing w:after="0"/>
              <w:rPr>
                <w:sz w:val="11"/>
                <w:szCs w:val="11"/>
                <w:color w:val="auto"/>
              </w:rPr>
            </w:pPr>
          </w:p>
        </w:tc>
        <w:tc>
          <w:tcPr>
            <w:tcW w:w="3760" w:type="dxa"/>
            <w:vAlign w:val="bottom"/>
            <w:tcBorders>
              <w:bottom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FF"/>
              </w:rPr>
              <w:t>the Amended and Restated Credit Agreement, as Annex I thereto).</w:t>
            </w:r>
          </w:p>
        </w:tc>
        <w:tc>
          <w:tcPr>
            <w:tcW w:w="60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22.1</w:t>
            </w:r>
          </w:p>
        </w:tc>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List of Subsidiary Guarantors</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Rule 13a-14(a) Certification of Chief Executive Officer.</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3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Rule 13a-14(a) Certification of Chief Financial Officer.</w:t>
            </w:r>
          </w:p>
        </w:tc>
        <w:tc>
          <w:tcPr>
            <w:tcW w:w="66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Section 1350 Certification of Chief Executive Officer and Chief Financial Officer.</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46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51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460" w:hanging="1441"/>
        <w:spacing w:after="0"/>
        <w:tabs>
          <w:tab w:leader="none" w:pos="1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31"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44" w:name="page45"/>
    <w:bookmarkEnd w:id="44"/>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Company has duly caused this report to be signed on its behalf by the undersigned thereunto duly authorized.</w:t>
      </w:r>
    </w:p>
    <w:p>
      <w:pPr>
        <w:spacing w:after="0" w:line="2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WESTINGHOUSE AIR BRAKE TECHNOLOGIES CORPORATION</w:t>
      </w:r>
    </w:p>
    <w:p>
      <w:pPr>
        <w:spacing w:after="0" w:line="62" w:lineRule="exact"/>
        <w:rPr>
          <w:sz w:val="20"/>
          <w:szCs w:val="20"/>
          <w:color w:val="auto"/>
        </w:rPr>
      </w:pPr>
    </w:p>
    <w:tbl>
      <w:tblPr>
        <w:tblLayout w:type="fixed"/>
        <w:tblInd w:w="562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/s/   JOHN A. OLIN</w:t>
            </w:r>
          </w:p>
        </w:tc>
      </w:tr>
      <w:tr>
        <w:trPr>
          <w:trHeight w:val="140"/>
        </w:trPr>
        <w:tc>
          <w:tcPr>
            <w:tcW w:w="760" w:type="dxa"/>
            <w:vAlign w:val="bottom"/>
          </w:tcPr>
          <w:p>
            <w:pPr>
              <w:spacing w:after="0"/>
              <w:rPr>
                <w:sz w:val="12"/>
                <w:szCs w:val="12"/>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John A. Olin</w:t>
            </w:r>
          </w:p>
        </w:tc>
      </w:tr>
      <w:tr>
        <w:trPr>
          <w:trHeight w:val="118"/>
        </w:trPr>
        <w:tc>
          <w:tcPr>
            <w:tcW w:w="760" w:type="dxa"/>
            <w:vAlign w:val="bottom"/>
          </w:tcPr>
          <w:p>
            <w:pPr>
              <w:spacing w:after="0"/>
              <w:rPr>
                <w:sz w:val="10"/>
                <w:szCs w:val="10"/>
                <w:color w:val="auto"/>
              </w:rPr>
            </w:pPr>
          </w:p>
        </w:tc>
        <w:tc>
          <w:tcPr>
            <w:tcW w:w="45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Executive Vice President and</w:t>
            </w:r>
          </w:p>
        </w:tc>
      </w:tr>
      <w:tr>
        <w:trPr>
          <w:trHeight w:val="149"/>
        </w:trPr>
        <w:tc>
          <w:tcPr>
            <w:tcW w:w="760" w:type="dxa"/>
            <w:vAlign w:val="bottom"/>
          </w:tcPr>
          <w:p>
            <w:pPr>
              <w:spacing w:after="0"/>
              <w:rPr>
                <w:sz w:val="12"/>
                <w:szCs w:val="12"/>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Chief Financial Officer</w:t>
            </w:r>
          </w:p>
        </w:tc>
      </w:tr>
      <w:tr>
        <w:trPr>
          <w:trHeight w:val="3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(Duly Authorized Officer and Principal Financial Officer)</w:t>
            </w:r>
          </w:p>
        </w:tc>
      </w:tr>
      <w:tr>
        <w:trPr>
          <w:trHeight w:val="38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November 1, 2022</w:t>
            </w: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900"/>
          </w:cols>
          <w:pgMar w:left="680" w:top="759" w:right="319" w:bottom="1440"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8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5744845</wp:posOffset>
            </wp:positionV>
            <wp:extent cx="7105650"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2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2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2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2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2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499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05650" cy="574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89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05650" cy="5688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92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0565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959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05650" cy="5695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23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05650" cy="570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23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05650" cy="570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959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05650" cy="5695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23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05650" cy="570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70161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05650" cy="7016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6"/>
          <w:szCs w:val="16"/>
          <w:color w:val="auto"/>
        </w:rPr>
        <w:t>Exhibit 22.1</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Guarantor Subsidiaries of Westinghouse Air Brake Technologies</w:t>
      </w:r>
    </w:p>
    <w:p>
      <w:pPr>
        <w:spacing w:after="0" w:line="108"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4"/>
          <w:szCs w:val="14"/>
          <w:color w:val="auto"/>
        </w:rPr>
        <w:t>The obligations under the Company's US Notes and the Restated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The US Notes and Restated Credit Agreement</w:t>
      </w:r>
    </w:p>
    <w:p>
      <w:pPr>
        <w:spacing w:after="0" w:line="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i w:val="1"/>
          <w:iCs w:val="1"/>
          <w:u w:val="single" w:color="auto"/>
          <w:color w:val="auto"/>
        </w:rPr>
        <w:t>Issuer</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Westinghouse Air Brake Technologies Corporation</w:t>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i w:val="1"/>
          <w:iCs w:val="1"/>
          <w:u w:val="single" w:color="auto"/>
          <w:color w:val="auto"/>
        </w:rPr>
        <w:t>Guarantors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GE Transportation, a Wabtec Company</w:t>
      </w:r>
    </w:p>
    <w:p>
      <w:pPr>
        <w:ind w:left="1020"/>
        <w:spacing w:after="0" w:line="237" w:lineRule="auto"/>
        <w:rPr>
          <w:sz w:val="20"/>
          <w:szCs w:val="20"/>
          <w:color w:val="auto"/>
        </w:rPr>
      </w:pPr>
      <w:r>
        <w:rPr>
          <w:rFonts w:ascii="Times New Roman" w:cs="Times New Roman" w:eastAsia="Times New Roman" w:hAnsi="Times New Roman"/>
          <w:sz w:val="14"/>
          <w:szCs w:val="14"/>
          <w:color w:val="auto"/>
        </w:rPr>
        <w:t>RFPC Holding Corp.</w:t>
      </w:r>
    </w:p>
    <w:p>
      <w:pPr>
        <w:ind w:left="1020"/>
        <w:spacing w:after="0" w:line="237" w:lineRule="auto"/>
        <w:rPr>
          <w:sz w:val="20"/>
          <w:szCs w:val="20"/>
          <w:color w:val="auto"/>
        </w:rPr>
      </w:pPr>
      <w:r>
        <w:rPr>
          <w:rFonts w:ascii="Times New Roman" w:cs="Times New Roman" w:eastAsia="Times New Roman" w:hAnsi="Times New Roman"/>
          <w:sz w:val="14"/>
          <w:szCs w:val="14"/>
          <w:color w:val="auto"/>
        </w:rPr>
        <w:t>Transportation IP Holdings, LLC</w:t>
      </w:r>
    </w:p>
    <w:p>
      <w:pPr>
        <w:ind w:left="1020"/>
        <w:spacing w:after="0" w:line="237" w:lineRule="auto"/>
        <w:rPr>
          <w:sz w:val="20"/>
          <w:szCs w:val="20"/>
          <w:color w:val="auto"/>
        </w:rPr>
      </w:pPr>
      <w:r>
        <w:rPr>
          <w:rFonts w:ascii="Times New Roman" w:cs="Times New Roman" w:eastAsia="Times New Roman" w:hAnsi="Times New Roman"/>
          <w:sz w:val="14"/>
          <w:szCs w:val="14"/>
          <w:color w:val="auto"/>
        </w:rPr>
        <w:t>Transportation Systems Services Operations Inc.</w:t>
      </w:r>
    </w:p>
    <w:p>
      <w:pPr>
        <w:ind w:left="1020"/>
        <w:spacing w:after="0" w:line="237" w:lineRule="auto"/>
        <w:rPr>
          <w:sz w:val="20"/>
          <w:szCs w:val="20"/>
          <w:color w:val="auto"/>
        </w:rPr>
      </w:pPr>
      <w:r>
        <w:rPr>
          <w:rFonts w:ascii="Times New Roman" w:cs="Times New Roman" w:eastAsia="Times New Roman" w:hAnsi="Times New Roman"/>
          <w:sz w:val="14"/>
          <w:szCs w:val="14"/>
          <w:color w:val="auto"/>
        </w:rPr>
        <w:t>Wabtec Components, LLC</w:t>
      </w:r>
    </w:p>
    <w:p>
      <w:pPr>
        <w:ind w:left="1020"/>
        <w:spacing w:after="0" w:line="238" w:lineRule="auto"/>
        <w:rPr>
          <w:sz w:val="20"/>
          <w:szCs w:val="20"/>
          <w:color w:val="auto"/>
        </w:rPr>
      </w:pPr>
      <w:r>
        <w:rPr>
          <w:rFonts w:ascii="Times New Roman" w:cs="Times New Roman" w:eastAsia="Times New Roman" w:hAnsi="Times New Roman"/>
          <w:sz w:val="14"/>
          <w:szCs w:val="14"/>
          <w:color w:val="auto"/>
        </w:rPr>
        <w:t>Wabtec Holding, LLC</w:t>
      </w:r>
    </w:p>
    <w:p>
      <w:pPr>
        <w:ind w:left="1020"/>
        <w:spacing w:after="0" w:line="237" w:lineRule="auto"/>
        <w:rPr>
          <w:sz w:val="20"/>
          <w:szCs w:val="20"/>
          <w:color w:val="auto"/>
        </w:rPr>
      </w:pPr>
      <w:r>
        <w:rPr>
          <w:rFonts w:ascii="Times New Roman" w:cs="Times New Roman" w:eastAsia="Times New Roman" w:hAnsi="Times New Roman"/>
          <w:sz w:val="14"/>
          <w:szCs w:val="14"/>
          <w:color w:val="auto"/>
        </w:rPr>
        <w:t>Wabtec Railway Electronics Holdings, LLC</w:t>
      </w:r>
    </w:p>
    <w:p>
      <w:pPr>
        <w:ind w:left="1020"/>
        <w:spacing w:after="0"/>
        <w:rPr>
          <w:sz w:val="20"/>
          <w:szCs w:val="20"/>
          <w:color w:val="auto"/>
        </w:rPr>
      </w:pPr>
      <w:r>
        <w:rPr>
          <w:rFonts w:ascii="Times New Roman" w:cs="Times New Roman" w:eastAsia="Times New Roman" w:hAnsi="Times New Roman"/>
          <w:sz w:val="14"/>
          <w:szCs w:val="14"/>
          <w:color w:val="auto"/>
        </w:rPr>
        <w:t>Wabtec Transportation Systems,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The Euro Notes</w:t>
      </w:r>
    </w:p>
    <w:p>
      <w:pPr>
        <w:spacing w:after="0" w:line="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i w:val="1"/>
          <w:iCs w:val="1"/>
          <w:u w:val="single" w:color="auto"/>
          <w:color w:val="auto"/>
        </w:rPr>
        <w:t>Issuer</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Wabtec Transportation Netherlands B.V.</w:t>
      </w:r>
    </w:p>
    <w:p>
      <w:pPr>
        <w:spacing w:after="0"/>
        <w:tabs>
          <w:tab w:leader="none" w:pos="760" w:val="left"/>
        </w:tabs>
        <w:rPr>
          <w:sz w:val="20"/>
          <w:szCs w:val="20"/>
          <w:color w:val="auto"/>
        </w:rPr>
      </w:pPr>
      <w:r>
        <w:rPr>
          <w:rFonts w:ascii="Times New Roman" w:cs="Times New Roman" w:eastAsia="Times New Roman" w:hAnsi="Times New Roman"/>
          <w:sz w:val="14"/>
          <w:szCs w:val="14"/>
          <w:i w:val="1"/>
          <w:iCs w:val="1"/>
          <w:u w:val="single" w:color="auto"/>
          <w:color w:val="auto"/>
        </w:rPr>
        <w:t>Guarantor</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Westinghouse Air Brake Technologies Corporation</w:t>
      </w:r>
    </w:p>
    <w:p>
      <w:pPr>
        <w:sectPr>
          <w:pgSz w:w="11900" w:h="16838" w:orient="portrait"/>
          <w:cols w:equalWidth="0" w:num="1">
            <w:col w:w="11280"/>
          </w:cols>
          <w:pgMar w:left="300" w:top="1150" w:right="31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Rafael Santana, certify that:</w:t>
      </w:r>
    </w:p>
    <w:p>
      <w:pPr>
        <w:spacing w:after="0" w:line="94" w:lineRule="exact"/>
        <w:rPr>
          <w:sz w:val="20"/>
          <w:szCs w:val="20"/>
          <w:color w:val="auto"/>
        </w:rPr>
      </w:pPr>
    </w:p>
    <w:p>
      <w:pPr>
        <w:ind w:left="520" w:hanging="133"/>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Westinghouse Air Brake Technologies Corporation.</w:t>
      </w:r>
    </w:p>
    <w:p>
      <w:pPr>
        <w:spacing w:after="0" w:line="93" w:lineRule="exact"/>
        <w:rPr>
          <w:rFonts w:ascii="Times New Roman" w:cs="Times New Roman" w:eastAsia="Times New Roman" w:hAnsi="Times New Roman"/>
          <w:sz w:val="14"/>
          <w:szCs w:val="14"/>
          <w:color w:val="auto"/>
        </w:rPr>
      </w:pPr>
    </w:p>
    <w:p>
      <w:pPr>
        <w:ind w:right="160" w:firstLine="387"/>
        <w:spacing w:after="0" w:line="287" w:lineRule="auto"/>
        <w:tabs>
          <w:tab w:leader="none" w:pos="52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39" w:lineRule="exact"/>
        <w:rPr>
          <w:rFonts w:ascii="Times New Roman" w:cs="Times New Roman" w:eastAsia="Times New Roman" w:hAnsi="Times New Roman"/>
          <w:sz w:val="14"/>
          <w:szCs w:val="14"/>
          <w:color w:val="auto"/>
        </w:rPr>
      </w:pPr>
    </w:p>
    <w:p>
      <w:pPr>
        <w:ind w:right="260" w:firstLine="387"/>
        <w:spacing w:after="0" w:line="287" w:lineRule="auto"/>
        <w:tabs>
          <w:tab w:leader="none" w:pos="52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9" w:lineRule="exact"/>
        <w:rPr>
          <w:rFonts w:ascii="Times New Roman" w:cs="Times New Roman" w:eastAsia="Times New Roman" w:hAnsi="Times New Roman"/>
          <w:sz w:val="14"/>
          <w:szCs w:val="14"/>
          <w:color w:val="auto"/>
        </w:rPr>
      </w:pPr>
    </w:p>
    <w:p>
      <w:pPr>
        <w:ind w:right="20" w:firstLine="387"/>
        <w:spacing w:after="0" w:line="287" w:lineRule="auto"/>
        <w:tabs>
          <w:tab w:leader="none" w:pos="52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39" w:lineRule="exact"/>
        <w:rPr>
          <w:rFonts w:ascii="Times New Roman" w:cs="Times New Roman" w:eastAsia="Times New Roman" w:hAnsi="Times New Roman"/>
          <w:sz w:val="14"/>
          <w:szCs w:val="14"/>
          <w:color w:val="auto"/>
        </w:rPr>
      </w:pPr>
    </w:p>
    <w:p>
      <w:pPr>
        <w:ind w:right="260" w:firstLine="801"/>
        <w:spacing w:after="0" w:line="287" w:lineRule="auto"/>
        <w:tabs>
          <w:tab w:leader="none" w:pos="988"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39" w:lineRule="exact"/>
        <w:rPr>
          <w:rFonts w:ascii="Times New Roman" w:cs="Times New Roman" w:eastAsia="Times New Roman" w:hAnsi="Times New Roman"/>
          <w:sz w:val="14"/>
          <w:szCs w:val="14"/>
          <w:color w:val="auto"/>
        </w:rPr>
      </w:pPr>
    </w:p>
    <w:p>
      <w:pPr>
        <w:ind w:firstLine="801"/>
        <w:spacing w:after="0" w:line="287" w:lineRule="auto"/>
        <w:tabs>
          <w:tab w:leader="none" w:pos="996"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80" w:firstLine="801"/>
        <w:spacing w:after="0" w:line="287" w:lineRule="auto"/>
        <w:tabs>
          <w:tab w:leader="none" w:pos="988"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39" w:lineRule="exact"/>
        <w:rPr>
          <w:rFonts w:ascii="Times New Roman" w:cs="Times New Roman" w:eastAsia="Times New Roman" w:hAnsi="Times New Roman"/>
          <w:sz w:val="14"/>
          <w:szCs w:val="14"/>
          <w:color w:val="auto"/>
        </w:rPr>
      </w:pPr>
    </w:p>
    <w:p>
      <w:pPr>
        <w:ind w:right="460" w:firstLine="801"/>
        <w:spacing w:after="0" w:line="287" w:lineRule="auto"/>
        <w:tabs>
          <w:tab w:leader="none" w:pos="996"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right="460" w:firstLine="387"/>
        <w:spacing w:after="0" w:line="287" w:lineRule="auto"/>
        <w:tabs>
          <w:tab w:leader="none" w:pos="52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540" w:firstLine="801"/>
        <w:spacing w:after="0" w:line="287" w:lineRule="auto"/>
        <w:tabs>
          <w:tab w:leader="none" w:pos="988"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00" w:hanging="199"/>
        <w:spacing w:after="0"/>
        <w:tabs>
          <w:tab w:leader="none" w:pos="10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14"/>
          <w:szCs w:val="14"/>
          <w:color w:val="auto"/>
        </w:rPr>
        <w:t>November 1,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103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/s/  RAFAEL SANTANA</w:t>
            </w:r>
          </w:p>
        </w:tc>
      </w:tr>
      <w:tr>
        <w:trPr>
          <w:trHeight w:val="17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32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rPr>
              <w:t>Rafael Santana</w:t>
            </w:r>
          </w:p>
        </w:tc>
      </w:tr>
      <w:tr>
        <w:trPr>
          <w:trHeight w:val="18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32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rPr>
              <w:t>President and Chief Executive Officer</w:t>
            </w:r>
          </w:p>
        </w:tc>
      </w:tr>
    </w:tbl>
    <w:p>
      <w:pPr>
        <w:sectPr>
          <w:pgSz w:w="11900" w:h="16838" w:orient="portrait"/>
          <w:cols w:equalWidth="0" w:num="1">
            <w:col w:w="11280"/>
          </w:cols>
          <w:pgMar w:left="300" w:top="727" w:right="31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A. Olin, certify that:</w:t>
      </w:r>
    </w:p>
    <w:p>
      <w:pPr>
        <w:spacing w:after="0" w:line="94" w:lineRule="exact"/>
        <w:rPr>
          <w:sz w:val="20"/>
          <w:szCs w:val="20"/>
          <w:color w:val="auto"/>
        </w:rPr>
      </w:pPr>
    </w:p>
    <w:p>
      <w:pPr>
        <w:ind w:left="520" w:hanging="133"/>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Westinghouse Air Brake Technologies Corporation.</w:t>
      </w:r>
    </w:p>
    <w:p>
      <w:pPr>
        <w:spacing w:after="0" w:line="93" w:lineRule="exact"/>
        <w:rPr>
          <w:rFonts w:ascii="Times New Roman" w:cs="Times New Roman" w:eastAsia="Times New Roman" w:hAnsi="Times New Roman"/>
          <w:sz w:val="14"/>
          <w:szCs w:val="14"/>
          <w:color w:val="auto"/>
        </w:rPr>
      </w:pPr>
    </w:p>
    <w:p>
      <w:pPr>
        <w:ind w:right="160" w:firstLine="387"/>
        <w:spacing w:after="0" w:line="287" w:lineRule="auto"/>
        <w:tabs>
          <w:tab w:leader="none" w:pos="52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39" w:lineRule="exact"/>
        <w:rPr>
          <w:rFonts w:ascii="Times New Roman" w:cs="Times New Roman" w:eastAsia="Times New Roman" w:hAnsi="Times New Roman"/>
          <w:sz w:val="14"/>
          <w:szCs w:val="14"/>
          <w:color w:val="auto"/>
        </w:rPr>
      </w:pPr>
    </w:p>
    <w:p>
      <w:pPr>
        <w:ind w:right="260" w:firstLine="387"/>
        <w:spacing w:after="0" w:line="287" w:lineRule="auto"/>
        <w:tabs>
          <w:tab w:leader="none" w:pos="52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9" w:lineRule="exact"/>
        <w:rPr>
          <w:rFonts w:ascii="Times New Roman" w:cs="Times New Roman" w:eastAsia="Times New Roman" w:hAnsi="Times New Roman"/>
          <w:sz w:val="14"/>
          <w:szCs w:val="14"/>
          <w:color w:val="auto"/>
        </w:rPr>
      </w:pPr>
    </w:p>
    <w:p>
      <w:pPr>
        <w:ind w:right="20" w:firstLine="387"/>
        <w:spacing w:after="0" w:line="287" w:lineRule="auto"/>
        <w:tabs>
          <w:tab w:leader="none" w:pos="52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39" w:lineRule="exact"/>
        <w:rPr>
          <w:rFonts w:ascii="Times New Roman" w:cs="Times New Roman" w:eastAsia="Times New Roman" w:hAnsi="Times New Roman"/>
          <w:sz w:val="14"/>
          <w:szCs w:val="14"/>
          <w:color w:val="auto"/>
        </w:rPr>
      </w:pPr>
    </w:p>
    <w:p>
      <w:pPr>
        <w:ind w:right="260" w:firstLine="801"/>
        <w:spacing w:after="0" w:line="287" w:lineRule="auto"/>
        <w:tabs>
          <w:tab w:leader="none" w:pos="988"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39" w:lineRule="exact"/>
        <w:rPr>
          <w:rFonts w:ascii="Times New Roman" w:cs="Times New Roman" w:eastAsia="Times New Roman" w:hAnsi="Times New Roman"/>
          <w:sz w:val="14"/>
          <w:szCs w:val="14"/>
          <w:color w:val="auto"/>
        </w:rPr>
      </w:pPr>
    </w:p>
    <w:p>
      <w:pPr>
        <w:ind w:firstLine="801"/>
        <w:spacing w:after="0" w:line="287" w:lineRule="auto"/>
        <w:tabs>
          <w:tab w:leader="none" w:pos="996"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80" w:firstLine="801"/>
        <w:spacing w:after="0" w:line="287" w:lineRule="auto"/>
        <w:tabs>
          <w:tab w:leader="none" w:pos="988"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39" w:lineRule="exact"/>
        <w:rPr>
          <w:rFonts w:ascii="Times New Roman" w:cs="Times New Roman" w:eastAsia="Times New Roman" w:hAnsi="Times New Roman"/>
          <w:sz w:val="14"/>
          <w:szCs w:val="14"/>
          <w:color w:val="auto"/>
        </w:rPr>
      </w:pPr>
    </w:p>
    <w:p>
      <w:pPr>
        <w:ind w:right="460" w:firstLine="801"/>
        <w:spacing w:after="0" w:line="287" w:lineRule="auto"/>
        <w:tabs>
          <w:tab w:leader="none" w:pos="996"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right="460" w:firstLine="387"/>
        <w:spacing w:after="0" w:line="287" w:lineRule="auto"/>
        <w:tabs>
          <w:tab w:leader="none" w:pos="52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540" w:firstLine="801"/>
        <w:spacing w:after="0" w:line="287" w:lineRule="auto"/>
        <w:tabs>
          <w:tab w:leader="none" w:pos="988"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00" w:hanging="199"/>
        <w:spacing w:after="0"/>
        <w:tabs>
          <w:tab w:leader="none" w:pos="10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14"/>
                <w:szCs w:val="14"/>
                <w:color w:val="auto"/>
              </w:rPr>
              <w:t>November 1, 2022</w:t>
            </w:r>
          </w:p>
        </w:tc>
        <w:tc>
          <w:tcPr>
            <w:tcW w:w="9800" w:type="dxa"/>
            <w:vAlign w:val="bottom"/>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9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JOHN A. OLIN</w:t>
            </w:r>
          </w:p>
        </w:tc>
      </w:tr>
      <w:tr>
        <w:trPr>
          <w:trHeight w:val="170"/>
        </w:trPr>
        <w:tc>
          <w:tcPr>
            <w:tcW w:w="40" w:type="dxa"/>
            <w:vAlign w:val="bottom"/>
          </w:tcPr>
          <w:p>
            <w:pPr>
              <w:spacing w:after="0"/>
              <w:rPr>
                <w:sz w:val="14"/>
                <w:szCs w:val="1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John A. Olin</w:t>
            </w:r>
          </w:p>
        </w:tc>
      </w:tr>
      <w:tr>
        <w:trPr>
          <w:trHeight w:val="186"/>
        </w:trPr>
        <w:tc>
          <w:tcPr>
            <w:tcW w:w="40" w:type="dxa"/>
            <w:vAlign w:val="bottom"/>
          </w:tcPr>
          <w:p>
            <w:pPr>
              <w:spacing w:after="0"/>
              <w:rPr>
                <w:sz w:val="16"/>
                <w:szCs w:val="16"/>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9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Executive Vice President and Chief Financial Officer</w:t>
            </w:r>
          </w:p>
        </w:tc>
      </w:tr>
    </w:tbl>
    <w:p>
      <w:pPr>
        <w:sectPr>
          <w:pgSz w:w="11900" w:h="16838" w:orient="portrait"/>
          <w:cols w:equalWidth="0" w:num="1">
            <w:col w:w="11280"/>
          </w:cols>
          <w:pgMar w:left="300" w:top="727" w:right="31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79" w:lineRule="exact"/>
        <w:rPr>
          <w:sz w:val="20"/>
          <w:szCs w:val="20"/>
          <w:color w:val="auto"/>
        </w:rPr>
      </w:pPr>
    </w:p>
    <w:p>
      <w:pPr>
        <w:ind w:right="200" w:firstLine="382"/>
        <w:spacing w:after="0" w:line="271" w:lineRule="auto"/>
        <w:rPr>
          <w:sz w:val="20"/>
          <w:szCs w:val="20"/>
          <w:color w:val="auto"/>
        </w:rPr>
      </w:pPr>
      <w:r>
        <w:rPr>
          <w:rFonts w:ascii="Times New Roman" w:cs="Times New Roman" w:eastAsia="Times New Roman" w:hAnsi="Times New Roman"/>
          <w:sz w:val="14"/>
          <w:szCs w:val="14"/>
          <w:color w:val="auto"/>
        </w:rPr>
        <w:t>Pursuant to 18 U.S.C. § 1350, the undersigned officers of Westinghouse Air Brake Technologies Corporation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hereby certify, to the best of their knowledge, that the Company’s Quarterly Report on Form 10-Q for the quarter ended September 30, 2022 (the “</w:t>
      </w:r>
      <w:r>
        <w:rPr>
          <w:rFonts w:ascii="Times New Roman" w:cs="Times New Roman" w:eastAsia="Times New Roman" w:hAnsi="Times New Roman"/>
          <w:sz w:val="14"/>
          <w:szCs w:val="14"/>
          <w:i w:val="1"/>
          <w:iCs w:val="1"/>
          <w:color w:val="auto"/>
        </w:rPr>
        <w:t>Report</w:t>
      </w:r>
      <w:r>
        <w:rPr>
          <w:rFonts w:ascii="Times New Roman" w:cs="Times New Roman" w:eastAsia="Times New Roman" w:hAnsi="Times New Roman"/>
          <w:sz w:val="14"/>
          <w:szCs w:val="14"/>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9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w:t>
            </w:r>
            <w:r>
              <w:rPr>
                <w:rFonts w:ascii="Times New Roman" w:cs="Times New Roman" w:eastAsia="Times New Roman" w:hAnsi="Times New Roman"/>
                <w:sz w:val="11"/>
                <w:szCs w:val="11"/>
                <w:color w:val="auto"/>
              </w:rPr>
              <w:t>AFAEL SANTANA</w:t>
            </w:r>
          </w:p>
        </w:tc>
      </w:tr>
      <w:tr>
        <w:trPr>
          <w:trHeight w:val="104"/>
        </w:trPr>
        <w:tc>
          <w:tcPr>
            <w:tcW w:w="1420" w:type="dxa"/>
            <w:vAlign w:val="bottom"/>
          </w:tcPr>
          <w:p>
            <w:pPr>
              <w:spacing w:after="0"/>
              <w:rPr>
                <w:sz w:val="9"/>
                <w:szCs w:val="9"/>
                <w:color w:val="auto"/>
              </w:rPr>
            </w:pPr>
          </w:p>
        </w:tc>
        <w:tc>
          <w:tcPr>
            <w:tcW w:w="982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1"/>
                <w:szCs w:val="11"/>
                <w:b w:val="1"/>
                <w:bCs w:val="1"/>
                <w:color w:val="auto"/>
              </w:rPr>
              <w:t>Rafael Santana</w:t>
            </w:r>
          </w:p>
        </w:tc>
      </w:tr>
      <w:tr>
        <w:trPr>
          <w:trHeight w:val="149"/>
        </w:trPr>
        <w:tc>
          <w:tcPr>
            <w:tcW w:w="1420" w:type="dxa"/>
            <w:vAlign w:val="bottom"/>
          </w:tcPr>
          <w:p>
            <w:pPr>
              <w:spacing w:after="0"/>
              <w:rPr>
                <w:sz w:val="12"/>
                <w:szCs w:val="12"/>
                <w:color w:val="auto"/>
              </w:rPr>
            </w:pPr>
          </w:p>
        </w:tc>
        <w:tc>
          <w:tcPr>
            <w:tcW w:w="9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President and Chief Executive Officer</w:t>
            </w:r>
          </w:p>
        </w:tc>
      </w:tr>
      <w:tr>
        <w:trPr>
          <w:trHeight w:val="188"/>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2022</w:t>
            </w:r>
          </w:p>
        </w:tc>
      </w:tr>
      <w:tr>
        <w:trPr>
          <w:trHeight w:val="387"/>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9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JOHN A. OLIN</w:t>
            </w:r>
          </w:p>
        </w:tc>
      </w:tr>
      <w:tr>
        <w:trPr>
          <w:trHeight w:val="104"/>
        </w:trPr>
        <w:tc>
          <w:tcPr>
            <w:tcW w:w="1420" w:type="dxa"/>
            <w:vAlign w:val="bottom"/>
          </w:tcPr>
          <w:p>
            <w:pPr>
              <w:spacing w:after="0"/>
              <w:rPr>
                <w:sz w:val="9"/>
                <w:szCs w:val="9"/>
                <w:color w:val="auto"/>
              </w:rPr>
            </w:pPr>
          </w:p>
        </w:tc>
        <w:tc>
          <w:tcPr>
            <w:tcW w:w="982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1"/>
                <w:szCs w:val="11"/>
                <w:b w:val="1"/>
                <w:bCs w:val="1"/>
                <w:color w:val="auto"/>
              </w:rPr>
              <w:t>John A. Olin,</w:t>
            </w:r>
          </w:p>
        </w:tc>
      </w:tr>
      <w:tr>
        <w:trPr>
          <w:trHeight w:val="149"/>
        </w:trPr>
        <w:tc>
          <w:tcPr>
            <w:tcW w:w="1420" w:type="dxa"/>
            <w:vAlign w:val="bottom"/>
          </w:tcPr>
          <w:p>
            <w:pPr>
              <w:spacing w:after="0"/>
              <w:rPr>
                <w:sz w:val="12"/>
                <w:szCs w:val="12"/>
                <w:color w:val="auto"/>
              </w:rPr>
            </w:pPr>
          </w:p>
        </w:tc>
        <w:tc>
          <w:tcPr>
            <w:tcW w:w="9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Executive Vice President and Chief Financial Officer</w:t>
            </w:r>
          </w:p>
        </w:tc>
      </w:tr>
      <w:tr>
        <w:trPr>
          <w:trHeight w:val="188"/>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2022</w:t>
            </w:r>
          </w:p>
        </w:tc>
      </w:tr>
    </w:tbl>
    <w:p>
      <w:pPr>
        <w:spacing w:after="0" w:line="1" w:lineRule="exact"/>
        <w:rPr>
          <w:sz w:val="20"/>
          <w:szCs w:val="20"/>
          <w:color w:val="auto"/>
        </w:rPr>
      </w:pP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2022-11-01T10:33:37Z</dcterms:created>
  <dcterms:modified xsi:type="dcterms:W3CDTF">2022-11-01T10:33:37Z</dcterms:modified>
</cp:coreProperties>
</file>