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598170</wp:posOffset>
            </wp:positionH>
            <wp:positionV relativeFrom="page">
              <wp:posOffset>645795</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page">
              <wp:posOffset>598170</wp:posOffset>
            </wp:positionH>
            <wp:positionV relativeFrom="page">
              <wp:posOffset>612775</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7"/>
          <w:szCs w:val="17"/>
          <w:color w:val="auto"/>
        </w:rPr>
        <w:t>____________________________________</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51"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7"/>
          <w:szCs w:val="17"/>
          <w:color w:val="auto"/>
        </w:rPr>
        <w:t>____________________________________</w:t>
      </w:r>
    </w:p>
    <w:p>
      <w:pPr>
        <w:spacing w:after="0" w:line="23" w:lineRule="exact"/>
        <w:rPr>
          <w:sz w:val="24"/>
          <w:szCs w:val="24"/>
          <w:color w:val="auto"/>
        </w:rPr>
      </w:pPr>
    </w:p>
    <w:p>
      <w:pPr>
        <w:ind w:left="480" w:hanging="460"/>
        <w:spacing w:after="0"/>
        <w:tabs>
          <w:tab w:leader="none" w:pos="4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179"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For the quarterly period ended March 31, 2024</w:t>
      </w:r>
    </w:p>
    <w:p>
      <w:pPr>
        <w:spacing w:after="0" w:line="6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45" w:lineRule="exact"/>
        <w:rPr>
          <w:sz w:val="24"/>
          <w:szCs w:val="24"/>
          <w:color w:val="auto"/>
        </w:rPr>
      </w:pPr>
    </w:p>
    <w:p>
      <w:pPr>
        <w:ind w:left="480" w:hanging="460"/>
        <w:spacing w:after="0"/>
        <w:tabs>
          <w:tab w:leader="none" w:pos="4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ectPr>
          <w:pgSz w:w="11900" w:h="16838" w:orient="portrait"/>
          <w:cols w:equalWidth="0" w:num="1">
            <w:col w:w="11200"/>
          </w:cols>
          <w:pgMar w:left="320" w:top="1087" w:right="379" w:bottom="1440" w:gutter="0" w:footer="0" w:header="0"/>
        </w:sectPr>
      </w:pPr>
    </w:p>
    <w:p>
      <w:pPr>
        <w:spacing w:after="0" w:line="179"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73" w:lineRule="exact"/>
        <w:rPr>
          <w:sz w:val="24"/>
          <w:szCs w:val="24"/>
          <w:color w:val="auto"/>
        </w:rPr>
      </w:pPr>
    </w:p>
    <w:p>
      <w:pPr>
        <w:sectPr>
          <w:pgSz w:w="11900" w:h="16838" w:orient="portrait"/>
          <w:cols w:equalWidth="0" w:num="2">
            <w:col w:w="2880" w:space="720"/>
            <w:col w:w="7600"/>
          </w:cols>
          <w:pgMar w:left="320" w:top="1087" w:right="3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Commission file number: 033-90866</w:t>
      </w:r>
    </w:p>
    <w:p>
      <w:pPr>
        <w:spacing w:after="0" w:line="66"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7"/>
          <w:szCs w:val="17"/>
          <w:color w:val="auto"/>
        </w:rPr>
        <w:t>____________________________________</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6"/>
          <w:szCs w:val="36"/>
          <w:b w:val="1"/>
          <w:bCs w:val="1"/>
          <w:color w:val="auto"/>
        </w:rPr>
        <w:t>WESTINGHOUSE AIR BRAKE TECHNOLOGIES</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6"/>
          <w:szCs w:val="36"/>
          <w:b w:val="1"/>
          <w:bCs w:val="1"/>
          <w:color w:val="auto"/>
        </w:rPr>
        <w:t>CORPORATION</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10"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7"/>
          <w:szCs w:val="17"/>
          <w:color w:val="auto"/>
        </w:rPr>
        <w:t>____________________________________</w:t>
      </w:r>
    </w:p>
    <w:p>
      <w:pPr>
        <w:sectPr>
          <w:pgSz w:w="11900" w:h="16838" w:orient="portrait"/>
          <w:cols w:equalWidth="0" w:num="1">
            <w:col w:w="11200"/>
          </w:cols>
          <w:pgMar w:left="320" w:top="1087" w:right="379" w:bottom="1440" w:gutter="0" w:footer="0" w:header="0"/>
          <w:type w:val="continuous"/>
        </w:sectPr>
      </w:pPr>
    </w:p>
    <w:p>
      <w:pPr>
        <w:spacing w:after="0" w:line="23"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25-1615902</w:t>
      </w:r>
    </w:p>
    <w:p>
      <w:pPr>
        <w:spacing w:after="0" w:line="46" w:lineRule="exact"/>
        <w:rPr>
          <w:sz w:val="24"/>
          <w:szCs w:val="24"/>
          <w:color w:val="auto"/>
        </w:rPr>
      </w:pPr>
    </w:p>
    <w:p>
      <w:pPr>
        <w:sectPr>
          <w:pgSz w:w="11900" w:h="16838" w:orient="portrait"/>
          <w:cols w:equalWidth="0" w:num="2">
            <w:col w:w="7320" w:space="720"/>
            <w:col w:w="3160"/>
          </w:cols>
          <w:pgMar w:left="320" w:top="1087" w:right="37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2"/>
          <w:szCs w:val="12"/>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(I.R.S. Employer Identification No.)</w:t>
      </w:r>
    </w:p>
    <w:p>
      <w:pPr>
        <w:spacing w:after="0" w:line="83" w:lineRule="exact"/>
        <w:rPr>
          <w:sz w:val="24"/>
          <w:szCs w:val="24"/>
          <w:color w:val="auto"/>
        </w:rPr>
      </w:pPr>
    </w:p>
    <w:p>
      <w:pPr>
        <w:sectPr>
          <w:pgSz w:w="11900" w:h="16838" w:orient="portrait"/>
          <w:cols w:equalWidth="0" w:num="2">
            <w:col w:w="6720" w:space="720"/>
            <w:col w:w="3760"/>
          </w:cols>
          <w:pgMar w:left="320" w:top="1087" w:right="37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6"/>
          <w:szCs w:val="16"/>
          <w:b w:val="1"/>
          <w:bCs w:val="1"/>
          <w:color w:val="auto"/>
        </w:rPr>
        <w:t>30 Isabella Street Pittsburgh, Pennsylvania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15212</w:t>
      </w:r>
    </w:p>
    <w:p>
      <w:pPr>
        <w:spacing w:after="0" w:line="46" w:lineRule="exact"/>
        <w:rPr>
          <w:sz w:val="24"/>
          <w:szCs w:val="24"/>
          <w:color w:val="auto"/>
        </w:rPr>
      </w:pPr>
    </w:p>
    <w:p>
      <w:pPr>
        <w:sectPr>
          <w:pgSz w:w="11900" w:h="16838" w:orient="portrait"/>
          <w:cols w:equalWidth="0" w:num="2">
            <w:col w:w="7500" w:space="720"/>
            <w:col w:w="2980"/>
          </w:cols>
          <w:pgMar w:left="320" w:top="1087" w:right="379" w:bottom="1440" w:gutter="0" w:footer="0" w:header="0"/>
          <w:type w:val="continuous"/>
        </w:sectPr>
      </w:pPr>
    </w:p>
    <w:p>
      <w:pPr>
        <w:ind w:left="174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101" w:lineRule="exact"/>
        <w:rPr>
          <w:sz w:val="24"/>
          <w:szCs w:val="24"/>
          <w:color w:val="auto"/>
        </w:rPr>
      </w:pPr>
    </w:p>
    <w:p>
      <w:pPr>
        <w:sectPr>
          <w:pgSz w:w="11900" w:h="16838" w:orient="portrait"/>
          <w:cols w:equalWidth="0" w:num="2">
            <w:col w:w="7420" w:space="720"/>
            <w:col w:w="3060"/>
          </w:cols>
          <w:pgMar w:left="320" w:top="1087" w:right="37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412-825-1000</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ectPr>
          <w:pgSz w:w="11900" w:h="16838" w:orient="portrait"/>
          <w:cols w:equalWidth="0" w:num="1">
            <w:col w:w="11200"/>
          </w:cols>
          <w:pgMar w:left="320" w:top="1087" w:right="379" w:bottom="1440" w:gutter="0" w:footer="0" w:header="0"/>
          <w:type w:val="continuous"/>
        </w:sectPr>
      </w:pPr>
    </w:p>
    <w:p>
      <w:pPr>
        <w:spacing w:after="0" w:line="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3"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7"/>
          <w:szCs w:val="17"/>
          <w:color w:val="auto"/>
        </w:rPr>
        <w:t>____________________________________</w:t>
      </w:r>
    </w:p>
    <w:p>
      <w:pPr>
        <w:spacing w:after="0" w:line="10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31" w:lineRule="exact"/>
        <w:rPr>
          <w:sz w:val="24"/>
          <w:szCs w:val="24"/>
          <w:color w:val="auto"/>
        </w:rPr>
      </w:pPr>
    </w:p>
    <w:tbl>
      <w:tblPr>
        <w:tblLayout w:type="fixed"/>
        <w:tblInd w:w="10" w:type="dxa"/>
        <w:tblCellMar>
          <w:top w:w="0" w:type="dxa"/>
          <w:left w:w="0" w:type="dxa"/>
          <w:bottom w:w="0" w:type="dxa"/>
          <w:right w:w="0" w:type="dxa"/>
        </w:tblCellMar>
      </w:tblPr>
      <w:tr>
        <w:trPr>
          <w:trHeight w:val="197"/>
        </w:trPr>
        <w:tc>
          <w:tcPr>
            <w:tcW w:w="4260" w:type="dxa"/>
            <w:vAlign w:val="bottom"/>
            <w:tcBorders>
              <w:top w:val="single" w:sz="8" w:color="auto"/>
              <w:left w:val="single" w:sz="8" w:color="auto"/>
            </w:tcBorders>
          </w:tcPr>
          <w:p>
            <w:pPr>
              <w:ind w:left="226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252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400" w:type="dxa"/>
            <w:vAlign w:val="bottom"/>
            <w:tcBorders>
              <w:top w:val="single" w:sz="8" w:color="auto"/>
              <w:right w:val="single" w:sz="8" w:color="auto"/>
            </w:tcBorders>
          </w:tcPr>
          <w:p>
            <w:pPr>
              <w:jc w:val="center"/>
              <w:ind w:right="409"/>
              <w:spacing w:after="0"/>
              <w:rPr>
                <w:sz w:val="20"/>
                <w:szCs w:val="20"/>
                <w:color w:val="auto"/>
              </w:rPr>
            </w:pPr>
            <w:r>
              <w:rPr>
                <w:rFonts w:ascii="Times New Roman" w:cs="Times New Roman" w:eastAsia="Times New Roman" w:hAnsi="Times New Roman"/>
                <w:sz w:val="14"/>
                <w:szCs w:val="14"/>
                <w:b w:val="1"/>
                <w:bCs w:val="1"/>
                <w:color w:val="auto"/>
                <w:w w:val="98"/>
              </w:rPr>
              <w:t>Name of each exchange on which registered</w:t>
            </w:r>
          </w:p>
        </w:tc>
      </w:tr>
      <w:tr>
        <w:trPr>
          <w:trHeight w:val="22"/>
        </w:trPr>
        <w:tc>
          <w:tcPr>
            <w:tcW w:w="4260" w:type="dxa"/>
            <w:vAlign w:val="bottom"/>
            <w:tcBorders>
              <w:left w:val="single" w:sz="8" w:color="auto"/>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4400" w:type="dxa"/>
            <w:vAlign w:val="bottom"/>
            <w:tcBorders>
              <w:bottom w:val="single" w:sz="8" w:color="auto"/>
              <w:right w:val="single" w:sz="8" w:color="auto"/>
            </w:tcBorders>
          </w:tcPr>
          <w:p>
            <w:pPr>
              <w:spacing w:after="0" w:line="20" w:lineRule="exact"/>
              <w:rPr>
                <w:sz w:val="1"/>
                <w:szCs w:val="1"/>
                <w:color w:val="auto"/>
              </w:rPr>
            </w:pPr>
          </w:p>
        </w:tc>
      </w:tr>
      <w:tr>
        <w:trPr>
          <w:trHeight w:val="185"/>
        </w:trPr>
        <w:tc>
          <w:tcPr>
            <w:tcW w:w="4260" w:type="dxa"/>
            <w:vAlign w:val="bottom"/>
            <w:tcBorders>
              <w:left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5"/>
                <w:szCs w:val="15"/>
                <w:color w:val="auto"/>
              </w:rPr>
              <w:t>Common Stock, $.01 par value per share</w:t>
            </w:r>
          </w:p>
        </w:tc>
        <w:tc>
          <w:tcPr>
            <w:tcW w:w="25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5"/>
                <w:szCs w:val="15"/>
                <w:color w:val="auto"/>
              </w:rPr>
              <w:t>WAB</w:t>
            </w:r>
          </w:p>
        </w:tc>
        <w:tc>
          <w:tcPr>
            <w:tcW w:w="4400" w:type="dxa"/>
            <w:vAlign w:val="bottom"/>
            <w:tcBorders>
              <w:bottom w:val="single" w:sz="8" w:color="auto"/>
              <w:right w:val="single" w:sz="8" w:color="auto"/>
            </w:tcBorders>
          </w:tcPr>
          <w:p>
            <w:pPr>
              <w:jc w:val="center"/>
              <w:ind w:right="389"/>
              <w:spacing w:after="0"/>
              <w:rPr>
                <w:sz w:val="20"/>
                <w:szCs w:val="20"/>
                <w:color w:val="auto"/>
              </w:rPr>
            </w:pPr>
            <w:r>
              <w:rPr>
                <w:rFonts w:ascii="Times New Roman" w:cs="Times New Roman" w:eastAsia="Times New Roman" w:hAnsi="Times New Roman"/>
                <w:sz w:val="15"/>
                <w:szCs w:val="15"/>
                <w:color w:val="auto"/>
                <w:w w:val="96"/>
              </w:rPr>
              <w:t>New York Stock Exchange</w:t>
            </w:r>
          </w:p>
        </w:tc>
      </w:tr>
    </w:tbl>
    <w:p>
      <w:pPr>
        <w:spacing w:after="0" w:line="83" w:lineRule="exact"/>
        <w:rPr>
          <w:sz w:val="24"/>
          <w:szCs w:val="24"/>
          <w:color w:val="auto"/>
        </w:rPr>
      </w:pPr>
    </w:p>
    <w:p>
      <w:pPr>
        <w:ind w:right="220" w:firstLine="464"/>
        <w:spacing w:after="0" w:line="18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00" w:firstLine="464"/>
        <w:spacing w:after="0" w:line="18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ind w:right="420" w:firstLine="464"/>
        <w:spacing w:after="0" w:line="24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20" w:top="1087" w:right="379" w:bottom="1440" w:gutter="0" w:footer="0" w:header="0"/>
          <w:type w:val="continuous"/>
        </w:sectPr>
      </w:pPr>
    </w:p>
    <w:p>
      <w:pPr>
        <w:spacing w:after="0" w:line="32" w:lineRule="exact"/>
        <w:rPr>
          <w:sz w:val="24"/>
          <w:szCs w:val="24"/>
          <w:color w:val="auto"/>
        </w:rPr>
      </w:pPr>
    </w:p>
    <w:p>
      <w:pPr>
        <w:ind w:left="20" w:right="120"/>
        <w:spacing w:after="0" w:line="331" w:lineRule="auto"/>
        <w:rPr>
          <w:sz w:val="20"/>
          <w:szCs w:val="20"/>
          <w:color w:val="auto"/>
        </w:rPr>
      </w:pPr>
      <w:r>
        <w:rPr>
          <w:rFonts w:ascii="Times New Roman" w:cs="Times New Roman" w:eastAsia="Times New Roman" w:hAnsi="Times New Roman"/>
          <w:sz w:val="14"/>
          <w:szCs w:val="14"/>
          <w:color w:val="auto"/>
        </w:rPr>
        <w:t>Large accelerated filer Emerging growth company</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9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Accelerated filer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9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365" w:lineRule="exact"/>
        <w:rPr>
          <w:sz w:val="24"/>
          <w:szCs w:val="24"/>
          <w:color w:val="auto"/>
        </w:rPr>
      </w:pPr>
    </w:p>
    <w:p>
      <w:pPr>
        <w:sectPr>
          <w:pgSz w:w="11900" w:h="16838" w:orient="portrait"/>
          <w:cols w:equalWidth="0" w:num="6">
            <w:col w:w="1740" w:space="720"/>
            <w:col w:w="140" w:space="320"/>
            <w:col w:w="1700" w:space="720"/>
            <w:col w:w="140" w:space="320"/>
            <w:col w:w="1240" w:space="660"/>
            <w:col w:w="3500"/>
          </w:cols>
          <w:pgMar w:left="320" w:top="1087" w:right="379" w:bottom="1440" w:gutter="0" w:footer="0" w:header="0"/>
          <w:type w:val="continuous"/>
        </w:sectPr>
      </w:pPr>
    </w:p>
    <w:p>
      <w:pPr>
        <w:ind w:firstLine="464"/>
        <w:spacing w:after="0" w:line="19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460" w:right="3440"/>
        <w:spacing w:after="0" w:line="17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the number of shares outstanding of each of the issuer’s classes of common stock, as of the latest practicable date.</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April 19, 2024, there were 176,384,942 shares of common stock, par value $.01 per share,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774065</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66040</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00"/>
          </w:cols>
          <w:pgMar w:left="320" w:top="1087" w:right="37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WESTINGHOUSE AIR BRAKE</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TECHNOLOGIES CORPORATION</w:t>
      </w:r>
    </w:p>
    <w:p>
      <w:pPr>
        <w:spacing w:after="0" w:line="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March 31, 2024</w:t>
      </w:r>
    </w:p>
    <w:p>
      <w:pPr>
        <w:spacing w:after="0" w:line="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1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2"/>
        </w:trPr>
        <w:tc>
          <w:tcPr>
            <w:tcW w:w="980" w:type="dxa"/>
            <w:vAlign w:val="bottom"/>
          </w:tcPr>
          <w:p>
            <w:pPr>
              <w:spacing w:after="0" w:line="20" w:lineRule="exact"/>
              <w:rPr>
                <w:sz w:val="1"/>
                <w:szCs w:val="1"/>
                <w:color w:val="auto"/>
              </w:rPr>
            </w:pPr>
          </w:p>
        </w:tc>
        <w:tc>
          <w:tcPr>
            <w:tcW w:w="9560" w:type="dxa"/>
            <w:vAlign w:val="bottom"/>
            <w:gridSpan w:val="17"/>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PART I—FINANCIAL INFORMATION</w:t>
            </w: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980" w:type="dxa"/>
            <w:vAlign w:val="bottom"/>
          </w:tcPr>
          <w:p>
            <w:pPr>
              <w:spacing w:after="0"/>
              <w:rPr>
                <w:sz w:val="17"/>
                <w:szCs w:val="17"/>
                <w:color w:val="auto"/>
              </w:rPr>
            </w:pPr>
          </w:p>
        </w:tc>
        <w:tc>
          <w:tcPr>
            <w:tcW w:w="9560" w:type="dxa"/>
            <w:vAlign w:val="bottom"/>
            <w:gridSpan w:val="17"/>
            <w:vMerge w:val="continue"/>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9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98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7"/>
                <w:szCs w:val="17"/>
                <w:color w:val="auto"/>
              </w:rPr>
              <w:t>Item 1.</w:t>
            </w:r>
          </w:p>
        </w:tc>
        <w:tc>
          <w:tcPr>
            <w:tcW w:w="9560" w:type="dxa"/>
            <w:vAlign w:val="bottom"/>
            <w:gridSpan w:val="17"/>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FF"/>
              </w:rPr>
              <w:t>Financial Statements - (Unaudited)</w:t>
            </w:r>
          </w:p>
        </w:tc>
        <w:tc>
          <w:tcPr>
            <w:tcW w:w="60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7"/>
                <w:szCs w:val="17"/>
                <w:color w:val="0000FF"/>
              </w:rPr>
              <w:t>3</w:t>
            </w:r>
          </w:p>
        </w:tc>
        <w:tc>
          <w:tcPr>
            <w:tcW w:w="0" w:type="dxa"/>
            <w:vAlign w:val="bottom"/>
          </w:tcPr>
          <w:p>
            <w:pPr>
              <w:spacing w:after="0"/>
              <w:rPr>
                <w:sz w:val="1"/>
                <w:szCs w:val="1"/>
                <w:color w:val="auto"/>
              </w:rPr>
            </w:pPr>
          </w:p>
        </w:tc>
      </w:tr>
      <w:tr>
        <w:trPr>
          <w:trHeight w:val="39"/>
        </w:trPr>
        <w:tc>
          <w:tcPr>
            <w:tcW w:w="98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980" w:type="dxa"/>
            <w:vAlign w:val="bottom"/>
          </w:tcPr>
          <w:p>
            <w:pPr>
              <w:spacing w:after="0"/>
              <w:rPr>
                <w:sz w:val="15"/>
                <w:szCs w:val="15"/>
                <w:color w:val="auto"/>
              </w:rPr>
            </w:pPr>
          </w:p>
        </w:tc>
        <w:tc>
          <w:tcPr>
            <w:tcW w:w="9560" w:type="dxa"/>
            <w:vAlign w:val="bottom"/>
            <w:gridSpan w:val="17"/>
          </w:tcPr>
          <w:p>
            <w:pPr>
              <w:spacing w:after="0" w:line="181" w:lineRule="exact"/>
              <w:rPr>
                <w:sz w:val="20"/>
                <w:szCs w:val="20"/>
                <w:color w:val="auto"/>
              </w:rPr>
            </w:pPr>
            <w:r>
              <w:rPr>
                <w:rFonts w:ascii="Times New Roman" w:cs="Times New Roman" w:eastAsia="Times New Roman" w:hAnsi="Times New Roman"/>
                <w:sz w:val="17"/>
                <w:szCs w:val="17"/>
                <w:color w:val="0000FF"/>
              </w:rPr>
              <w:t>Condensed Consolidated Balance Sheets as of March 31, 2024 and December 31, 2023</w:t>
            </w: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0000FF"/>
              </w:rPr>
              <w:t>3</w:t>
            </w:r>
          </w:p>
        </w:tc>
        <w:tc>
          <w:tcPr>
            <w:tcW w:w="0" w:type="dxa"/>
            <w:vAlign w:val="bottom"/>
          </w:tcPr>
          <w:p>
            <w:pPr>
              <w:spacing w:after="0"/>
              <w:rPr>
                <w:sz w:val="1"/>
                <w:szCs w:val="1"/>
                <w:color w:val="auto"/>
              </w:rPr>
            </w:pPr>
          </w:p>
        </w:tc>
      </w:tr>
      <w:tr>
        <w:trPr>
          <w:trHeight w:val="29"/>
        </w:trPr>
        <w:tc>
          <w:tcPr>
            <w:tcW w:w="98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14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84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980" w:type="dxa"/>
            <w:vAlign w:val="bottom"/>
            <w:shd w:val="clear" w:color="auto" w:fill="CCEEFF"/>
          </w:tcPr>
          <w:p>
            <w:pPr>
              <w:spacing w:after="0"/>
              <w:rPr>
                <w:sz w:val="16"/>
                <w:szCs w:val="16"/>
                <w:color w:val="auto"/>
              </w:rPr>
            </w:pPr>
          </w:p>
        </w:tc>
        <w:tc>
          <w:tcPr>
            <w:tcW w:w="9560" w:type="dxa"/>
            <w:vAlign w:val="bottom"/>
            <w:gridSpan w:val="17"/>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Condensed Consolidated Statements of Income for the three months ended March 31, 2024 and 2023</w:t>
            </w:r>
          </w:p>
        </w:tc>
        <w:tc>
          <w:tcPr>
            <w:tcW w:w="60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rPr>
              <w:t>4</w:t>
            </w:r>
          </w:p>
        </w:tc>
        <w:tc>
          <w:tcPr>
            <w:tcW w:w="0" w:type="dxa"/>
            <w:vAlign w:val="bottom"/>
          </w:tcPr>
          <w:p>
            <w:pPr>
              <w:spacing w:after="0"/>
              <w:rPr>
                <w:sz w:val="1"/>
                <w:szCs w:val="1"/>
                <w:color w:val="auto"/>
              </w:rPr>
            </w:pPr>
          </w:p>
        </w:tc>
      </w:tr>
      <w:tr>
        <w:trPr>
          <w:trHeight w:val="39"/>
        </w:trPr>
        <w:tc>
          <w:tcPr>
            <w:tcW w:w="98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14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18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980" w:type="dxa"/>
            <w:vAlign w:val="bottom"/>
          </w:tcPr>
          <w:p>
            <w:pPr>
              <w:spacing w:after="0"/>
              <w:rPr>
                <w:sz w:val="16"/>
                <w:szCs w:val="16"/>
                <w:color w:val="auto"/>
              </w:rPr>
            </w:pPr>
          </w:p>
        </w:tc>
        <w:tc>
          <w:tcPr>
            <w:tcW w:w="9560" w:type="dxa"/>
            <w:vAlign w:val="bottom"/>
            <w:gridSpan w:val="17"/>
          </w:tcPr>
          <w:p>
            <w:pPr>
              <w:spacing w:after="0" w:line="181" w:lineRule="exact"/>
              <w:rPr>
                <w:sz w:val="20"/>
                <w:szCs w:val="20"/>
                <w:color w:val="auto"/>
              </w:rPr>
            </w:pPr>
            <w:r>
              <w:rPr>
                <w:rFonts w:ascii="Times New Roman" w:cs="Times New Roman" w:eastAsia="Times New Roman" w:hAnsi="Times New Roman"/>
                <w:sz w:val="17"/>
                <w:szCs w:val="17"/>
                <w:color w:val="0000FF"/>
              </w:rPr>
              <w:t>Condensed Consolidated Statements of Comprehensive Income for the three months ended March 31, 2024 and 2023</w:t>
            </w: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0000FF"/>
              </w:rPr>
              <w:t>5</w:t>
            </w:r>
          </w:p>
        </w:tc>
        <w:tc>
          <w:tcPr>
            <w:tcW w:w="0" w:type="dxa"/>
            <w:vAlign w:val="bottom"/>
          </w:tcPr>
          <w:p>
            <w:pPr>
              <w:spacing w:after="0"/>
              <w:rPr>
                <w:sz w:val="1"/>
                <w:szCs w:val="1"/>
                <w:color w:val="auto"/>
              </w:rPr>
            </w:pPr>
          </w:p>
        </w:tc>
      </w:tr>
      <w:tr>
        <w:trPr>
          <w:trHeight w:val="208"/>
        </w:trPr>
        <w:tc>
          <w:tcPr>
            <w:tcW w:w="980" w:type="dxa"/>
            <w:vAlign w:val="bottom"/>
            <w:tcBorders>
              <w:bottom w:val="single" w:sz="8" w:color="CCEEFF"/>
            </w:tcBorders>
            <w:shd w:val="clear" w:color="auto" w:fill="CCEEFF"/>
          </w:tcPr>
          <w:p>
            <w:pPr>
              <w:spacing w:after="0"/>
              <w:rPr>
                <w:sz w:val="18"/>
                <w:szCs w:val="18"/>
                <w:color w:val="auto"/>
              </w:rPr>
            </w:pPr>
          </w:p>
        </w:tc>
        <w:tc>
          <w:tcPr>
            <w:tcW w:w="7240" w:type="dxa"/>
            <w:vAlign w:val="bottom"/>
            <w:tcBorders>
              <w:top w:val="single" w:sz="8" w:color="0000FF"/>
              <w:bottom w:val="single" w:sz="8" w:color="0000FF"/>
            </w:tcBorders>
            <w:gridSpan w:val="14"/>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Condensed Consolidated Statements of Cash Flows for the three months ended March 31, 2024 and 2023</w:t>
            </w:r>
          </w:p>
        </w:tc>
        <w:tc>
          <w:tcPr>
            <w:tcW w:w="820" w:type="dxa"/>
            <w:vAlign w:val="bottom"/>
            <w:tcBorders>
              <w:top w:val="single" w:sz="8" w:color="0000FF"/>
              <w:bottom w:val="single" w:sz="8" w:color="CCEEFF"/>
            </w:tcBorders>
            <w:gridSpan w:val="2"/>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rPr>
              <w:t>6</w:t>
            </w:r>
          </w:p>
        </w:tc>
        <w:tc>
          <w:tcPr>
            <w:tcW w:w="0" w:type="dxa"/>
            <w:vAlign w:val="bottom"/>
          </w:tcPr>
          <w:p>
            <w:pPr>
              <w:spacing w:after="0"/>
              <w:rPr>
                <w:sz w:val="1"/>
                <w:szCs w:val="1"/>
                <w:color w:val="auto"/>
              </w:rPr>
            </w:pPr>
          </w:p>
        </w:tc>
      </w:tr>
      <w:tr>
        <w:trPr>
          <w:trHeight w:val="190"/>
        </w:trPr>
        <w:tc>
          <w:tcPr>
            <w:tcW w:w="980" w:type="dxa"/>
            <w:vAlign w:val="bottom"/>
          </w:tcPr>
          <w:p>
            <w:pPr>
              <w:spacing w:after="0"/>
              <w:rPr>
                <w:sz w:val="16"/>
                <w:szCs w:val="16"/>
                <w:color w:val="auto"/>
              </w:rPr>
            </w:pPr>
          </w:p>
        </w:tc>
        <w:tc>
          <w:tcPr>
            <w:tcW w:w="7860" w:type="dxa"/>
            <w:vAlign w:val="bottom"/>
            <w:tcBorders>
              <w:bottom w:val="single" w:sz="8" w:color="0000FF"/>
            </w:tcBorders>
            <w:gridSpan w:val="15"/>
          </w:tcPr>
          <w:p>
            <w:pPr>
              <w:spacing w:after="0" w:line="181" w:lineRule="exact"/>
              <w:rPr>
                <w:sz w:val="20"/>
                <w:szCs w:val="20"/>
                <w:color w:val="auto"/>
              </w:rPr>
            </w:pPr>
            <w:r>
              <w:rPr>
                <w:rFonts w:ascii="Times New Roman" w:cs="Times New Roman" w:eastAsia="Times New Roman" w:hAnsi="Times New Roman"/>
                <w:sz w:val="17"/>
                <w:szCs w:val="17"/>
                <w:color w:val="0000FF"/>
              </w:rPr>
              <w:t>Condensed Consolidated Statements of Shareholders' Equity for the three months ended March 31, 2024 and 2023</w:t>
            </w:r>
          </w:p>
        </w:tc>
        <w:tc>
          <w:tcPr>
            <w:tcW w:w="1700" w:type="dxa"/>
            <w:vAlign w:val="bottom"/>
            <w:gridSpan w:val="2"/>
          </w:tcPr>
          <w:p>
            <w:pPr>
              <w:spacing w:after="0"/>
              <w:rPr>
                <w:sz w:val="16"/>
                <w:szCs w:val="16"/>
                <w:color w:val="auto"/>
              </w:rPr>
            </w:pP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0000FF"/>
              </w:rPr>
              <w:t>7</w:t>
            </w:r>
          </w:p>
        </w:tc>
        <w:tc>
          <w:tcPr>
            <w:tcW w:w="0" w:type="dxa"/>
            <w:vAlign w:val="bottom"/>
          </w:tcPr>
          <w:p>
            <w:pPr>
              <w:spacing w:after="0"/>
              <w:rPr>
                <w:sz w:val="1"/>
                <w:szCs w:val="1"/>
                <w:color w:val="auto"/>
              </w:rPr>
            </w:pPr>
          </w:p>
        </w:tc>
      </w:tr>
      <w:tr>
        <w:trPr>
          <w:trHeight w:val="190"/>
        </w:trPr>
        <w:tc>
          <w:tcPr>
            <w:tcW w:w="980" w:type="dxa"/>
            <w:vAlign w:val="bottom"/>
            <w:shd w:val="clear" w:color="auto" w:fill="CCEEFF"/>
          </w:tcPr>
          <w:p>
            <w:pPr>
              <w:spacing w:after="0"/>
              <w:rPr>
                <w:sz w:val="16"/>
                <w:szCs w:val="16"/>
                <w:color w:val="auto"/>
              </w:rPr>
            </w:pPr>
          </w:p>
        </w:tc>
        <w:tc>
          <w:tcPr>
            <w:tcW w:w="9560" w:type="dxa"/>
            <w:vAlign w:val="bottom"/>
            <w:gridSpan w:val="17"/>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Notes to Condensed Consolidated Financial Statements</w:t>
            </w:r>
          </w:p>
        </w:tc>
        <w:tc>
          <w:tcPr>
            <w:tcW w:w="60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rPr>
              <w:t>8</w:t>
            </w:r>
          </w:p>
        </w:tc>
        <w:tc>
          <w:tcPr>
            <w:tcW w:w="0" w:type="dxa"/>
            <w:vAlign w:val="bottom"/>
          </w:tcPr>
          <w:p>
            <w:pPr>
              <w:spacing w:after="0"/>
              <w:rPr>
                <w:sz w:val="1"/>
                <w:szCs w:val="1"/>
                <w:color w:val="auto"/>
              </w:rPr>
            </w:pPr>
          </w:p>
        </w:tc>
      </w:tr>
      <w:tr>
        <w:trPr>
          <w:trHeight w:val="39"/>
        </w:trPr>
        <w:tc>
          <w:tcPr>
            <w:tcW w:w="98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1400" w:type="dxa"/>
            <w:vAlign w:val="bottom"/>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980" w:type="dxa"/>
            <w:vAlign w:val="bottom"/>
          </w:tcPr>
          <w:p>
            <w:pPr>
              <w:ind w:left="40"/>
              <w:spacing w:after="0" w:line="181" w:lineRule="exact"/>
              <w:rPr>
                <w:sz w:val="20"/>
                <w:szCs w:val="20"/>
                <w:color w:val="auto"/>
              </w:rPr>
            </w:pPr>
            <w:r>
              <w:rPr>
                <w:rFonts w:ascii="Times New Roman" w:cs="Times New Roman" w:eastAsia="Times New Roman" w:hAnsi="Times New Roman"/>
                <w:sz w:val="17"/>
                <w:szCs w:val="17"/>
                <w:color w:val="auto"/>
              </w:rPr>
              <w:t>Item 2.</w:t>
            </w:r>
          </w:p>
        </w:tc>
        <w:tc>
          <w:tcPr>
            <w:tcW w:w="6160" w:type="dxa"/>
            <w:vAlign w:val="bottom"/>
            <w:tcBorders>
              <w:bottom w:val="single" w:sz="8" w:color="0000FF"/>
            </w:tcBorders>
            <w:gridSpan w:val="12"/>
          </w:tcPr>
          <w:p>
            <w:pPr>
              <w:spacing w:after="0" w:line="181" w:lineRule="exact"/>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3400" w:type="dxa"/>
            <w:vAlign w:val="bottom"/>
            <w:gridSpan w:val="5"/>
          </w:tcPr>
          <w:p>
            <w:pPr>
              <w:spacing w:after="0"/>
              <w:rPr>
                <w:sz w:val="16"/>
                <w:szCs w:val="16"/>
                <w:color w:val="auto"/>
              </w:rPr>
            </w:pP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0000FF"/>
              </w:rPr>
              <w:t>25</w:t>
            </w:r>
          </w:p>
        </w:tc>
        <w:tc>
          <w:tcPr>
            <w:tcW w:w="0" w:type="dxa"/>
            <w:vAlign w:val="bottom"/>
          </w:tcPr>
          <w:p>
            <w:pPr>
              <w:spacing w:after="0"/>
              <w:rPr>
                <w:sz w:val="1"/>
                <w:szCs w:val="1"/>
                <w:color w:val="auto"/>
              </w:rPr>
            </w:pPr>
          </w:p>
        </w:tc>
      </w:tr>
      <w:tr>
        <w:trPr>
          <w:trHeight w:val="208"/>
        </w:trPr>
        <w:tc>
          <w:tcPr>
            <w:tcW w:w="980" w:type="dxa"/>
            <w:vAlign w:val="bottom"/>
            <w:shd w:val="clear" w:color="auto" w:fill="CCEEFF"/>
          </w:tcPr>
          <w:p>
            <w:pPr>
              <w:ind w:left="40"/>
              <w:spacing w:after="0" w:line="190" w:lineRule="exact"/>
              <w:rPr>
                <w:sz w:val="20"/>
                <w:szCs w:val="20"/>
                <w:color w:val="auto"/>
              </w:rPr>
            </w:pPr>
            <w:r>
              <w:rPr>
                <w:rFonts w:ascii="Times New Roman" w:cs="Times New Roman" w:eastAsia="Times New Roman" w:hAnsi="Times New Roman"/>
                <w:sz w:val="17"/>
                <w:szCs w:val="17"/>
                <w:color w:val="auto"/>
              </w:rPr>
              <w:t>Item 3.</w:t>
            </w:r>
          </w:p>
        </w:tc>
        <w:tc>
          <w:tcPr>
            <w:tcW w:w="9560" w:type="dxa"/>
            <w:vAlign w:val="bottom"/>
            <w:gridSpan w:val="17"/>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60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rPr>
              <w:t>36</w:t>
            </w:r>
          </w:p>
        </w:tc>
        <w:tc>
          <w:tcPr>
            <w:tcW w:w="0" w:type="dxa"/>
            <w:vAlign w:val="bottom"/>
          </w:tcPr>
          <w:p>
            <w:pPr>
              <w:spacing w:after="0"/>
              <w:rPr>
                <w:sz w:val="1"/>
                <w:szCs w:val="1"/>
                <w:color w:val="auto"/>
              </w:rPr>
            </w:pPr>
          </w:p>
        </w:tc>
      </w:tr>
      <w:tr>
        <w:trPr>
          <w:trHeight w:val="180"/>
        </w:trPr>
        <w:tc>
          <w:tcPr>
            <w:tcW w:w="980" w:type="dxa"/>
            <w:vAlign w:val="bottom"/>
            <w:tcBorders>
              <w:top w:val="single" w:sz="8" w:color="CCEEFF"/>
            </w:tcBorders>
          </w:tcPr>
          <w:p>
            <w:pPr>
              <w:ind w:left="40"/>
              <w:spacing w:after="0" w:line="181" w:lineRule="exact"/>
              <w:rPr>
                <w:sz w:val="20"/>
                <w:szCs w:val="20"/>
                <w:color w:val="auto"/>
              </w:rPr>
            </w:pPr>
            <w:r>
              <w:rPr>
                <w:rFonts w:ascii="Times New Roman" w:cs="Times New Roman" w:eastAsia="Times New Roman" w:hAnsi="Times New Roman"/>
                <w:sz w:val="17"/>
                <w:szCs w:val="17"/>
                <w:color w:val="auto"/>
              </w:rPr>
              <w:t>Item 4.</w:t>
            </w:r>
          </w:p>
        </w:tc>
        <w:tc>
          <w:tcPr>
            <w:tcW w:w="4100" w:type="dxa"/>
            <w:vAlign w:val="bottom"/>
            <w:tcBorders>
              <w:top w:val="single" w:sz="8" w:color="0000FF"/>
            </w:tcBorders>
            <w:gridSpan w:val="9"/>
          </w:tcPr>
          <w:p>
            <w:pPr>
              <w:spacing w:after="0" w:line="181" w:lineRule="exact"/>
              <w:rPr>
                <w:sz w:val="20"/>
                <w:szCs w:val="20"/>
                <w:color w:val="auto"/>
              </w:rPr>
            </w:pPr>
            <w:r>
              <w:rPr>
                <w:rFonts w:ascii="Times New Roman" w:cs="Times New Roman" w:eastAsia="Times New Roman" w:hAnsi="Times New Roman"/>
                <w:sz w:val="17"/>
                <w:szCs w:val="17"/>
                <w:color w:val="0000FF"/>
              </w:rPr>
              <w:t>Controls and Procedures</w:t>
            </w:r>
          </w:p>
        </w:tc>
        <w:tc>
          <w:tcPr>
            <w:tcW w:w="5460" w:type="dxa"/>
            <w:vAlign w:val="bottom"/>
            <w:tcBorders>
              <w:top w:val="single" w:sz="8" w:color="CCEEFF"/>
            </w:tcBorders>
            <w:gridSpan w:val="8"/>
          </w:tcPr>
          <w:p>
            <w:pPr>
              <w:spacing w:after="0"/>
              <w:rPr>
                <w:sz w:val="15"/>
                <w:szCs w:val="15"/>
                <w:color w:val="auto"/>
              </w:rPr>
            </w:pPr>
          </w:p>
        </w:tc>
        <w:tc>
          <w:tcPr>
            <w:tcW w:w="600" w:type="dxa"/>
            <w:vAlign w:val="bottom"/>
            <w:tcBorders>
              <w:top w:val="single" w:sz="8" w:color="CCEEFF"/>
            </w:tcBorders>
          </w:tcPr>
          <w:p>
            <w:pPr>
              <w:jc w:val="right"/>
              <w:spacing w:after="0" w:line="181" w:lineRule="exact"/>
              <w:rPr>
                <w:sz w:val="20"/>
                <w:szCs w:val="20"/>
                <w:color w:val="auto"/>
              </w:rPr>
            </w:pPr>
            <w:r>
              <w:rPr>
                <w:rFonts w:ascii="Times New Roman" w:cs="Times New Roman" w:eastAsia="Times New Roman" w:hAnsi="Times New Roman"/>
                <w:sz w:val="17"/>
                <w:szCs w:val="17"/>
                <w:color w:val="0000FF"/>
              </w:rPr>
              <w:t>36</w:t>
            </w:r>
          </w:p>
        </w:tc>
        <w:tc>
          <w:tcPr>
            <w:tcW w:w="0" w:type="dxa"/>
            <w:vAlign w:val="bottom"/>
          </w:tcPr>
          <w:p>
            <w:pPr>
              <w:spacing w:after="0"/>
              <w:rPr>
                <w:sz w:val="1"/>
                <w:szCs w:val="1"/>
                <w:color w:val="auto"/>
              </w:rPr>
            </w:pPr>
          </w:p>
        </w:tc>
      </w:tr>
      <w:tr>
        <w:trPr>
          <w:trHeight w:val="29"/>
        </w:trPr>
        <w:tc>
          <w:tcPr>
            <w:tcW w:w="98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7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980" w:type="dxa"/>
            <w:vAlign w:val="bottom"/>
            <w:shd w:val="clear" w:color="auto" w:fill="CCEEFF"/>
          </w:tcPr>
          <w:p>
            <w:pPr>
              <w:spacing w:after="0"/>
              <w:rPr>
                <w:sz w:val="19"/>
                <w:szCs w:val="19"/>
                <w:color w:val="auto"/>
              </w:rPr>
            </w:pPr>
          </w:p>
        </w:tc>
        <w:tc>
          <w:tcPr>
            <w:tcW w:w="956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PART II—OTHER INFORMATION</w:t>
            </w: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980" w:type="dxa"/>
            <w:vAlign w:val="bottom"/>
          </w:tcPr>
          <w:p>
            <w:pPr>
              <w:ind w:left="40"/>
              <w:spacing w:after="0" w:line="181" w:lineRule="exact"/>
              <w:rPr>
                <w:sz w:val="20"/>
                <w:szCs w:val="20"/>
                <w:color w:val="auto"/>
              </w:rPr>
            </w:pPr>
            <w:r>
              <w:rPr>
                <w:rFonts w:ascii="Times New Roman" w:cs="Times New Roman" w:eastAsia="Times New Roman" w:hAnsi="Times New Roman"/>
                <w:sz w:val="17"/>
                <w:szCs w:val="17"/>
                <w:color w:val="auto"/>
              </w:rPr>
              <w:t>Item 1.</w:t>
            </w:r>
          </w:p>
        </w:tc>
        <w:tc>
          <w:tcPr>
            <w:tcW w:w="9560" w:type="dxa"/>
            <w:vAlign w:val="bottom"/>
            <w:gridSpan w:val="17"/>
          </w:tcPr>
          <w:p>
            <w:pPr>
              <w:spacing w:after="0" w:line="181" w:lineRule="exact"/>
              <w:rPr>
                <w:sz w:val="20"/>
                <w:szCs w:val="20"/>
                <w:color w:val="auto"/>
              </w:rPr>
            </w:pPr>
            <w:r>
              <w:rPr>
                <w:rFonts w:ascii="Times New Roman" w:cs="Times New Roman" w:eastAsia="Times New Roman" w:hAnsi="Times New Roman"/>
                <w:sz w:val="17"/>
                <w:szCs w:val="17"/>
                <w:color w:val="0000FF"/>
              </w:rPr>
              <w:t>Legal Proceedings</w:t>
            </w: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0000FF"/>
              </w:rPr>
              <w:t>37</w:t>
            </w:r>
          </w:p>
        </w:tc>
        <w:tc>
          <w:tcPr>
            <w:tcW w:w="0" w:type="dxa"/>
            <w:vAlign w:val="bottom"/>
          </w:tcPr>
          <w:p>
            <w:pPr>
              <w:spacing w:after="0"/>
              <w:rPr>
                <w:sz w:val="1"/>
                <w:szCs w:val="1"/>
                <w:color w:val="auto"/>
              </w:rPr>
            </w:pPr>
          </w:p>
        </w:tc>
      </w:tr>
      <w:tr>
        <w:trPr>
          <w:trHeight w:val="208"/>
        </w:trPr>
        <w:tc>
          <w:tcPr>
            <w:tcW w:w="980" w:type="dxa"/>
            <w:vAlign w:val="bottom"/>
            <w:tcBorders>
              <w:bottom w:val="single" w:sz="8" w:color="CCEEFF"/>
            </w:tcBorders>
            <w:shd w:val="clear" w:color="auto" w:fill="CCEEFF"/>
          </w:tcPr>
          <w:p>
            <w:pPr>
              <w:ind w:left="40"/>
              <w:spacing w:after="0" w:line="190" w:lineRule="exact"/>
              <w:rPr>
                <w:sz w:val="20"/>
                <w:szCs w:val="20"/>
                <w:color w:val="auto"/>
              </w:rPr>
            </w:pPr>
            <w:r>
              <w:rPr>
                <w:rFonts w:ascii="Times New Roman" w:cs="Times New Roman" w:eastAsia="Times New Roman" w:hAnsi="Times New Roman"/>
                <w:sz w:val="17"/>
                <w:szCs w:val="17"/>
                <w:color w:val="auto"/>
              </w:rPr>
              <w:t>Item 1A.</w:t>
            </w:r>
          </w:p>
        </w:tc>
        <w:tc>
          <w:tcPr>
            <w:tcW w:w="860" w:type="dxa"/>
            <w:vAlign w:val="bottom"/>
            <w:tcBorders>
              <w:top w:val="single" w:sz="8" w:color="0000FF"/>
              <w:bottom w:val="single" w:sz="8" w:color="0000FF"/>
            </w:tcBorders>
            <w:gridSpan w:val="3"/>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w w:val="98"/>
              </w:rPr>
              <w:t>Risk Factors</w:t>
            </w:r>
          </w:p>
        </w:tc>
        <w:tc>
          <w:tcPr>
            <w:tcW w:w="400" w:type="dxa"/>
            <w:vAlign w:val="bottom"/>
            <w:tcBorders>
              <w:top w:val="single" w:sz="8" w:color="0000FF"/>
              <w:bottom w:val="single" w:sz="8" w:color="CCEEFF"/>
            </w:tcBorders>
            <w:gridSpan w:val="2"/>
            <w:shd w:val="clear" w:color="auto" w:fill="CCEEFF"/>
          </w:tcPr>
          <w:p>
            <w:pPr>
              <w:spacing w:after="0"/>
              <w:rPr>
                <w:sz w:val="18"/>
                <w:szCs w:val="18"/>
                <w:color w:val="auto"/>
              </w:rPr>
            </w:pPr>
          </w:p>
        </w:tc>
        <w:tc>
          <w:tcPr>
            <w:tcW w:w="8300" w:type="dxa"/>
            <w:vAlign w:val="bottom"/>
            <w:tcBorders>
              <w:bottom w:val="single" w:sz="8" w:color="CCEEFF"/>
            </w:tcBorders>
            <w:gridSpan w:val="12"/>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rPr>
              <w:t>37</w:t>
            </w:r>
          </w:p>
        </w:tc>
        <w:tc>
          <w:tcPr>
            <w:tcW w:w="0" w:type="dxa"/>
            <w:vAlign w:val="bottom"/>
          </w:tcPr>
          <w:p>
            <w:pPr>
              <w:spacing w:after="0"/>
              <w:rPr>
                <w:sz w:val="1"/>
                <w:szCs w:val="1"/>
                <w:color w:val="auto"/>
              </w:rPr>
            </w:pPr>
          </w:p>
        </w:tc>
      </w:tr>
      <w:tr>
        <w:trPr>
          <w:trHeight w:val="190"/>
        </w:trPr>
        <w:tc>
          <w:tcPr>
            <w:tcW w:w="980" w:type="dxa"/>
            <w:vAlign w:val="bottom"/>
          </w:tcPr>
          <w:p>
            <w:pPr>
              <w:ind w:left="40"/>
              <w:spacing w:after="0" w:line="181" w:lineRule="exact"/>
              <w:rPr>
                <w:sz w:val="20"/>
                <w:szCs w:val="20"/>
                <w:color w:val="auto"/>
              </w:rPr>
            </w:pPr>
            <w:r>
              <w:rPr>
                <w:rFonts w:ascii="Times New Roman" w:cs="Times New Roman" w:eastAsia="Times New Roman" w:hAnsi="Times New Roman"/>
                <w:sz w:val="17"/>
                <w:szCs w:val="17"/>
                <w:color w:val="auto"/>
              </w:rPr>
              <w:t>Item 2.</w:t>
            </w:r>
          </w:p>
        </w:tc>
        <w:tc>
          <w:tcPr>
            <w:tcW w:w="9560" w:type="dxa"/>
            <w:vAlign w:val="bottom"/>
            <w:gridSpan w:val="17"/>
          </w:tcPr>
          <w:p>
            <w:pPr>
              <w:spacing w:after="0" w:line="181" w:lineRule="exact"/>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0000FF"/>
              </w:rPr>
              <w:t>37</w:t>
            </w:r>
          </w:p>
        </w:tc>
        <w:tc>
          <w:tcPr>
            <w:tcW w:w="0" w:type="dxa"/>
            <w:vAlign w:val="bottom"/>
          </w:tcPr>
          <w:p>
            <w:pPr>
              <w:spacing w:after="0"/>
              <w:rPr>
                <w:sz w:val="1"/>
                <w:szCs w:val="1"/>
                <w:color w:val="auto"/>
              </w:rPr>
            </w:pPr>
          </w:p>
        </w:tc>
      </w:tr>
      <w:tr>
        <w:trPr>
          <w:trHeight w:val="209"/>
        </w:trPr>
        <w:tc>
          <w:tcPr>
            <w:tcW w:w="980" w:type="dxa"/>
            <w:vAlign w:val="bottom"/>
            <w:shd w:val="clear" w:color="auto" w:fill="CCEEFF"/>
          </w:tcPr>
          <w:p>
            <w:pPr>
              <w:ind w:left="40"/>
              <w:spacing w:after="0" w:line="190" w:lineRule="exact"/>
              <w:rPr>
                <w:sz w:val="20"/>
                <w:szCs w:val="20"/>
                <w:color w:val="auto"/>
              </w:rPr>
            </w:pPr>
            <w:r>
              <w:rPr>
                <w:rFonts w:ascii="Times New Roman" w:cs="Times New Roman" w:eastAsia="Times New Roman" w:hAnsi="Times New Roman"/>
                <w:sz w:val="17"/>
                <w:szCs w:val="17"/>
                <w:color w:val="auto"/>
              </w:rPr>
              <w:t>Item 4.</w:t>
            </w:r>
          </w:p>
        </w:tc>
        <w:tc>
          <w:tcPr>
            <w:tcW w:w="4140" w:type="dxa"/>
            <w:vAlign w:val="bottom"/>
            <w:tcBorders>
              <w:top w:val="single" w:sz="8" w:color="0000FF"/>
            </w:tcBorders>
            <w:gridSpan w:val="10"/>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Mine Safety Disclosures</w:t>
            </w:r>
          </w:p>
        </w:tc>
        <w:tc>
          <w:tcPr>
            <w:tcW w:w="5420" w:type="dxa"/>
            <w:vAlign w:val="bottom"/>
            <w:gridSpan w:val="7"/>
            <w:shd w:val="clear" w:color="auto" w:fill="CCEEFF"/>
          </w:tcPr>
          <w:p>
            <w:pPr>
              <w:spacing w:after="0"/>
              <w:rPr>
                <w:sz w:val="18"/>
                <w:szCs w:val="18"/>
                <w:color w:val="auto"/>
              </w:rPr>
            </w:pPr>
          </w:p>
        </w:tc>
        <w:tc>
          <w:tcPr>
            <w:tcW w:w="60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rPr>
              <w:t>37</w:t>
            </w:r>
          </w:p>
        </w:tc>
        <w:tc>
          <w:tcPr>
            <w:tcW w:w="0" w:type="dxa"/>
            <w:vAlign w:val="bottom"/>
          </w:tcPr>
          <w:p>
            <w:pPr>
              <w:spacing w:after="0"/>
              <w:rPr>
                <w:sz w:val="1"/>
                <w:szCs w:val="1"/>
                <w:color w:val="auto"/>
              </w:rPr>
            </w:pPr>
          </w:p>
        </w:tc>
      </w:tr>
      <w:tr>
        <w:trPr>
          <w:trHeight w:val="190"/>
        </w:trPr>
        <w:tc>
          <w:tcPr>
            <w:tcW w:w="980" w:type="dxa"/>
            <w:vAlign w:val="bottom"/>
            <w:tcBorders>
              <w:top w:val="single" w:sz="8" w:color="CCEEFF"/>
            </w:tcBorders>
          </w:tcPr>
          <w:p>
            <w:pPr>
              <w:ind w:left="40"/>
              <w:spacing w:after="0" w:line="181" w:lineRule="exact"/>
              <w:rPr>
                <w:sz w:val="20"/>
                <w:szCs w:val="20"/>
                <w:color w:val="auto"/>
              </w:rPr>
            </w:pPr>
            <w:r>
              <w:rPr>
                <w:rFonts w:ascii="Times New Roman" w:cs="Times New Roman" w:eastAsia="Times New Roman" w:hAnsi="Times New Roman"/>
                <w:sz w:val="17"/>
                <w:szCs w:val="17"/>
                <w:color w:val="auto"/>
              </w:rPr>
              <w:t>Item 5.</w:t>
            </w:r>
          </w:p>
        </w:tc>
        <w:tc>
          <w:tcPr>
            <w:tcW w:w="1680" w:type="dxa"/>
            <w:vAlign w:val="bottom"/>
            <w:tcBorders>
              <w:top w:val="single" w:sz="8" w:color="0000FF"/>
            </w:tcBorders>
            <w:gridSpan w:val="6"/>
          </w:tcPr>
          <w:p>
            <w:pPr>
              <w:spacing w:after="0" w:line="181" w:lineRule="exact"/>
              <w:rPr>
                <w:sz w:val="20"/>
                <w:szCs w:val="20"/>
                <w:color w:val="auto"/>
              </w:rPr>
            </w:pPr>
            <w:r>
              <w:rPr>
                <w:rFonts w:ascii="Times New Roman" w:cs="Times New Roman" w:eastAsia="Times New Roman" w:hAnsi="Times New Roman"/>
                <w:sz w:val="17"/>
                <w:szCs w:val="17"/>
                <w:color w:val="0000FF"/>
              </w:rPr>
              <w:t>Other Information</w:t>
            </w:r>
          </w:p>
        </w:tc>
        <w:tc>
          <w:tcPr>
            <w:tcW w:w="7880" w:type="dxa"/>
            <w:vAlign w:val="bottom"/>
            <w:tcBorders>
              <w:top w:val="single" w:sz="8" w:color="CCEEFF"/>
            </w:tcBorders>
            <w:gridSpan w:val="11"/>
          </w:tcPr>
          <w:p>
            <w:pPr>
              <w:spacing w:after="0"/>
              <w:rPr>
                <w:sz w:val="16"/>
                <w:szCs w:val="16"/>
                <w:color w:val="auto"/>
              </w:rPr>
            </w:pPr>
          </w:p>
        </w:tc>
        <w:tc>
          <w:tcPr>
            <w:tcW w:w="600" w:type="dxa"/>
            <w:vAlign w:val="bottom"/>
            <w:tcBorders>
              <w:top w:val="single" w:sz="8" w:color="CCEEFF"/>
            </w:tcBorders>
          </w:tcPr>
          <w:p>
            <w:pPr>
              <w:jc w:val="right"/>
              <w:spacing w:after="0" w:line="181" w:lineRule="exact"/>
              <w:rPr>
                <w:sz w:val="20"/>
                <w:szCs w:val="20"/>
                <w:color w:val="auto"/>
              </w:rPr>
            </w:pPr>
            <w:r>
              <w:rPr>
                <w:rFonts w:ascii="Times New Roman" w:cs="Times New Roman" w:eastAsia="Times New Roman" w:hAnsi="Times New Roman"/>
                <w:sz w:val="17"/>
                <w:szCs w:val="17"/>
                <w:color w:val="0000FF"/>
              </w:rPr>
              <w:t>37</w:t>
            </w:r>
          </w:p>
        </w:tc>
        <w:tc>
          <w:tcPr>
            <w:tcW w:w="0" w:type="dxa"/>
            <w:vAlign w:val="bottom"/>
          </w:tcPr>
          <w:p>
            <w:pPr>
              <w:spacing w:after="0"/>
              <w:rPr>
                <w:sz w:val="1"/>
                <w:szCs w:val="1"/>
                <w:color w:val="auto"/>
              </w:rPr>
            </w:pPr>
          </w:p>
        </w:tc>
      </w:tr>
      <w:tr>
        <w:trPr>
          <w:trHeight w:val="190"/>
        </w:trPr>
        <w:tc>
          <w:tcPr>
            <w:tcW w:w="980" w:type="dxa"/>
            <w:vAlign w:val="bottom"/>
            <w:shd w:val="clear" w:color="auto" w:fill="CCEEFF"/>
          </w:tcPr>
          <w:p>
            <w:pPr>
              <w:ind w:left="40"/>
              <w:spacing w:after="0" w:line="190" w:lineRule="exact"/>
              <w:rPr>
                <w:sz w:val="20"/>
                <w:szCs w:val="20"/>
                <w:color w:val="auto"/>
              </w:rPr>
            </w:pPr>
            <w:r>
              <w:rPr>
                <w:rFonts w:ascii="Times New Roman" w:cs="Times New Roman" w:eastAsia="Times New Roman" w:hAnsi="Times New Roman"/>
                <w:sz w:val="17"/>
                <w:szCs w:val="17"/>
                <w:color w:val="auto"/>
              </w:rPr>
              <w:t>Item 6.</w:t>
            </w:r>
          </w:p>
        </w:tc>
        <w:tc>
          <w:tcPr>
            <w:tcW w:w="1240" w:type="dxa"/>
            <w:vAlign w:val="bottom"/>
            <w:tcBorders>
              <w:top w:val="single" w:sz="8" w:color="0000FF"/>
            </w:tcBorders>
            <w:gridSpan w:val="4"/>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Exhibits</w:t>
            </w:r>
          </w:p>
        </w:tc>
        <w:tc>
          <w:tcPr>
            <w:tcW w:w="8320" w:type="dxa"/>
            <w:vAlign w:val="bottom"/>
            <w:gridSpan w:val="13"/>
            <w:shd w:val="clear" w:color="auto" w:fill="CCEEFF"/>
          </w:tcPr>
          <w:p>
            <w:pPr>
              <w:spacing w:after="0"/>
              <w:rPr>
                <w:sz w:val="16"/>
                <w:szCs w:val="16"/>
                <w:color w:val="auto"/>
              </w:rPr>
            </w:pPr>
          </w:p>
        </w:tc>
        <w:tc>
          <w:tcPr>
            <w:tcW w:w="60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rPr>
              <w:t>38</w:t>
            </w:r>
          </w:p>
        </w:tc>
        <w:tc>
          <w:tcPr>
            <w:tcW w:w="0" w:type="dxa"/>
            <w:vAlign w:val="bottom"/>
          </w:tcPr>
          <w:p>
            <w:pPr>
              <w:spacing w:after="0"/>
              <w:rPr>
                <w:sz w:val="1"/>
                <w:szCs w:val="1"/>
                <w:color w:val="auto"/>
              </w:rPr>
            </w:pPr>
          </w:p>
        </w:tc>
      </w:tr>
      <w:tr>
        <w:trPr>
          <w:trHeight w:val="39"/>
        </w:trPr>
        <w:tc>
          <w:tcPr>
            <w:tcW w:w="98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980" w:type="dxa"/>
            <w:vAlign w:val="bottom"/>
          </w:tcPr>
          <w:p>
            <w:pPr>
              <w:spacing w:after="0"/>
              <w:rPr>
                <w:sz w:val="15"/>
                <w:szCs w:val="15"/>
                <w:color w:val="auto"/>
              </w:rPr>
            </w:pPr>
          </w:p>
        </w:tc>
        <w:tc>
          <w:tcPr>
            <w:tcW w:w="720" w:type="dxa"/>
            <w:vAlign w:val="bottom"/>
            <w:tcBorders>
              <w:bottom w:val="single" w:sz="8" w:color="0000FF"/>
            </w:tcBorders>
            <w:gridSpan w:val="2"/>
          </w:tcPr>
          <w:p>
            <w:pPr>
              <w:spacing w:after="0" w:line="181" w:lineRule="exact"/>
              <w:rPr>
                <w:sz w:val="20"/>
                <w:szCs w:val="20"/>
                <w:color w:val="auto"/>
              </w:rPr>
            </w:pPr>
            <w:r>
              <w:rPr>
                <w:rFonts w:ascii="Times New Roman" w:cs="Times New Roman" w:eastAsia="Times New Roman" w:hAnsi="Times New Roman"/>
                <w:sz w:val="17"/>
                <w:szCs w:val="17"/>
                <w:color w:val="0000FF"/>
                <w:w w:val="97"/>
              </w:rPr>
              <w:t>Signatures</w:t>
            </w:r>
          </w:p>
        </w:tc>
        <w:tc>
          <w:tcPr>
            <w:tcW w:w="8840" w:type="dxa"/>
            <w:vAlign w:val="bottom"/>
            <w:gridSpan w:val="15"/>
          </w:tcPr>
          <w:p>
            <w:pPr>
              <w:spacing w:after="0"/>
              <w:rPr>
                <w:sz w:val="15"/>
                <w:szCs w:val="15"/>
                <w:color w:val="auto"/>
              </w:rPr>
            </w:pP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0000FF"/>
              </w:rPr>
              <w:t>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69850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80" w:top="893" w:right="37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I—FINANCIAL INFORMATION</w:t>
      </w:r>
    </w:p>
    <w:p>
      <w:pPr>
        <w:spacing w:after="0" w:line="21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FINANCIAL STATEMENTS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WESTINGHOUSE AIR BRAKE TECHNOLOGIES CORPORATION</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Unaudited</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8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par value</w:t>
            </w:r>
          </w:p>
        </w:tc>
        <w:tc>
          <w:tcPr>
            <w:tcW w:w="26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center"/>
              <w:ind w:right="184"/>
              <w:spacing w:after="0" w:line="123" w:lineRule="exact"/>
              <w:rPr>
                <w:sz w:val="20"/>
                <w:szCs w:val="20"/>
                <w:color w:val="auto"/>
              </w:rPr>
            </w:pPr>
            <w:r>
              <w:rPr>
                <w:rFonts w:ascii="Times New Roman" w:cs="Times New Roman" w:eastAsia="Times New Roman" w:hAnsi="Times New Roman"/>
                <w:sz w:val="14"/>
                <w:szCs w:val="14"/>
                <w:b w:val="1"/>
                <w:bCs w:val="1"/>
                <w:color w:val="auto"/>
                <w:w w:val="97"/>
              </w:rPr>
              <w:t>March 31,</w:t>
            </w: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right"/>
              <w:ind w:right="283"/>
              <w:spacing w:after="0" w:line="12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0"/>
        </w:trPr>
        <w:tc>
          <w:tcPr>
            <w:tcW w:w="80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84"/>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right"/>
              <w:ind w:right="543"/>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162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6420" w:type="dxa"/>
            <w:vAlign w:val="bottom"/>
            <w:shd w:val="clear" w:color="auto" w:fill="CCEEFF"/>
          </w:tcPr>
          <w:p>
            <w:pPr>
              <w:jc w:val="center"/>
              <w:ind w:right="1571"/>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w:t>
            </w:r>
          </w:p>
        </w:tc>
        <w:tc>
          <w:tcPr>
            <w:tcW w:w="2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620</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Accounts receivable</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1,160</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Unbilled accounts receivable</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524</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Inventories, net</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2,284</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Total current assets</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4,799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4,855</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plant and equipment, net</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1,485</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8,730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8,780</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intangible assets, net</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3,205</w:t>
            </w:r>
          </w:p>
        </w:tc>
        <w:tc>
          <w:tcPr>
            <w:tcW w:w="0" w:type="dxa"/>
            <w:vAlign w:val="bottom"/>
          </w:tcPr>
          <w:p>
            <w:pPr>
              <w:spacing w:after="0"/>
              <w:rPr>
                <w:sz w:val="1"/>
                <w:szCs w:val="1"/>
                <w:color w:val="auto"/>
              </w:rPr>
            </w:pPr>
          </w:p>
        </w:tc>
      </w:tr>
      <w:tr>
        <w:trPr>
          <w:trHeight w:val="203"/>
        </w:trPr>
        <w:tc>
          <w:tcPr>
            <w:tcW w:w="80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5"/>
                <w:szCs w:val="15"/>
                <w:color w:val="auto"/>
              </w:rPr>
              <w:t>Other noncurrent assets</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663</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noncurrent assets</w:t>
            </w:r>
          </w:p>
        </w:tc>
        <w:tc>
          <w:tcPr>
            <w:tcW w:w="2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13,948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Total Assets</w:t>
            </w:r>
          </w:p>
        </w:tc>
        <w:tc>
          <w:tcPr>
            <w:tcW w:w="2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18,747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18,988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6420" w:type="dxa"/>
            <w:vAlign w:val="bottom"/>
            <w:shd w:val="clear" w:color="auto" w:fill="CCEEFF"/>
          </w:tcPr>
          <w:p>
            <w:pPr>
              <w:jc w:val="center"/>
              <w:ind w:right="1571"/>
              <w:spacing w:after="0" w:line="159" w:lineRule="exact"/>
              <w:rPr>
                <w:sz w:val="20"/>
                <w:szCs w:val="20"/>
                <w:color w:val="auto"/>
              </w:rPr>
            </w:pPr>
            <w:r>
              <w:rPr>
                <w:rFonts w:ascii="Times New Roman" w:cs="Times New Roman" w:eastAsia="Times New Roman" w:hAnsi="Times New Roman"/>
                <w:sz w:val="14"/>
                <w:szCs w:val="14"/>
                <w:b w:val="1"/>
                <w:bCs w:val="1"/>
                <w:color w:val="auto"/>
                <w:w w:val="98"/>
              </w:rPr>
              <w:t>Liabilities and Shareholders’ Equity</w:t>
            </w:r>
          </w:p>
        </w:tc>
        <w:tc>
          <w:tcPr>
            <w:tcW w:w="2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Accounts payable</w:t>
            </w:r>
          </w:p>
        </w:tc>
        <w:tc>
          <w:tcPr>
            <w:tcW w:w="2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1,250</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Customer deposits</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804</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Accrued compensation</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341</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Accrued warranty</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 portion of long-term debt</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781</w:t>
            </w:r>
          </w:p>
        </w:tc>
        <w:tc>
          <w:tcPr>
            <w:tcW w:w="0" w:type="dxa"/>
            <w:vAlign w:val="bottom"/>
          </w:tcPr>
          <w:p>
            <w:pPr>
              <w:spacing w:after="0"/>
              <w:rPr>
                <w:sz w:val="1"/>
                <w:szCs w:val="1"/>
                <w:color w:val="auto"/>
              </w:rPr>
            </w:pPr>
          </w:p>
        </w:tc>
      </w:tr>
      <w:tr>
        <w:trPr>
          <w:trHeight w:val="203"/>
        </w:trPr>
        <w:tc>
          <w:tcPr>
            <w:tcW w:w="80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5"/>
                <w:szCs w:val="15"/>
                <w:color w:val="auto"/>
              </w:rPr>
              <w:t>Other accrued liabilities</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660</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Long-term debt</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3,997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3,288</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Accrued postretirement and pension benefits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Deferred income taxes</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318</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Total Liabilities</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8,243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8,464</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 (Note 14)</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060" w:type="dxa"/>
            <w:vAlign w:val="bottom"/>
            <w:gridSpan w:val="3"/>
            <w:shd w:val="clear" w:color="auto" w:fill="CCEEFF"/>
          </w:tcPr>
          <w:p>
            <w:pPr>
              <w:ind w:left="20"/>
              <w:spacing w:after="0" w:line="161" w:lineRule="exact"/>
              <w:rPr>
                <w:sz w:val="20"/>
                <w:szCs w:val="20"/>
                <w:color w:val="auto"/>
              </w:rPr>
            </w:pPr>
            <w:r>
              <w:rPr>
                <w:rFonts w:ascii="Times New Roman" w:cs="Times New Roman" w:eastAsia="Times New Roman" w:hAnsi="Times New Roman"/>
                <w:sz w:val="15"/>
                <w:szCs w:val="15"/>
                <w:color w:val="auto"/>
              </w:rPr>
              <w:t>Common stock, $.01 par value; 500.0 shares authorized and 226.9 shares issued: 176.8 and 177.8 outstanding at March 31, 2024</w:t>
            </w:r>
          </w:p>
        </w:tc>
        <w:tc>
          <w:tcPr>
            <w:tcW w:w="2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05"/>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and December 31, 2023, respectively</w:t>
            </w:r>
          </w:p>
        </w:tc>
        <w:tc>
          <w:tcPr>
            <w:tcW w:w="26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7,967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7,977</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Treasury stock, at cost, 50.1 and 49.1 shares, at March 31, 2024 and December 31, 2023, respectively</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(2,171)</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Retained earnings</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5,505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5,269</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(590)</w:t>
            </w:r>
          </w:p>
        </w:tc>
        <w:tc>
          <w:tcPr>
            <w:tcW w:w="0" w:type="dxa"/>
            <w:vAlign w:val="bottom"/>
          </w:tcPr>
          <w:p>
            <w:pPr>
              <w:spacing w:after="0"/>
              <w:rPr>
                <w:sz w:val="1"/>
                <w:szCs w:val="1"/>
                <w:color w:val="auto"/>
              </w:rPr>
            </w:pPr>
          </w:p>
        </w:tc>
      </w:tr>
      <w:tr>
        <w:trPr>
          <w:trHeight w:val="196"/>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Total Westinghouse Air Brake Technologies Corporation shareholders’ equity</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10,462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10,487</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Noncontrolling interest</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0" w:type="dxa"/>
            <w:vAlign w:val="bottom"/>
          </w:tcPr>
          <w:p>
            <w:pPr>
              <w:spacing w:after="0"/>
              <w:rPr>
                <w:sz w:val="1"/>
                <w:szCs w:val="1"/>
                <w:color w:val="auto"/>
              </w:rPr>
            </w:pPr>
          </w:p>
        </w:tc>
      </w:tr>
      <w:tr>
        <w:trPr>
          <w:trHeight w:val="196"/>
        </w:trPr>
        <w:tc>
          <w:tcPr>
            <w:tcW w:w="80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5"/>
                <w:szCs w:val="15"/>
                <w:color w:val="auto"/>
              </w:rPr>
              <w:t>Total Equity</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10,504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10,524</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80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Total Liabilities and Equity</w:t>
            </w: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18,747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18,988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The accompanying notes are an integral part of these statements.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93"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WESTINGHOUSE AIR BRAKE TECHNOLOGIES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INCOME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6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w w:val="98"/>
              </w:rPr>
              <w:t>Unaudited</w:t>
            </w:r>
          </w:p>
        </w:tc>
        <w:tc>
          <w:tcPr>
            <w:tcW w:w="920" w:type="dxa"/>
            <w:vAlign w:val="bottom"/>
          </w:tcPr>
          <w:p>
            <w:pPr>
              <w:spacing w:after="0"/>
              <w:rPr>
                <w:sz w:val="15"/>
                <w:szCs w:val="15"/>
                <w:color w:val="auto"/>
              </w:rPr>
            </w:pPr>
          </w:p>
        </w:tc>
      </w:tr>
      <w:tr>
        <w:trPr>
          <w:trHeight w:val="153"/>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3"/>
          </w:tcPr>
          <w:p>
            <w:pPr>
              <w:jc w:val="center"/>
              <w:ind w:left="477"/>
              <w:spacing w:after="0" w:line="153" w:lineRule="exact"/>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920" w:type="dxa"/>
            <w:vAlign w:val="bottom"/>
          </w:tcPr>
          <w:p>
            <w:pPr>
              <w:spacing w:after="0"/>
              <w:rPr>
                <w:sz w:val="13"/>
                <w:szCs w:val="13"/>
                <w:color w:val="auto"/>
              </w:rPr>
            </w:pPr>
          </w:p>
        </w:tc>
      </w:tr>
      <w:tr>
        <w:trPr>
          <w:trHeight w:val="185"/>
        </w:trPr>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457"/>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920" w:type="dxa"/>
            <w:vAlign w:val="bottom"/>
            <w:tcBorders>
              <w:bottom w:val="single" w:sz="8" w:color="auto"/>
            </w:tcBorders>
          </w:tcPr>
          <w:p>
            <w:pPr>
              <w:spacing w:after="0"/>
              <w:rPr>
                <w:sz w:val="16"/>
                <w:szCs w:val="16"/>
                <w:color w:val="auto"/>
              </w:rPr>
            </w:pPr>
          </w:p>
        </w:tc>
      </w:tr>
      <w:tr>
        <w:trPr>
          <w:trHeight w:val="142"/>
        </w:trPr>
        <w:tc>
          <w:tcPr>
            <w:tcW w:w="80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360" w:type="dxa"/>
            <w:vAlign w:val="bottom"/>
          </w:tcPr>
          <w:p>
            <w:pPr>
              <w:spacing w:after="0"/>
              <w:rPr>
                <w:sz w:val="12"/>
                <w:szCs w:val="12"/>
                <w:color w:val="auto"/>
              </w:rPr>
            </w:pPr>
          </w:p>
        </w:tc>
        <w:tc>
          <w:tcPr>
            <w:tcW w:w="1160" w:type="dxa"/>
            <w:vAlign w:val="bottom"/>
          </w:tcPr>
          <w:p>
            <w:pPr>
              <w:jc w:val="right"/>
              <w:ind w:right="5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32"/>
        </w:trPr>
        <w:tc>
          <w:tcPr>
            <w:tcW w:w="20" w:type="dxa"/>
            <w:vAlign w:val="bottom"/>
            <w:tcBorders>
              <w:bottom w:val="single" w:sz="8" w:color="CCEEFF"/>
            </w:tcBorders>
          </w:tcPr>
          <w:p>
            <w:pPr>
              <w:spacing w:after="0"/>
              <w:rPr>
                <w:sz w:val="2"/>
                <w:szCs w:val="2"/>
                <w:color w:val="auto"/>
              </w:rPr>
            </w:pPr>
          </w:p>
        </w:tc>
        <w:tc>
          <w:tcPr>
            <w:tcW w:w="1900" w:type="dxa"/>
            <w:vAlign w:val="bottom"/>
            <w:tcBorders>
              <w:top w:val="single" w:sz="8" w:color="auto"/>
              <w:bottom w:val="single" w:sz="8" w:color="CCEEFF"/>
            </w:tcBorders>
          </w:tcPr>
          <w:p>
            <w:pPr>
              <w:spacing w:after="0"/>
              <w:rPr>
                <w:sz w:val="2"/>
                <w:szCs w:val="2"/>
                <w:color w:val="auto"/>
              </w:rPr>
            </w:pPr>
          </w:p>
        </w:tc>
        <w:tc>
          <w:tcPr>
            <w:tcW w:w="6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8"/>
        </w:trPr>
        <w:tc>
          <w:tcPr>
            <w:tcW w:w="2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6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19"/>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Sales of goods</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1,684</w:t>
            </w:r>
          </w:p>
        </w:tc>
      </w:tr>
      <w:tr>
        <w:trPr>
          <w:trHeight w:val="219"/>
        </w:trPr>
        <w:tc>
          <w:tcPr>
            <w:tcW w:w="20" w:type="dxa"/>
            <w:vAlign w:val="bottom"/>
            <w:tcBorders>
              <w:bottom w:val="single" w:sz="8" w:color="CCEEFF"/>
            </w:tcBorders>
          </w:tcPr>
          <w:p>
            <w:pPr>
              <w:spacing w:after="0"/>
              <w:rPr>
                <w:sz w:val="19"/>
                <w:szCs w:val="19"/>
                <w:color w:val="auto"/>
              </w:rPr>
            </w:pPr>
          </w:p>
        </w:tc>
        <w:tc>
          <w:tcPr>
            <w:tcW w:w="804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Sales of services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490</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510</w:t>
            </w:r>
          </w:p>
        </w:tc>
      </w:tr>
      <w:tr>
        <w:trPr>
          <w:trHeight w:val="212"/>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net sales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2,194</w:t>
            </w:r>
          </w:p>
        </w:tc>
      </w:tr>
      <w:tr>
        <w:trPr>
          <w:trHeight w:val="219"/>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Cost of goods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(1,257)</w:t>
            </w:r>
          </w:p>
        </w:tc>
      </w:tr>
      <w:tr>
        <w:trPr>
          <w:trHeight w:val="219"/>
        </w:trPr>
        <w:tc>
          <w:tcPr>
            <w:tcW w:w="20" w:type="dxa"/>
            <w:vAlign w:val="bottom"/>
            <w:tcBorders>
              <w:bottom w:val="single" w:sz="8" w:color="CCEEFF"/>
            </w:tcBorders>
          </w:tcPr>
          <w:p>
            <w:pPr>
              <w:spacing w:after="0"/>
              <w:rPr>
                <w:sz w:val="19"/>
                <w:szCs w:val="19"/>
                <w:color w:val="auto"/>
              </w:rPr>
            </w:pPr>
          </w:p>
        </w:tc>
        <w:tc>
          <w:tcPr>
            <w:tcW w:w="804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Cost of services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w:t>
            </w:r>
          </w:p>
        </w:tc>
      </w:tr>
      <w:tr>
        <w:trPr>
          <w:trHeight w:val="212"/>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cost of sales</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(1,682)</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(1,529)</w:t>
            </w:r>
          </w:p>
        </w:tc>
      </w:tr>
      <w:tr>
        <w:trPr>
          <w:trHeight w:val="212"/>
        </w:trPr>
        <w:tc>
          <w:tcPr>
            <w:tcW w:w="20" w:type="dxa"/>
            <w:vAlign w:val="bottom"/>
          </w:tcPr>
          <w:p>
            <w:pPr>
              <w:spacing w:after="0"/>
              <w:rPr>
                <w:sz w:val="18"/>
                <w:szCs w:val="18"/>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Gross profit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815</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665</w:t>
            </w:r>
          </w:p>
        </w:tc>
      </w:tr>
      <w:tr>
        <w:trPr>
          <w:trHeight w:val="21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0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w:t>
            </w:r>
          </w:p>
        </w:tc>
      </w:tr>
      <w:tr>
        <w:trPr>
          <w:trHeight w:val="219"/>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Engineering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19"/>
        </w:trPr>
        <w:tc>
          <w:tcPr>
            <w:tcW w:w="20" w:type="dxa"/>
            <w:vAlign w:val="bottom"/>
            <w:tcBorders>
              <w:bottom w:val="single" w:sz="8" w:color="CCEEFF"/>
            </w:tcBorders>
          </w:tcPr>
          <w:p>
            <w:pPr>
              <w:spacing w:after="0"/>
              <w:rPr>
                <w:sz w:val="19"/>
                <w:szCs w:val="19"/>
                <w:color w:val="auto"/>
              </w:rPr>
            </w:pPr>
          </w:p>
        </w:tc>
        <w:tc>
          <w:tcPr>
            <w:tcW w:w="804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Amortization expense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212"/>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w:t>
            </w:r>
          </w:p>
        </w:tc>
      </w:tr>
      <w:tr>
        <w:trPr>
          <w:trHeight w:val="212"/>
        </w:trPr>
        <w:tc>
          <w:tcPr>
            <w:tcW w:w="20" w:type="dxa"/>
            <w:vAlign w:val="bottom"/>
          </w:tcPr>
          <w:p>
            <w:pPr>
              <w:spacing w:after="0"/>
              <w:rPr>
                <w:sz w:val="18"/>
                <w:szCs w:val="18"/>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Income from operations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w:t>
            </w:r>
          </w:p>
        </w:tc>
      </w:tr>
      <w:tr>
        <w:trPr>
          <w:trHeight w:val="21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and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0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Interest expense,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19"/>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(expense) income,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2"/>
        </w:trPr>
        <w:tc>
          <w:tcPr>
            <w:tcW w:w="20" w:type="dxa"/>
            <w:vAlign w:val="bottom"/>
          </w:tcPr>
          <w:p>
            <w:pPr>
              <w:spacing w:after="0"/>
              <w:rPr>
                <w:sz w:val="18"/>
                <w:szCs w:val="18"/>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w:t>
            </w:r>
          </w:p>
        </w:tc>
      </w:tr>
      <w:tr>
        <w:trPr>
          <w:trHeight w:val="219"/>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Income tax expense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12"/>
        </w:trPr>
        <w:tc>
          <w:tcPr>
            <w:tcW w:w="20" w:type="dxa"/>
            <w:vAlign w:val="bottom"/>
          </w:tcPr>
          <w:p>
            <w:pPr>
              <w:spacing w:after="0"/>
              <w:rPr>
                <w:sz w:val="18"/>
                <w:szCs w:val="18"/>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w:t>
            </w:r>
          </w:p>
        </w:tc>
      </w:tr>
      <w:tr>
        <w:trPr>
          <w:trHeight w:val="219"/>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Less: Net income attributable to noncontrolling interest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12"/>
        </w:trPr>
        <w:tc>
          <w:tcPr>
            <w:tcW w:w="20" w:type="dxa"/>
            <w:vAlign w:val="bottom"/>
          </w:tcPr>
          <w:p>
            <w:pPr>
              <w:spacing w:after="0"/>
              <w:rPr>
                <w:sz w:val="18"/>
                <w:szCs w:val="18"/>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Net income attributable to Wabtec shareholders</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6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Earnings Per Common Share</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Net income attributable to Wabtec shareholders</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5"/>
        </w:trPr>
        <w:tc>
          <w:tcPr>
            <w:tcW w:w="8060" w:type="dxa"/>
            <w:vAlign w:val="bottom"/>
            <w:gridSpan w:val="3"/>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Diluted</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19"/>
        </w:trPr>
        <w:tc>
          <w:tcPr>
            <w:tcW w:w="20" w:type="dxa"/>
            <w:vAlign w:val="bottom"/>
          </w:tcPr>
          <w:p>
            <w:pPr>
              <w:spacing w:after="0"/>
              <w:rPr>
                <w:sz w:val="19"/>
                <w:szCs w:val="19"/>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Net income attributable to Wabtec shareholders</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6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179.9</w:t>
            </w:r>
          </w:p>
        </w:tc>
      </w:tr>
      <w:tr>
        <w:trPr>
          <w:trHeight w:val="22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180.6</w:t>
            </w:r>
          </w:p>
        </w:tc>
      </w:tr>
    </w:tbl>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69850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40" w:top="893"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WESTINGHOUSE AIR BRAKE TECHNOLOGIES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gridSpan w:val="3"/>
          </w:tcPr>
          <w:p>
            <w:pPr>
              <w:jc w:val="center"/>
              <w:ind w:left="657"/>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1080" w:type="dxa"/>
            <w:vAlign w:val="bottom"/>
          </w:tcPr>
          <w:p>
            <w:pPr>
              <w:spacing w:after="0"/>
              <w:rPr>
                <w:sz w:val="17"/>
                <w:szCs w:val="17"/>
                <w:color w:val="auto"/>
              </w:rPr>
            </w:pPr>
          </w:p>
        </w:tc>
      </w:tr>
      <w:tr>
        <w:trPr>
          <w:trHeight w:val="160"/>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0" w:type="dxa"/>
            <w:vAlign w:val="bottom"/>
            <w:gridSpan w:val="4"/>
          </w:tcPr>
          <w:p>
            <w:pPr>
              <w:jc w:val="center"/>
              <w:ind w:right="275"/>
              <w:spacing w:after="0" w:line="160" w:lineRule="exact"/>
              <w:rPr>
                <w:sz w:val="20"/>
                <w:szCs w:val="20"/>
                <w:color w:val="auto"/>
              </w:rPr>
            </w:pPr>
            <w:r>
              <w:rPr>
                <w:rFonts w:ascii="Times New Roman" w:cs="Times New Roman" w:eastAsia="Times New Roman" w:hAnsi="Times New Roman"/>
                <w:sz w:val="15"/>
                <w:szCs w:val="15"/>
                <w:b w:val="1"/>
                <w:bCs w:val="1"/>
                <w:color w:val="auto"/>
              </w:rPr>
              <w:t>Three Months Ended</w:t>
            </w:r>
          </w:p>
        </w:tc>
      </w:tr>
      <w:tr>
        <w:trPr>
          <w:trHeight w:val="205"/>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center"/>
              <w:ind w:left="637"/>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080" w:type="dxa"/>
            <w:vAlign w:val="bottom"/>
            <w:tcBorders>
              <w:bottom w:val="single" w:sz="8" w:color="auto"/>
            </w:tcBorders>
          </w:tcPr>
          <w:p>
            <w:pPr>
              <w:spacing w:after="0"/>
              <w:rPr>
                <w:sz w:val="17"/>
                <w:szCs w:val="17"/>
                <w:color w:val="auto"/>
              </w:rPr>
            </w:pPr>
          </w:p>
        </w:tc>
      </w:tr>
      <w:tr>
        <w:trPr>
          <w:trHeight w:val="149"/>
        </w:trPr>
        <w:tc>
          <w:tcPr>
            <w:tcW w:w="80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40" w:type="dxa"/>
            <w:vAlign w:val="bottom"/>
          </w:tcPr>
          <w:p>
            <w:pPr>
              <w:spacing w:after="0"/>
              <w:rPr>
                <w:sz w:val="12"/>
                <w:szCs w:val="12"/>
                <w:color w:val="auto"/>
              </w:rPr>
            </w:pPr>
          </w:p>
        </w:tc>
        <w:tc>
          <w:tcPr>
            <w:tcW w:w="1180" w:type="dxa"/>
            <w:vAlign w:val="bottom"/>
          </w:tcPr>
          <w:p>
            <w:pPr>
              <w:jc w:val="right"/>
              <w:ind w:right="537"/>
              <w:spacing w:after="0" w:line="135" w:lineRule="exact"/>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jc w:val="right"/>
              <w:ind w:right="515"/>
              <w:spacing w:after="0" w:line="135" w:lineRule="exact"/>
              <w:rPr>
                <w:sz w:val="20"/>
                <w:szCs w:val="20"/>
                <w:color w:val="auto"/>
              </w:rPr>
            </w:pPr>
            <w:r>
              <w:rPr>
                <w:rFonts w:ascii="Times New Roman" w:cs="Times New Roman" w:eastAsia="Times New Roman" w:hAnsi="Times New Roman"/>
                <w:sz w:val="15"/>
                <w:szCs w:val="15"/>
                <w:b w:val="1"/>
                <w:bCs w:val="1"/>
                <w:color w:val="auto"/>
              </w:rPr>
              <w:t>2023</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8"/>
        </w:trPr>
        <w:tc>
          <w:tcPr>
            <w:tcW w:w="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74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19"/>
        </w:trPr>
        <w:tc>
          <w:tcPr>
            <w:tcW w:w="80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Net income attributable to Wabtec shareholders</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w:t>
            </w:r>
          </w:p>
        </w:tc>
      </w:tr>
      <w:tr>
        <w:trPr>
          <w:trHeight w:val="212"/>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translation (loss) gain</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19"/>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Unrealized gain on derivative contracts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Unrealized gain on pension benefit plans and post-retirement benefit plans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2"/>
        </w:trPr>
        <w:tc>
          <w:tcPr>
            <w:tcW w:w="20" w:type="dxa"/>
            <w:vAlign w:val="bottom"/>
          </w:tcPr>
          <w:p>
            <w:pPr>
              <w:spacing w:after="0"/>
              <w:rPr>
                <w:sz w:val="18"/>
                <w:szCs w:val="18"/>
                <w:color w:val="auto"/>
              </w:rPr>
            </w:pPr>
          </w:p>
        </w:tc>
        <w:tc>
          <w:tcPr>
            <w:tcW w:w="80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Other comprehensive (loss) income before tax</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19"/>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 related to components of other comprehensive income</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2"/>
        </w:trPr>
        <w:tc>
          <w:tcPr>
            <w:tcW w:w="20" w:type="dxa"/>
            <w:vAlign w:val="bottom"/>
            <w:tcBorders>
              <w:bottom w:val="single" w:sz="8" w:color="CCEEFF"/>
            </w:tcBorders>
          </w:tcPr>
          <w:p>
            <w:pPr>
              <w:spacing w:after="0"/>
              <w:rPr>
                <w:sz w:val="18"/>
                <w:szCs w:val="18"/>
                <w:color w:val="auto"/>
              </w:rPr>
            </w:pPr>
          </w:p>
        </w:tc>
        <w:tc>
          <w:tcPr>
            <w:tcW w:w="80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Other comprehensive (loss) income, net of tax</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37"/>
        </w:trPr>
        <w:tc>
          <w:tcPr>
            <w:tcW w:w="80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income attributable to Wabtec shareholders</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40" w:top="893" w:right="359" w:bottom="1440" w:gutter="0" w:footer="0" w:header="0"/>
        </w:sectPr>
      </w:pPr>
    </w:p>
    <w:bookmarkStart w:id="5" w:name="page6"/>
    <w:bookmarkEnd w:id="5"/>
    <w:p>
      <w:pPr>
        <w:ind w:left="3320"/>
        <w:spacing w:after="0"/>
        <w:rPr>
          <w:sz w:val="20"/>
          <w:szCs w:val="20"/>
          <w:color w:val="auto"/>
        </w:rPr>
      </w:pPr>
      <w:r>
        <w:rPr>
          <w:rFonts w:ascii="Times New Roman" w:cs="Times New Roman" w:eastAsia="Times New Roman" w:hAnsi="Times New Roman"/>
          <w:sz w:val="17"/>
          <w:szCs w:val="17"/>
          <w:b w:val="1"/>
          <w:bCs w:val="1"/>
          <w:color w:val="auto"/>
        </w:rPr>
        <w:t>WESTINGHOUSE AIR BRAKE TECHNOLOGIES CORPORATION</w:t>
      </w:r>
    </w:p>
    <w:p>
      <w:pPr>
        <w:spacing w:after="0" w:line="3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3"/>
          </w:tcPr>
          <w:p>
            <w:pPr>
              <w:jc w:val="center"/>
              <w:ind w:left="615"/>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1060" w:type="dxa"/>
            <w:vAlign w:val="bottom"/>
          </w:tcPr>
          <w:p>
            <w:pPr>
              <w:spacing w:after="0"/>
              <w:rPr>
                <w:sz w:val="17"/>
                <w:szCs w:val="17"/>
                <w:color w:val="auto"/>
              </w:rPr>
            </w:pPr>
          </w:p>
        </w:tc>
      </w:tr>
      <w:tr>
        <w:trPr>
          <w:trHeight w:val="160"/>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80" w:type="dxa"/>
            <w:vAlign w:val="bottom"/>
            <w:gridSpan w:val="4"/>
          </w:tcPr>
          <w:p>
            <w:pPr>
              <w:jc w:val="center"/>
              <w:ind w:right="274"/>
              <w:spacing w:after="0" w:line="160" w:lineRule="exact"/>
              <w:rPr>
                <w:sz w:val="20"/>
                <w:szCs w:val="20"/>
                <w:color w:val="auto"/>
              </w:rPr>
            </w:pPr>
            <w:r>
              <w:rPr>
                <w:rFonts w:ascii="Times New Roman" w:cs="Times New Roman" w:eastAsia="Times New Roman" w:hAnsi="Times New Roman"/>
                <w:sz w:val="15"/>
                <w:szCs w:val="15"/>
                <w:b w:val="1"/>
                <w:bCs w:val="1"/>
                <w:color w:val="auto"/>
              </w:rPr>
              <w:t>Three Months Ended</w:t>
            </w:r>
          </w:p>
        </w:tc>
      </w:tr>
      <w:tr>
        <w:trPr>
          <w:trHeight w:val="205"/>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center"/>
              <w:ind w:left="635"/>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060" w:type="dxa"/>
            <w:vAlign w:val="bottom"/>
            <w:tcBorders>
              <w:bottom w:val="single" w:sz="8" w:color="auto"/>
            </w:tcBorders>
          </w:tcPr>
          <w:p>
            <w:pPr>
              <w:spacing w:after="0"/>
              <w:rPr>
                <w:sz w:val="17"/>
                <w:szCs w:val="17"/>
                <w:color w:val="auto"/>
              </w:rPr>
            </w:pPr>
          </w:p>
        </w:tc>
      </w:tr>
      <w:tr>
        <w:trPr>
          <w:trHeight w:val="149"/>
        </w:trPr>
        <w:tc>
          <w:tcPr>
            <w:tcW w:w="81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2"/>
                <w:szCs w:val="12"/>
                <w:color w:val="auto"/>
              </w:rPr>
            </w:pPr>
          </w:p>
        </w:tc>
        <w:tc>
          <w:tcPr>
            <w:tcW w:w="1160" w:type="dxa"/>
            <w:vAlign w:val="bottom"/>
          </w:tcPr>
          <w:p>
            <w:pPr>
              <w:jc w:val="right"/>
              <w:ind w:right="515"/>
              <w:spacing w:after="0" w:line="135" w:lineRule="exact"/>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jc w:val="right"/>
              <w:ind w:right="514"/>
              <w:spacing w:after="0" w:line="135" w:lineRule="exact"/>
              <w:rPr>
                <w:sz w:val="20"/>
                <w:szCs w:val="20"/>
                <w:color w:val="auto"/>
              </w:rPr>
            </w:pPr>
            <w:r>
              <w:rPr>
                <w:rFonts w:ascii="Times New Roman" w:cs="Times New Roman" w:eastAsia="Times New Roman" w:hAnsi="Times New Roman"/>
                <w:sz w:val="15"/>
                <w:szCs w:val="15"/>
                <w:b w:val="1"/>
                <w:bCs w:val="1"/>
                <w:color w:val="auto"/>
              </w:rPr>
              <w:t>2023</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5"/>
        </w:trPr>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(used for) operating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Below market intangible amortization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Net loss on disposal of property, plant and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Changes in operating assets and liabilities, net of acquisitions: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0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Accounts receivable and unbilled accounts receivable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Inventories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Accounts payable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Accrued income taxes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Accrued liabilities and customer deposits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Other assets and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12"/>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Net cash provided by (used for) operating activities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Purchase of property, plant and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Proceeds from disposal of property, plant and equipment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Net cash used for investing activities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Proceeds from debt, net of issuance costs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1,302</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Payments of debt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(1,148)</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Repurchase of stock</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Cash dividends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Payment of income tax withholding on share-based compensation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Other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2"/>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Net cash used for financing activities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changes in currency exchange rates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2"/>
        </w:trPr>
        <w:tc>
          <w:tcPr>
            <w:tcW w:w="20" w:type="dxa"/>
            <w:vAlign w:val="bottom"/>
          </w:tcPr>
          <w:p>
            <w:pPr>
              <w:spacing w:after="0"/>
              <w:rPr>
                <w:sz w:val="18"/>
                <w:szCs w:val="18"/>
                <w:color w:val="auto"/>
              </w:rPr>
            </w:pPr>
          </w:p>
        </w:tc>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Increase (decrease) in cash</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w:t>
            </w:r>
          </w:p>
        </w:tc>
      </w:tr>
      <w:tr>
        <w:trPr>
          <w:trHeight w:val="212"/>
        </w:trPr>
        <w:tc>
          <w:tcPr>
            <w:tcW w:w="20" w:type="dxa"/>
            <w:vAlign w:val="bottom"/>
          </w:tcPr>
          <w:p>
            <w:pPr>
              <w:spacing w:after="0"/>
              <w:rPr>
                <w:sz w:val="18"/>
                <w:szCs w:val="18"/>
                <w:color w:val="auto"/>
              </w:rPr>
            </w:pPr>
          </w:p>
        </w:tc>
        <w:tc>
          <w:tcPr>
            <w:tcW w:w="808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Cash, cash equivalents and restricted cash, end of period</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639</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417</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WESTINGHOUSE AIR BRAKE TECHNOLOGIES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SHAREHOLDERS’ EQUITY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40" w:type="dxa"/>
            <w:vAlign w:val="bottom"/>
          </w:tcPr>
          <w:p>
            <w:pPr>
              <w:spacing w:after="0"/>
              <w:rPr>
                <w:sz w:val="12"/>
                <w:szCs w:val="12"/>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Additional Paid-</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Treasury Stock</w:t>
            </w: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Treasury Stock</w:t>
            </w:r>
          </w:p>
        </w:tc>
        <w:tc>
          <w:tcPr>
            <w:tcW w:w="120" w:type="dxa"/>
            <w:vAlign w:val="bottom"/>
          </w:tcPr>
          <w:p>
            <w:pPr>
              <w:spacing w:after="0"/>
              <w:rPr>
                <w:sz w:val="12"/>
                <w:szCs w:val="12"/>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Accumulated Other</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160" w:type="dxa"/>
            <w:vAlign w:val="bottom"/>
          </w:tcPr>
          <w:p>
            <w:pPr>
              <w:spacing w:after="0"/>
              <w:rPr>
                <w:sz w:val="12"/>
                <w:szCs w:val="12"/>
                <w:color w:val="auto"/>
              </w:rPr>
            </w:pPr>
          </w:p>
        </w:tc>
        <w:tc>
          <w:tcPr>
            <w:tcW w:w="600" w:type="dxa"/>
            <w:vAlign w:val="bottom"/>
            <w:vMerge w:val="restart"/>
          </w:tcPr>
          <w:p>
            <w:pPr>
              <w:jc w:val="right"/>
              <w:ind w:right="192"/>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00"/>
        </w:trPr>
        <w:tc>
          <w:tcPr>
            <w:tcW w:w="2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900" w:type="dxa"/>
            <w:vAlign w:val="bottom"/>
            <w:gridSpan w:val="3"/>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Stock Amount</w:t>
            </w:r>
          </w:p>
        </w:tc>
        <w:tc>
          <w:tcPr>
            <w:tcW w:w="140" w:type="dxa"/>
            <w:vAlign w:val="bottom"/>
          </w:tcPr>
          <w:p>
            <w:pPr>
              <w:spacing w:after="0"/>
              <w:rPr>
                <w:sz w:val="8"/>
                <w:szCs w:val="8"/>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in Capital</w:t>
            </w:r>
          </w:p>
        </w:tc>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140" w:type="dxa"/>
            <w:vAlign w:val="bottom"/>
          </w:tcPr>
          <w:p>
            <w:pPr>
              <w:spacing w:after="0"/>
              <w:rPr>
                <w:sz w:val="8"/>
                <w:szCs w:val="8"/>
                <w:color w:val="auto"/>
              </w:rPr>
            </w:pPr>
          </w:p>
        </w:tc>
        <w:tc>
          <w:tcPr>
            <w:tcW w:w="8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120" w:type="dxa"/>
            <w:vAlign w:val="bottom"/>
          </w:tcPr>
          <w:p>
            <w:pPr>
              <w:spacing w:after="0"/>
              <w:rPr>
                <w:sz w:val="8"/>
                <w:szCs w:val="8"/>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2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Comprehensive Loss</w:t>
            </w:r>
          </w:p>
        </w:tc>
        <w:tc>
          <w:tcPr>
            <w:tcW w:w="160" w:type="dxa"/>
            <w:vAlign w:val="bottom"/>
          </w:tcPr>
          <w:p>
            <w:pPr>
              <w:spacing w:after="0"/>
              <w:rPr>
                <w:sz w:val="8"/>
                <w:szCs w:val="8"/>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480" w:type="dxa"/>
            <w:vAlign w:val="bottom"/>
            <w:gridSpan w:val="3"/>
            <w:vMerge w:val="continue"/>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90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26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7,977</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5,269</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10,524</w:t>
            </w:r>
          </w:p>
        </w:tc>
        <w:tc>
          <w:tcPr>
            <w:tcW w:w="0" w:type="dxa"/>
            <w:vAlign w:val="bottom"/>
          </w:tcPr>
          <w:p>
            <w:pPr>
              <w:spacing w:after="0"/>
              <w:rPr>
                <w:sz w:val="1"/>
                <w:szCs w:val="1"/>
                <w:color w:val="auto"/>
              </w:rPr>
            </w:pPr>
          </w:p>
        </w:tc>
      </w:tr>
      <w:tr>
        <w:trPr>
          <w:trHeight w:val="186"/>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Cash dividends ($0.20 dividend per share)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36"/>
        </w:trPr>
        <w:tc>
          <w:tcPr>
            <w:tcW w:w="2480" w:type="dxa"/>
            <w:vAlign w:val="bottom"/>
            <w:gridSpan w:val="3"/>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Proceeds from treasury stock issued from</w:t>
            </w: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480" w:type="dxa"/>
            <w:vAlign w:val="bottom"/>
            <w:gridSpan w:val="3"/>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the exercise of stock options and other</w:t>
            </w: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1"/>
        </w:trPr>
        <w:tc>
          <w:tcPr>
            <w:tcW w:w="24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 plans, net of tax</w:t>
            </w:r>
          </w:p>
        </w:tc>
        <w:tc>
          <w:tcPr>
            <w:tcW w:w="1020" w:type="dxa"/>
            <w:vAlign w:val="bottom"/>
            <w:tcBorders>
              <w:bottom w:val="single" w:sz="8" w:color="CCEEFF"/>
            </w:tcBorders>
            <w:gridSpan w:val="2"/>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vMerge w:val="continue"/>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Stock based compensation</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1"/>
        </w:trPr>
        <w:tc>
          <w:tcPr>
            <w:tcW w:w="2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0" w:type="dxa"/>
            <w:vAlign w:val="bottom"/>
          </w:tcPr>
          <w:p>
            <w:pPr>
              <w:spacing w:after="0"/>
              <w:rPr>
                <w:sz w:val="1"/>
                <w:szCs w:val="1"/>
                <w:color w:val="auto"/>
              </w:rPr>
            </w:pPr>
          </w:p>
        </w:tc>
      </w:tr>
      <w:tr>
        <w:trPr>
          <w:trHeight w:val="186"/>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94"/>
        </w:trPr>
        <w:tc>
          <w:tcPr>
            <w:tcW w:w="2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repurchase</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193"/>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2024</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7,967</w:t>
            </w:r>
          </w:p>
        </w:tc>
        <w:tc>
          <w:tcPr>
            <w:tcW w:w="12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(2,345)</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5,505</w:t>
            </w:r>
          </w:p>
        </w:tc>
        <w:tc>
          <w:tcPr>
            <w:tcW w:w="10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4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Additional Paid-</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Treasury Stock</w:t>
            </w: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Treasury Stock</w:t>
            </w:r>
          </w:p>
        </w:tc>
        <w:tc>
          <w:tcPr>
            <w:tcW w:w="120" w:type="dxa"/>
            <w:vAlign w:val="bottom"/>
          </w:tcPr>
          <w:p>
            <w:pPr>
              <w:spacing w:after="0"/>
              <w:rPr>
                <w:sz w:val="24"/>
                <w:szCs w:val="24"/>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Accumulated Other</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160" w:type="dxa"/>
            <w:vAlign w:val="bottom"/>
          </w:tcPr>
          <w:p>
            <w:pPr>
              <w:spacing w:after="0"/>
              <w:rPr>
                <w:sz w:val="24"/>
                <w:szCs w:val="24"/>
                <w:color w:val="auto"/>
              </w:rPr>
            </w:pPr>
          </w:p>
        </w:tc>
        <w:tc>
          <w:tcPr>
            <w:tcW w:w="600" w:type="dxa"/>
            <w:vAlign w:val="bottom"/>
            <w:vMerge w:val="restart"/>
          </w:tcPr>
          <w:p>
            <w:pPr>
              <w:jc w:val="right"/>
              <w:ind w:right="192"/>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95"/>
        </w:trPr>
        <w:tc>
          <w:tcPr>
            <w:tcW w:w="2480" w:type="dxa"/>
            <w:vAlign w:val="bottom"/>
            <w:gridSpan w:val="3"/>
            <w:vMerge w:val="restart"/>
          </w:tcPr>
          <w:p>
            <w:pPr>
              <w:ind w:left="20"/>
              <w:spacing w:after="0" w:line="136" w:lineRule="exact"/>
              <w:rPr>
                <w:sz w:val="20"/>
                <w:szCs w:val="20"/>
                <w:color w:val="auto"/>
              </w:rPr>
            </w:pPr>
            <w:r>
              <w:rPr>
                <w:rFonts w:ascii="Times New Roman" w:cs="Times New Roman" w:eastAsia="Times New Roman" w:hAnsi="Times New Roman"/>
                <w:sz w:val="12"/>
                <w:szCs w:val="12"/>
                <w:b w:val="1"/>
                <w:bCs w:val="1"/>
                <w:color w:val="auto"/>
              </w:rPr>
              <w:t>In millions</w:t>
            </w:r>
          </w:p>
        </w:tc>
        <w:tc>
          <w:tcPr>
            <w:tcW w:w="1020" w:type="dxa"/>
            <w:vAlign w:val="bottom"/>
            <w:gridSpan w:val="2"/>
            <w:vMerge w:val="restart"/>
          </w:tcPr>
          <w:p>
            <w:pPr>
              <w:jc w:val="center"/>
              <w:ind w:right="100"/>
              <w:spacing w:after="0" w:line="136" w:lineRule="exact"/>
              <w:rPr>
                <w:sz w:val="20"/>
                <w:szCs w:val="20"/>
                <w:color w:val="auto"/>
              </w:rPr>
            </w:pPr>
            <w:r>
              <w:rPr>
                <w:rFonts w:ascii="Times New Roman" w:cs="Times New Roman" w:eastAsia="Times New Roman" w:hAnsi="Times New Roman"/>
                <w:sz w:val="12"/>
                <w:szCs w:val="12"/>
                <w:b w:val="1"/>
                <w:bCs w:val="1"/>
                <w:color w:val="auto"/>
              </w:rPr>
              <w:t>Shares</w:t>
            </w:r>
          </w:p>
        </w:tc>
        <w:tc>
          <w:tcPr>
            <w:tcW w:w="900" w:type="dxa"/>
            <w:vAlign w:val="bottom"/>
            <w:gridSpan w:val="3"/>
            <w:vMerge w:val="restart"/>
          </w:tcPr>
          <w:p>
            <w:pPr>
              <w:ind w:left="40"/>
              <w:spacing w:after="0" w:line="136" w:lineRule="exact"/>
              <w:rPr>
                <w:sz w:val="20"/>
                <w:szCs w:val="20"/>
                <w:color w:val="auto"/>
              </w:rPr>
            </w:pPr>
            <w:r>
              <w:rPr>
                <w:rFonts w:ascii="Times New Roman" w:cs="Times New Roman" w:eastAsia="Times New Roman" w:hAnsi="Times New Roman"/>
                <w:sz w:val="12"/>
                <w:szCs w:val="12"/>
                <w:b w:val="1"/>
                <w:bCs w:val="1"/>
                <w:color w:val="auto"/>
              </w:rPr>
              <w:t>Stock Amount</w:t>
            </w:r>
          </w:p>
        </w:tc>
        <w:tc>
          <w:tcPr>
            <w:tcW w:w="140" w:type="dxa"/>
            <w:vAlign w:val="bottom"/>
          </w:tcPr>
          <w:p>
            <w:pPr>
              <w:spacing w:after="0"/>
              <w:rPr>
                <w:sz w:val="8"/>
                <w:szCs w:val="8"/>
                <w:color w:val="auto"/>
              </w:rPr>
            </w:pPr>
          </w:p>
        </w:tc>
        <w:tc>
          <w:tcPr>
            <w:tcW w:w="860" w:type="dxa"/>
            <w:vAlign w:val="bottom"/>
            <w:gridSpan w:val="2"/>
            <w:vMerge w:val="restart"/>
          </w:tcPr>
          <w:p>
            <w:pPr>
              <w:ind w:left="40"/>
              <w:spacing w:after="0" w:line="136" w:lineRule="exact"/>
              <w:rPr>
                <w:sz w:val="20"/>
                <w:szCs w:val="20"/>
                <w:color w:val="auto"/>
              </w:rPr>
            </w:pPr>
            <w:r>
              <w:rPr>
                <w:rFonts w:ascii="Times New Roman" w:cs="Times New Roman" w:eastAsia="Times New Roman" w:hAnsi="Times New Roman"/>
                <w:sz w:val="12"/>
                <w:szCs w:val="12"/>
                <w:b w:val="1"/>
                <w:bCs w:val="1"/>
                <w:color w:val="auto"/>
              </w:rPr>
              <w:t>in Capital</w:t>
            </w:r>
          </w:p>
        </w:tc>
        <w:tc>
          <w:tcPr>
            <w:tcW w:w="940" w:type="dxa"/>
            <w:vAlign w:val="bottom"/>
            <w:gridSpan w:val="2"/>
            <w:vMerge w:val="restart"/>
          </w:tcPr>
          <w:p>
            <w:pPr>
              <w:jc w:val="center"/>
              <w:ind w:right="120"/>
              <w:spacing w:after="0" w:line="136" w:lineRule="exact"/>
              <w:rPr>
                <w:sz w:val="20"/>
                <w:szCs w:val="20"/>
                <w:color w:val="auto"/>
              </w:rPr>
            </w:pPr>
            <w:r>
              <w:rPr>
                <w:rFonts w:ascii="Times New Roman" w:cs="Times New Roman" w:eastAsia="Times New Roman" w:hAnsi="Times New Roman"/>
                <w:sz w:val="12"/>
                <w:szCs w:val="12"/>
                <w:b w:val="1"/>
                <w:bCs w:val="1"/>
                <w:color w:val="auto"/>
                <w:w w:val="97"/>
              </w:rPr>
              <w:t>Shares</w:t>
            </w:r>
          </w:p>
        </w:tc>
        <w:tc>
          <w:tcPr>
            <w:tcW w:w="140" w:type="dxa"/>
            <w:vAlign w:val="bottom"/>
          </w:tcPr>
          <w:p>
            <w:pPr>
              <w:spacing w:after="0"/>
              <w:rPr>
                <w:sz w:val="8"/>
                <w:szCs w:val="8"/>
                <w:color w:val="auto"/>
              </w:rPr>
            </w:pPr>
          </w:p>
        </w:tc>
        <w:tc>
          <w:tcPr>
            <w:tcW w:w="840" w:type="dxa"/>
            <w:vAlign w:val="bottom"/>
            <w:gridSpan w:val="2"/>
            <w:vMerge w:val="restart"/>
          </w:tcPr>
          <w:p>
            <w:pPr>
              <w:jc w:val="center"/>
              <w:ind w:right="260"/>
              <w:spacing w:after="0" w:line="136"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120" w:type="dxa"/>
            <w:vAlign w:val="bottom"/>
          </w:tcPr>
          <w:p>
            <w:pPr>
              <w:spacing w:after="0"/>
              <w:rPr>
                <w:sz w:val="8"/>
                <w:szCs w:val="8"/>
                <w:color w:val="auto"/>
              </w:rPr>
            </w:pPr>
          </w:p>
        </w:tc>
        <w:tc>
          <w:tcPr>
            <w:tcW w:w="82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2"/>
                <w:szCs w:val="12"/>
                <w:b w:val="1"/>
                <w:bCs w:val="1"/>
                <w:color w:val="auto"/>
              </w:rPr>
              <w:t>Earnings</w:t>
            </w:r>
          </w:p>
        </w:tc>
        <w:tc>
          <w:tcPr>
            <w:tcW w:w="1260" w:type="dxa"/>
            <w:vAlign w:val="bottom"/>
            <w:gridSpan w:val="3"/>
            <w:vMerge w:val="restart"/>
          </w:tcPr>
          <w:p>
            <w:pPr>
              <w:jc w:val="center"/>
              <w:ind w:right="120"/>
              <w:spacing w:after="0" w:line="136" w:lineRule="exact"/>
              <w:rPr>
                <w:sz w:val="20"/>
                <w:szCs w:val="20"/>
                <w:color w:val="auto"/>
              </w:rPr>
            </w:pPr>
            <w:r>
              <w:rPr>
                <w:rFonts w:ascii="Times New Roman" w:cs="Times New Roman" w:eastAsia="Times New Roman" w:hAnsi="Times New Roman"/>
                <w:sz w:val="12"/>
                <w:szCs w:val="12"/>
                <w:b w:val="1"/>
                <w:bCs w:val="1"/>
                <w:color w:val="auto"/>
                <w:w w:val="99"/>
              </w:rPr>
              <w:t>Comprehensive Loss</w:t>
            </w:r>
          </w:p>
        </w:tc>
        <w:tc>
          <w:tcPr>
            <w:tcW w:w="160" w:type="dxa"/>
            <w:vAlign w:val="bottom"/>
          </w:tcPr>
          <w:p>
            <w:pPr>
              <w:spacing w:after="0"/>
              <w:rPr>
                <w:sz w:val="8"/>
                <w:szCs w:val="8"/>
                <w:color w:val="auto"/>
              </w:rPr>
            </w:pPr>
          </w:p>
        </w:tc>
        <w:tc>
          <w:tcPr>
            <w:tcW w:w="80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2"/>
                <w:szCs w:val="12"/>
                <w:b w:val="1"/>
                <w:bCs w:val="1"/>
                <w:color w:val="auto"/>
              </w:rPr>
              <w:t>Interest</w:t>
            </w: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480" w:type="dxa"/>
            <w:vAlign w:val="bottom"/>
            <w:gridSpan w:val="3"/>
            <w:vMerge w:val="continue"/>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90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26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7,953</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4,577</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10,147</w:t>
            </w:r>
          </w:p>
        </w:tc>
        <w:tc>
          <w:tcPr>
            <w:tcW w:w="0" w:type="dxa"/>
            <w:vAlign w:val="bottom"/>
          </w:tcPr>
          <w:p>
            <w:pPr>
              <w:spacing w:after="0"/>
              <w:rPr>
                <w:sz w:val="1"/>
                <w:szCs w:val="1"/>
                <w:color w:val="auto"/>
              </w:rPr>
            </w:pPr>
          </w:p>
        </w:tc>
      </w:tr>
      <w:tr>
        <w:trPr>
          <w:trHeight w:val="186"/>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Cash dividends ($0.17 dividend per share)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42"/>
        </w:trPr>
        <w:tc>
          <w:tcPr>
            <w:tcW w:w="248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Proceeds from treasury stock issued from</w:t>
            </w: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the exercise of stock options and other</w:t>
            </w: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88"/>
        </w:trPr>
        <w:tc>
          <w:tcPr>
            <w:tcW w:w="2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 plans, net of tax</w:t>
            </w:r>
          </w:p>
        </w:tc>
        <w:tc>
          <w:tcPr>
            <w:tcW w:w="10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Stock based compensation</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1"/>
        </w:trPr>
        <w:tc>
          <w:tcPr>
            <w:tcW w:w="2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0" w:type="dxa"/>
            <w:vAlign w:val="bottom"/>
          </w:tcPr>
          <w:p>
            <w:pPr>
              <w:spacing w:after="0"/>
              <w:rPr>
                <w:sz w:val="1"/>
                <w:szCs w:val="1"/>
                <w:color w:val="auto"/>
              </w:rPr>
            </w:pPr>
          </w:p>
        </w:tc>
      </w:tr>
      <w:tr>
        <w:trPr>
          <w:trHeight w:val="186"/>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94"/>
        </w:trPr>
        <w:tc>
          <w:tcPr>
            <w:tcW w:w="2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repurchase</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193"/>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2023</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7,940</w:t>
            </w:r>
          </w:p>
        </w:tc>
        <w:tc>
          <w:tcPr>
            <w:tcW w:w="12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(1,941)</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4,715</w:t>
            </w:r>
          </w:p>
        </w:tc>
        <w:tc>
          <w:tcPr>
            <w:tcW w:w="10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7" w:name="page8"/>
    <w:bookmarkEnd w:id="7"/>
    <w:p>
      <w:pPr>
        <w:jc w:val="center"/>
        <w:spacing w:after="0" w:line="272" w:lineRule="auto"/>
        <w:rPr>
          <w:sz w:val="20"/>
          <w:szCs w:val="20"/>
          <w:color w:val="auto"/>
        </w:rPr>
      </w:pPr>
      <w:r>
        <w:rPr>
          <w:rFonts w:ascii="Times New Roman" w:cs="Times New Roman" w:eastAsia="Times New Roman" w:hAnsi="Times New Roman"/>
          <w:sz w:val="17"/>
          <w:szCs w:val="17"/>
          <w:b w:val="1"/>
          <w:bCs w:val="1"/>
          <w:color w:val="auto"/>
        </w:rPr>
        <w:t>WESTINGHOUSE AIR BRAKE TECHNOLOGIES CORPORATION NOTES TO CONDENSED CONSOLIDATED FINANCIAL STATEMENTS FOR THE QUARTERLY PERIOD ENDED MARCH 31, 2024 (UNAUDITED)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BUSINESS</w:t>
      </w:r>
    </w:p>
    <w:p>
      <w:pPr>
        <w:spacing w:after="0" w:line="118" w:lineRule="exact"/>
        <w:rPr>
          <w:sz w:val="20"/>
          <w:szCs w:val="20"/>
          <w:color w:val="auto"/>
        </w:rPr>
      </w:pPr>
    </w:p>
    <w:p>
      <w:pPr>
        <w:ind w:right="40" w:firstLine="464"/>
        <w:spacing w:after="0" w:line="258" w:lineRule="auto"/>
        <w:rPr>
          <w:sz w:val="20"/>
          <w:szCs w:val="20"/>
          <w:color w:val="auto"/>
        </w:rPr>
      </w:pPr>
      <w:r>
        <w:rPr>
          <w:rFonts w:ascii="Times New Roman" w:cs="Times New Roman" w:eastAsia="Times New Roman" w:hAnsi="Times New Roman"/>
          <w:sz w:val="17"/>
          <w:szCs w:val="17"/>
          <w:color w:val="auto"/>
        </w:rPr>
        <w:t>Except as the context otherwise requires, all references to “we”, “our”, “us”, the “Company” and “Wabtec” refer to Westinghouse Air Brake Technologies Corporation and its consolidated subsidiaries. References to the “Parent Company” refer to Westinghouse Air Brake Technologies Corporation alone. Wabtec is a global provider of value-added, technology-based locomotives, equipment, systems, and services for the freight rail and passenger transit industries, as well as the mining, marine and industrial markets. Our highly engineered products, which are intended to enhance safety, improve productivity and reduce maintenance costs for customers, can be found on most locomotives, freight cars, passenger transit cars and buses around the world. Our core products and services are essential in the safe and efficient operation of freight rail and passenger transit vehicles. Wabtec is a global company with operations in over 50 countries and our products can be found in more than 100 countries throughout the world. In the first three months of 2024, approximately 50% of the Company’s Net sales came from customers outside the United States.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ACCOUNTING POLICIES</w:t>
      </w:r>
    </w:p>
    <w:p>
      <w:pPr>
        <w:spacing w:after="0" w:line="99" w:lineRule="exact"/>
        <w:rPr>
          <w:sz w:val="20"/>
          <w:szCs w:val="20"/>
          <w:color w:val="auto"/>
        </w:rPr>
      </w:pPr>
    </w:p>
    <w:p>
      <w:pPr>
        <w:ind w:right="60" w:firstLine="464"/>
        <w:spacing w:after="0" w:line="245" w:lineRule="auto"/>
        <w:rPr>
          <w:sz w:val="20"/>
          <w:szCs w:val="20"/>
          <w:color w:val="auto"/>
        </w:rPr>
      </w:pPr>
      <w:r>
        <w:rPr>
          <w:rFonts w:ascii="Times New Roman" w:cs="Times New Roman" w:eastAsia="Times New Roman" w:hAnsi="Times New Roman"/>
          <w:sz w:val="17"/>
          <w:szCs w:val="17"/>
          <w:b w:val="1"/>
          <w:bCs w:val="1"/>
          <w:i w:val="1"/>
          <w:iCs w:val="1"/>
          <w:color w:val="auto"/>
        </w:rPr>
        <w:t xml:space="preserve">Basis of Presentation </w:t>
      </w:r>
      <w:r>
        <w:rPr>
          <w:rFonts w:ascii="Times New Roman" w:cs="Times New Roman" w:eastAsia="Times New Roman" w:hAnsi="Times New Roman"/>
          <w:sz w:val="17"/>
          <w:szCs w:val="17"/>
          <w:color w:val="auto"/>
        </w:rPr>
        <w:t>The unaudited condensed consolidated interim financial statements have been prepared in accordance with generally accepted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accounting principles ("GAAP") in the United States of America and the rules and regulations of the Securities and Exchange Commission and include the accounts of Wabtec and its subsidiaries in which Wabtec has a controlling interest. These condensed consolidated interim financial statements do not include all of the information and footnotes required for complete financial statements. In management’s opinion, these financial statements reflect all adjustments of a normal, recurring nature necessary for a fair presentation of the results for the interim periods presented. Certain prior year amounts have been reclassified, where necessary, to conform to the current year presentation.</w:t>
      </w:r>
    </w:p>
    <w:p>
      <w:pPr>
        <w:spacing w:after="0" w:line="72" w:lineRule="exact"/>
        <w:rPr>
          <w:sz w:val="20"/>
          <w:szCs w:val="20"/>
          <w:color w:val="auto"/>
        </w:rPr>
      </w:pPr>
    </w:p>
    <w:p>
      <w:pPr>
        <w:ind w:right="200" w:firstLine="464"/>
        <w:spacing w:after="0" w:line="241" w:lineRule="auto"/>
        <w:rPr>
          <w:sz w:val="20"/>
          <w:szCs w:val="20"/>
          <w:color w:val="auto"/>
        </w:rPr>
      </w:pPr>
      <w:r>
        <w:rPr>
          <w:rFonts w:ascii="Times New Roman" w:cs="Times New Roman" w:eastAsia="Times New Roman" w:hAnsi="Times New Roman"/>
          <w:sz w:val="17"/>
          <w:szCs w:val="17"/>
          <w:color w:val="auto"/>
        </w:rPr>
        <w:t>Results for these interim periods are not necessarily indicative of results to be expected for the full year particularly in light of ongoing volatility in the macroeconomic environment caused by supply chain disruptions, labor availability, broad-based inflation, and the impacts from regional conflicts. These factors continue to impact our sales channels, supply chain, manufacturing operations, workforce, and other key aspects of our operations. We are unable to reasonably predict the full impact of these factors due to the high degree of uncertainty regarding their duration and severity, their potential impact on global economic activity, and the impact that current and new sanctions may have on our business, global supply chain operations and our customers, suppliers, and end-markets.</w:t>
      </w:r>
    </w:p>
    <w:p>
      <w:pPr>
        <w:spacing w:after="0" w:line="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Company operates on a four-four-five week accounting quarter, and the quarters end on or about March 31, June 30, September 30, and December 31.</w:t>
      </w:r>
    </w:p>
    <w:p>
      <w:pPr>
        <w:spacing w:after="0" w:line="114" w:lineRule="exact"/>
        <w:rPr>
          <w:sz w:val="20"/>
          <w:szCs w:val="20"/>
          <w:color w:val="auto"/>
        </w:rPr>
      </w:pPr>
    </w:p>
    <w:p>
      <w:pPr>
        <w:ind w:firstLine="464"/>
        <w:spacing w:after="0" w:line="270" w:lineRule="auto"/>
        <w:rPr>
          <w:sz w:val="20"/>
          <w:szCs w:val="20"/>
          <w:color w:val="auto"/>
        </w:rPr>
      </w:pPr>
      <w:r>
        <w:rPr>
          <w:rFonts w:ascii="Times New Roman" w:cs="Times New Roman" w:eastAsia="Times New Roman" w:hAnsi="Times New Roman"/>
          <w:sz w:val="17"/>
          <w:szCs w:val="17"/>
          <w:color w:val="auto"/>
        </w:rPr>
        <w:t>The notes included herein should be read in conjunction with the audited consolidated financial statements included in Wabtec’s Annual Report on Form 10-K for the year ended December 31, 2023. The December 31, 2023 information has been derived from the Company’s Annual Report on Form 10-K for the year ended December 31, 2023.</w:t>
      </w:r>
    </w:p>
    <w:p>
      <w:pPr>
        <w:spacing w:after="0" w:line="56" w:lineRule="exact"/>
        <w:rPr>
          <w:sz w:val="20"/>
          <w:szCs w:val="20"/>
          <w:color w:val="auto"/>
        </w:rPr>
      </w:pPr>
    </w:p>
    <w:p>
      <w:pPr>
        <w:ind w:right="140" w:firstLine="464"/>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Use of Estimates </w:t>
      </w:r>
      <w:r>
        <w:rPr>
          <w:rFonts w:ascii="Times New Roman" w:cs="Times New Roman" w:eastAsia="Times New Roman" w:hAnsi="Times New Roman"/>
          <w:sz w:val="17"/>
          <w:szCs w:val="17"/>
          <w:color w:val="auto"/>
        </w:rPr>
        <w:t>The preparation of financial statements in conformity with GAAP in the United States requires the Company to make estimates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assumptions that affect the reported amounts of assets and liabilities at the date of the financial statements and reported amounts of revenues and expenses during the reporting period. Actual amounts could differ from the estimates. On an ongoing basis, Management reviews its estimates based on currently available information. Changes in facts and circumstances may result in revised estimates.</w:t>
      </w:r>
    </w:p>
    <w:p>
      <w:pPr>
        <w:spacing w:after="0" w:line="58" w:lineRule="exact"/>
        <w:rPr>
          <w:sz w:val="20"/>
          <w:szCs w:val="20"/>
          <w:color w:val="auto"/>
        </w:rPr>
      </w:pPr>
    </w:p>
    <w:p>
      <w:pPr>
        <w:ind w:right="140" w:firstLine="464"/>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Revenue Recognition </w:t>
      </w:r>
      <w:r>
        <w:rPr>
          <w:rFonts w:ascii="Times New Roman" w:cs="Times New Roman" w:eastAsia="Times New Roman" w:hAnsi="Times New Roman"/>
          <w:sz w:val="17"/>
          <w:szCs w:val="17"/>
          <w:color w:val="auto"/>
        </w:rPr>
        <w:t>A majority of the Company’s revenues are derived from performance obligations that are satisfied at a point in time when control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passes to the customer. The remaining revenues are earned over time. Generally, for performance obligations satisfied at a point in time control passes at the time of shipment in accordance with agreed upon delivery terms.</w:t>
      </w:r>
    </w:p>
    <w:p>
      <w:pPr>
        <w:spacing w:after="0" w:line="61" w:lineRule="exact"/>
        <w:rPr>
          <w:sz w:val="20"/>
          <w:szCs w:val="20"/>
          <w:color w:val="auto"/>
        </w:rPr>
      </w:pPr>
    </w:p>
    <w:p>
      <w:pPr>
        <w:ind w:firstLine="464"/>
        <w:spacing w:after="0" w:line="257" w:lineRule="auto"/>
        <w:rPr>
          <w:sz w:val="20"/>
          <w:szCs w:val="20"/>
          <w:color w:val="auto"/>
        </w:rPr>
      </w:pPr>
      <w:r>
        <w:rPr>
          <w:rFonts w:ascii="Times New Roman" w:cs="Times New Roman" w:eastAsia="Times New Roman" w:hAnsi="Times New Roman"/>
          <w:sz w:val="17"/>
          <w:szCs w:val="17"/>
          <w:color w:val="auto"/>
        </w:rPr>
        <w:t>The Company also has long-term customer agreements involving the design and production of highly engineered products that require revenue to be recognized over time because these products have no alternative use without significant economic loss, and the agreements contain an enforceable right to payment including a reasonable profit margin from the customer in the event of contract termination. Additionally, the Company has customer agreements involving the creation or enhancement of an asset that the customer controls which also require revenue to be recognized over time. Generally, the Company uses an input method for determining the amount of revenue, cost and gross margin to recognize over time for these customer agreements. The input methods used for these agreements include costs of material and labor, both of which give an accurate representation of the progress made toward complete satisfaction of a particular performance obligation. The Company may also use the output method which recognizes revenue based on direct measurements of the value transferred to the customer. Contract revenues and cost estimates are reviewed and revised periodically throughout the year and adjustments are reflected in the accounting period as such amounts are determined.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8" w:name="page9"/>
    <w:bookmarkEnd w:id="8"/>
    <w:p>
      <w:pPr>
        <w:ind w:right="20" w:firstLine="464"/>
        <w:spacing w:after="0" w:line="258" w:lineRule="auto"/>
        <w:rPr>
          <w:sz w:val="20"/>
          <w:szCs w:val="20"/>
          <w:color w:val="auto"/>
        </w:rPr>
      </w:pPr>
      <w:r>
        <w:rPr>
          <w:rFonts w:ascii="Times New Roman" w:cs="Times New Roman" w:eastAsia="Times New Roman" w:hAnsi="Times New Roman"/>
          <w:sz w:val="17"/>
          <w:szCs w:val="17"/>
          <w:color w:val="auto"/>
        </w:rPr>
        <w:t>Due to the nature of work required to be performed on the Company’s long-term projects, the estimation of total revenue and cost at completion is subject to many variables and requires significant judgment. Contract estimates related to long-term projects are based on various assumptions to project the outcome of future events that could span several years. These assumptions include cost of materials; labor availability and productivity; complexity of the work to be performed; and the performance of suppliers, customers and subcontractors that may be associated with the contract. We have a disciplined process where management reviews the progress of long term-projects periodically throughout the year. As part of this process, management reviews information including key contract matters, progress towards completion, identified risks and opportunities and any other information that could impact the Company’s estimates of revenue and costs. After completing this analysis, any adjustments to net sales, cost of goods sold, and the related impact to operating income are recognized as necessary in the period they become known.</w:t>
      </w:r>
    </w:p>
    <w:p>
      <w:pPr>
        <w:spacing w:after="0" w:line="72" w:lineRule="exact"/>
        <w:rPr>
          <w:sz w:val="20"/>
          <w:szCs w:val="20"/>
          <w:color w:val="auto"/>
        </w:rPr>
      </w:pPr>
    </w:p>
    <w:p>
      <w:pPr>
        <w:ind w:right="20" w:firstLine="464"/>
        <w:spacing w:after="0" w:line="260" w:lineRule="auto"/>
        <w:rPr>
          <w:sz w:val="20"/>
          <w:szCs w:val="20"/>
          <w:color w:val="auto"/>
        </w:rPr>
      </w:pPr>
      <w:r>
        <w:rPr>
          <w:rFonts w:ascii="Times New Roman" w:cs="Times New Roman" w:eastAsia="Times New Roman" w:hAnsi="Times New Roman"/>
          <w:sz w:val="17"/>
          <w:szCs w:val="17"/>
          <w:color w:val="auto"/>
        </w:rPr>
        <w:t>Generally, the Company’s revenue contains a single performance obligation for each distinct good or service; however, a single contract may have multiple performance obligations comprising multiple promises to customers. When there are multiple performance obligations, revenue is allocated based on the relative stand-alone selling price. Pricing is defined in our contracts on a line item basis and includes an estimate of variable consideration when required by the terms of the individual customer contract. Types of variable consideration the Company typically has include volume discounts, prompt payment discounts, price escalation clauses, liquidating damages, and performance bonuses. Sales returns and allowances are also estimated and recognized in the same period the related revenue is recognized, based upon the Company’s experience and future expectations.</w:t>
      </w:r>
    </w:p>
    <w:p>
      <w:pPr>
        <w:spacing w:after="0" w:line="70" w:lineRule="exact"/>
        <w:rPr>
          <w:sz w:val="20"/>
          <w:szCs w:val="20"/>
          <w:color w:val="auto"/>
        </w:rPr>
      </w:pPr>
    </w:p>
    <w:p>
      <w:pPr>
        <w:ind w:right="40" w:firstLine="464"/>
        <w:spacing w:after="0" w:line="270" w:lineRule="auto"/>
        <w:rPr>
          <w:sz w:val="20"/>
          <w:szCs w:val="20"/>
          <w:color w:val="auto"/>
        </w:rPr>
      </w:pPr>
      <w:r>
        <w:rPr>
          <w:rFonts w:ascii="Times New Roman" w:cs="Times New Roman" w:eastAsia="Times New Roman" w:hAnsi="Times New Roman"/>
          <w:sz w:val="17"/>
          <w:szCs w:val="17"/>
          <w:color w:val="auto"/>
        </w:rPr>
        <w:t>Remaining performance obligations represent the allocated transaction price of unsatisfied or partially unsatisfied performance obligations. As of March 31, 2024, the Company's remaining performance obligations were approximately $22.1 billion. The Company expects to recognize revenue of approximately 35% of the remaining performance obligations over the next 12 months, with the remainder recognized thereafter.</w:t>
      </w:r>
    </w:p>
    <w:p>
      <w:pPr>
        <w:spacing w:after="0" w:line="56" w:lineRule="exact"/>
        <w:rPr>
          <w:sz w:val="20"/>
          <w:szCs w:val="20"/>
          <w:color w:val="auto"/>
        </w:rPr>
      </w:pPr>
    </w:p>
    <w:p>
      <w:pPr>
        <w:ind w:right="20" w:firstLine="464"/>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Revolving Receivables Program </w:t>
      </w:r>
      <w:r>
        <w:rPr>
          <w:rFonts w:ascii="Times New Roman" w:cs="Times New Roman" w:eastAsia="Times New Roman" w:hAnsi="Times New Roman"/>
          <w:sz w:val="17"/>
          <w:szCs w:val="17"/>
          <w:color w:val="auto"/>
        </w:rPr>
        <w:t>The Company utilizes a revolving facility to sell up to $350 million of certain receivables of the Company and certain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its subsidiaries (the "Originators"). The Originators contribute receivables to our bankruptcy-remote subsidiary, which sells the receivables to a financial institution on a recurring basis in exchange for cash equal to the gross receivables sold. The bankruptcy remote subsidiary is a separate legal entity with its own creditors, and its assets are not available to pay creditors of the Company or any other affiliates of the Company. As customers pay their balances, we transfer additional receivables into the program, which could result in our gross receivables sold being higher or lower than customer collections remitted to the financial institution for any applicable period. The sold receivables are fully guaranteed by our bankruptcy-remote subsidiary, which holds additional receivables that are pledged as collateral under this facility. The Company has agreed to guarantee the performance of the Originators respective obligations under the revolving agreement. Neither the Company (except for the bankruptcy-remote consolidated subsidiary referenced above) nor the Originators guarantees the collectability of the receivables under the revolving agreements.</w:t>
      </w:r>
    </w:p>
    <w:p>
      <w:pPr>
        <w:spacing w:after="0" w:line="74" w:lineRule="exact"/>
        <w:rPr>
          <w:sz w:val="20"/>
          <w:szCs w:val="20"/>
          <w:color w:val="auto"/>
        </w:rPr>
      </w:pPr>
    </w:p>
    <w:p>
      <w:pPr>
        <w:ind w:right="120" w:firstLine="464"/>
        <w:spacing w:after="0" w:line="269" w:lineRule="auto"/>
        <w:rPr>
          <w:sz w:val="20"/>
          <w:szCs w:val="20"/>
          <w:color w:val="auto"/>
        </w:rPr>
      </w:pPr>
      <w:r>
        <w:rPr>
          <w:rFonts w:ascii="Times New Roman" w:cs="Times New Roman" w:eastAsia="Times New Roman" w:hAnsi="Times New Roman"/>
          <w:sz w:val="17"/>
          <w:szCs w:val="17"/>
          <w:color w:val="auto"/>
        </w:rPr>
        <w:t>At March 31, 2024 and December 31, 2023, the bankruptcy-remote subsidiary held receivables of $531 million and $674 million, respectively, which are included in the Company's Condensed Consolidated Balance Sheets. The receivables held by the bankruptcy-remote subsidiary collateralize the outstanding receivables sold, which were $230 million and $20 million at March 31, 2024 and December 31, 2023, respectively. The transfers are recorded at the fair value of</w:t>
      </w:r>
    </w:p>
    <w:p>
      <w:pPr>
        <w:ind w:right="420"/>
        <w:spacing w:after="0" w:line="270" w:lineRule="auto"/>
        <w:rPr>
          <w:sz w:val="20"/>
          <w:szCs w:val="20"/>
          <w:color w:val="auto"/>
        </w:rPr>
      </w:pPr>
      <w:r>
        <w:rPr>
          <w:rFonts w:ascii="Times New Roman" w:cs="Times New Roman" w:eastAsia="Times New Roman" w:hAnsi="Times New Roman"/>
          <w:sz w:val="17"/>
          <w:szCs w:val="17"/>
          <w:color w:val="auto"/>
        </w:rPr>
        <w:t>the proceeds received and obligations assumed less derecognized receivables. No obligation was recorded at March 31, 2024 or December 31, 2023 as the estimated expected credit losses on receivables sold is insignificant. Our maximum exposure to losses related to these receivables transferred is limited to the amount outstanding.</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sets forth a summary of receivables sold and the resulting impact of net cash proceeds included in cash from operations: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 w:type="dxa"/>
            <w:vAlign w:val="bottom"/>
          </w:tcPr>
          <w:p>
            <w:pPr>
              <w:spacing w:after="0"/>
              <w:rPr>
                <w:sz w:val="13"/>
                <w:szCs w:val="13"/>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120" w:type="dxa"/>
            <w:vAlign w:val="bottom"/>
          </w:tcPr>
          <w:p>
            <w:pPr>
              <w:spacing w:after="0"/>
              <w:rPr>
                <w:sz w:val="13"/>
                <w:szCs w:val="13"/>
                <w:color w:val="auto"/>
              </w:rPr>
            </w:pPr>
          </w:p>
        </w:tc>
        <w:tc>
          <w:tcPr>
            <w:tcW w:w="140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0" w:type="dxa"/>
            <w:vAlign w:val="bottom"/>
          </w:tcPr>
          <w:p>
            <w:pPr>
              <w:spacing w:after="0"/>
              <w:rPr>
                <w:sz w:val="1"/>
                <w:szCs w:val="1"/>
                <w:color w:val="auto"/>
              </w:rPr>
            </w:pPr>
          </w:p>
        </w:tc>
      </w:tr>
      <w:tr>
        <w:trPr>
          <w:trHeight w:val="140"/>
        </w:trPr>
        <w:tc>
          <w:tcPr>
            <w:tcW w:w="8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rPr>
              <w:t>March 31, 2024</w:t>
            </w:r>
          </w:p>
        </w:tc>
        <w:tc>
          <w:tcPr>
            <w:tcW w:w="120" w:type="dxa"/>
            <w:vAlign w:val="bottom"/>
          </w:tcPr>
          <w:p>
            <w:pPr>
              <w:spacing w:after="0"/>
              <w:rPr>
                <w:sz w:val="12"/>
                <w:szCs w:val="12"/>
                <w:color w:val="auto"/>
              </w:rPr>
            </w:pPr>
          </w:p>
        </w:tc>
        <w:tc>
          <w:tcPr>
            <w:tcW w:w="1400" w:type="dxa"/>
            <w:vAlign w:val="bottom"/>
          </w:tcPr>
          <w:p>
            <w:pPr>
              <w:jc w:val="center"/>
              <w:ind w:right="42"/>
              <w:spacing w:after="0" w:line="121" w:lineRule="exact"/>
              <w:rPr>
                <w:sz w:val="20"/>
                <w:szCs w:val="20"/>
                <w:color w:val="auto"/>
              </w:rPr>
            </w:pPr>
            <w:r>
              <w:rPr>
                <w:rFonts w:ascii="Times New Roman" w:cs="Times New Roman" w:eastAsia="Times New Roman" w:hAnsi="Times New Roman"/>
                <w:sz w:val="13"/>
                <w:szCs w:val="13"/>
                <w:b w:val="1"/>
                <w:bCs w:val="1"/>
                <w:color w:val="auto"/>
              </w:rPr>
              <w:t>March 31, 2023</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7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8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receivables sold/cash proceeds received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center"/>
              <w:ind w:left="902"/>
              <w:spacing w:after="0"/>
              <w:rPr>
                <w:sz w:val="20"/>
                <w:szCs w:val="20"/>
                <w:color w:val="auto"/>
              </w:rPr>
            </w:pPr>
            <w:r>
              <w:rPr>
                <w:rFonts w:ascii="Times New Roman" w:cs="Times New Roman" w:eastAsia="Times New Roman" w:hAnsi="Times New Roman"/>
                <w:sz w:val="17"/>
                <w:szCs w:val="17"/>
                <w:color w:val="auto"/>
              </w:rPr>
              <w:t>519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center"/>
              <w:ind w:left="942"/>
              <w:spacing w:after="0"/>
              <w:rPr>
                <w:sz w:val="20"/>
                <w:szCs w:val="20"/>
                <w:color w:val="auto"/>
              </w:rPr>
            </w:pPr>
            <w:r>
              <w:rPr>
                <w:rFonts w:ascii="Times New Roman" w:cs="Times New Roman" w:eastAsia="Times New Roman" w:hAnsi="Times New Roman"/>
                <w:sz w:val="17"/>
                <w:szCs w:val="17"/>
                <w:color w:val="auto"/>
              </w:rPr>
              <w:t>519</w:t>
            </w:r>
          </w:p>
        </w:tc>
        <w:tc>
          <w:tcPr>
            <w:tcW w:w="0" w:type="dxa"/>
            <w:vAlign w:val="bottom"/>
          </w:tcPr>
          <w:p>
            <w:pPr>
              <w:spacing w:after="0"/>
              <w:rPr>
                <w:sz w:val="1"/>
                <w:szCs w:val="1"/>
                <w:color w:val="auto"/>
              </w:rPr>
            </w:pPr>
          </w:p>
        </w:tc>
      </w:tr>
      <w:tr>
        <w:trPr>
          <w:trHeight w:val="219"/>
        </w:trPr>
        <w:tc>
          <w:tcPr>
            <w:tcW w:w="81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Customer collections remitted to financial institution</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left="882"/>
              <w:spacing w:after="0"/>
              <w:rPr>
                <w:sz w:val="20"/>
                <w:szCs w:val="20"/>
                <w:color w:val="auto"/>
              </w:rPr>
            </w:pPr>
            <w:r>
              <w:rPr>
                <w:rFonts w:ascii="Times New Roman" w:cs="Times New Roman" w:eastAsia="Times New Roman" w:hAnsi="Times New Roman"/>
                <w:sz w:val="17"/>
                <w:szCs w:val="17"/>
                <w:color w:val="auto"/>
                <w:w w:val="97"/>
              </w:rPr>
              <w:t>(309)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left="902"/>
              <w:spacing w:after="0"/>
              <w:rPr>
                <w:sz w:val="20"/>
                <w:szCs w:val="20"/>
                <w:color w:val="auto"/>
              </w:rPr>
            </w:pPr>
            <w:r>
              <w:rPr>
                <w:rFonts w:ascii="Times New Roman" w:cs="Times New Roman" w:eastAsia="Times New Roman" w:hAnsi="Times New Roman"/>
                <w:sz w:val="17"/>
                <w:szCs w:val="17"/>
                <w:color w:val="auto"/>
              </w:rPr>
              <w:t>(374)</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proceeds received included in cash from operations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center"/>
              <w:ind w:left="902"/>
              <w:spacing w:after="0"/>
              <w:rPr>
                <w:sz w:val="20"/>
                <w:szCs w:val="20"/>
                <w:color w:val="auto"/>
              </w:rPr>
            </w:pPr>
            <w:r>
              <w:rPr>
                <w:rFonts w:ascii="Times New Roman" w:cs="Times New Roman" w:eastAsia="Times New Roman" w:hAnsi="Times New Roman"/>
                <w:sz w:val="17"/>
                <w:szCs w:val="17"/>
                <w:color w:val="auto"/>
              </w:rPr>
              <w:t>210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center"/>
              <w:ind w:left="942"/>
              <w:spacing w:after="0"/>
              <w:rPr>
                <w:sz w:val="20"/>
                <w:szCs w:val="20"/>
                <w:color w:val="auto"/>
              </w:rPr>
            </w:pPr>
            <w:r>
              <w:rPr>
                <w:rFonts w:ascii="Times New Roman" w:cs="Times New Roman" w:eastAsia="Times New Roman" w:hAnsi="Times New Roman"/>
                <w:sz w:val="17"/>
                <w:szCs w:val="17"/>
                <w:color w:val="auto"/>
              </w:rPr>
              <w:t>145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7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right="32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Restricted Cash </w:t>
      </w:r>
      <w:r>
        <w:rPr>
          <w:rFonts w:ascii="Times New Roman" w:cs="Times New Roman" w:eastAsia="Times New Roman" w:hAnsi="Times New Roman"/>
          <w:sz w:val="17"/>
          <w:szCs w:val="17"/>
          <w:color w:val="auto"/>
        </w:rPr>
        <w:t>At March 31, 2024 and December 31, 2023, the Company classified cash of $5 million as restricted for cash held in escrow related to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2022 acquisition.</w:t>
      </w:r>
    </w:p>
    <w:p>
      <w:pPr>
        <w:spacing w:after="0" w:line="88" w:lineRule="exact"/>
        <w:rPr>
          <w:sz w:val="20"/>
          <w:szCs w:val="20"/>
          <w:color w:val="auto"/>
        </w:rPr>
      </w:pPr>
    </w:p>
    <w:p>
      <w:pPr>
        <w:ind w:right="240" w:firstLine="464"/>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Depreciation Expense </w:t>
      </w:r>
      <w:r>
        <w:rPr>
          <w:rFonts w:ascii="Times New Roman" w:cs="Times New Roman" w:eastAsia="Times New Roman" w:hAnsi="Times New Roman"/>
          <w:sz w:val="17"/>
          <w:szCs w:val="17"/>
          <w:color w:val="auto"/>
        </w:rPr>
        <w:t>Depreciation of property, plant and equipment related to the manufacturing of products or services provided is included in Cost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goods or Cost of services. Depreciation of other property, plant and equipment that is not attributable to the manufacturing of products or services provided is included in Selling, general and administrative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color w:val="auto"/>
        </w:rPr>
        <w:t>expenses or Engineering expenses to the extent the property, plant, and equipment is used for research and development purposes.</w:t>
      </w:r>
    </w:p>
    <w:p>
      <w:pPr>
        <w:spacing w:after="0" w:line="108" w:lineRule="exact"/>
        <w:rPr>
          <w:sz w:val="20"/>
          <w:szCs w:val="20"/>
          <w:color w:val="auto"/>
        </w:rPr>
      </w:pPr>
    </w:p>
    <w:p>
      <w:pPr>
        <w:ind w:right="120" w:firstLine="464"/>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Goodwill and Intangible Assets </w:t>
      </w:r>
      <w:r>
        <w:rPr>
          <w:rFonts w:ascii="Times New Roman" w:cs="Times New Roman" w:eastAsia="Times New Roman" w:hAnsi="Times New Roman"/>
          <w:sz w:val="17"/>
          <w:szCs w:val="17"/>
          <w:color w:val="auto"/>
        </w:rPr>
        <w:t>Goodwill and other intangible assets with indefinite lives are not amortized. Other intangibles (with definite lives) 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amortized on a straight-line basis over their estimated economic lives. Amortizable intangible assets are reviewed for impairment when indicators of impairment are present. The Company tests goodwill and indefinite-lived intangible assets for impairment at the reporting unit level and at least annually. The Company performs its annual impairment test during the fourth quarter after the annual forecasting process is completed, and also tests for impairment whenever events or changes in circumstances indicate that the carrying value may not be recoverable. The Company will perform either a qualitative or quantitative test for goodwill, performing a quantitative test for each identified reporting unit at least every three years. Periodically, Management of the Company assesses whether or not an indicator of impairment is present that would necessitate an impairment analysis be performed. No impairment indicators were identified during the current quarter.</w:t>
      </w:r>
    </w:p>
    <w:p>
      <w:pPr>
        <w:spacing w:after="0" w:line="66" w:lineRule="exact"/>
        <w:rPr>
          <w:sz w:val="20"/>
          <w:szCs w:val="20"/>
          <w:color w:val="auto"/>
        </w:rPr>
      </w:pPr>
    </w:p>
    <w:p>
      <w:pPr>
        <w:ind w:firstLine="464"/>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Accounting Standards Recently Issued </w:t>
      </w:r>
      <w:r>
        <w:rPr>
          <w:rFonts w:ascii="Times New Roman" w:cs="Times New Roman" w:eastAsia="Times New Roman" w:hAnsi="Times New Roman"/>
          <w:sz w:val="17"/>
          <w:szCs w:val="17"/>
          <w:color w:val="auto"/>
        </w:rPr>
        <w:t>In November 2023, the Financial Accounting Standards Board ("FASB") issued Accounting Standards Update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("ASU") 2023-07, </w:t>
      </w:r>
      <w:r>
        <w:rPr>
          <w:rFonts w:ascii="Times New Roman" w:cs="Times New Roman" w:eastAsia="Times New Roman" w:hAnsi="Times New Roman"/>
          <w:sz w:val="17"/>
          <w:szCs w:val="17"/>
          <w:i w:val="1"/>
          <w:iCs w:val="1"/>
          <w:color w:val="auto"/>
        </w:rPr>
        <w:t>Segment Reporting (Topic 280): Improvements to Reportable Segment Disclosures</w:t>
      </w:r>
      <w:r>
        <w:rPr>
          <w:rFonts w:ascii="Times New Roman" w:cs="Times New Roman" w:eastAsia="Times New Roman" w:hAnsi="Times New Roman"/>
          <w:sz w:val="17"/>
          <w:szCs w:val="17"/>
          <w:color w:val="auto"/>
        </w:rPr>
        <w:t>. The amendments in this update are intended to improve reportable segment disclosure requirements, primarily through enhanced disclosures about significant segment expenses. In addition to the current requirements, the amendments specify additional information be provided about the chief operating decision maker ("CODM") as well as disaggregated expense categories, to the extent that the CODM utilizes such data in deciding how to allocate resources. The amendments in this update do not affect the recognition, measurement, or financial statement presentation of expenses, and will be effective for Wabtec's annual reporting periods beginning January 1, 2024 and interim reporting periods beginning January 1, 2025. The amendments will require increased interim and annual disclosures on current and comparable reporting periods presented in annual and interim company filings. The Company is assessing the extent of the impact of the amendments on its future filings.</w:t>
      </w:r>
    </w:p>
    <w:p>
      <w:pPr>
        <w:spacing w:after="0" w:line="68" w:lineRule="exact"/>
        <w:rPr>
          <w:sz w:val="20"/>
          <w:szCs w:val="20"/>
          <w:color w:val="auto"/>
        </w:rPr>
      </w:pPr>
    </w:p>
    <w:p>
      <w:pPr>
        <w:ind w:right="40" w:firstLine="464"/>
        <w:spacing w:after="0" w:line="259" w:lineRule="auto"/>
        <w:rPr>
          <w:sz w:val="20"/>
          <w:szCs w:val="20"/>
          <w:color w:val="auto"/>
        </w:rPr>
      </w:pPr>
      <w:r>
        <w:rPr>
          <w:rFonts w:ascii="Times New Roman" w:cs="Times New Roman" w:eastAsia="Times New Roman" w:hAnsi="Times New Roman"/>
          <w:sz w:val="17"/>
          <w:szCs w:val="17"/>
          <w:color w:val="auto"/>
        </w:rPr>
        <w:t xml:space="preserve">In December 2023, the FASB issued ASU 2023-09, </w:t>
      </w:r>
      <w:r>
        <w:rPr>
          <w:rFonts w:ascii="Times New Roman" w:cs="Times New Roman" w:eastAsia="Times New Roman" w:hAnsi="Times New Roman"/>
          <w:sz w:val="17"/>
          <w:szCs w:val="17"/>
          <w:i w:val="1"/>
          <w:iCs w:val="1"/>
          <w:color w:val="auto"/>
        </w:rPr>
        <w:t>Income Taxes (Topic 740): Improvements to Income Tax Disclosures</w:t>
      </w:r>
      <w:r>
        <w:rPr>
          <w:rFonts w:ascii="Times New Roman" w:cs="Times New Roman" w:eastAsia="Times New Roman" w:hAnsi="Times New Roman"/>
          <w:sz w:val="17"/>
          <w:szCs w:val="17"/>
          <w:color w:val="auto"/>
        </w:rPr>
        <w:t>. The amendments in this update require entities to disclose on an annual basis specific categories within the income tax rate reconciliation and provide additional information for reconciling items that meet a quantitative threshold. The amendments in this update also require enhanced disaggregation of disclosures about income taxes paid and income tax expense, among other changes. The amendments in this update do not affect the recognition, measurement, or financial statement presentation of income taxes and will be effective for Wabtec's annual reporting periods beginning January 1, 2025. The amendments will require increased annual disclosures on current and comparable reporting periods presented in annual and interim company filings. The Company is assessing the extent of the impact of the amendments on its future filings.</w:t>
      </w:r>
    </w:p>
    <w:p>
      <w:pPr>
        <w:spacing w:after="0" w:line="68" w:lineRule="exact"/>
        <w:rPr>
          <w:sz w:val="20"/>
          <w:szCs w:val="20"/>
          <w:color w:val="auto"/>
        </w:rPr>
      </w:pPr>
    </w:p>
    <w:p>
      <w:pPr>
        <w:ind w:right="4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Accumulated Other Comprehensive Loss </w:t>
      </w:r>
      <w:r>
        <w:rPr>
          <w:rFonts w:ascii="Times New Roman" w:cs="Times New Roman" w:eastAsia="Times New Roman" w:hAnsi="Times New Roman"/>
          <w:sz w:val="17"/>
          <w:szCs w:val="17"/>
          <w:color w:val="auto"/>
        </w:rPr>
        <w:t>Comprehensive (loss) income comprises both Net income and Other comprehensive (loss) income resulting from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change in equity from transactions and other events and circumstances from non-owner sources.</w:t>
      </w:r>
    </w:p>
    <w:p>
      <w:pPr>
        <w:spacing w:after="0" w:line="43" w:lineRule="exact"/>
        <w:rPr>
          <w:sz w:val="20"/>
          <w:szCs w:val="20"/>
          <w:color w:val="auto"/>
        </w:rPr>
      </w:pPr>
    </w:p>
    <w:p>
      <w:pPr>
        <w:ind w:right="120" w:firstLine="464"/>
        <w:spacing w:after="0" w:line="272" w:lineRule="auto"/>
        <w:rPr>
          <w:sz w:val="20"/>
          <w:szCs w:val="20"/>
          <w:color w:val="auto"/>
        </w:rPr>
      </w:pPr>
      <w:r>
        <w:rPr>
          <w:rFonts w:ascii="Times New Roman" w:cs="Times New Roman" w:eastAsia="Times New Roman" w:hAnsi="Times New Roman"/>
          <w:sz w:val="17"/>
          <w:szCs w:val="17"/>
          <w:color w:val="auto"/>
        </w:rPr>
        <w:t>The changes in Accumulated other comprehensive loss by component, including any tax impacts, for the three months ended March 31, 2024 and 2023 are as follows: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4"/>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w w:val="96"/>
              </w:rPr>
              <w:t>Foreign currency</w:t>
            </w:r>
          </w:p>
        </w:tc>
        <w:tc>
          <w:tcPr>
            <w:tcW w:w="160" w:type="dxa"/>
            <w:vAlign w:val="bottom"/>
          </w:tcPr>
          <w:p>
            <w:pPr>
              <w:spacing w:after="0"/>
              <w:rPr>
                <w:sz w:val="12"/>
                <w:szCs w:val="12"/>
                <w:color w:val="auto"/>
              </w:rPr>
            </w:pPr>
          </w:p>
        </w:tc>
        <w:tc>
          <w:tcPr>
            <w:tcW w:w="158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Derivative contracts</w:t>
            </w:r>
          </w:p>
        </w:tc>
        <w:tc>
          <w:tcPr>
            <w:tcW w:w="1760" w:type="dxa"/>
            <w:vAlign w:val="bottom"/>
            <w:gridSpan w:val="5"/>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Pension and postretirement</w:t>
            </w:r>
          </w:p>
        </w:tc>
        <w:tc>
          <w:tcPr>
            <w:tcW w:w="200" w:type="dxa"/>
            <w:vAlign w:val="bottom"/>
          </w:tcPr>
          <w:p>
            <w:pPr>
              <w:spacing w:after="0"/>
              <w:rPr>
                <w:sz w:val="12"/>
                <w:szCs w:val="12"/>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translation</w:t>
            </w:r>
          </w:p>
        </w:tc>
        <w:tc>
          <w:tcPr>
            <w:tcW w:w="160" w:type="dxa"/>
            <w:vAlign w:val="bottom"/>
          </w:tcPr>
          <w:p>
            <w:pPr>
              <w:spacing w:after="0"/>
              <w:rPr>
                <w:sz w:val="16"/>
                <w:szCs w:val="16"/>
                <w:color w:val="auto"/>
              </w:rPr>
            </w:pPr>
          </w:p>
        </w:tc>
        <w:tc>
          <w:tcPr>
            <w:tcW w:w="158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3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8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w:t>
            </w:r>
          </w:p>
        </w:tc>
        <w:tc>
          <w:tcPr>
            <w:tcW w:w="0" w:type="dxa"/>
            <w:vAlign w:val="bottom"/>
          </w:tcPr>
          <w:p>
            <w:pPr>
              <w:spacing w:after="0"/>
              <w:rPr>
                <w:sz w:val="1"/>
                <w:szCs w:val="1"/>
                <w:color w:val="auto"/>
              </w:rPr>
            </w:pPr>
          </w:p>
        </w:tc>
      </w:tr>
      <w:tr>
        <w:trPr>
          <w:trHeight w:val="212"/>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Other comprehensive (loss) income before reclassifications</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168"/>
        </w:trPr>
        <w:tc>
          <w:tcPr>
            <w:tcW w:w="4300" w:type="dxa"/>
            <w:vAlign w:val="bottom"/>
            <w:gridSpan w:val="3"/>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Amounts reclassified from Accumulated other comprehensive</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2"/>
        </w:trPr>
        <w:tc>
          <w:tcPr>
            <w:tcW w:w="43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Other comprehensive (loss) income, net</w:t>
            </w:r>
          </w:p>
        </w:tc>
        <w:tc>
          <w:tcPr>
            <w:tcW w:w="2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2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37"/>
        </w:trPr>
        <w:tc>
          <w:tcPr>
            <w:tcW w:w="43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March 31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right="320" w:firstLine="464"/>
        <w:spacing w:after="0" w:line="287" w:lineRule="auto"/>
        <w:rPr>
          <w:sz w:val="20"/>
          <w:szCs w:val="20"/>
          <w:color w:val="auto"/>
        </w:rPr>
      </w:pPr>
      <w:r>
        <w:rPr>
          <w:rFonts w:ascii="Times New Roman" w:cs="Times New Roman" w:eastAsia="Times New Roman" w:hAnsi="Times New Roman"/>
          <w:sz w:val="17"/>
          <w:szCs w:val="17"/>
          <w:color w:val="auto"/>
        </w:rPr>
        <w:t>Amounts reclassified from Accumulated other comprehensive loss are recognized in "Other income, net" with the tax impact recognized in "Income tax expense" on the Condensed Consolidated Statements of Income.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0" w:name="page11"/>
    <w:bookmarkEnd w:id="10"/>
    <w:p>
      <w:pPr>
        <w:ind w:right="20" w:firstLine="464"/>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Supply Chain Financing Program </w:t>
      </w:r>
      <w:r>
        <w:rPr>
          <w:rFonts w:ascii="Times New Roman" w:cs="Times New Roman" w:eastAsia="Times New Roman" w:hAnsi="Times New Roman"/>
          <w:sz w:val="17"/>
          <w:szCs w:val="17"/>
          <w:color w:val="auto"/>
        </w:rPr>
        <w:t>The Company has entered into supply chain financing arrangements with third-party financial institutions to provide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vendors with enhanced payment options while providing the Company with added working capital flexibility. The Company does not provide any guarantees under these arrangements, does not have an economic interest in our supplier's voluntary participation, does not receive an economic benefit from the financial institutions, and no assets are pledged under the arrangements. The arrangements do not change the payable terms negotiated by the Company and our vendors, which range between net 45 and net 180 days, and does not result in a change in the classification of amounts due as Accounts payable in the Condensed Consolidated Balance Sheets. Suppliers utilized the program to accelerate receipt of payment from these financial institutions for $317 million and $305 million of the Company's outstanding Accounts payable as of March 31, 2024 and December 31, 2023, respectively. The supplier invoices included under the program require payment in full to the financial institutions consistent with the Company’s normal terms and conditions as agreed upon with the vendor.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ACQUISITIONS</w:t>
      </w:r>
    </w:p>
    <w:p>
      <w:pPr>
        <w:spacing w:after="0" w:line="118"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On December 22, 2023, the Company purchased the remaining ownership shares of Lokomotiv Kurastyru Zauyty ("LKZ"), a locomotive manufacturing and assembly company located in Kazakhstan, at which time it became a wholly owned subsidiary of the Company. Prior to this purchase, Wabtec owned 50% of LKZ as a joint venture partner and accounted for its ownership interest as an equity method investment. Total purchase price for the remaining 50% interest was</w:t>
      </w:r>
    </w:p>
    <w:p>
      <w:pPr>
        <w:ind w:right="220"/>
        <w:spacing w:after="0" w:line="259" w:lineRule="auto"/>
        <w:rPr>
          <w:sz w:val="20"/>
          <w:szCs w:val="20"/>
          <w:color w:val="auto"/>
        </w:rPr>
      </w:pPr>
      <w:r>
        <w:rPr>
          <w:rFonts w:ascii="Times New Roman" w:cs="Times New Roman" w:eastAsia="Times New Roman" w:hAnsi="Times New Roman"/>
          <w:sz w:val="17"/>
          <w:szCs w:val="17"/>
          <w:color w:val="auto"/>
        </w:rPr>
        <w:t>$111 million. Upon acquisition, Wabtec's previously held equity interest balance was remeasured to fair value and the Company ceased accounting for the investment using the equity method and recognized 100% of LKZ's identifiable assets and liabilities. LKZ's results of operations and cash flows have been fully consolidated subsequent to the acquisition date.</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fair value of 100% of the LKZ assets acquired and liabilities assumed: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9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9"/>
        </w:trPr>
        <w:tc>
          <w:tcPr>
            <w:tcW w:w="9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 acquired</w:t>
            </w: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9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6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19"/>
        </w:trPr>
        <w:tc>
          <w:tcPr>
            <w:tcW w:w="20" w:type="dxa"/>
            <w:vAlign w:val="bottom"/>
            <w:shd w:val="clear" w:color="auto" w:fill="CCEEFF"/>
          </w:tcPr>
          <w:p>
            <w:pPr>
              <w:spacing w:after="0"/>
              <w:rPr>
                <w:sz w:val="19"/>
                <w:szCs w:val="19"/>
                <w:color w:val="auto"/>
              </w:rPr>
            </w:pPr>
          </w:p>
        </w:tc>
        <w:tc>
          <w:tcPr>
            <w:tcW w:w="9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Accounts receivable</w:t>
            </w: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9"/>
        </w:trPr>
        <w:tc>
          <w:tcPr>
            <w:tcW w:w="20" w:type="dxa"/>
            <w:vAlign w:val="bottom"/>
          </w:tcPr>
          <w:p>
            <w:pPr>
              <w:spacing w:after="0"/>
              <w:rPr>
                <w:sz w:val="19"/>
                <w:szCs w:val="19"/>
                <w:color w:val="auto"/>
              </w:rPr>
            </w:pPr>
          </w:p>
        </w:tc>
        <w:tc>
          <w:tcPr>
            <w:tcW w:w="9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Inventory</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219"/>
        </w:trPr>
        <w:tc>
          <w:tcPr>
            <w:tcW w:w="20" w:type="dxa"/>
            <w:vAlign w:val="bottom"/>
            <w:shd w:val="clear" w:color="auto" w:fill="CCEEFF"/>
          </w:tcPr>
          <w:p>
            <w:pPr>
              <w:spacing w:after="0"/>
              <w:rPr>
                <w:sz w:val="19"/>
                <w:szCs w:val="19"/>
                <w:color w:val="auto"/>
              </w:rPr>
            </w:pPr>
          </w:p>
        </w:tc>
        <w:tc>
          <w:tcPr>
            <w:tcW w:w="9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19"/>
        </w:trPr>
        <w:tc>
          <w:tcPr>
            <w:tcW w:w="20" w:type="dxa"/>
            <w:vAlign w:val="bottom"/>
          </w:tcPr>
          <w:p>
            <w:pPr>
              <w:spacing w:after="0"/>
              <w:rPr>
                <w:sz w:val="19"/>
                <w:szCs w:val="19"/>
                <w:color w:val="auto"/>
              </w:rPr>
            </w:pPr>
          </w:p>
        </w:tc>
        <w:tc>
          <w:tcPr>
            <w:tcW w:w="9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Goodwill</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r>
      <w:tr>
        <w:trPr>
          <w:trHeight w:val="219"/>
        </w:trPr>
        <w:tc>
          <w:tcPr>
            <w:tcW w:w="20" w:type="dxa"/>
            <w:vAlign w:val="bottom"/>
            <w:shd w:val="clear" w:color="auto" w:fill="CCEEFF"/>
          </w:tcPr>
          <w:p>
            <w:pPr>
              <w:spacing w:after="0"/>
              <w:rPr>
                <w:sz w:val="19"/>
                <w:szCs w:val="19"/>
                <w:color w:val="auto"/>
              </w:rPr>
            </w:pPr>
          </w:p>
        </w:tc>
        <w:tc>
          <w:tcPr>
            <w:tcW w:w="9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noncurrent assets</w:t>
            </w:r>
          </w:p>
        </w:tc>
        <w:tc>
          <w:tcPr>
            <w:tcW w:w="6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2"/>
        </w:trPr>
        <w:tc>
          <w:tcPr>
            <w:tcW w:w="20" w:type="dxa"/>
            <w:vAlign w:val="bottom"/>
          </w:tcPr>
          <w:p>
            <w:pPr>
              <w:spacing w:after="0"/>
              <w:rPr>
                <w:sz w:val="18"/>
                <w:szCs w:val="18"/>
                <w:color w:val="auto"/>
              </w:rPr>
            </w:pPr>
          </w:p>
        </w:tc>
        <w:tc>
          <w:tcPr>
            <w:tcW w:w="98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Total assets acquired</w:t>
            </w: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w:t>
            </w:r>
          </w:p>
        </w:tc>
      </w:tr>
      <w:tr>
        <w:trPr>
          <w:trHeight w:val="219"/>
        </w:trPr>
        <w:tc>
          <w:tcPr>
            <w:tcW w:w="9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assumed</w:t>
            </w: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9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Current liabilities</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19"/>
        </w:trPr>
        <w:tc>
          <w:tcPr>
            <w:tcW w:w="20" w:type="dxa"/>
            <w:vAlign w:val="bottom"/>
            <w:shd w:val="clear" w:color="auto" w:fill="CCEEFF"/>
          </w:tcPr>
          <w:p>
            <w:pPr>
              <w:spacing w:after="0"/>
              <w:rPr>
                <w:sz w:val="19"/>
                <w:szCs w:val="19"/>
                <w:color w:val="auto"/>
              </w:rPr>
            </w:pPr>
          </w:p>
        </w:tc>
        <w:tc>
          <w:tcPr>
            <w:tcW w:w="9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Noncurrent liabilities</w:t>
            </w:r>
          </w:p>
        </w:tc>
        <w:tc>
          <w:tcPr>
            <w:tcW w:w="6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2"/>
        </w:trPr>
        <w:tc>
          <w:tcPr>
            <w:tcW w:w="20" w:type="dxa"/>
            <w:vAlign w:val="bottom"/>
            <w:tcBorders>
              <w:bottom w:val="single" w:sz="8" w:color="CCEEFF"/>
            </w:tcBorders>
          </w:tcPr>
          <w:p>
            <w:pPr>
              <w:spacing w:after="0"/>
              <w:rPr>
                <w:sz w:val="18"/>
                <w:szCs w:val="18"/>
                <w:color w:val="auto"/>
              </w:rPr>
            </w:pPr>
          </w:p>
        </w:tc>
        <w:tc>
          <w:tcPr>
            <w:tcW w:w="98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Total liabilities assumed</w:t>
            </w:r>
          </w:p>
        </w:tc>
        <w:tc>
          <w:tcPr>
            <w:tcW w:w="6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980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Net assets acquired</w:t>
            </w: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9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240" w:firstLine="464"/>
        <w:spacing w:after="0" w:line="270" w:lineRule="auto"/>
        <w:rPr>
          <w:sz w:val="20"/>
          <w:szCs w:val="20"/>
          <w:color w:val="auto"/>
        </w:rPr>
      </w:pPr>
      <w:r>
        <w:rPr>
          <w:rFonts w:ascii="Times New Roman" w:cs="Times New Roman" w:eastAsia="Times New Roman" w:hAnsi="Times New Roman"/>
          <w:sz w:val="17"/>
          <w:szCs w:val="17"/>
          <w:color w:val="auto"/>
        </w:rPr>
        <w:t>The fair values of the assets acquired and liabilities assumed were determined using the income, cost and market approaches. These estimates are preliminary in nature and subject to adjustments, which could be material as the Company has not completed its valuation of acquired assets and liabilities. Any necessary adjustments will be finalized within one year from the date of acquisition.</w:t>
      </w:r>
    </w:p>
    <w:p>
      <w:pPr>
        <w:spacing w:after="0" w:line="62" w:lineRule="exact"/>
        <w:rPr>
          <w:sz w:val="20"/>
          <w:szCs w:val="20"/>
          <w:color w:val="auto"/>
        </w:rPr>
      </w:pPr>
    </w:p>
    <w:p>
      <w:pPr>
        <w:ind w:firstLine="464"/>
        <w:spacing w:after="0" w:line="261" w:lineRule="auto"/>
        <w:rPr>
          <w:sz w:val="20"/>
          <w:szCs w:val="20"/>
          <w:color w:val="auto"/>
        </w:rPr>
      </w:pPr>
      <w:r>
        <w:rPr>
          <w:rFonts w:ascii="Times New Roman" w:cs="Times New Roman" w:eastAsia="Times New Roman" w:hAnsi="Times New Roman"/>
          <w:sz w:val="17"/>
          <w:szCs w:val="17"/>
          <w:color w:val="auto"/>
        </w:rPr>
        <w:t>Goodwill was calculated as the difference between the acquisition date fair value of the consideration transferred and the fair value of the net assets acquired and represents the assembled workforce and the future economic benefits of expanding our global operations expected to be achieved as a result of the acquisition. The purchased goodwill is not expected to be deductible for tax purposes. The results of this business since the date of acquisition are reported within the Equipment product line of the Freight Segment. The pro forma impact on Wabtec’s sales and results of operations, including the pro forma effect of events that are directly attributable to the acquisition, was not significant.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1" w:name="page12"/>
    <w:bookmarkEnd w:id="11"/>
    <w:p>
      <w:pPr>
        <w:ind w:right="660" w:firstLine="464"/>
        <w:spacing w:after="0" w:line="287" w:lineRule="auto"/>
        <w:rPr>
          <w:sz w:val="20"/>
          <w:szCs w:val="20"/>
          <w:color w:val="auto"/>
        </w:rPr>
      </w:pPr>
      <w:r>
        <w:rPr>
          <w:rFonts w:ascii="Times New Roman" w:cs="Times New Roman" w:eastAsia="Times New Roman" w:hAnsi="Times New Roman"/>
          <w:sz w:val="17"/>
          <w:szCs w:val="17"/>
          <w:color w:val="auto"/>
        </w:rPr>
        <w:t>During the second quarter of 2023, the Company acquired L&amp;M Radiator, Inc., a leading manufacturer of heavy-duty equipment radiators and heat exchangers for the mining sector, for a purchase price of approximately $245 million.</w:t>
      </w:r>
    </w:p>
    <w:p>
      <w:pPr>
        <w:spacing w:after="0" w:line="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fair value of the L&amp;M Radiator, Inc. assets acquired and liabilities assumed: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9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9"/>
        </w:trPr>
        <w:tc>
          <w:tcPr>
            <w:tcW w:w="9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 acquired</w:t>
            </w: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9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6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19"/>
        </w:trPr>
        <w:tc>
          <w:tcPr>
            <w:tcW w:w="20" w:type="dxa"/>
            <w:vAlign w:val="bottom"/>
            <w:shd w:val="clear" w:color="auto" w:fill="CCEEFF"/>
          </w:tcPr>
          <w:p>
            <w:pPr>
              <w:spacing w:after="0"/>
              <w:rPr>
                <w:sz w:val="19"/>
                <w:szCs w:val="19"/>
                <w:color w:val="auto"/>
              </w:rPr>
            </w:pPr>
          </w:p>
        </w:tc>
        <w:tc>
          <w:tcPr>
            <w:tcW w:w="9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Accounts receivable</w:t>
            </w: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19"/>
        </w:trPr>
        <w:tc>
          <w:tcPr>
            <w:tcW w:w="20" w:type="dxa"/>
            <w:vAlign w:val="bottom"/>
          </w:tcPr>
          <w:p>
            <w:pPr>
              <w:spacing w:after="0"/>
              <w:rPr>
                <w:sz w:val="19"/>
                <w:szCs w:val="19"/>
                <w:color w:val="auto"/>
              </w:rPr>
            </w:pPr>
          </w:p>
        </w:tc>
        <w:tc>
          <w:tcPr>
            <w:tcW w:w="9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Inventory</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19"/>
        </w:trPr>
        <w:tc>
          <w:tcPr>
            <w:tcW w:w="20" w:type="dxa"/>
            <w:vAlign w:val="bottom"/>
            <w:shd w:val="clear" w:color="auto" w:fill="CCEEFF"/>
          </w:tcPr>
          <w:p>
            <w:pPr>
              <w:spacing w:after="0"/>
              <w:rPr>
                <w:sz w:val="19"/>
                <w:szCs w:val="19"/>
                <w:color w:val="auto"/>
              </w:rPr>
            </w:pPr>
          </w:p>
        </w:tc>
        <w:tc>
          <w:tcPr>
            <w:tcW w:w="9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current assets</w:t>
            </w: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9"/>
        </w:trPr>
        <w:tc>
          <w:tcPr>
            <w:tcW w:w="20" w:type="dxa"/>
            <w:vAlign w:val="bottom"/>
          </w:tcPr>
          <w:p>
            <w:pPr>
              <w:spacing w:after="0"/>
              <w:rPr>
                <w:sz w:val="19"/>
                <w:szCs w:val="19"/>
                <w:color w:val="auto"/>
              </w:rPr>
            </w:pPr>
          </w:p>
        </w:tc>
        <w:tc>
          <w:tcPr>
            <w:tcW w:w="9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19"/>
        </w:trPr>
        <w:tc>
          <w:tcPr>
            <w:tcW w:w="20" w:type="dxa"/>
            <w:vAlign w:val="bottom"/>
            <w:shd w:val="clear" w:color="auto" w:fill="CCEEFF"/>
          </w:tcPr>
          <w:p>
            <w:pPr>
              <w:spacing w:after="0"/>
              <w:rPr>
                <w:sz w:val="19"/>
                <w:szCs w:val="19"/>
                <w:color w:val="auto"/>
              </w:rPr>
            </w:pPr>
          </w:p>
        </w:tc>
        <w:tc>
          <w:tcPr>
            <w:tcW w:w="9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Goodwill</w:t>
            </w: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r>
      <w:tr>
        <w:trPr>
          <w:trHeight w:val="219"/>
        </w:trPr>
        <w:tc>
          <w:tcPr>
            <w:tcW w:w="20" w:type="dxa"/>
            <w:vAlign w:val="bottom"/>
          </w:tcPr>
          <w:p>
            <w:pPr>
              <w:spacing w:after="0"/>
              <w:rPr>
                <w:sz w:val="19"/>
                <w:szCs w:val="19"/>
                <w:color w:val="auto"/>
              </w:rPr>
            </w:pPr>
          </w:p>
        </w:tc>
        <w:tc>
          <w:tcPr>
            <w:tcW w:w="9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Other intangible assets</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r>
      <w:tr>
        <w:trPr>
          <w:trHeight w:val="219"/>
        </w:trPr>
        <w:tc>
          <w:tcPr>
            <w:tcW w:w="20" w:type="dxa"/>
            <w:vAlign w:val="bottom"/>
            <w:shd w:val="clear" w:color="auto" w:fill="CCEEFF"/>
          </w:tcPr>
          <w:p>
            <w:pPr>
              <w:spacing w:after="0"/>
              <w:rPr>
                <w:sz w:val="19"/>
                <w:szCs w:val="19"/>
                <w:color w:val="auto"/>
              </w:rPr>
            </w:pPr>
          </w:p>
        </w:tc>
        <w:tc>
          <w:tcPr>
            <w:tcW w:w="9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noncurrent assets</w:t>
            </w:r>
          </w:p>
        </w:tc>
        <w:tc>
          <w:tcPr>
            <w:tcW w:w="6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2"/>
        </w:trPr>
        <w:tc>
          <w:tcPr>
            <w:tcW w:w="20" w:type="dxa"/>
            <w:vAlign w:val="bottom"/>
          </w:tcPr>
          <w:p>
            <w:pPr>
              <w:spacing w:after="0"/>
              <w:rPr>
                <w:sz w:val="18"/>
                <w:szCs w:val="18"/>
                <w:color w:val="auto"/>
              </w:rPr>
            </w:pPr>
          </w:p>
        </w:tc>
        <w:tc>
          <w:tcPr>
            <w:tcW w:w="98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Total assets acquired</w:t>
            </w: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w:t>
            </w:r>
          </w:p>
        </w:tc>
      </w:tr>
      <w:tr>
        <w:trPr>
          <w:trHeight w:val="219"/>
        </w:trPr>
        <w:tc>
          <w:tcPr>
            <w:tcW w:w="9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assumed</w:t>
            </w: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9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Current liabilities</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19"/>
        </w:trPr>
        <w:tc>
          <w:tcPr>
            <w:tcW w:w="20" w:type="dxa"/>
            <w:vAlign w:val="bottom"/>
            <w:shd w:val="clear" w:color="auto" w:fill="CCEEFF"/>
          </w:tcPr>
          <w:p>
            <w:pPr>
              <w:spacing w:after="0"/>
              <w:rPr>
                <w:sz w:val="19"/>
                <w:szCs w:val="19"/>
                <w:color w:val="auto"/>
              </w:rPr>
            </w:pPr>
          </w:p>
        </w:tc>
        <w:tc>
          <w:tcPr>
            <w:tcW w:w="9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Noncurrent liabilities</w:t>
            </w:r>
          </w:p>
        </w:tc>
        <w:tc>
          <w:tcPr>
            <w:tcW w:w="6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12"/>
        </w:trPr>
        <w:tc>
          <w:tcPr>
            <w:tcW w:w="20" w:type="dxa"/>
            <w:vAlign w:val="bottom"/>
            <w:tcBorders>
              <w:bottom w:val="single" w:sz="8" w:color="CCEEFF"/>
            </w:tcBorders>
          </w:tcPr>
          <w:p>
            <w:pPr>
              <w:spacing w:after="0"/>
              <w:rPr>
                <w:sz w:val="18"/>
                <w:szCs w:val="18"/>
                <w:color w:val="auto"/>
              </w:rPr>
            </w:pPr>
          </w:p>
        </w:tc>
        <w:tc>
          <w:tcPr>
            <w:tcW w:w="98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Total liabilities assumed</w:t>
            </w:r>
          </w:p>
        </w:tc>
        <w:tc>
          <w:tcPr>
            <w:tcW w:w="6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980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Net assets acquired</w:t>
            </w: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9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60" w:firstLine="464"/>
        <w:spacing w:after="0" w:line="260" w:lineRule="auto"/>
        <w:rPr>
          <w:sz w:val="20"/>
          <w:szCs w:val="20"/>
          <w:color w:val="auto"/>
        </w:rPr>
      </w:pPr>
      <w:r>
        <w:rPr>
          <w:rFonts w:ascii="Times New Roman" w:cs="Times New Roman" w:eastAsia="Times New Roman" w:hAnsi="Times New Roman"/>
          <w:sz w:val="17"/>
          <w:szCs w:val="17"/>
          <w:color w:val="auto"/>
        </w:rPr>
        <w:t>The fair values of the assets acquired and liabilities assumed were determined using the income, cost and market approaches. Discounted cash flow models were used to estimate the fair values of acquired intangibles. The fair value measurements were primarily based on significant inputs that are not observable in the market and are considered Level 3 in the fair value hierarchy. Intangible assets acquired include customer relationships and acquired technology that are subject to amortization, and trade names that were assigned an indefinite life and are not subject to amortization. Contingent liabilities assumed as part of the transaction are preliminary and subject to change. These estimates are preliminary in nature and subject to adjustments, which could be material as the Company has not completed its valuation of acquired assets and liabilities. Any necessary adjustments will be finalized within one year from the date of acquisition.</w:t>
      </w:r>
    </w:p>
    <w:p>
      <w:pPr>
        <w:spacing w:after="0" w:line="70" w:lineRule="exact"/>
        <w:rPr>
          <w:sz w:val="20"/>
          <w:szCs w:val="20"/>
          <w:color w:val="auto"/>
        </w:rPr>
      </w:pPr>
    </w:p>
    <w:p>
      <w:pPr>
        <w:ind w:right="120" w:firstLine="464"/>
        <w:spacing w:after="0" w:line="261" w:lineRule="auto"/>
        <w:rPr>
          <w:sz w:val="20"/>
          <w:szCs w:val="20"/>
          <w:color w:val="auto"/>
        </w:rPr>
      </w:pPr>
      <w:r>
        <w:rPr>
          <w:rFonts w:ascii="Times New Roman" w:cs="Times New Roman" w:eastAsia="Times New Roman" w:hAnsi="Times New Roman"/>
          <w:sz w:val="17"/>
          <w:szCs w:val="17"/>
          <w:color w:val="auto"/>
        </w:rPr>
        <w:t>Goodwill was calculated as the difference between the acquisition date fair value of the consideration transferred and the fair value of the net assets acquired, and represents the assembled workforce and the future economic benefits, including synergies, that are expected to be achieved as a result of the acquisition. The purchased goodwill is not expected to be deductible for tax purposes. The results of this business since the date of acquisition are reported within the Components product line of the Freight Segment. The pro forma impact on Wabtec’s sales and results of operations, including the pro forma effect of events that are directly attributable to the acquisition, was not significant.</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INVENTORIES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components of inventory, net of reserves, were: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100" w:type="dxa"/>
            <w:vAlign w:val="bottom"/>
            <w:gridSpan w:val="3"/>
            <w:vMerge w:val="continue"/>
          </w:tcPr>
          <w:p>
            <w:pPr>
              <w:spacing w:after="0"/>
              <w:rPr>
                <w:sz w:val="12"/>
                <w:szCs w:val="12"/>
                <w:color w:val="auto"/>
              </w:rPr>
            </w:pPr>
          </w:p>
        </w:tc>
        <w:tc>
          <w:tcPr>
            <w:tcW w:w="1060" w:type="dxa"/>
            <w:vAlign w:val="bottom"/>
          </w:tcPr>
          <w:p>
            <w:pPr>
              <w:jc w:val="right"/>
              <w:ind w:right="8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106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1,018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1,062</w:t>
            </w:r>
          </w:p>
        </w:tc>
        <w:tc>
          <w:tcPr>
            <w:tcW w:w="0" w:type="dxa"/>
            <w:vAlign w:val="bottom"/>
          </w:tcPr>
          <w:p>
            <w:pPr>
              <w:spacing w:after="0"/>
              <w:rPr>
                <w:sz w:val="1"/>
                <w:szCs w:val="1"/>
                <w:color w:val="auto"/>
              </w:rPr>
            </w:pP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Work-in-progress</w:t>
            </w: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0" w:type="dxa"/>
            <w:vAlign w:val="bottom"/>
          </w:tcPr>
          <w:p>
            <w:pPr>
              <w:spacing w:after="0"/>
              <w:rPr>
                <w:sz w:val="1"/>
                <w:szCs w:val="1"/>
                <w:color w:val="auto"/>
              </w:rPr>
            </w:pP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10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8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Total inventories</w:t>
            </w:r>
          </w:p>
        </w:tc>
        <w:tc>
          <w:tcPr>
            <w:tcW w:w="1060" w:type="dxa"/>
            <w:vAlign w:val="bottom"/>
            <w:tcBorders>
              <w:bottom w:val="single" w:sz="8" w:color="auto"/>
            </w:tcBorders>
          </w:tcPr>
          <w:p>
            <w:pPr>
              <w:jc w:val="right"/>
              <w:ind w:right="88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2,356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color w:val="auto"/>
        </w:rPr>
        <w:t>5. GOODWILL AND INTANGIBLE ASSETS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change in the carrying amount of goodwill by segment is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13"/>
                <w:szCs w:val="13"/>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Freight Segment</w:t>
            </w:r>
          </w:p>
        </w:tc>
        <w:tc>
          <w:tcPr>
            <w:tcW w:w="200" w:type="dxa"/>
            <w:vAlign w:val="bottom"/>
          </w:tcPr>
          <w:p>
            <w:pPr>
              <w:spacing w:after="0"/>
              <w:rPr>
                <w:sz w:val="13"/>
                <w:szCs w:val="13"/>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Transit Segment</w:t>
            </w:r>
          </w:p>
        </w:tc>
        <w:tc>
          <w:tcPr>
            <w:tcW w:w="360" w:type="dxa"/>
            <w:vAlign w:val="bottom"/>
          </w:tcPr>
          <w:p>
            <w:pPr>
              <w:spacing w:after="0"/>
              <w:rPr>
                <w:sz w:val="13"/>
                <w:szCs w:val="13"/>
                <w:color w:val="auto"/>
              </w:rPr>
            </w:pPr>
          </w:p>
        </w:tc>
        <w:tc>
          <w:tcPr>
            <w:tcW w:w="1160" w:type="dxa"/>
            <w:vAlign w:val="bottom"/>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2"/>
        </w:trPr>
        <w:tc>
          <w:tcPr>
            <w:tcW w:w="6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2023</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8,780</w:t>
            </w:r>
          </w:p>
        </w:tc>
      </w:tr>
      <w:tr>
        <w:trPr>
          <w:trHeight w:val="219"/>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Additions/adjustments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9"/>
        </w:trPr>
        <w:tc>
          <w:tcPr>
            <w:tcW w:w="6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impact</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12"/>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Balance at March 31, 2024</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7,279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1,451</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8,730</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60" w:firstLine="464"/>
        <w:spacing w:after="0" w:line="270" w:lineRule="auto"/>
        <w:rPr>
          <w:sz w:val="20"/>
          <w:szCs w:val="20"/>
          <w:color w:val="auto"/>
        </w:rPr>
      </w:pPr>
      <w:r>
        <w:rPr>
          <w:rFonts w:ascii="Times New Roman" w:cs="Times New Roman" w:eastAsia="Times New Roman" w:hAnsi="Times New Roman"/>
          <w:sz w:val="17"/>
          <w:szCs w:val="17"/>
          <w:color w:val="auto"/>
        </w:rPr>
        <w:t>As of March 31, 2024 and December 31, 2023, the Company’s trade names had a net carrying amount of $600 million and $612 million, respectively. The Company believes these intangibles have indefinite lives, with the exception of the right to use the GE Transportation trade name, to which the Company had assigned a useful life of 5 years. As of March 31, 2024, the GE Transportation trade name has been fully amortized.</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Intangible assets of the Company, other than goodwill and trade names, consist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5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2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8"/>
              </w:rPr>
              <w:t>Gross Carrying</w:t>
            </w:r>
          </w:p>
        </w:tc>
        <w:tc>
          <w:tcPr>
            <w:tcW w:w="140" w:type="dxa"/>
            <w:vAlign w:val="bottom"/>
          </w:tcPr>
          <w:p>
            <w:pPr>
              <w:spacing w:after="0"/>
              <w:rPr>
                <w:sz w:val="10"/>
                <w:szCs w:val="10"/>
                <w:color w:val="auto"/>
              </w:rPr>
            </w:pPr>
          </w:p>
        </w:tc>
        <w:tc>
          <w:tcPr>
            <w:tcW w:w="1340" w:type="dxa"/>
            <w:vAlign w:val="bottom"/>
            <w:gridSpan w:val="2"/>
          </w:tcPr>
          <w:p>
            <w:pPr>
              <w:jc w:val="center"/>
              <w:ind w:right="240"/>
              <w:spacing w:after="0" w:line="125"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14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8"/>
              </w:rPr>
              <w:t>Gross Carrying</w:t>
            </w:r>
          </w:p>
        </w:tc>
        <w:tc>
          <w:tcPr>
            <w:tcW w:w="200" w:type="dxa"/>
            <w:vAlign w:val="bottom"/>
          </w:tcPr>
          <w:p>
            <w:pPr>
              <w:spacing w:after="0"/>
              <w:rPr>
                <w:sz w:val="10"/>
                <w:szCs w:val="10"/>
                <w:color w:val="auto"/>
              </w:rPr>
            </w:pPr>
          </w:p>
        </w:tc>
        <w:tc>
          <w:tcPr>
            <w:tcW w:w="1280" w:type="dxa"/>
            <w:vAlign w:val="bottom"/>
            <w:gridSpan w:val="2"/>
          </w:tcPr>
          <w:p>
            <w:pPr>
              <w:jc w:val="center"/>
              <w:ind w:right="300"/>
              <w:spacing w:after="0" w:line="125"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Net Carrying Amount</w:t>
            </w:r>
          </w:p>
        </w:tc>
        <w:tc>
          <w:tcPr>
            <w:tcW w:w="0" w:type="dxa"/>
            <w:vAlign w:val="bottom"/>
          </w:tcPr>
          <w:p>
            <w:pPr>
              <w:spacing w:after="0"/>
              <w:rPr>
                <w:sz w:val="1"/>
                <w:szCs w:val="1"/>
                <w:color w:val="auto"/>
              </w:rPr>
            </w:pPr>
          </w:p>
        </w:tc>
      </w:tr>
      <w:tr>
        <w:trPr>
          <w:trHeight w:val="142"/>
        </w:trPr>
        <w:tc>
          <w:tcPr>
            <w:tcW w:w="25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Amortization</w:t>
            </w:r>
          </w:p>
        </w:tc>
        <w:tc>
          <w:tcPr>
            <w:tcW w:w="14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00" w:type="dxa"/>
            <w:vAlign w:val="bottom"/>
          </w:tcPr>
          <w:p>
            <w:pPr>
              <w:spacing w:after="0"/>
              <w:rPr>
                <w:sz w:val="12"/>
                <w:szCs w:val="12"/>
                <w:color w:val="auto"/>
              </w:rPr>
            </w:pPr>
          </w:p>
        </w:tc>
        <w:tc>
          <w:tcPr>
            <w:tcW w:w="128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2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Backlog</w:t>
            </w: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1,428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(552)</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66"/>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876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1,431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(526)</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6"/>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905</w:t>
            </w:r>
          </w:p>
        </w:tc>
        <w:tc>
          <w:tcPr>
            <w:tcW w:w="0" w:type="dxa"/>
            <w:vAlign w:val="bottom"/>
          </w:tcPr>
          <w:p>
            <w:pPr>
              <w:spacing w:after="0"/>
              <w:rPr>
                <w:sz w:val="1"/>
                <w:szCs w:val="1"/>
                <w:color w:val="auto"/>
              </w:rPr>
            </w:pPr>
          </w:p>
        </w:tc>
      </w:tr>
      <w:tr>
        <w:trPr>
          <w:trHeight w:val="203"/>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Customer relationships</w:t>
            </w:r>
          </w:p>
        </w:tc>
        <w:tc>
          <w:tcPr>
            <w:tcW w:w="160" w:type="dxa"/>
            <w:vAlign w:val="bottom"/>
          </w:tcPr>
          <w:p>
            <w:pPr>
              <w:spacing w:after="0"/>
              <w:rPr>
                <w:sz w:val="17"/>
                <w:szCs w:val="17"/>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1,322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(444)</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878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1,333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(431)</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902</w:t>
            </w:r>
          </w:p>
        </w:tc>
        <w:tc>
          <w:tcPr>
            <w:tcW w:w="0" w:type="dxa"/>
            <w:vAlign w:val="bottom"/>
          </w:tcPr>
          <w:p>
            <w:pPr>
              <w:spacing w:after="0"/>
              <w:rPr>
                <w:sz w:val="1"/>
                <w:szCs w:val="1"/>
                <w:color w:val="auto"/>
              </w:rPr>
            </w:pPr>
          </w:p>
        </w:tc>
      </w:tr>
      <w:tr>
        <w:trPr>
          <w:trHeight w:val="206"/>
        </w:trPr>
        <w:tc>
          <w:tcPr>
            <w:tcW w:w="2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Acquired technology</w:t>
            </w: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1,287</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(526)</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761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1,283</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(497)</w:t>
            </w:r>
          </w:p>
        </w:tc>
        <w:tc>
          <w:tcPr>
            <w:tcW w:w="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786</w:t>
            </w:r>
          </w:p>
        </w:tc>
        <w:tc>
          <w:tcPr>
            <w:tcW w:w="0" w:type="dxa"/>
            <w:vAlign w:val="bottom"/>
          </w:tcPr>
          <w:p>
            <w:pPr>
              <w:spacing w:after="0"/>
              <w:rPr>
                <w:sz w:val="1"/>
                <w:szCs w:val="1"/>
                <w:color w:val="auto"/>
              </w:rPr>
            </w:pPr>
          </w:p>
        </w:tc>
      </w:tr>
      <w:tr>
        <w:trPr>
          <w:trHeight w:val="202"/>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4,037</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(1,522)</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2,515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4,047</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(1,454)</w:t>
            </w:r>
          </w:p>
        </w:tc>
        <w:tc>
          <w:tcPr>
            <w:tcW w:w="80" w:type="dxa"/>
            <w:vAlign w:val="bottom"/>
          </w:tcPr>
          <w:p>
            <w:pPr>
              <w:spacing w:after="0"/>
              <w:rPr>
                <w:sz w:val="17"/>
                <w:szCs w:val="17"/>
                <w:color w:val="auto"/>
              </w:rPr>
            </w:pPr>
          </w:p>
        </w:tc>
        <w:tc>
          <w:tcPr>
            <w:tcW w:w="54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right="260" w:firstLine="464"/>
        <w:spacing w:after="0" w:line="264" w:lineRule="auto"/>
        <w:rPr>
          <w:sz w:val="20"/>
          <w:szCs w:val="20"/>
          <w:color w:val="auto"/>
        </w:rPr>
      </w:pPr>
      <w:r>
        <w:rPr>
          <w:rFonts w:ascii="Times New Roman" w:cs="Times New Roman" w:eastAsia="Times New Roman" w:hAnsi="Times New Roman"/>
          <w:sz w:val="17"/>
          <w:szCs w:val="17"/>
          <w:color w:val="auto"/>
        </w:rPr>
        <w:t>At March 31, 2024 the weighted average remaining useful lives of backlog, customer relationships and acquired technology were 8 years, 15 years and 7 years, respectively. The backlog intangible asset primarily consists of in-place long-term service agreements acquired by the Company in conjunction with the acquisition of GE Transportation. Amortization expense for intangible assets was $74 million and $75 million for the three months ended March 31, 2024 and 2023, respectively.</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Amortization expense for the five succeeding years is estimated to be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8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900" w:type="dxa"/>
            <w:vAlign w:val="bottom"/>
          </w:tcPr>
          <w:p>
            <w:pPr>
              <w:spacing w:after="0"/>
              <w:rPr>
                <w:sz w:val="2"/>
                <w:szCs w:val="2"/>
                <w:color w:val="auto"/>
              </w:rPr>
            </w:pPr>
          </w:p>
        </w:tc>
        <w:tc>
          <w:tcPr>
            <w:tcW w:w="48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9"/>
        </w:trPr>
        <w:tc>
          <w:tcPr>
            <w:tcW w:w="5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2024</w:t>
            </w:r>
          </w:p>
        </w:tc>
        <w:tc>
          <w:tcPr>
            <w:tcW w:w="48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r>
      <w:tr>
        <w:trPr>
          <w:trHeight w:val="219"/>
        </w:trPr>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2025</w:t>
            </w:r>
          </w:p>
        </w:tc>
        <w:tc>
          <w:tcPr>
            <w:tcW w:w="4900" w:type="dxa"/>
            <w:vAlign w:val="bottom"/>
          </w:tcPr>
          <w:p>
            <w:pPr>
              <w:spacing w:after="0"/>
              <w:rPr>
                <w:sz w:val="19"/>
                <w:szCs w:val="19"/>
                <w:color w:val="auto"/>
              </w:rPr>
            </w:pPr>
          </w:p>
        </w:tc>
        <w:tc>
          <w:tcPr>
            <w:tcW w:w="48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w:t>
            </w:r>
          </w:p>
        </w:tc>
      </w:tr>
      <w:tr>
        <w:trPr>
          <w:trHeight w:val="219"/>
        </w:trPr>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2026</w:t>
            </w:r>
          </w:p>
        </w:tc>
        <w:tc>
          <w:tcPr>
            <w:tcW w:w="4900" w:type="dxa"/>
            <w:vAlign w:val="bottom"/>
            <w:shd w:val="clear" w:color="auto" w:fill="CCEEFF"/>
          </w:tcPr>
          <w:p>
            <w:pPr>
              <w:spacing w:after="0"/>
              <w:rPr>
                <w:sz w:val="19"/>
                <w:szCs w:val="19"/>
                <w:color w:val="auto"/>
              </w:rPr>
            </w:pPr>
          </w:p>
        </w:tc>
        <w:tc>
          <w:tcPr>
            <w:tcW w:w="48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w:t>
            </w:r>
          </w:p>
        </w:tc>
      </w:tr>
      <w:tr>
        <w:trPr>
          <w:trHeight w:val="219"/>
        </w:trPr>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2027</w:t>
            </w:r>
          </w:p>
        </w:tc>
        <w:tc>
          <w:tcPr>
            <w:tcW w:w="4900" w:type="dxa"/>
            <w:vAlign w:val="bottom"/>
          </w:tcPr>
          <w:p>
            <w:pPr>
              <w:spacing w:after="0"/>
              <w:rPr>
                <w:sz w:val="19"/>
                <w:szCs w:val="19"/>
                <w:color w:val="auto"/>
              </w:rPr>
            </w:pPr>
          </w:p>
        </w:tc>
        <w:tc>
          <w:tcPr>
            <w:tcW w:w="48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w:t>
            </w:r>
          </w:p>
        </w:tc>
      </w:tr>
      <w:tr>
        <w:trPr>
          <w:trHeight w:val="219"/>
        </w:trPr>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2028</w:t>
            </w:r>
          </w:p>
        </w:tc>
        <w:tc>
          <w:tcPr>
            <w:tcW w:w="4900" w:type="dxa"/>
            <w:vAlign w:val="bottom"/>
            <w:shd w:val="clear" w:color="auto" w:fill="CCEEFF"/>
          </w:tcPr>
          <w:p>
            <w:pPr>
              <w:spacing w:after="0"/>
              <w:rPr>
                <w:sz w:val="19"/>
                <w:szCs w:val="19"/>
                <w:color w:val="auto"/>
              </w:rPr>
            </w:pPr>
          </w:p>
        </w:tc>
        <w:tc>
          <w:tcPr>
            <w:tcW w:w="48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color w:val="auto"/>
        </w:rPr>
        <w:t>6. CONTRACT ASSETS AND CONTRACT LIABILITIES</w:t>
      </w:r>
    </w:p>
    <w:p>
      <w:pPr>
        <w:spacing w:after="0" w:line="118" w:lineRule="exact"/>
        <w:rPr>
          <w:sz w:val="20"/>
          <w:szCs w:val="20"/>
          <w:color w:val="auto"/>
        </w:rPr>
      </w:pPr>
    </w:p>
    <w:p>
      <w:pPr>
        <w:ind w:right="80" w:firstLine="464"/>
        <w:spacing w:after="0" w:line="261" w:lineRule="auto"/>
        <w:rPr>
          <w:sz w:val="20"/>
          <w:szCs w:val="20"/>
          <w:color w:val="auto"/>
        </w:rPr>
      </w:pPr>
      <w:r>
        <w:rPr>
          <w:rFonts w:ascii="Times New Roman" w:cs="Times New Roman" w:eastAsia="Times New Roman" w:hAnsi="Times New Roman"/>
          <w:sz w:val="17"/>
          <w:szCs w:val="17"/>
          <w:color w:val="auto"/>
        </w:rPr>
        <w:t>Contract assets include unbilled amounts resulting from sales under long-term contracts where revenue is recognized over time and revenue exceeds the amount that can be billed to the customer based on the terms of the contract. The current portion of the contract assets are classified as current assets under the caption “Unbilled accounts receivable” while the noncurrent contract assets are classified as other assets under the caption "Other noncurrent assets" on the Condensed Consolidated Balance Sheets. Noncurrent contract assets were $163 million at March 31, 2024 and $154 million at December 31, 2023. The Company has elected to use the practical expedient and does not consider unbilled amounts anticipated to be paid within one year as significant financing components.</w:t>
      </w:r>
    </w:p>
    <w:p>
      <w:pPr>
        <w:spacing w:after="0" w:line="72" w:lineRule="exact"/>
        <w:rPr>
          <w:sz w:val="20"/>
          <w:szCs w:val="20"/>
          <w:color w:val="auto"/>
        </w:rPr>
      </w:pPr>
    </w:p>
    <w:p>
      <w:pPr>
        <w:ind w:firstLine="464"/>
        <w:spacing w:after="0" w:line="257" w:lineRule="auto"/>
        <w:rPr>
          <w:sz w:val="20"/>
          <w:szCs w:val="20"/>
          <w:color w:val="auto"/>
        </w:rPr>
      </w:pPr>
      <w:r>
        <w:rPr>
          <w:rFonts w:ascii="Times New Roman" w:cs="Times New Roman" w:eastAsia="Times New Roman" w:hAnsi="Times New Roman"/>
          <w:sz w:val="17"/>
          <w:szCs w:val="17"/>
          <w:color w:val="auto"/>
        </w:rPr>
        <w:t>Contract liabilities include customer deposits that are made prior to the incurrence of costs related to a newly agreed upon contract and advanced customer payments that are in excess of revenue recognized. The current portion of contract liabilities are classified as current liabilities under the caption “Customer deposits” while the noncurrent contract liabilities are classified as noncurrent liabilities under the caption "Other long-term liabilities" on the Condensed Consolidated Balance Sheets. Noncurrent contract liabilities were $179 million at March 31, 2024 and $174 million at December 31, 2023. These contract liabilities are not considered a significant financing component because they are used to meet working capital demands that can be higher in the early stages of a contract or revenue associated with the contract liabilities is expected to be recognized within one year. Contract liabilities also include provisions for estimated losses from uncompleted contracts. Provisions for loss contracts were $98 million and $104 million at March 31, 2024 and December 31, 2023, respectively. These provisions for estimated losses are classified as current liabilities and included within the caption “Other accrued liabilities” on the Condensed Consolidated Balance Sheets.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change in the carrying amount of contract assets and contract liabilities for the three months ended March 31, 2024 and 2023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gridSpan w:val="3"/>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Contract Assets</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34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Recognized in current year</w:t>
            </w:r>
          </w:p>
        </w:tc>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Reclassified to accounts receivable</w:t>
            </w:r>
          </w:p>
        </w:tc>
        <w:tc>
          <w:tcPr>
            <w:tcW w:w="3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Acquisitions/adjustments</w:t>
            </w:r>
          </w:p>
        </w:tc>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Foreign currency impact</w:t>
            </w:r>
          </w:p>
        </w:tc>
        <w:tc>
          <w:tcPr>
            <w:tcW w:w="3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12"/>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Balance at March 31</w:t>
            </w:r>
          </w:p>
        </w:tc>
        <w:tc>
          <w:tcPr>
            <w:tcW w:w="34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707</w:t>
            </w:r>
          </w:p>
        </w:tc>
        <w:tc>
          <w:tcPr>
            <w:tcW w:w="1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 Liabilities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
        </w:trPr>
        <w:tc>
          <w:tcPr>
            <w:tcW w:w="20" w:type="dxa"/>
            <w:vAlign w:val="bottom"/>
            <w:vMerge w:val="restart"/>
          </w:tcPr>
          <w:p>
            <w:pPr>
              <w:spacing w:after="0"/>
              <w:rPr>
                <w:sz w:val="2"/>
                <w:szCs w:val="2"/>
                <w:color w:val="auto"/>
              </w:rPr>
            </w:pPr>
          </w:p>
        </w:tc>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34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660" w:type="dxa"/>
            <w:vAlign w:val="bottom"/>
            <w:gridSpan w:val="2"/>
            <w:vMerge w:val="continue"/>
          </w:tcPr>
          <w:p>
            <w:pPr>
              <w:spacing w:after="0"/>
              <w:rPr>
                <w:sz w:val="18"/>
                <w:szCs w:val="18"/>
                <w:color w:val="auto"/>
              </w:rPr>
            </w:pPr>
          </w:p>
        </w:tc>
        <w:tc>
          <w:tcPr>
            <w:tcW w:w="342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1,082</w:t>
            </w:r>
          </w:p>
        </w:tc>
        <w:tc>
          <w:tcPr>
            <w:tcW w:w="100" w:type="dxa"/>
            <w:vAlign w:val="bottom"/>
          </w:tcPr>
          <w:p>
            <w:pPr>
              <w:spacing w:after="0"/>
              <w:rPr>
                <w:sz w:val="18"/>
                <w:szCs w:val="18"/>
                <w:color w:val="auto"/>
              </w:rPr>
            </w:pPr>
          </w:p>
        </w:tc>
        <w:tc>
          <w:tcPr>
            <w:tcW w:w="58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Recognized in current year</w:t>
            </w:r>
          </w:p>
        </w:tc>
        <w:tc>
          <w:tcPr>
            <w:tcW w:w="3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Amounts in beginning balance reclassified to revenue</w:t>
            </w:r>
          </w:p>
        </w:tc>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Current year amounts reclassified to revenue</w:t>
            </w:r>
          </w:p>
        </w:tc>
        <w:tc>
          <w:tcPr>
            <w:tcW w:w="3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46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7"/>
                <w:szCs w:val="17"/>
                <w:color w:val="auto"/>
              </w:rPr>
              <w:t>Foreign currency impact</w:t>
            </w:r>
          </w:p>
        </w:tc>
        <w:tc>
          <w:tcPr>
            <w:tcW w:w="34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37"/>
        </w:trPr>
        <w:tc>
          <w:tcPr>
            <w:tcW w:w="46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March 31</w:t>
            </w:r>
          </w:p>
        </w:tc>
        <w:tc>
          <w:tcPr>
            <w:tcW w:w="34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922</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bottom w:val="single" w:sz="8" w:color="CCEEFF"/>
            </w:tcBorders>
            <w:vMerge w:val="restart"/>
          </w:tcPr>
          <w:p>
            <w:pPr>
              <w:jc w:val="right"/>
              <w:ind w:right="2314"/>
              <w:spacing w:after="0"/>
              <w:rPr>
                <w:sz w:val="20"/>
                <w:szCs w:val="20"/>
                <w:color w:val="auto"/>
              </w:rPr>
            </w:pPr>
            <w:r>
              <w:rPr>
                <w:rFonts w:ascii="Times New Roman" w:cs="Times New Roman" w:eastAsia="Times New Roman" w:hAnsi="Times New Roman"/>
                <w:sz w:val="17"/>
                <w:szCs w:val="17"/>
                <w:color w:val="auto"/>
              </w:rPr>
              <w:t>14</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6"/>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040" w:type="dxa"/>
            <w:vAlign w:val="bottom"/>
            <w:tcBorders>
              <w:bottom w:val="single" w:sz="8" w:color="9A9A9A"/>
            </w:tcBorders>
          </w:tcPr>
          <w:p>
            <w:pPr>
              <w:spacing w:after="0"/>
              <w:rPr>
                <w:sz w:val="9"/>
                <w:szCs w:val="9"/>
                <w:color w:val="auto"/>
              </w:rPr>
            </w:pPr>
          </w:p>
        </w:tc>
        <w:tc>
          <w:tcPr>
            <w:tcW w:w="34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color w:val="auto"/>
        </w:rPr>
        <w:t>7. LEASES</w:t>
      </w:r>
    </w:p>
    <w:p>
      <w:pPr>
        <w:spacing w:after="0" w:line="118" w:lineRule="exact"/>
        <w:rPr>
          <w:sz w:val="20"/>
          <w:szCs w:val="20"/>
          <w:color w:val="auto"/>
        </w:rPr>
      </w:pPr>
    </w:p>
    <w:p>
      <w:pPr>
        <w:ind w:right="40" w:firstLine="464"/>
        <w:spacing w:after="0" w:line="258" w:lineRule="auto"/>
        <w:rPr>
          <w:sz w:val="20"/>
          <w:szCs w:val="20"/>
          <w:color w:val="auto"/>
        </w:rPr>
      </w:pPr>
      <w:r>
        <w:rPr>
          <w:rFonts w:ascii="Times New Roman" w:cs="Times New Roman" w:eastAsia="Times New Roman" w:hAnsi="Times New Roman"/>
          <w:sz w:val="17"/>
          <w:szCs w:val="17"/>
          <w:color w:val="auto"/>
        </w:rPr>
        <w:t>The Company leases certain property, buildings and equipment. For leases with terms greater than 12 months, the Company records the related asset and obligation at the present value of lease payments. Many of the Company's leases include rental escalation clauses, renewal options, and/or termination options that are factored into our determination of lease payments when appropriate. The right-of-use assets are classified as noncurrent and included within the caption "Other noncurrent assets" on the Condensed Consolidated Balance Sheets. The current portion of lease liabilities are classified under the caption "Other accrued liabilities," while the noncurrent portion of lease liabilities are classified under the caption "Other long-term liabilities" on the Condensed Consolidated Balance Sheets. The Company does not separate lease and non-lease components. As most of the Company's leases do not provide a readily stated discount rate, the Company must estimate the rate to discount lease payments using its incremental borrowing rate.</w:t>
      </w:r>
    </w:p>
    <w:p>
      <w:pPr>
        <w:spacing w:after="0" w:line="76" w:lineRule="exact"/>
        <w:rPr>
          <w:sz w:val="20"/>
          <w:szCs w:val="20"/>
          <w:color w:val="auto"/>
        </w:rPr>
      </w:pPr>
    </w:p>
    <w:p>
      <w:pPr>
        <w:jc w:val="both"/>
        <w:ind w:right="280" w:firstLine="464"/>
        <w:spacing w:after="0" w:line="270" w:lineRule="auto"/>
        <w:rPr>
          <w:sz w:val="20"/>
          <w:szCs w:val="20"/>
          <w:color w:val="auto"/>
        </w:rPr>
      </w:pPr>
      <w:r>
        <w:rPr>
          <w:rFonts w:ascii="Times New Roman" w:cs="Times New Roman" w:eastAsia="Times New Roman" w:hAnsi="Times New Roman"/>
          <w:sz w:val="17"/>
          <w:szCs w:val="17"/>
          <w:color w:val="auto"/>
        </w:rPr>
        <w:t>Operating lease expense was $16 million for each of the three month periods ended March 31, 2024 and 2023. New operating leases of $14 million were added during each of the three month periods ended March 31, 2024 and 2023. Wabtec does not have material financing leases, short-term or variable leases or sublease income.</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Scheduled payments of lease liabilities are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Pr>
          <w:p>
            <w:pPr>
              <w:spacing w:after="0"/>
              <w:rPr>
                <w:sz w:val="13"/>
                <w:szCs w:val="13"/>
                <w:color w:val="auto"/>
              </w:rPr>
            </w:pPr>
          </w:p>
        </w:tc>
        <w:tc>
          <w:tcPr>
            <w:tcW w:w="178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8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2"/>
        </w:trPr>
        <w:tc>
          <w:tcPr>
            <w:tcW w:w="9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Remaining 2024</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19"/>
        </w:trPr>
        <w:tc>
          <w:tcPr>
            <w:tcW w:w="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8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19"/>
        </w:trPr>
        <w:tc>
          <w:tcPr>
            <w:tcW w:w="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8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19"/>
        </w:trPr>
        <w:tc>
          <w:tcPr>
            <w:tcW w:w="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8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19"/>
        </w:trPr>
        <w:tc>
          <w:tcPr>
            <w:tcW w:w="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8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19"/>
        </w:trPr>
        <w:tc>
          <w:tcPr>
            <w:tcW w:w="91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w:t>
            </w:r>
          </w:p>
        </w:tc>
      </w:tr>
      <w:tr>
        <w:trPr>
          <w:trHeight w:val="212"/>
        </w:trPr>
        <w:tc>
          <w:tcPr>
            <w:tcW w:w="9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payments</w:t>
            </w: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w:t>
            </w:r>
          </w:p>
        </w:tc>
      </w:tr>
      <w:tr>
        <w:trPr>
          <w:trHeight w:val="219"/>
        </w:trPr>
        <w:tc>
          <w:tcPr>
            <w:tcW w:w="91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Less: Present value discount</w:t>
            </w: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37"/>
        </w:trPr>
        <w:tc>
          <w:tcPr>
            <w:tcW w:w="91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remaining lease term and discount rate assumptions used to develop the present value of operating lease liabilities: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3"/>
                <w:szCs w:val="13"/>
                <w:color w:val="auto"/>
              </w:rPr>
            </w:pPr>
          </w:p>
        </w:tc>
        <w:tc>
          <w:tcPr>
            <w:tcW w:w="1160" w:type="dxa"/>
            <w:vAlign w:val="bottom"/>
          </w:tcPr>
          <w:p>
            <w:pPr>
              <w:jc w:val="center"/>
              <w:ind w:left="411"/>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8"/>
        </w:trPr>
        <w:tc>
          <w:tcPr>
            <w:tcW w:w="9000" w:type="dxa"/>
            <w:vAlign w:val="bottom"/>
            <w:gridSpan w:val="2"/>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8"/>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(years)</w:t>
            </w:r>
          </w:p>
        </w:tc>
        <w:tc>
          <w:tcPr>
            <w:tcW w:w="1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8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r>
      <w:tr>
        <w:trPr>
          <w:trHeight w:val="223"/>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2.6 %</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color w:val="auto"/>
        </w:rPr>
        <w:t>8. LONG-TERM DEBT</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Long-term debt consisted of the following:</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5"/>
                <w:szCs w:val="15"/>
                <w:color w:val="auto"/>
              </w:rPr>
            </w:pPr>
          </w:p>
        </w:tc>
        <w:tc>
          <w:tcPr>
            <w:tcW w:w="2560" w:type="dxa"/>
            <w:vAlign w:val="bottom"/>
            <w:gridSpan w:val="4"/>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Effective</w:t>
            </w: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34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Face Value</w:t>
            </w:r>
          </w:p>
        </w:tc>
        <w:tc>
          <w:tcPr>
            <w:tcW w:w="200" w:type="dxa"/>
            <w:vAlign w:val="bottom"/>
          </w:tcPr>
          <w:p>
            <w:pPr>
              <w:spacing w:after="0"/>
              <w:rPr>
                <w:sz w:val="12"/>
                <w:szCs w:val="12"/>
                <w:color w:val="auto"/>
              </w:rPr>
            </w:pPr>
          </w:p>
        </w:tc>
        <w:tc>
          <w:tcPr>
            <w:tcW w:w="12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Book Value</w:t>
            </w:r>
          </w:p>
        </w:tc>
        <w:tc>
          <w:tcPr>
            <w:tcW w:w="220" w:type="dxa"/>
            <w:vAlign w:val="bottom"/>
          </w:tcPr>
          <w:p>
            <w:pPr>
              <w:spacing w:after="0"/>
              <w:rPr>
                <w:sz w:val="12"/>
                <w:szCs w:val="12"/>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r>
              <w:rPr>
                <w:rFonts w:ascii="Times New Roman" w:cs="Times New Roman" w:eastAsia="Times New Roman" w:hAnsi="Times New Roman"/>
                <w:sz w:val="17"/>
                <w:szCs w:val="17"/>
                <w:b w:val="1"/>
                <w:bCs w:val="1"/>
                <w:color w:val="auto"/>
                <w:vertAlign w:val="superscript"/>
              </w:rPr>
              <w:t>1</w:t>
            </w:r>
          </w:p>
        </w:tc>
        <w:tc>
          <w:tcPr>
            <w:tcW w:w="200" w:type="dxa"/>
            <w:vAlign w:val="bottom"/>
          </w:tcPr>
          <w:p>
            <w:pPr>
              <w:spacing w:after="0"/>
              <w:rPr>
                <w:sz w:val="12"/>
                <w:szCs w:val="12"/>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Book Value</w:t>
            </w:r>
          </w:p>
        </w:tc>
        <w:tc>
          <w:tcPr>
            <w:tcW w:w="220" w:type="dxa"/>
            <w:vAlign w:val="bottom"/>
          </w:tcPr>
          <w:p>
            <w:pPr>
              <w:spacing w:after="0"/>
              <w:rPr>
                <w:sz w:val="12"/>
                <w:szCs w:val="12"/>
                <w:color w:val="auto"/>
              </w:rPr>
            </w:pPr>
          </w:p>
        </w:tc>
        <w:tc>
          <w:tcPr>
            <w:tcW w:w="112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Fair Value</w:t>
            </w:r>
            <w:r>
              <w:rPr>
                <w:rFonts w:ascii="Times New Roman" w:cs="Times New Roman" w:eastAsia="Times New Roman" w:hAnsi="Times New Roman"/>
                <w:sz w:val="17"/>
                <w:szCs w:val="17"/>
                <w:b w:val="1"/>
                <w:bCs w:val="1"/>
                <w:color w:val="auto"/>
                <w:vertAlign w:val="superscript"/>
              </w:rPr>
              <w:t>1</w:t>
            </w:r>
          </w:p>
        </w:tc>
        <w:tc>
          <w:tcPr>
            <w:tcW w:w="0" w:type="dxa"/>
            <w:vAlign w:val="bottom"/>
          </w:tcPr>
          <w:p>
            <w:pPr>
              <w:spacing w:after="0"/>
              <w:rPr>
                <w:sz w:val="1"/>
                <w:szCs w:val="1"/>
                <w:color w:val="auto"/>
              </w:rPr>
            </w:pPr>
          </w:p>
        </w:tc>
      </w:tr>
      <w:tr>
        <w:trPr>
          <w:trHeight w:val="140"/>
        </w:trPr>
        <w:tc>
          <w:tcPr>
            <w:tcW w:w="3480" w:type="dxa"/>
            <w:vAlign w:val="bottom"/>
            <w:gridSpan w:val="4"/>
            <w:vMerge w:val="continue"/>
          </w:tcPr>
          <w:p>
            <w:pPr>
              <w:spacing w:after="0"/>
              <w:rPr>
                <w:sz w:val="12"/>
                <w:szCs w:val="12"/>
                <w:color w:val="auto"/>
              </w:rPr>
            </w:pPr>
          </w:p>
        </w:tc>
        <w:tc>
          <w:tcPr>
            <w:tcW w:w="1120" w:type="dxa"/>
            <w:vAlign w:val="bottom"/>
            <w:gridSpan w:val="2"/>
          </w:tcPr>
          <w:p>
            <w:pPr>
              <w:jc w:val="center"/>
              <w:ind w:right="120"/>
              <w:spacing w:after="0" w:line="121"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480" w:type="dxa"/>
            <w:vAlign w:val="bottom"/>
            <w:tcBorders>
              <w:top w:val="single" w:sz="8" w:color="auto"/>
              <w:bottom w:val="single" w:sz="8" w:color="CCEEFF"/>
            </w:tcBorders>
          </w:tcPr>
          <w:p>
            <w:pPr>
              <w:spacing w:after="0"/>
              <w:rPr>
                <w:sz w:val="2"/>
                <w:szCs w:val="2"/>
                <w:color w:val="auto"/>
              </w:rPr>
            </w:pPr>
          </w:p>
        </w:tc>
        <w:tc>
          <w:tcPr>
            <w:tcW w:w="140" w:type="dxa"/>
            <w:vAlign w:val="bottom"/>
            <w:tcBorders>
              <w:top w:val="single" w:sz="8" w:color="auto"/>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3480" w:type="dxa"/>
            <w:vAlign w:val="bottom"/>
            <w:gridSpan w:val="4"/>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2024 Credit Agreement:</w:t>
            </w: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4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Term Loan</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6.9 %</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8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2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3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 Credit Agreement:</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4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Revolving Credit Facility</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N/A</w:t>
            </w:r>
          </w:p>
        </w:tc>
        <w:tc>
          <w:tcPr>
            <w:tcW w:w="20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3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Delayed Draw Term Loan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186"/>
        </w:trPr>
        <w:tc>
          <w:tcPr>
            <w:tcW w:w="34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Senior Notes:</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3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4.15% Senior Notes, due 2024</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0" w:type="dxa"/>
            <w:vAlign w:val="bottom"/>
          </w:tcPr>
          <w:p>
            <w:pPr>
              <w:spacing w:after="0"/>
              <w:rPr>
                <w:sz w:val="1"/>
                <w:szCs w:val="1"/>
                <w:color w:val="auto"/>
              </w:rPr>
            </w:pPr>
          </w:p>
        </w:tc>
      </w:tr>
      <w:tr>
        <w:trPr>
          <w:trHeight w:val="186"/>
        </w:trPr>
        <w:tc>
          <w:tcPr>
            <w:tcW w:w="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99"/>
              </w:rPr>
              <w:t>3.20%</w:t>
            </w: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Senior Notes, due 2025</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0" w:type="dxa"/>
            <w:vAlign w:val="bottom"/>
          </w:tcPr>
          <w:p>
            <w:pPr>
              <w:spacing w:after="0"/>
              <w:rPr>
                <w:sz w:val="1"/>
                <w:szCs w:val="1"/>
                <w:color w:val="auto"/>
              </w:rPr>
            </w:pPr>
          </w:p>
        </w:tc>
      </w:tr>
      <w:tr>
        <w:trPr>
          <w:trHeight w:val="201"/>
        </w:trPr>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9"/>
              </w:rPr>
              <w:t>3.45%</w:t>
            </w: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Notes, due 2026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0" w:type="dxa"/>
            <w:vAlign w:val="bottom"/>
          </w:tcPr>
          <w:p>
            <w:pPr>
              <w:spacing w:after="0"/>
              <w:rPr>
                <w:sz w:val="1"/>
                <w:szCs w:val="1"/>
                <w:color w:val="auto"/>
              </w:rPr>
            </w:pPr>
          </w:p>
        </w:tc>
      </w:tr>
      <w:tr>
        <w:trPr>
          <w:trHeight w:val="186"/>
        </w:trPr>
        <w:tc>
          <w:tcPr>
            <w:tcW w:w="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99"/>
              </w:rPr>
              <w:t>1.25%</w:t>
            </w: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Senior Notes (EUR), due 2027</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0" w:type="dxa"/>
            <w:vAlign w:val="bottom"/>
          </w:tcPr>
          <w:p>
            <w:pPr>
              <w:spacing w:after="0"/>
              <w:rPr>
                <w:sz w:val="1"/>
                <w:szCs w:val="1"/>
                <w:color w:val="auto"/>
              </w:rPr>
            </w:pPr>
          </w:p>
        </w:tc>
      </w:tr>
      <w:tr>
        <w:trPr>
          <w:trHeight w:val="201"/>
        </w:trPr>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9"/>
              </w:rPr>
              <w:t>4.70%</w:t>
            </w: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Notes, due 2028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4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5.611% Senior Notes, due 2034</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5.7 %</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3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Borrowings</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46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Total</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3,977</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4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Less: current portion</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6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Long-term portion</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3,997</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3,914</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3,288</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See Note 13 for information on the fair value measurement of the Company's long-term debt.</w:t>
      </w:r>
    </w:p>
    <w:p>
      <w:pPr>
        <w:spacing w:after="0" w:line="101" w:lineRule="exact"/>
        <w:rPr>
          <w:sz w:val="20"/>
          <w:szCs w:val="20"/>
          <w:color w:val="auto"/>
        </w:rPr>
      </w:pPr>
    </w:p>
    <w:p>
      <w:pPr>
        <w:ind w:right="480" w:firstLine="464"/>
        <w:spacing w:after="0" w:line="287" w:lineRule="auto"/>
        <w:rPr>
          <w:sz w:val="20"/>
          <w:szCs w:val="20"/>
          <w:color w:val="auto"/>
        </w:rPr>
      </w:pPr>
      <w:r>
        <w:rPr>
          <w:rFonts w:ascii="Times New Roman" w:cs="Times New Roman" w:eastAsia="Times New Roman" w:hAnsi="Times New Roman"/>
          <w:sz w:val="17"/>
          <w:szCs w:val="17"/>
          <w:color w:val="auto"/>
        </w:rPr>
        <w:t>Variances between Face Value and Book Value are the result of unamortized discounts and debt issuance fees as well as foreign exchange on the Euro Notes. Amortization of discounts and debt issuance fees are included in the calculation of Effective Interest Rate.</w:t>
      </w:r>
    </w:p>
    <w:p>
      <w:pPr>
        <w:spacing w:after="0" w:line="48" w:lineRule="exact"/>
        <w:rPr>
          <w:sz w:val="20"/>
          <w:szCs w:val="20"/>
          <w:color w:val="auto"/>
        </w:rPr>
      </w:pPr>
    </w:p>
    <w:p>
      <w:pPr>
        <w:ind w:right="80" w:firstLine="464"/>
        <w:spacing w:after="0" w:line="261" w:lineRule="auto"/>
        <w:rPr>
          <w:sz w:val="20"/>
          <w:szCs w:val="20"/>
          <w:color w:val="auto"/>
        </w:rPr>
      </w:pPr>
      <w:r>
        <w:rPr>
          <w:rFonts w:ascii="Times New Roman" w:cs="Times New Roman" w:eastAsia="Times New Roman" w:hAnsi="Times New Roman"/>
          <w:sz w:val="17"/>
          <w:szCs w:val="17"/>
          <w:color w:val="auto"/>
        </w:rPr>
        <w:t>For those debt securities that have a premium or discount at the time of issuance, the Company amortizes the amount through interest expense based on the maturity date or the first date the holders may require the Company to repurchase the debt securities, if applicable. A premium would result in a decrease in interest expense, and a discount would result in an increase in interest expense in future periods. Additionally, the Company has debt issuance costs related to certain financing transactions which are also amortized through interest expense. As of March 31, 2024 and December 31, 2023, the Company had total combined unamortized discount and debt issuance costs of $19 million and $15 million,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Agreements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2024 Credit Agreement</w:t>
      </w:r>
    </w:p>
    <w:p>
      <w:pPr>
        <w:spacing w:after="0" w:line="118" w:lineRule="exact"/>
        <w:rPr>
          <w:sz w:val="20"/>
          <w:szCs w:val="20"/>
          <w:color w:val="auto"/>
        </w:rPr>
      </w:pPr>
    </w:p>
    <w:p>
      <w:pPr>
        <w:ind w:firstLine="464"/>
        <w:spacing w:after="0" w:line="260" w:lineRule="auto"/>
        <w:rPr>
          <w:sz w:val="20"/>
          <w:szCs w:val="20"/>
          <w:color w:val="auto"/>
        </w:rPr>
      </w:pPr>
      <w:r>
        <w:rPr>
          <w:rFonts w:ascii="Times New Roman" w:cs="Times New Roman" w:eastAsia="Times New Roman" w:hAnsi="Times New Roman"/>
          <w:sz w:val="17"/>
          <w:szCs w:val="17"/>
          <w:color w:val="auto"/>
        </w:rPr>
        <w:t>On March 14, 2024, the Company entered into a new stand-alone credit agreement (the "2024 Credit Agreement") for a term loan of $225 million. Borrowings under the 2024 Credit Agreement bear interest at a base rate plus an interest rate spread up to 1.75% based on the lower of the pricing corresponding to (i) the Company’s Leverage Ratio or (ii) the Company’s public rating. The frequency of interest payments varies based upon the Interest Election Request. The term loan issued under the 2024 Credit Agreement will mature on March 14, 2029. The obligations of the Company under the 2024 Credit Agreement are unsecured and have been guaranteed by certain of the Company’s subsidiaries. The agreement contains affirmative, negative and financial covenants, and events of default customary for facilities of this type.</w:t>
      </w:r>
    </w:p>
    <w:p>
      <w:pPr>
        <w:spacing w:after="0" w:line="70" w:lineRule="exact"/>
        <w:rPr>
          <w:sz w:val="20"/>
          <w:szCs w:val="20"/>
          <w:color w:val="auto"/>
        </w:rPr>
      </w:pPr>
    </w:p>
    <w:p>
      <w:pPr>
        <w:ind w:right="240" w:firstLine="464"/>
        <w:spacing w:after="0" w:line="287" w:lineRule="auto"/>
        <w:rPr>
          <w:sz w:val="20"/>
          <w:szCs w:val="20"/>
          <w:color w:val="auto"/>
        </w:rPr>
      </w:pPr>
      <w:r>
        <w:rPr>
          <w:rFonts w:ascii="Times New Roman" w:cs="Times New Roman" w:eastAsia="Times New Roman" w:hAnsi="Times New Roman"/>
          <w:sz w:val="17"/>
          <w:szCs w:val="17"/>
          <w:color w:val="auto"/>
        </w:rPr>
        <w:t>The borrowing rate for the 2024 Credit Agreement is a variable rate assessed periodically in accordance with the terms of the 2024 Credit Agreement. At March 31, 2024, the interest rate was 6.8%.</w:t>
      </w:r>
    </w:p>
    <w:p>
      <w:pPr>
        <w:spacing w:after="0" w:line="35" w:lineRule="exact"/>
        <w:rPr>
          <w:sz w:val="20"/>
          <w:szCs w:val="20"/>
          <w:color w:val="auto"/>
        </w:rPr>
      </w:pPr>
    </w:p>
    <w:p>
      <w:pPr>
        <w:ind w:right="40" w:firstLine="464"/>
        <w:spacing w:after="0" w:line="245" w:lineRule="auto"/>
        <w:rPr>
          <w:sz w:val="20"/>
          <w:szCs w:val="20"/>
          <w:color w:val="auto"/>
        </w:rPr>
      </w:pPr>
      <w:r>
        <w:rPr>
          <w:rFonts w:ascii="Times New Roman" w:cs="Times New Roman" w:eastAsia="Times New Roman" w:hAnsi="Times New Roman"/>
          <w:sz w:val="17"/>
          <w:szCs w:val="17"/>
          <w:color w:val="auto"/>
        </w:rPr>
        <w:t>Under the 2024 Credit Agreement, the Company has agreed to maintain an Interest Coverage Ratio of at least 3.0 to 1.0, and a Leverage Ratio not to exceed 3.5 to 1.0. The Interest Coverage Ratio is defined as EBITDA (earnings before interest, taxes, depreciation, and amortization) to Interest Expense for the four quarters then ended. The Leverage Ratio is defined as Net Debt as of the last day of such fiscal quarter to EBITDA for the four quarters then ended. Additionally, the Company may submit a request for an increased maximum Leverage Ratio in contemplation of a Material Acquisition. All terms are as defined in the 2024 Credit Agreement.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Credit Agreement</w:t>
      </w:r>
    </w:p>
    <w:p>
      <w:pPr>
        <w:spacing w:after="0" w:line="118" w:lineRule="exact"/>
        <w:rPr>
          <w:sz w:val="20"/>
          <w:szCs w:val="20"/>
          <w:color w:val="auto"/>
        </w:rPr>
      </w:pPr>
    </w:p>
    <w:p>
      <w:pPr>
        <w:jc w:val="both"/>
        <w:ind w:right="320" w:firstLine="464"/>
        <w:spacing w:after="0" w:line="270" w:lineRule="auto"/>
        <w:rPr>
          <w:sz w:val="20"/>
          <w:szCs w:val="20"/>
          <w:color w:val="auto"/>
        </w:rPr>
      </w:pPr>
      <w:r>
        <w:rPr>
          <w:rFonts w:ascii="Times New Roman" w:cs="Times New Roman" w:eastAsia="Times New Roman" w:hAnsi="Times New Roman"/>
          <w:sz w:val="17"/>
          <w:szCs w:val="17"/>
          <w:color w:val="auto"/>
        </w:rPr>
        <w:t>On August 15, 2022, the Company entered into a new unsecured credit agreement (the "2022 Credit Agreement"). The 2022 Credit Agreement is with a syndicate of lenders and provides for borrowings consisting of (i) a multi-currency revolving credit facility, providing for an equivalent in U.S. dollars of up to $1.5 billion (the “Revolving Credit Facility”) and (ii) a new</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6" w:name="page17"/>
    <w:bookmarkEnd w:id="16"/>
    <w:p>
      <w:pPr>
        <w:ind w:right="100"/>
        <w:spacing w:after="0" w:line="264" w:lineRule="auto"/>
        <w:rPr>
          <w:sz w:val="20"/>
          <w:szCs w:val="20"/>
          <w:color w:val="auto"/>
        </w:rPr>
      </w:pPr>
      <w:r>
        <w:rPr>
          <w:rFonts w:ascii="Times New Roman" w:cs="Times New Roman" w:eastAsia="Times New Roman" w:hAnsi="Times New Roman"/>
          <w:sz w:val="17"/>
          <w:szCs w:val="17"/>
          <w:color w:val="auto"/>
        </w:rPr>
        <w:t>$250 million delayed draw term loan facility (the “Delayed Draw Term Loan”), all pursuant to the terms and conditions of the 2022 Credit Agreement. The 2022 Credit Agreement allows the Company to request, at prevailing market rates, an aggregate amount not to exceed $750 million, (a) increases to the borrowing commitments under the Revolving Credit Facility and/or (b) new incremental term loan commitments. The agreement contains affirmative, negative and financial covenants, and events of default customary for facilities of this type.</w:t>
      </w:r>
    </w:p>
    <w:p>
      <w:pPr>
        <w:spacing w:after="0" w:line="68" w:lineRule="exact"/>
        <w:rPr>
          <w:sz w:val="20"/>
          <w:szCs w:val="20"/>
          <w:color w:val="auto"/>
        </w:rPr>
      </w:pPr>
    </w:p>
    <w:p>
      <w:pPr>
        <w:ind w:right="40" w:firstLine="464"/>
        <w:spacing w:after="0" w:line="260" w:lineRule="auto"/>
        <w:rPr>
          <w:sz w:val="20"/>
          <w:szCs w:val="20"/>
          <w:color w:val="auto"/>
        </w:rPr>
      </w:pPr>
      <w:r>
        <w:rPr>
          <w:rFonts w:ascii="Times New Roman" w:cs="Times New Roman" w:eastAsia="Times New Roman" w:hAnsi="Times New Roman"/>
          <w:sz w:val="17"/>
          <w:szCs w:val="17"/>
          <w:color w:val="auto"/>
        </w:rPr>
        <w:t>The Revolving Credit Facility matures on August 15, 2027. The Delayed Draw Term Loan was available for borrowings until February 15, 2024, and was fully drawn during the third quarter of 2023. Borrowings under the Delayed Draw Term Loan will mature on August 15, 2027. Amounts borrowed and repaid under the Delayed Draw Term Loan may not be reborrowed. The applicable interest rate for borrowings under the 2022 Credit Agreement includes a base rate (per the Interest Election terms of the agreement) plus an interest rate spread up to 1.75% based on the lower of the pricing corresponding to (i) the Company’s financial leverage or (ii) the Company’s public rating. Obligations under the Restated Credit Agreement have been guaranteed by certain of the Company’s subsidiaries.</w:t>
      </w:r>
    </w:p>
    <w:p>
      <w:pPr>
        <w:spacing w:after="0" w:line="282" w:lineRule="exact"/>
        <w:rPr>
          <w:sz w:val="20"/>
          <w:szCs w:val="20"/>
          <w:color w:val="auto"/>
        </w:rPr>
      </w:pPr>
    </w:p>
    <w:p>
      <w:pPr>
        <w:jc w:val="both"/>
        <w:ind w:right="160" w:firstLine="464"/>
        <w:spacing w:after="0" w:line="270" w:lineRule="auto"/>
        <w:rPr>
          <w:sz w:val="20"/>
          <w:szCs w:val="20"/>
          <w:color w:val="auto"/>
        </w:rPr>
      </w:pPr>
      <w:r>
        <w:rPr>
          <w:rFonts w:ascii="Times New Roman" w:cs="Times New Roman" w:eastAsia="Times New Roman" w:hAnsi="Times New Roman"/>
          <w:sz w:val="17"/>
          <w:szCs w:val="17"/>
          <w:color w:val="auto"/>
        </w:rPr>
        <w:t>During the third quarter of 2023, the Company borrowed the full $250 million of availability from the Delayed Draw Term Loan and utilized the proceeds to redeem the 4.375% Senior Notes, due 2023. The borrowing rate for the Delayed Draw Term Loan is a variable rate reassessed periodically in accordance with the terms of the 2022 Credit Agreement. At March 31, 2024, the interest rate was 6.8%.</w:t>
      </w:r>
    </w:p>
    <w:p>
      <w:pPr>
        <w:spacing w:after="0" w:line="62" w:lineRule="exact"/>
        <w:rPr>
          <w:sz w:val="20"/>
          <w:szCs w:val="20"/>
          <w:color w:val="auto"/>
        </w:rPr>
      </w:pPr>
    </w:p>
    <w:p>
      <w:pPr>
        <w:ind w:right="40" w:firstLine="464"/>
        <w:spacing w:after="0" w:line="261" w:lineRule="auto"/>
        <w:rPr>
          <w:sz w:val="20"/>
          <w:szCs w:val="20"/>
          <w:color w:val="auto"/>
        </w:rPr>
      </w:pPr>
      <w:r>
        <w:rPr>
          <w:rFonts w:ascii="Times New Roman" w:cs="Times New Roman" w:eastAsia="Times New Roman" w:hAnsi="Times New Roman"/>
          <w:sz w:val="17"/>
          <w:szCs w:val="17"/>
          <w:color w:val="auto"/>
        </w:rPr>
        <w:t>Under the 2022 Credit Agreement, the Company has agreed to maintain an Interest Coverage Ratio of at least 3.0 to 1.0, and a Leverage Ratio not to exceed 3.5 to 1.0. The Interest Coverage Ratio is defined as EBITDA (earnings before interest, taxes, depreciation, and amortization) to Interest Expense for the four quarters then ended. The Leverage Ratio is defined as Net Debt as of the last day of such fiscal quarter to EBITDA for the four quarters then ended. Additionally, the Company may submit a request for an increased maximum Leverage Ratio in contemplation of a Material Acquisition. All terms are as defined in the 2022 Credit Agreement.</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presents availability under the 2022 Credit Agreement at March 31, 2024:</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Revolving Credit</w:t>
            </w: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Delayed Draw Term</w:t>
            </w:r>
          </w:p>
        </w:tc>
        <w:tc>
          <w:tcPr>
            <w:tcW w:w="340" w:type="dxa"/>
            <w:vAlign w:val="bottom"/>
          </w:tcPr>
          <w:p>
            <w:pPr>
              <w:spacing w:after="0"/>
              <w:rPr>
                <w:sz w:val="15"/>
                <w:szCs w:val="15"/>
                <w:color w:val="auto"/>
              </w:rPr>
            </w:pPr>
          </w:p>
        </w:tc>
        <w:tc>
          <w:tcPr>
            <w:tcW w:w="1160" w:type="dxa"/>
            <w:vAlign w:val="bottom"/>
            <w:vMerge w:val="restart"/>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5"/>
        </w:trPr>
        <w:tc>
          <w:tcPr>
            <w:tcW w:w="6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Facility</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Loan</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Maximum Availability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1,750</w:t>
            </w:r>
          </w:p>
        </w:tc>
        <w:tc>
          <w:tcPr>
            <w:tcW w:w="0" w:type="dxa"/>
            <w:vAlign w:val="bottom"/>
          </w:tcPr>
          <w:p>
            <w:pPr>
              <w:spacing w:after="0"/>
              <w:rPr>
                <w:sz w:val="1"/>
                <w:szCs w:val="1"/>
                <w:color w:val="auto"/>
              </w:rPr>
            </w:pPr>
          </w:p>
        </w:tc>
      </w:tr>
      <w:tr>
        <w:trPr>
          <w:trHeight w:val="203"/>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Outstanding Borrowings</w:t>
            </w:r>
          </w:p>
        </w:tc>
        <w:tc>
          <w:tcPr>
            <w:tcW w:w="14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w:t>
            </w:r>
          </w:p>
        </w:tc>
        <w:tc>
          <w:tcPr>
            <w:tcW w:w="0" w:type="dxa"/>
            <w:vAlign w:val="bottom"/>
          </w:tcPr>
          <w:p>
            <w:pPr>
              <w:spacing w:after="0"/>
              <w:rPr>
                <w:sz w:val="1"/>
                <w:szCs w:val="1"/>
                <w:color w:val="auto"/>
              </w:rPr>
            </w:pPr>
          </w:p>
        </w:tc>
      </w:tr>
      <w:tr>
        <w:trPr>
          <w:trHeight w:val="206"/>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Letters of Credit Under Credit Agreement</w:t>
            </w: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02"/>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Current Availability</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1,499</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1,499</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right="680" w:firstLine="464"/>
        <w:spacing w:after="0" w:line="403" w:lineRule="auto"/>
        <w:rPr>
          <w:sz w:val="20"/>
          <w:szCs w:val="20"/>
          <w:color w:val="auto"/>
        </w:rPr>
      </w:pPr>
      <w:r>
        <w:rPr>
          <w:rFonts w:ascii="Times New Roman" w:cs="Times New Roman" w:eastAsia="Times New Roman" w:hAnsi="Times New Roman"/>
          <w:sz w:val="17"/>
          <w:szCs w:val="17"/>
          <w:color w:val="auto"/>
        </w:rPr>
        <w:t xml:space="preserve">The Company was in compliance with all financial covenants in the 2022 Credit Agreement and the 2024 Credit Agreement as of March 31, 2024. </w:t>
      </w:r>
      <w:r>
        <w:rPr>
          <w:rFonts w:ascii="Times New Roman" w:cs="Times New Roman" w:eastAsia="Times New Roman" w:hAnsi="Times New Roman"/>
          <w:sz w:val="17"/>
          <w:szCs w:val="17"/>
          <w:b w:val="1"/>
          <w:bCs w:val="1"/>
          <w:i w:val="1"/>
          <w:iCs w:val="1"/>
          <w:color w:val="auto"/>
        </w:rPr>
        <w:t>Senior Notes</w:t>
      </w:r>
    </w:p>
    <w:p>
      <w:pPr>
        <w:spacing w:after="0" w:line="1" w:lineRule="exact"/>
        <w:rPr>
          <w:sz w:val="20"/>
          <w:szCs w:val="20"/>
          <w:color w:val="auto"/>
        </w:rPr>
      </w:pPr>
    </w:p>
    <w:p>
      <w:pPr>
        <w:ind w:right="20" w:firstLine="464"/>
        <w:spacing w:after="0" w:line="257" w:lineRule="auto"/>
        <w:rPr>
          <w:sz w:val="20"/>
          <w:szCs w:val="20"/>
          <w:color w:val="auto"/>
        </w:rPr>
      </w:pPr>
      <w:r>
        <w:rPr>
          <w:rFonts w:ascii="Times New Roman" w:cs="Times New Roman" w:eastAsia="Times New Roman" w:hAnsi="Times New Roman"/>
          <w:sz w:val="17"/>
          <w:szCs w:val="17"/>
          <w:color w:val="auto"/>
        </w:rPr>
        <w:t>The Company or its subsidiaries may issue senior notes from time to time. These notes are comprised of our 4.15% Senior Notes due 2024 (the "2024 Notes"), 3.20% Senior Notes due 2025 (the "2025 Notes"), 3.45% Senior Notes due 2026 (the "2026 Notes"), 1.25% Senior Notes (EUR) due 2027 (the "Euro Notes"), 4.70% Senior Notes due 2028 (the "2028 Notes"), and 5.611% Senior Notes due 2034 (the "2034 Notes"). The 2024 Notes, 2025 Notes, 2026 Notes, 2028 Notes, and 2034 Notes are the “US Notes”, and collectively with the Euro Notes, the “Senior Notes.” Interest on the US Notes is payable semi-annually and interest on the Euro Notes is paid annually. Each series of the Senior Notes may be redeemed at any time in whole or from time to time in part in accordance with the provisions of the indenture, under which such series of notes was issued. Each of the Senior Notes may be redeemed at a redemption price of 100% of the principal amount plus a specified make-whole premium and accrued interest. The US Notes and the Company's guarantee of the Euro Notes are senior unsecured obligations of the Company and rank pari passu with all existing and future senior debt, and are senior to all existing and future subordinated indebtedness of the Company.</w:t>
      </w:r>
    </w:p>
    <w:p>
      <w:pPr>
        <w:spacing w:after="0" w:line="285" w:lineRule="exact"/>
        <w:rPr>
          <w:sz w:val="20"/>
          <w:szCs w:val="20"/>
          <w:color w:val="auto"/>
        </w:rPr>
      </w:pPr>
    </w:p>
    <w:p>
      <w:pPr>
        <w:ind w:right="120" w:firstLine="464"/>
        <w:spacing w:after="0" w:line="270" w:lineRule="auto"/>
        <w:rPr>
          <w:sz w:val="20"/>
          <w:szCs w:val="20"/>
          <w:color w:val="auto"/>
        </w:rPr>
      </w:pPr>
      <w:r>
        <w:rPr>
          <w:rFonts w:ascii="Times New Roman" w:cs="Times New Roman" w:eastAsia="Times New Roman" w:hAnsi="Times New Roman"/>
          <w:sz w:val="17"/>
          <w:szCs w:val="17"/>
          <w:color w:val="auto"/>
        </w:rPr>
        <w:t>On March 11, 2024, the Company issued $500 million of 5.611% Senior Notes due in 2034 (2034 Notes). The 2034 Notes were issued at 100% of face value and the Company recognized approximately $5 million of total deferred financing costs. Interest on the 2034 Notes will accrue at a rate of 5.611% per year, payable semi-annually on March 11 and September 11 of each year, commencing September 11, 2024. The 2034 Notes will mature on March 11, 2034.</w:t>
      </w:r>
    </w:p>
    <w:p>
      <w:pPr>
        <w:spacing w:after="0" w:line="62" w:lineRule="exact"/>
        <w:rPr>
          <w:sz w:val="20"/>
          <w:szCs w:val="20"/>
          <w:color w:val="auto"/>
        </w:rPr>
      </w:pPr>
    </w:p>
    <w:p>
      <w:pPr>
        <w:ind w:right="60" w:firstLine="464"/>
        <w:spacing w:after="0" w:line="287" w:lineRule="auto"/>
        <w:rPr>
          <w:sz w:val="20"/>
          <w:szCs w:val="20"/>
          <w:color w:val="auto"/>
        </w:rPr>
      </w:pPr>
      <w:r>
        <w:rPr>
          <w:rFonts w:ascii="Times New Roman" w:cs="Times New Roman" w:eastAsia="Times New Roman" w:hAnsi="Times New Roman"/>
          <w:sz w:val="17"/>
          <w:szCs w:val="17"/>
          <w:color w:val="auto"/>
        </w:rPr>
        <w:t>Proceeds from the 2034 Notes, combined with the proceeds from the term loan under the 2024 Credit Agreement and cash on hand, were utilized to redeem the outstanding amount of 2024 Notes.</w:t>
      </w:r>
    </w:p>
    <w:p>
      <w:pPr>
        <w:spacing w:after="0" w:line="48" w:lineRule="exact"/>
        <w:rPr>
          <w:sz w:val="20"/>
          <w:szCs w:val="20"/>
          <w:color w:val="auto"/>
        </w:rPr>
      </w:pPr>
    </w:p>
    <w:p>
      <w:pPr>
        <w:ind w:right="80" w:firstLine="464"/>
        <w:spacing w:after="0" w:line="287" w:lineRule="auto"/>
        <w:rPr>
          <w:sz w:val="20"/>
          <w:szCs w:val="20"/>
          <w:color w:val="auto"/>
        </w:rPr>
      </w:pPr>
      <w:r>
        <w:rPr>
          <w:rFonts w:ascii="Times New Roman" w:cs="Times New Roman" w:eastAsia="Times New Roman" w:hAnsi="Times New Roman"/>
          <w:sz w:val="17"/>
          <w:szCs w:val="17"/>
          <w:color w:val="auto"/>
        </w:rPr>
        <w:t>Beginning September 15, 2023, the effective interest rates for the 2024 Notes and the 2028 Notes were each reduced by 0.25% due to a favorable change in Wabtec's corporate credit rating and the rating of the aforementioned notes.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7" w:name="page18"/>
    <w:bookmarkEnd w:id="17"/>
    <w:p>
      <w:pPr>
        <w:ind w:firstLine="464"/>
        <w:spacing w:after="0" w:line="260" w:lineRule="auto"/>
        <w:rPr>
          <w:sz w:val="20"/>
          <w:szCs w:val="20"/>
          <w:color w:val="auto"/>
        </w:rPr>
      </w:pPr>
      <w:r>
        <w:rPr>
          <w:rFonts w:ascii="Times New Roman" w:cs="Times New Roman" w:eastAsia="Times New Roman" w:hAnsi="Times New Roman"/>
          <w:sz w:val="17"/>
          <w:szCs w:val="17"/>
          <w:color w:val="auto"/>
        </w:rPr>
        <w:t>The indentures under which the Senior Notes were issued contain covenants and restrictions which limit, subject to certain exceptions, certain sale and leaseback transactions with respect to principal properties, the incurrence of secured debt without equally and ratably securing the Senior Notes, and certain merger and consolidation transactions. The covenants do not require the Company to maintain any financial ratios or specified levels of net worth or liquidity. The US Notes are fully and unconditionally guaranteed, jointly and severally, on an unsecured basis by each of the Company's subsidiaries that is a guarantor under the 2022 Credit Agreement and the 2024 Credit Agreement. The Euro Notes were issued by Wabtec Transportation Netherlands B.V. and are fully and unconditionally guaranteed by the Company.</w:t>
      </w:r>
    </w:p>
    <w:p>
      <w:pPr>
        <w:spacing w:after="0" w:line="70" w:lineRule="exact"/>
        <w:rPr>
          <w:sz w:val="20"/>
          <w:szCs w:val="20"/>
          <w:color w:val="auto"/>
        </w:rPr>
      </w:pPr>
    </w:p>
    <w:p>
      <w:pPr>
        <w:ind w:right="520" w:firstLine="464"/>
        <w:spacing w:after="0" w:line="287" w:lineRule="auto"/>
        <w:rPr>
          <w:sz w:val="20"/>
          <w:szCs w:val="20"/>
          <w:color w:val="auto"/>
        </w:rPr>
      </w:pPr>
      <w:r>
        <w:rPr>
          <w:rFonts w:ascii="Times New Roman" w:cs="Times New Roman" w:eastAsia="Times New Roman" w:hAnsi="Times New Roman"/>
          <w:sz w:val="17"/>
          <w:szCs w:val="17"/>
          <w:color w:val="auto"/>
        </w:rPr>
        <w:t>The Company is in compliance with the restrictions and covenants in the indentures under which the Senior Notes were issued and expects that these restrictions and covenants will not be any type of limiting factor in executing our operating activities.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STOCK-BASED COMPENSATION</w:t>
      </w:r>
    </w:p>
    <w:p>
      <w:pPr>
        <w:spacing w:after="0" w:line="118" w:lineRule="exact"/>
        <w:rPr>
          <w:sz w:val="20"/>
          <w:szCs w:val="20"/>
          <w:color w:val="auto"/>
        </w:rPr>
      </w:pPr>
    </w:p>
    <w:p>
      <w:pPr>
        <w:ind w:right="140" w:firstLine="464"/>
        <w:spacing w:after="0" w:line="264" w:lineRule="auto"/>
        <w:rPr>
          <w:sz w:val="20"/>
          <w:szCs w:val="20"/>
          <w:color w:val="auto"/>
        </w:rPr>
      </w:pPr>
      <w:r>
        <w:rPr>
          <w:rFonts w:ascii="Times New Roman" w:cs="Times New Roman" w:eastAsia="Times New Roman" w:hAnsi="Times New Roman"/>
          <w:sz w:val="17"/>
          <w:szCs w:val="17"/>
          <w:color w:val="auto"/>
        </w:rPr>
        <w:t>The Company maintains employee stock-based compensation plans for stock options, restricted stock, and incentive stock units as governed by the 2011 Stock Incentive Compensation Plan, as amended and restated (the “2011 Plan”) and the 2000 Stock Incentive Plan, as amended (the “2000 Plan”). The 2011 Plan has a term through May 10, 2027, and as of March 31, 2024, the number of shares available for future grants under the 2011 Plan was approximately 4.4 million shares. The Company also maintains a 1995 Non-Employee Directors’ Fee and Stock Option Plan as amended and restated (“the Directors Plan”).</w:t>
      </w:r>
    </w:p>
    <w:p>
      <w:pPr>
        <w:spacing w:after="0" w:line="68" w:lineRule="exact"/>
        <w:rPr>
          <w:sz w:val="20"/>
          <w:szCs w:val="20"/>
          <w:color w:val="auto"/>
        </w:rPr>
      </w:pPr>
    </w:p>
    <w:p>
      <w:pPr>
        <w:ind w:right="20" w:firstLine="464"/>
        <w:spacing w:after="0" w:line="287" w:lineRule="auto"/>
        <w:rPr>
          <w:sz w:val="20"/>
          <w:szCs w:val="20"/>
          <w:color w:val="auto"/>
        </w:rPr>
      </w:pPr>
      <w:r>
        <w:rPr>
          <w:rFonts w:ascii="Times New Roman" w:cs="Times New Roman" w:eastAsia="Times New Roman" w:hAnsi="Times New Roman"/>
          <w:sz w:val="17"/>
          <w:szCs w:val="17"/>
          <w:color w:val="auto"/>
        </w:rPr>
        <w:t>Stock-based compensation expense was $17 million and $12 million for the three months ended March 31, 2024 and 2023, respectively. At March 31, 2024, unamortized compensation expense related to stock options, non-vested restricted shares and incentive stock units expected to vest is approximately $109 million.</w:t>
      </w:r>
    </w:p>
    <w:p>
      <w:pPr>
        <w:spacing w:after="0" w:line="42" w:lineRule="exact"/>
        <w:rPr>
          <w:sz w:val="20"/>
          <w:szCs w:val="20"/>
          <w:color w:val="auto"/>
        </w:rPr>
      </w:pPr>
    </w:p>
    <w:p>
      <w:pPr>
        <w:ind w:right="200" w:firstLine="464"/>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Stock Options </w:t>
      </w:r>
      <w:r>
        <w:rPr>
          <w:rFonts w:ascii="Times New Roman" w:cs="Times New Roman" w:eastAsia="Times New Roman" w:hAnsi="Times New Roman"/>
          <w:sz w:val="17"/>
          <w:szCs w:val="17"/>
          <w:color w:val="auto"/>
        </w:rPr>
        <w:t>Stock options can be granted to eligible employees and directors at an exercise price equal to fair market value, which is the average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high and low Wabtec stock price on the date of grant. Options become exercisable over a three-year vesting period and expire 10 years from the date of grant. There were no stock options granted in the periods presented. At March 31, 2024, there were 273,210 shares exercisable.</w:t>
      </w:r>
    </w:p>
    <w:p>
      <w:pPr>
        <w:spacing w:after="0" w:line="184" w:lineRule="exact"/>
        <w:rPr>
          <w:sz w:val="20"/>
          <w:szCs w:val="20"/>
          <w:color w:val="auto"/>
        </w:rPr>
      </w:pPr>
    </w:p>
    <w:p>
      <w:pPr>
        <w:ind w:right="80" w:firstLine="464"/>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Restricted Stock, Restricted Stock Units and Incentive Stock </w:t>
      </w:r>
      <w:r>
        <w:rPr>
          <w:rFonts w:ascii="Times New Roman" w:cs="Times New Roman" w:eastAsia="Times New Roman" w:hAnsi="Times New Roman"/>
          <w:sz w:val="17"/>
          <w:szCs w:val="17"/>
          <w:color w:val="auto"/>
        </w:rPr>
        <w:t>As provided for under the 2011 Plan and 2000 Plan, eligible employees are granted restricted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stock that generally vests over three years from the date of grant. Under the Directors Plan, restricted stock awards vest one year from the date of grant. The restricted stock units are liability-classified equity awards as they can be settled in cash.</w:t>
      </w:r>
    </w:p>
    <w:p>
      <w:pPr>
        <w:spacing w:after="0" w:line="61" w:lineRule="exact"/>
        <w:rPr>
          <w:sz w:val="20"/>
          <w:szCs w:val="20"/>
          <w:color w:val="auto"/>
        </w:rPr>
      </w:pPr>
    </w:p>
    <w:p>
      <w:pPr>
        <w:ind w:right="20" w:firstLine="464"/>
        <w:spacing w:after="0" w:line="256" w:lineRule="auto"/>
        <w:rPr>
          <w:sz w:val="20"/>
          <w:szCs w:val="20"/>
          <w:color w:val="auto"/>
        </w:rPr>
      </w:pPr>
      <w:r>
        <w:rPr>
          <w:rFonts w:ascii="Times New Roman" w:cs="Times New Roman" w:eastAsia="Times New Roman" w:hAnsi="Times New Roman"/>
          <w:sz w:val="17"/>
          <w:szCs w:val="17"/>
          <w:color w:val="auto"/>
        </w:rPr>
        <w:t>In addition, the Company has issued incentive stock units to eligible employees that vest upon attainment of certain cumulative three-year performance goals, including a Relative Total Stockholder Return ("RTSR") modifier. The RTSR modifier can increase or decrease the payment by 10%. Significant judgments and estimates are used in determining the estimated three-year performance, which is then used to estimate the total shares expected to vest over the three year vesting cycle and corresponding expense based on the grant date fair value of the award. When determining the estimated three-year performance, the Company utilizes a combination of historical actual results, budgeted results and forecasts. Upon the initial grant of a performance cycle, the Company estimates the three-year performance at 100%. Quarterly, the Company reviews and updates performance estimates based on actual performance results and current projections. Based on the Company’s performance for each three-year period then ended, the incentive stock units can vest and be awarded ranging from 0% to 200% of the initial incentive stock units granted. The incentive stock units included in the table below represent the number of incentive stock units that are expected to vest based on the Company’s estimate for meeting those established performance targets. As of March 31, 2024, the Company estimates that it will achieve 153%, 136% and 100% for the incentive stock awards expected to vest, inclusive of the RTSR modifier, based on the estimated performance for the three-year periods ending December 31, 2024, 2025, and 2026, respectively, and has recorded incentive compensation expense accordingly. If the estimates of the number of these incentive stock units expected to vest changes in a future accounting period, cumulative compensation expense could increase or decrease and will be recognized in the current period for the elapsed portion of the vesting period and would change future expense for the remaining vesting period.</w:t>
      </w:r>
    </w:p>
    <w:p>
      <w:pPr>
        <w:spacing w:after="0" w:line="74" w:lineRule="exact"/>
        <w:rPr>
          <w:sz w:val="20"/>
          <w:szCs w:val="20"/>
          <w:color w:val="auto"/>
        </w:rPr>
      </w:pPr>
    </w:p>
    <w:p>
      <w:pPr>
        <w:ind w:right="240" w:firstLine="464"/>
        <w:spacing w:after="0" w:line="287" w:lineRule="auto"/>
        <w:rPr>
          <w:sz w:val="20"/>
          <w:szCs w:val="20"/>
          <w:color w:val="auto"/>
        </w:rPr>
      </w:pPr>
      <w:r>
        <w:rPr>
          <w:rFonts w:ascii="Times New Roman" w:cs="Times New Roman" w:eastAsia="Times New Roman" w:hAnsi="Times New Roman"/>
          <w:sz w:val="17"/>
          <w:szCs w:val="17"/>
          <w:color w:val="auto"/>
        </w:rPr>
        <w:t>Compensation expense for the non-vested restricted stock and incentive stock units is based on the closing price of the Company's common stock on the date of grant and recognized over the applicable vesting period. Expense for incentive stock units is updated as necessary based on the Company's performance.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8" w:name="page19"/>
    <w:bookmarkEnd w:id="18"/>
    <w:p>
      <w:pPr>
        <w:ind w:right="440" w:firstLine="464"/>
        <w:spacing w:after="0" w:line="272" w:lineRule="auto"/>
        <w:rPr>
          <w:sz w:val="20"/>
          <w:szCs w:val="20"/>
          <w:color w:val="auto"/>
        </w:rPr>
      </w:pPr>
      <w:r>
        <w:rPr>
          <w:rFonts w:ascii="Times New Roman" w:cs="Times New Roman" w:eastAsia="Times New Roman" w:hAnsi="Times New Roman"/>
          <w:sz w:val="17"/>
          <w:szCs w:val="17"/>
          <w:color w:val="auto"/>
        </w:rPr>
        <w:t>The following table summarizes the restricted stock, restricted stock unit and incentive stock unit activity and related information for the three months ended March 31, 2024:</w:t>
      </w:r>
    </w:p>
    <w:tbl>
      <w:tblPr>
        <w:tblLayout w:type="fixed"/>
        <w:tblInd w:w="0" w:type="dxa"/>
        <w:tblCellMar>
          <w:top w:w="0" w:type="dxa"/>
          <w:left w:w="0" w:type="dxa"/>
          <w:bottom w:w="0" w:type="dxa"/>
          <w:right w:w="0" w:type="dxa"/>
        </w:tblCellMar>
      </w:tblPr>
      <w:tr>
        <w:trPr>
          <w:trHeight w:val="142"/>
        </w:trPr>
        <w:tc>
          <w:tcPr>
            <w:tcW w:w="6460" w:type="dxa"/>
            <w:vAlign w:val="bottom"/>
          </w:tcPr>
          <w:p>
            <w:pPr>
              <w:spacing w:after="0"/>
              <w:rPr>
                <w:sz w:val="12"/>
                <w:szCs w:val="12"/>
                <w:color w:val="auto"/>
              </w:rPr>
            </w:pP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Restricted</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Incentive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right="121"/>
              <w:spacing w:after="0" w:line="142"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0"/>
        </w:trPr>
        <w:tc>
          <w:tcPr>
            <w:tcW w:w="646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right="121"/>
              <w:spacing w:after="0" w:line="141" w:lineRule="exact"/>
              <w:rPr>
                <w:sz w:val="20"/>
                <w:szCs w:val="20"/>
                <w:color w:val="auto"/>
              </w:rPr>
            </w:pPr>
            <w:r>
              <w:rPr>
                <w:rFonts w:ascii="Times New Roman" w:cs="Times New Roman" w:eastAsia="Times New Roman" w:hAnsi="Times New Roman"/>
                <w:sz w:val="14"/>
                <w:szCs w:val="14"/>
                <w:b w:val="1"/>
                <w:bCs w:val="1"/>
                <w:color w:val="auto"/>
                <w:w w:val="97"/>
              </w:rPr>
              <w:t>Average Grant</w:t>
            </w: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162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15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right="121"/>
              <w:spacing w:after="0" w:line="142" w:lineRule="exact"/>
              <w:rPr>
                <w:sz w:val="20"/>
                <w:szCs w:val="20"/>
                <w:color w:val="auto"/>
              </w:rPr>
            </w:pPr>
            <w:r>
              <w:rPr>
                <w:rFonts w:ascii="Times New Roman" w:cs="Times New Roman" w:eastAsia="Times New Roman" w:hAnsi="Times New Roman"/>
                <w:sz w:val="14"/>
                <w:szCs w:val="14"/>
                <w:b w:val="1"/>
                <w:bCs w:val="1"/>
                <w:color w:val="auto"/>
                <w:w w:val="97"/>
              </w:rPr>
              <w:t>Date Fair</w:t>
            </w:r>
          </w:p>
        </w:tc>
        <w:tc>
          <w:tcPr>
            <w:tcW w:w="0" w:type="dxa"/>
            <w:vAlign w:val="bottom"/>
          </w:tcPr>
          <w:p>
            <w:pPr>
              <w:spacing w:after="0"/>
              <w:rPr>
                <w:sz w:val="1"/>
                <w:szCs w:val="1"/>
                <w:color w:val="auto"/>
              </w:rPr>
            </w:pPr>
          </w:p>
        </w:tc>
      </w:tr>
      <w:tr>
        <w:trPr>
          <w:trHeight w:val="188"/>
        </w:trPr>
        <w:tc>
          <w:tcPr>
            <w:tcW w:w="646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and Units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Units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218"/>
        </w:trPr>
        <w:tc>
          <w:tcPr>
            <w:tcW w:w="6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2023</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760,569</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692,732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93.65</w:t>
            </w:r>
          </w:p>
        </w:tc>
        <w:tc>
          <w:tcPr>
            <w:tcW w:w="0" w:type="dxa"/>
            <w:vAlign w:val="bottom"/>
          </w:tcPr>
          <w:p>
            <w:pPr>
              <w:spacing w:after="0"/>
              <w:rPr>
                <w:sz w:val="1"/>
                <w:szCs w:val="1"/>
                <w:color w:val="auto"/>
              </w:rPr>
            </w:pPr>
          </w:p>
        </w:tc>
      </w:tr>
      <w:tr>
        <w:trPr>
          <w:trHeight w:val="219"/>
        </w:trPr>
        <w:tc>
          <w:tcPr>
            <w:tcW w:w="64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289,089</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179,457</w:t>
            </w:r>
          </w:p>
        </w:tc>
        <w:tc>
          <w:tcPr>
            <w:tcW w:w="3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141.23</w:t>
            </w: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(246,480)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(298,756)</w:t>
            </w:r>
          </w:p>
        </w:tc>
        <w:tc>
          <w:tcPr>
            <w:tcW w:w="3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87.49</w:t>
            </w:r>
          </w:p>
        </w:tc>
        <w:tc>
          <w:tcPr>
            <w:tcW w:w="0" w:type="dxa"/>
            <w:vAlign w:val="bottom"/>
          </w:tcPr>
          <w:p>
            <w:pPr>
              <w:spacing w:after="0"/>
              <w:rPr>
                <w:sz w:val="1"/>
                <w:szCs w:val="1"/>
                <w:color w:val="auto"/>
              </w:rPr>
            </w:pPr>
          </w:p>
        </w:tc>
      </w:tr>
      <w:tr>
        <w:trPr>
          <w:trHeight w:val="219"/>
        </w:trPr>
        <w:tc>
          <w:tcPr>
            <w:tcW w:w="64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Adjustment for incentive stock awards expected to vest</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77,557</w:t>
            </w:r>
          </w:p>
        </w:tc>
        <w:tc>
          <w:tcPr>
            <w:tcW w:w="3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94.82</w:t>
            </w: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Canceled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(15,940)</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(1,484)</w:t>
            </w:r>
          </w:p>
        </w:tc>
        <w:tc>
          <w:tcPr>
            <w:tcW w:w="3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84.06</w:t>
            </w:r>
          </w:p>
        </w:tc>
        <w:tc>
          <w:tcPr>
            <w:tcW w:w="0" w:type="dxa"/>
            <w:vAlign w:val="bottom"/>
          </w:tcPr>
          <w:p>
            <w:pPr>
              <w:spacing w:after="0"/>
              <w:rPr>
                <w:sz w:val="1"/>
                <w:szCs w:val="1"/>
                <w:color w:val="auto"/>
              </w:rPr>
            </w:pPr>
          </w:p>
        </w:tc>
      </w:tr>
      <w:tr>
        <w:trPr>
          <w:trHeight w:val="212"/>
        </w:trPr>
        <w:tc>
          <w:tcPr>
            <w:tcW w:w="6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at March 31, 2024</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787,238</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649,506</w:t>
            </w:r>
          </w:p>
        </w:tc>
        <w:tc>
          <w:tcPr>
            <w:tcW w:w="3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111.68</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INCOME TAXES</w:t>
      </w:r>
    </w:p>
    <w:p>
      <w:pPr>
        <w:spacing w:after="0" w:line="118" w:lineRule="exact"/>
        <w:rPr>
          <w:sz w:val="20"/>
          <w:szCs w:val="20"/>
          <w:color w:val="auto"/>
        </w:rPr>
      </w:pPr>
    </w:p>
    <w:p>
      <w:pPr>
        <w:ind w:right="300" w:firstLine="464"/>
        <w:spacing w:after="0" w:line="287" w:lineRule="auto"/>
        <w:rPr>
          <w:sz w:val="20"/>
          <w:szCs w:val="20"/>
          <w:color w:val="auto"/>
        </w:rPr>
      </w:pPr>
      <w:r>
        <w:rPr>
          <w:rFonts w:ascii="Times New Roman" w:cs="Times New Roman" w:eastAsia="Times New Roman" w:hAnsi="Times New Roman"/>
          <w:sz w:val="17"/>
          <w:szCs w:val="17"/>
          <w:color w:val="auto"/>
        </w:rPr>
        <w:t>The overall effective tax rate for the three months ended March 31, 2024 and 2023 was 23.6% and 25.5%, respectively. The year over year decrease was primarily driven by higher discrete equity compensation tax deductions for the three months ended March 31, 2024.</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EARNINGS PER SHARE</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computation of basic and diluted earnings per share for Net income attributable to Wabtec shareholders is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1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360" w:type="dxa"/>
            <w:vAlign w:val="bottom"/>
          </w:tcPr>
          <w:p>
            <w:pPr>
              <w:spacing w:after="0"/>
              <w:rPr>
                <w:sz w:val="12"/>
                <w:szCs w:val="12"/>
                <w:color w:val="auto"/>
              </w:rPr>
            </w:pPr>
          </w:p>
        </w:tc>
        <w:tc>
          <w:tcPr>
            <w:tcW w:w="1160" w:type="dxa"/>
            <w:vAlign w:val="bottom"/>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jc w:val="right"/>
              <w:ind w:right="53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1900" w:type="dxa"/>
            <w:vAlign w:val="bottom"/>
            <w:tcBorders>
              <w:top w:val="single" w:sz="8" w:color="auto"/>
              <w:bottom w:val="single" w:sz="8" w:color="CCEEFF"/>
            </w:tcBorders>
          </w:tcPr>
          <w:p>
            <w:pPr>
              <w:spacing w:after="0"/>
              <w:rPr>
                <w:sz w:val="2"/>
                <w:szCs w:val="2"/>
                <w:color w:val="auto"/>
              </w:rPr>
            </w:pPr>
          </w:p>
        </w:tc>
        <w:tc>
          <w:tcPr>
            <w:tcW w:w="6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Numerator</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income attributable to Wabtec shareholders</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100" w:type="dxa"/>
            <w:vAlign w:val="bottom"/>
            <w:gridSpan w:val="3"/>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Denominator</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 - basic</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179.9</w:t>
            </w:r>
          </w:p>
        </w:tc>
        <w:tc>
          <w:tcPr>
            <w:tcW w:w="0" w:type="dxa"/>
            <w:vAlign w:val="bottom"/>
          </w:tcPr>
          <w:p>
            <w:pPr>
              <w:spacing w:after="0"/>
              <w:rPr>
                <w:sz w:val="1"/>
                <w:szCs w:val="1"/>
                <w:color w:val="auto"/>
              </w:rPr>
            </w:pP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dilutive securities: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1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Assumed conversion of dilutive stock-based compensation plans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0" w:type="dxa"/>
            <w:vAlign w:val="bottom"/>
          </w:tcPr>
          <w:p>
            <w:pPr>
              <w:spacing w:after="0"/>
              <w:rPr>
                <w:sz w:val="1"/>
                <w:szCs w:val="1"/>
                <w:color w:val="auto"/>
              </w:rPr>
            </w:pPr>
          </w:p>
        </w:tc>
      </w:tr>
      <w:tr>
        <w:trPr>
          <w:trHeight w:val="237"/>
        </w:trPr>
        <w:tc>
          <w:tcPr>
            <w:tcW w:w="81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 - diluted</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177.2</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180.6</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attributable to Wabtec shareholders per common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10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0.94</w:t>
            </w:r>
          </w:p>
        </w:tc>
        <w:tc>
          <w:tcPr>
            <w:tcW w:w="0" w:type="dxa"/>
            <w:vAlign w:val="bottom"/>
          </w:tcPr>
          <w:p>
            <w:pPr>
              <w:spacing w:after="0"/>
              <w:rPr>
                <w:sz w:val="1"/>
                <w:szCs w:val="1"/>
                <w:color w:val="auto"/>
              </w:rPr>
            </w:pPr>
          </w:p>
        </w:tc>
      </w:tr>
      <w:tr>
        <w:trPr>
          <w:trHeight w:val="223"/>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00" w:type="dxa"/>
            <w:vAlign w:val="bottom"/>
          </w:tcPr>
          <w:p>
            <w:pPr>
              <w:spacing w:after="0"/>
              <w:rPr>
                <w:sz w:val="19"/>
                <w:szCs w:val="19"/>
                <w:color w:val="auto"/>
              </w:rPr>
            </w:pPr>
          </w:p>
        </w:tc>
        <w:tc>
          <w:tcPr>
            <w:tcW w:w="6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0.93</w:t>
            </w:r>
          </w:p>
        </w:tc>
        <w:tc>
          <w:tcPr>
            <w:tcW w:w="0" w:type="dxa"/>
            <w:vAlign w:val="bottom"/>
          </w:tcPr>
          <w:p>
            <w:pPr>
              <w:spacing w:after="0"/>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WARRANTIES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reconciles the changes in the Company’s product warranty reserve for the three months ended March 31, 2024 and 2023:</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3"/>
                <w:szCs w:val="13"/>
                <w:color w:val="auto"/>
              </w:rPr>
            </w:pPr>
          </w:p>
        </w:tc>
        <w:tc>
          <w:tcPr>
            <w:tcW w:w="11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2"/>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Warranty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Warranty claim payments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19"/>
        </w:trPr>
        <w:tc>
          <w:tcPr>
            <w:tcW w:w="81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Foreign currency impact/other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37"/>
        </w:trPr>
        <w:tc>
          <w:tcPr>
            <w:tcW w:w="81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March 31</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7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color w:val="auto"/>
        </w:rPr>
        <w:t>13. FAIR VALUE MEASUREMENT AND DERIVATIVE INSTRUMENTS</w:t>
      </w:r>
    </w:p>
    <w:p>
      <w:pPr>
        <w:spacing w:after="0" w:line="118" w:lineRule="exact"/>
        <w:rPr>
          <w:sz w:val="20"/>
          <w:szCs w:val="20"/>
          <w:color w:val="auto"/>
        </w:rPr>
      </w:pPr>
    </w:p>
    <w:p>
      <w:pPr>
        <w:ind w:right="200" w:firstLine="464"/>
        <w:spacing w:after="0" w:line="264" w:lineRule="auto"/>
        <w:rPr>
          <w:sz w:val="20"/>
          <w:szCs w:val="20"/>
          <w:color w:val="auto"/>
        </w:rPr>
      </w:pPr>
      <w:r>
        <w:rPr>
          <w:rFonts w:ascii="Times New Roman" w:cs="Times New Roman" w:eastAsia="Times New Roman" w:hAnsi="Times New Roman"/>
          <w:sz w:val="17"/>
          <w:szCs w:val="17"/>
          <w:color w:val="auto"/>
        </w:rPr>
        <w:t>ASC 820 “Fair Value Measurements and Disclosures” defines fair value, establishes a framework for measuring fair value and explains the related disclosure requirements. ASC 820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64" w:lineRule="exact"/>
        <w:rPr>
          <w:sz w:val="20"/>
          <w:szCs w:val="20"/>
          <w:color w:val="auto"/>
        </w:rPr>
      </w:pPr>
    </w:p>
    <w:p>
      <w:pPr>
        <w:ind w:right="80" w:firstLine="464"/>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Valuation Hierarchy. </w:t>
      </w:r>
      <w:r>
        <w:rPr>
          <w:rFonts w:ascii="Times New Roman" w:cs="Times New Roman" w:eastAsia="Times New Roman" w:hAnsi="Times New Roman"/>
          <w:sz w:val="17"/>
          <w:szCs w:val="17"/>
          <w:color w:val="auto"/>
        </w:rPr>
        <w:t>ASC 820 establishes a valuation hierarchy for disclosure of the inputs to valuation used to measure fair value. This hierarchy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assumptions used to measure assets and liabilities at fair value. A financial asset or liability’s classification within the hierarchy is determined based on the lowest level input that is significant to the fair value measurement.</w:t>
      </w:r>
    </w:p>
    <w:p>
      <w:pPr>
        <w:spacing w:after="0" w:line="69" w:lineRule="exact"/>
        <w:rPr>
          <w:sz w:val="20"/>
          <w:szCs w:val="20"/>
          <w:color w:val="auto"/>
        </w:rPr>
      </w:pPr>
    </w:p>
    <w:p>
      <w:pPr>
        <w:ind w:firstLine="464"/>
        <w:spacing w:after="0" w:line="260" w:lineRule="auto"/>
        <w:rPr>
          <w:sz w:val="20"/>
          <w:szCs w:val="20"/>
          <w:color w:val="auto"/>
        </w:rPr>
      </w:pPr>
      <w:r>
        <w:rPr>
          <w:rFonts w:ascii="Times New Roman" w:cs="Times New Roman" w:eastAsia="Times New Roman" w:hAnsi="Times New Roman"/>
          <w:sz w:val="17"/>
          <w:szCs w:val="17"/>
          <w:color w:val="auto"/>
        </w:rPr>
        <w:t>The Company’s cash, cash equivalents and restricted cash are highly liquid investments purchased with an original maturity of three months or less and are considered Level 1 on the fair value valuation hierarchy. The fair value of cash, cash equivalents and restricted cash approximated the carrying value at March 31, 2024 and December 31, 2023. The Senior Notes are considered Level 2 based on the fair value valuation hierarchy. Contingent consideration related to the GE Transportation acquisition is considered Level 3 based on the fair value valuation hierarchy. At March 31, 2024 and December 31, 2023, $42 million was classified as "Other accrued liabilities" on the Company's Condensed Consolidated Balance Sheets. The fair value approximates the carrying value at March 31, 2024 and December 31, 2023.</w:t>
      </w:r>
    </w:p>
    <w:p>
      <w:pPr>
        <w:spacing w:after="0" w:line="64" w:lineRule="exact"/>
        <w:rPr>
          <w:sz w:val="20"/>
          <w:szCs w:val="20"/>
          <w:color w:val="auto"/>
        </w:rPr>
      </w:pPr>
    </w:p>
    <w:p>
      <w:pPr>
        <w:ind w:right="40" w:firstLine="464"/>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Hedging Activities </w:t>
      </w:r>
      <w:r>
        <w:rPr>
          <w:rFonts w:ascii="Times New Roman" w:cs="Times New Roman" w:eastAsia="Times New Roman" w:hAnsi="Times New Roman"/>
          <w:sz w:val="17"/>
          <w:szCs w:val="17"/>
          <w:color w:val="auto"/>
        </w:rPr>
        <w:t>In the normal course of business, the Company is exposed to market risk related to interest rates, commodity prices and foreign currency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exchange rate fluctuations, which may adversely affect our operating results and financial position. At times, we limit these risks through the use of derivatives such as cross-currency swaps, foreign currency forward contracts, interest rate swaps, commodity swaps and options. These hedging contracts are valued using broker quotations, or market transactions in either the listed or over-the-counter markets. As such, these derivative instruments are classified within Level 2. In accordance with our policy, derivatives are only used for hedging purposes. We do not use derivatives for trading or speculative purposes.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Currency Exchange Risk</w:t>
      </w:r>
    </w:p>
    <w:p>
      <w:pPr>
        <w:spacing w:after="0" w:line="118" w:lineRule="exact"/>
        <w:rPr>
          <w:sz w:val="20"/>
          <w:szCs w:val="20"/>
          <w:color w:val="auto"/>
        </w:rPr>
      </w:pPr>
    </w:p>
    <w:p>
      <w:pPr>
        <w:ind w:right="20" w:firstLine="464"/>
        <w:spacing w:after="0" w:line="261" w:lineRule="auto"/>
        <w:rPr>
          <w:sz w:val="20"/>
          <w:szCs w:val="20"/>
          <w:color w:val="auto"/>
        </w:rPr>
      </w:pPr>
      <w:r>
        <w:rPr>
          <w:rFonts w:ascii="Times New Roman" w:cs="Times New Roman" w:eastAsia="Times New Roman" w:hAnsi="Times New Roman"/>
          <w:sz w:val="17"/>
          <w:szCs w:val="17"/>
          <w:color w:val="auto"/>
        </w:rPr>
        <w:t>The Company uses forward contracts to hedge forecasted foreign currency denominated sales of finished goods and future settlement of foreign currency denominated assets and liabilities. Derivatives used to hedge firm commitments relevant to sales and purchases and forecasted transactions to be realized with high probability that meet the criteria for hedge accounting are designated as cash flow hedges. The effective portion of gains and losses is deferred as a component of Accumulated other comprehensive loss and is recognized in earnings at the time the hedged item affects earnings, in the same line item as the underlying hedged item. For the three months ended March 31, 2024 and 2023, the amounts reclassified into income were not material.</w:t>
      </w:r>
    </w:p>
    <w:p>
      <w:pPr>
        <w:spacing w:after="0" w:line="72" w:lineRule="exact"/>
        <w:rPr>
          <w:sz w:val="20"/>
          <w:szCs w:val="20"/>
          <w:color w:val="auto"/>
        </w:rPr>
      </w:pPr>
    </w:p>
    <w:p>
      <w:pPr>
        <w:ind w:firstLine="464"/>
        <w:spacing w:after="0" w:line="258" w:lineRule="auto"/>
        <w:rPr>
          <w:sz w:val="20"/>
          <w:szCs w:val="20"/>
          <w:color w:val="auto"/>
        </w:rPr>
      </w:pPr>
      <w:r>
        <w:rPr>
          <w:rFonts w:ascii="Times New Roman" w:cs="Times New Roman" w:eastAsia="Times New Roman" w:hAnsi="Times New Roman"/>
          <w:sz w:val="17"/>
          <w:szCs w:val="17"/>
          <w:color w:val="auto"/>
        </w:rPr>
        <w:t>The Company has also established balance sheet risk management and net investment hedging programs to protect its balance sheet against foreign currency exchange rate volatility. We conduct our business worldwide in U.S. dollars and the functional currencies of our foreign subsidiaries, including euro, Indian rupee, British pound sterling, Australian dollars and several other foreign currencies. Changes in these foreign currency exchange rates could have a material adverse impact on our financial results that are reported in U.S. dollars. We are also exposed to foreign currency exchange rate risk related to our foreign subsidiaries, including intercompany loans denominated in non-functional currencies. We hedge these exposures using foreign currency swap contracts and cross-currency swaps to offset the potential income statement effects on intercompany loans denominated in non-functional currencies. These programs reduce but do not eliminate foreign currency exchange rate risk entirely.</w:t>
      </w:r>
    </w:p>
    <w:p>
      <w:pPr>
        <w:spacing w:after="0" w:line="76" w:lineRule="exact"/>
        <w:rPr>
          <w:sz w:val="20"/>
          <w:szCs w:val="20"/>
          <w:color w:val="auto"/>
        </w:rPr>
      </w:pPr>
    </w:p>
    <w:p>
      <w:pPr>
        <w:ind w:right="40" w:firstLine="464"/>
        <w:spacing w:after="0" w:line="264" w:lineRule="auto"/>
        <w:rPr>
          <w:sz w:val="20"/>
          <w:szCs w:val="20"/>
          <w:color w:val="auto"/>
        </w:rPr>
      </w:pPr>
      <w:r>
        <w:rPr>
          <w:rFonts w:ascii="Times New Roman" w:cs="Times New Roman" w:eastAsia="Times New Roman" w:hAnsi="Times New Roman"/>
          <w:sz w:val="17"/>
          <w:szCs w:val="17"/>
          <w:color w:val="auto"/>
        </w:rPr>
        <w:t>The Company enters into certain derivative contracts in accordance with its risk management strategy that do not meet the criteria for hedge accounting, but which have the impact of largely mitigating foreign currency exposure. These foreign exchange contracts are accounted for on a full mark to market basis through earnings, with gains and losses recorded as a component of Other income, net. The net gains and losses related to these contracts were not material for the three months ended March 31, 2024 and 2023. These contracts typically mature within one year.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Risk</w:t>
      </w:r>
    </w:p>
    <w:p>
      <w:pPr>
        <w:spacing w:after="0" w:line="118" w:lineRule="exact"/>
        <w:rPr>
          <w:sz w:val="20"/>
          <w:szCs w:val="20"/>
          <w:color w:val="auto"/>
        </w:rPr>
      </w:pPr>
    </w:p>
    <w:p>
      <w:pPr>
        <w:ind w:right="120" w:firstLine="464"/>
        <w:spacing w:after="0" w:line="276" w:lineRule="auto"/>
        <w:rPr>
          <w:sz w:val="20"/>
          <w:szCs w:val="20"/>
          <w:color w:val="auto"/>
        </w:rPr>
      </w:pPr>
      <w:r>
        <w:rPr>
          <w:rFonts w:ascii="Times New Roman" w:cs="Times New Roman" w:eastAsia="Times New Roman" w:hAnsi="Times New Roman"/>
          <w:sz w:val="17"/>
          <w:szCs w:val="17"/>
          <w:color w:val="auto"/>
        </w:rPr>
        <w:t>The Company may use interest rate hedge contracts on certain investing and borrowing transactions to manage its net exposure to interest rate changes and to manage its overall cost of borrowing. The Company does not use leveraged swaps and, in general, does not leverage any of its investment activities that would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put principal capital at risk. During the first quarter of</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color w:val="auto"/>
        </w:rPr>
        <w:t>2024, the Company utilized all outstanding interest rate hedge contracts to help manage interest expense for the 2034 Notes. For the three months ended March 31,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2024 and 2023, the amounts reclassified into income were not material.</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Commodity Price Risk</w:t>
      </w:r>
    </w:p>
    <w:p>
      <w:pPr>
        <w:spacing w:after="0" w:line="118" w:lineRule="exact"/>
        <w:rPr>
          <w:sz w:val="20"/>
          <w:szCs w:val="20"/>
          <w:color w:val="auto"/>
        </w:rPr>
      </w:pPr>
    </w:p>
    <w:p>
      <w:pPr>
        <w:ind w:right="140" w:firstLine="464"/>
        <w:spacing w:after="0" w:line="287" w:lineRule="auto"/>
        <w:rPr>
          <w:sz w:val="20"/>
          <w:szCs w:val="20"/>
          <w:color w:val="auto"/>
        </w:rPr>
      </w:pPr>
      <w:r>
        <w:rPr>
          <w:rFonts w:ascii="Times New Roman" w:cs="Times New Roman" w:eastAsia="Times New Roman" w:hAnsi="Times New Roman"/>
          <w:sz w:val="17"/>
          <w:szCs w:val="17"/>
          <w:color w:val="auto"/>
        </w:rPr>
        <w:t>The Company may use commodity forward swaps to manage its exposure to commodity price changes and to reduce its overall cost of manufacturing. For the three months ended March 31, 2024 and 2023, the amounts recognized as income or expense were not material.</w:t>
      </w:r>
    </w:p>
    <w:p>
      <w:pPr>
        <w:spacing w:after="0" w:line="48" w:lineRule="exact"/>
        <w:rPr>
          <w:sz w:val="20"/>
          <w:szCs w:val="20"/>
          <w:color w:val="auto"/>
        </w:rPr>
      </w:pPr>
    </w:p>
    <w:p>
      <w:pPr>
        <w:jc w:val="both"/>
        <w:ind w:right="100" w:firstLine="464"/>
        <w:spacing w:after="0" w:line="269" w:lineRule="auto"/>
        <w:rPr>
          <w:sz w:val="20"/>
          <w:szCs w:val="20"/>
          <w:color w:val="auto"/>
        </w:rPr>
      </w:pPr>
      <w:r>
        <w:rPr>
          <w:rFonts w:ascii="Times New Roman" w:cs="Times New Roman" w:eastAsia="Times New Roman" w:hAnsi="Times New Roman"/>
          <w:sz w:val="17"/>
          <w:szCs w:val="17"/>
          <w:color w:val="auto"/>
        </w:rPr>
        <w:t>The following table summarizes the assets, liabilities, gross notional amounts, fair values, and fair value hierarchy classification of the designated and non-designated hedges discussed in the above sections as of March 31, 2024, which are included in other current assets and liabilities on the Condensed Consolidated Balance Sheets: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80" w:type="dxa"/>
            <w:vAlign w:val="bottom"/>
            <w:gridSpan w:val="5"/>
          </w:tcPr>
          <w:p>
            <w:pPr>
              <w:ind w:left="96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240" w:type="dxa"/>
            <w:vAlign w:val="bottom"/>
          </w:tcPr>
          <w:p>
            <w:pPr>
              <w:spacing w:after="0"/>
              <w:rPr>
                <w:sz w:val="17"/>
                <w:szCs w:val="17"/>
                <w:color w:val="auto"/>
              </w:rPr>
            </w:pPr>
          </w:p>
        </w:tc>
        <w:tc>
          <w:tcPr>
            <w:tcW w:w="2900" w:type="dxa"/>
            <w:vAlign w:val="bottom"/>
            <w:gridSpan w:val="4"/>
          </w:tcPr>
          <w:p>
            <w:pPr>
              <w:jc w:val="right"/>
              <w:ind w:right="696"/>
              <w:spacing w:after="0"/>
              <w:rPr>
                <w:sz w:val="20"/>
                <w:szCs w:val="20"/>
                <w:color w:val="auto"/>
              </w:rPr>
            </w:pPr>
            <w:r>
              <w:rPr>
                <w:rFonts w:ascii="Times New Roman" w:cs="Times New Roman" w:eastAsia="Times New Roman" w:hAnsi="Times New Roman"/>
                <w:sz w:val="15"/>
                <w:szCs w:val="15"/>
                <w:b w:val="1"/>
                <w:bCs w:val="1"/>
                <w:color w:val="auto"/>
              </w:rPr>
              <w:t>Gross Notional Amount</w:t>
            </w:r>
          </w:p>
        </w:tc>
      </w:tr>
      <w:tr>
        <w:trPr>
          <w:trHeight w:val="153"/>
        </w:trPr>
        <w:tc>
          <w:tcPr>
            <w:tcW w:w="32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5"/>
                <w:szCs w:val="15"/>
                <w:b w:val="1"/>
                <w:bCs w:val="1"/>
                <w:color w:val="auto"/>
              </w:rPr>
              <w:t>Level</w:t>
            </w:r>
          </w:p>
        </w:tc>
        <w:tc>
          <w:tcPr>
            <w:tcW w:w="2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ind w:left="140"/>
              <w:spacing w:after="0" w:line="135" w:lineRule="exact"/>
              <w:rPr>
                <w:sz w:val="20"/>
                <w:szCs w:val="20"/>
                <w:color w:val="auto"/>
              </w:rPr>
            </w:pPr>
            <w:r>
              <w:rPr>
                <w:rFonts w:ascii="Times New Roman" w:cs="Times New Roman" w:eastAsia="Times New Roman" w:hAnsi="Times New Roman"/>
                <w:sz w:val="15"/>
                <w:szCs w:val="15"/>
                <w:b w:val="1"/>
                <w:bCs w:val="1"/>
                <w:color w:val="auto"/>
              </w:rPr>
              <w:t>Designated</w:t>
            </w: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ind w:left="60"/>
              <w:spacing w:after="0" w:line="135" w:lineRule="exact"/>
              <w:rPr>
                <w:sz w:val="20"/>
                <w:szCs w:val="20"/>
                <w:color w:val="auto"/>
              </w:rPr>
            </w:pPr>
            <w:r>
              <w:rPr>
                <w:rFonts w:ascii="Times New Roman" w:cs="Times New Roman" w:eastAsia="Times New Roman" w:hAnsi="Times New Roman"/>
                <w:sz w:val="15"/>
                <w:szCs w:val="15"/>
                <w:b w:val="1"/>
                <w:bCs w:val="1"/>
                <w:color w:val="auto"/>
              </w:rPr>
              <w:t>Non-Designated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ind w:left="160"/>
              <w:spacing w:after="0" w:line="135" w:lineRule="exact"/>
              <w:rPr>
                <w:sz w:val="20"/>
                <w:szCs w:val="20"/>
                <w:color w:val="auto"/>
              </w:rPr>
            </w:pPr>
            <w:r>
              <w:rPr>
                <w:rFonts w:ascii="Times New Roman" w:cs="Times New Roman" w:eastAsia="Times New Roman" w:hAnsi="Times New Roman"/>
                <w:sz w:val="15"/>
                <w:szCs w:val="15"/>
                <w:b w:val="1"/>
                <w:bCs w:val="1"/>
                <w:color w:val="auto"/>
              </w:rPr>
              <w:t>Designated</w:t>
            </w: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156"/>
              <w:spacing w:after="0" w:line="135" w:lineRule="exact"/>
              <w:rPr>
                <w:sz w:val="20"/>
                <w:szCs w:val="20"/>
                <w:color w:val="auto"/>
              </w:rPr>
            </w:pPr>
            <w:r>
              <w:rPr>
                <w:rFonts w:ascii="Times New Roman" w:cs="Times New Roman" w:eastAsia="Times New Roman" w:hAnsi="Times New Roman"/>
                <w:sz w:val="15"/>
                <w:szCs w:val="15"/>
                <w:b w:val="1"/>
                <w:bCs w:val="1"/>
                <w:color w:val="auto"/>
              </w:rPr>
              <w:t>Non-Designated</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9"/>
        </w:trPr>
        <w:tc>
          <w:tcPr>
            <w:tcW w:w="3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Other current assets</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r>
      <w:tr>
        <w:trPr>
          <w:trHeight w:val="219"/>
        </w:trPr>
        <w:tc>
          <w:tcPr>
            <w:tcW w:w="20" w:type="dxa"/>
            <w:vAlign w:val="bottom"/>
            <w:shd w:val="clear" w:color="auto" w:fill="CCEEFF"/>
          </w:tcPr>
          <w:p>
            <w:pPr>
              <w:spacing w:after="0"/>
              <w:rPr>
                <w:sz w:val="19"/>
                <w:szCs w:val="19"/>
                <w:color w:val="auto"/>
              </w:rPr>
            </w:pPr>
          </w:p>
        </w:tc>
        <w:tc>
          <w:tcPr>
            <w:tcW w:w="3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212"/>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241</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00" w:firstLine="464"/>
        <w:spacing w:after="0" w:line="269" w:lineRule="auto"/>
        <w:rPr>
          <w:sz w:val="20"/>
          <w:szCs w:val="20"/>
          <w:color w:val="auto"/>
        </w:rPr>
      </w:pPr>
      <w:r>
        <w:rPr>
          <w:rFonts w:ascii="Times New Roman" w:cs="Times New Roman" w:eastAsia="Times New Roman" w:hAnsi="Times New Roman"/>
          <w:sz w:val="17"/>
          <w:szCs w:val="17"/>
          <w:color w:val="auto"/>
        </w:rPr>
        <w:t>The following table summarizes the assets, liabilities, gross notional amounts, fair values, and fair value hierarchy classification of the designated and non-designated hedges discussed in the above sections as of December 31, 2023, which are included in other current assets and liabilities on the Condensed Consolidated Balance Sheets: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80" w:type="dxa"/>
            <w:vAlign w:val="bottom"/>
            <w:gridSpan w:val="5"/>
          </w:tcPr>
          <w:p>
            <w:pPr>
              <w:ind w:left="96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240" w:type="dxa"/>
            <w:vAlign w:val="bottom"/>
          </w:tcPr>
          <w:p>
            <w:pPr>
              <w:spacing w:after="0"/>
              <w:rPr>
                <w:sz w:val="17"/>
                <w:szCs w:val="17"/>
                <w:color w:val="auto"/>
              </w:rPr>
            </w:pPr>
          </w:p>
        </w:tc>
        <w:tc>
          <w:tcPr>
            <w:tcW w:w="2900" w:type="dxa"/>
            <w:vAlign w:val="bottom"/>
            <w:gridSpan w:val="4"/>
          </w:tcPr>
          <w:p>
            <w:pPr>
              <w:jc w:val="right"/>
              <w:ind w:right="696"/>
              <w:spacing w:after="0"/>
              <w:rPr>
                <w:sz w:val="20"/>
                <w:szCs w:val="20"/>
                <w:color w:val="auto"/>
              </w:rPr>
            </w:pPr>
            <w:r>
              <w:rPr>
                <w:rFonts w:ascii="Times New Roman" w:cs="Times New Roman" w:eastAsia="Times New Roman" w:hAnsi="Times New Roman"/>
                <w:sz w:val="15"/>
                <w:szCs w:val="15"/>
                <w:b w:val="1"/>
                <w:bCs w:val="1"/>
                <w:color w:val="auto"/>
              </w:rPr>
              <w:t>Gross Notional Amount</w:t>
            </w:r>
          </w:p>
        </w:tc>
      </w:tr>
      <w:tr>
        <w:trPr>
          <w:trHeight w:val="153"/>
        </w:trPr>
        <w:tc>
          <w:tcPr>
            <w:tcW w:w="32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5"/>
                <w:szCs w:val="15"/>
                <w:b w:val="1"/>
                <w:bCs w:val="1"/>
                <w:color w:val="auto"/>
              </w:rPr>
              <w:t>Level</w:t>
            </w:r>
          </w:p>
        </w:tc>
        <w:tc>
          <w:tcPr>
            <w:tcW w:w="2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ind w:left="140"/>
              <w:spacing w:after="0" w:line="135" w:lineRule="exact"/>
              <w:rPr>
                <w:sz w:val="20"/>
                <w:szCs w:val="20"/>
                <w:color w:val="auto"/>
              </w:rPr>
            </w:pPr>
            <w:r>
              <w:rPr>
                <w:rFonts w:ascii="Times New Roman" w:cs="Times New Roman" w:eastAsia="Times New Roman" w:hAnsi="Times New Roman"/>
                <w:sz w:val="15"/>
                <w:szCs w:val="15"/>
                <w:b w:val="1"/>
                <w:bCs w:val="1"/>
                <w:color w:val="auto"/>
              </w:rPr>
              <w:t>Designated</w:t>
            </w: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156"/>
              <w:spacing w:after="0" w:line="135" w:lineRule="exact"/>
              <w:rPr>
                <w:sz w:val="20"/>
                <w:szCs w:val="20"/>
                <w:color w:val="auto"/>
              </w:rPr>
            </w:pPr>
            <w:r>
              <w:rPr>
                <w:rFonts w:ascii="Times New Roman" w:cs="Times New Roman" w:eastAsia="Times New Roman" w:hAnsi="Times New Roman"/>
                <w:sz w:val="15"/>
                <w:szCs w:val="15"/>
                <w:b w:val="1"/>
                <w:bCs w:val="1"/>
                <w:color w:val="auto"/>
              </w:rPr>
              <w:t>Non-Designated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ind w:left="160"/>
              <w:spacing w:after="0" w:line="135" w:lineRule="exact"/>
              <w:rPr>
                <w:sz w:val="20"/>
                <w:szCs w:val="20"/>
                <w:color w:val="auto"/>
              </w:rPr>
            </w:pPr>
            <w:r>
              <w:rPr>
                <w:rFonts w:ascii="Times New Roman" w:cs="Times New Roman" w:eastAsia="Times New Roman" w:hAnsi="Times New Roman"/>
                <w:sz w:val="15"/>
                <w:szCs w:val="15"/>
                <w:b w:val="1"/>
                <w:bCs w:val="1"/>
                <w:color w:val="auto"/>
              </w:rPr>
              <w:t>Designated</w:t>
            </w: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156"/>
              <w:spacing w:after="0" w:line="135" w:lineRule="exact"/>
              <w:rPr>
                <w:sz w:val="20"/>
                <w:szCs w:val="20"/>
                <w:color w:val="auto"/>
              </w:rPr>
            </w:pPr>
            <w:r>
              <w:rPr>
                <w:rFonts w:ascii="Times New Roman" w:cs="Times New Roman" w:eastAsia="Times New Roman" w:hAnsi="Times New Roman"/>
                <w:sz w:val="15"/>
                <w:szCs w:val="15"/>
                <w:b w:val="1"/>
                <w:bCs w:val="1"/>
                <w:color w:val="auto"/>
              </w:rPr>
              <w:t>Non-Designated</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9"/>
        </w:trPr>
        <w:tc>
          <w:tcPr>
            <w:tcW w:w="3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Other current assets</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r>
      <w:tr>
        <w:trPr>
          <w:trHeight w:val="219"/>
        </w:trPr>
        <w:tc>
          <w:tcPr>
            <w:tcW w:w="20" w:type="dxa"/>
            <w:vAlign w:val="bottom"/>
            <w:shd w:val="clear" w:color="auto" w:fill="CCEEFF"/>
          </w:tcPr>
          <w:p>
            <w:pPr>
              <w:spacing w:after="0"/>
              <w:rPr>
                <w:sz w:val="19"/>
                <w:szCs w:val="19"/>
                <w:color w:val="auto"/>
              </w:rPr>
            </w:pPr>
          </w:p>
        </w:tc>
        <w:tc>
          <w:tcPr>
            <w:tcW w:w="3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r>
      <w:tr>
        <w:trPr>
          <w:trHeight w:val="199"/>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Interest Rate Contracts</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9"/>
        </w:trPr>
        <w:tc>
          <w:tcPr>
            <w:tcW w:w="20" w:type="dxa"/>
            <w:vAlign w:val="bottom"/>
            <w:shd w:val="clear" w:color="auto" w:fill="CCEEFF"/>
          </w:tcPr>
          <w:p>
            <w:pPr>
              <w:spacing w:after="0"/>
              <w:rPr>
                <w:sz w:val="19"/>
                <w:szCs w:val="19"/>
                <w:color w:val="auto"/>
              </w:rPr>
            </w:pPr>
          </w:p>
        </w:tc>
        <w:tc>
          <w:tcPr>
            <w:tcW w:w="3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current assets</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COMMITMENTS AND CONTINGENCIES</w:t>
      </w:r>
    </w:p>
    <w:p>
      <w:pPr>
        <w:spacing w:after="0" w:line="118" w:lineRule="exact"/>
        <w:rPr>
          <w:sz w:val="20"/>
          <w:szCs w:val="20"/>
          <w:color w:val="auto"/>
        </w:rPr>
      </w:pPr>
    </w:p>
    <w:p>
      <w:pPr>
        <w:ind w:right="80" w:firstLine="464"/>
        <w:spacing w:after="0" w:line="264" w:lineRule="auto"/>
        <w:rPr>
          <w:sz w:val="20"/>
          <w:szCs w:val="20"/>
          <w:color w:val="auto"/>
        </w:rPr>
      </w:pPr>
      <w:r>
        <w:rPr>
          <w:rFonts w:ascii="Times New Roman" w:cs="Times New Roman" w:eastAsia="Times New Roman" w:hAnsi="Times New Roman"/>
          <w:sz w:val="17"/>
          <w:szCs w:val="17"/>
          <w:color w:val="auto"/>
        </w:rPr>
        <w:t>The Company is subject to a variety of environmental laws and regulations governing discharges to air and water, the handling, storage and disposal of hazardous or solid waste materials and the remediation of contamination associated with releases of hazardous substances. The Company believes its operations currently comply in all material respects with all of the various environmental laws and regulations applicable to our business; however, there can be no assurance that environmental requirements will not change in the future or that we will not incur significant costs to comply with such requirements.</w:t>
      </w:r>
    </w:p>
    <w:p>
      <w:pPr>
        <w:spacing w:after="0" w:line="68" w:lineRule="exact"/>
        <w:rPr>
          <w:sz w:val="20"/>
          <w:szCs w:val="20"/>
          <w:color w:val="auto"/>
        </w:rPr>
      </w:pPr>
    </w:p>
    <w:p>
      <w:pPr>
        <w:ind w:right="40" w:firstLine="464"/>
        <w:spacing w:after="0" w:line="258" w:lineRule="auto"/>
        <w:rPr>
          <w:sz w:val="20"/>
          <w:szCs w:val="20"/>
          <w:color w:val="auto"/>
        </w:rPr>
      </w:pPr>
      <w:r>
        <w:rPr>
          <w:rFonts w:ascii="Times New Roman" w:cs="Times New Roman" w:eastAsia="Times New Roman" w:hAnsi="Times New Roman"/>
          <w:sz w:val="17"/>
          <w:szCs w:val="17"/>
          <w:color w:val="auto"/>
        </w:rPr>
        <w:t>Claims have been filed against the Company and certain of its affiliates in various jurisdictions across the United States by persons alleging bodily injury as a result of exposure to asbestos-containing products. The vast majority of the claims are submitted to insurance carriers for defense and indemnity, or to non-affiliated companies that retain the liabilities for the asbestos-containing products at issue. We cannot, however, assure that all of these claims will be fully covered by insurance, or that the indemnitors or insurers will remain financially viable. Our ultimate legal and financial liability with respect to these claims, as is the case with other pending litigation, cannot be estimated. A limited number of claims are not covered by insurance, nor are they subject to indemnity from non-affiliated parties. Management believes that the costs of the Company’s asbestos-related cases will not be material to the Company’s overall financial position, results of operations and cash flows.</w:t>
      </w:r>
    </w:p>
    <w:p>
      <w:pPr>
        <w:spacing w:after="0" w:line="76" w:lineRule="exact"/>
        <w:rPr>
          <w:sz w:val="20"/>
          <w:szCs w:val="20"/>
          <w:color w:val="auto"/>
        </w:rPr>
      </w:pPr>
    </w:p>
    <w:p>
      <w:pPr>
        <w:ind w:right="100" w:firstLine="464"/>
        <w:spacing w:after="0" w:line="258" w:lineRule="auto"/>
        <w:rPr>
          <w:sz w:val="20"/>
          <w:szCs w:val="20"/>
          <w:color w:val="auto"/>
        </w:rPr>
      </w:pPr>
      <w:r>
        <w:rPr>
          <w:rFonts w:ascii="Times New Roman" w:cs="Times New Roman" w:eastAsia="Times New Roman" w:hAnsi="Times New Roman"/>
          <w:sz w:val="17"/>
          <w:szCs w:val="17"/>
          <w:color w:val="auto"/>
        </w:rPr>
        <w:t>During the third quarter of 2023, a competitor of the Company, Progress Rail (“Progress”), which is a Caterpillar Inc. company, sued the Company in the U.S. District Court for the District of Delaware asserting antitrust, breach of contract, unfair competition law, and misrepresentation claims. The complaint challenges the Wabtec-GE Transportation merger and contends that since the merger, Wabtec has unlawfully monopolized the markets for long-haul freight locomotives, Tier IV long-haul freight locomotives, and energy management systems by, among other things, failing to ensure that Progress’ products are interoperable with Wabtec’s locomotives and cab electronics. The case is currently at an early stage. Progress seeks an order requiring Wabtec to divest GE Transportation, unspecified treble damages for its alleged lost profits from reduced sales of locomotive and cab systems, and attorneys’ fees and costs. It also asks the court to enjoin Wabtec from engaging in the conduct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1" w:name="page22"/>
    <w:bookmarkEnd w:id="21"/>
    <w:p>
      <w:pPr>
        <w:ind w:right="440"/>
        <w:spacing w:after="0" w:line="287" w:lineRule="auto"/>
        <w:rPr>
          <w:sz w:val="20"/>
          <w:szCs w:val="20"/>
          <w:color w:val="auto"/>
        </w:rPr>
      </w:pPr>
      <w:r>
        <w:rPr>
          <w:rFonts w:ascii="Times New Roman" w:cs="Times New Roman" w:eastAsia="Times New Roman" w:hAnsi="Times New Roman"/>
          <w:sz w:val="17"/>
          <w:szCs w:val="17"/>
          <w:color w:val="auto"/>
        </w:rPr>
        <w:t>and require the Company to comply with its agreements with Progress. Wabtec intends to vigorously defend itself against this lawsuit and believes that it has meritorious defenses to the claims asserted by Progress.</w:t>
      </w:r>
    </w:p>
    <w:p>
      <w:pPr>
        <w:spacing w:after="0" w:line="48" w:lineRule="exact"/>
        <w:rPr>
          <w:sz w:val="20"/>
          <w:szCs w:val="20"/>
          <w:color w:val="auto"/>
        </w:rPr>
      </w:pPr>
    </w:p>
    <w:p>
      <w:pPr>
        <w:ind w:firstLine="464"/>
        <w:spacing w:after="0" w:line="255" w:lineRule="auto"/>
        <w:rPr>
          <w:sz w:val="20"/>
          <w:szCs w:val="20"/>
          <w:color w:val="auto"/>
        </w:rPr>
      </w:pPr>
      <w:r>
        <w:rPr>
          <w:rFonts w:ascii="Times New Roman" w:cs="Times New Roman" w:eastAsia="Times New Roman" w:hAnsi="Times New Roman"/>
          <w:sz w:val="17"/>
          <w:szCs w:val="17"/>
          <w:color w:val="auto"/>
        </w:rPr>
        <w:t>Xorail, Inc., a wholly owned subsidiary of the Company (“Xorail”), has received notices from Denver Transit Constructors (“DTC”) alleging breach of contract related to the operating of constant warning wireless crossings, and late delivery of the Train Management &amp; Dispatch System (“TMDS”) for the Denver Eagle P3 Project, which is owned by the Denver Regional Transit District ("RTD"). No damages have been asserted for the alleged late delivery of the TMDS, and no formal claim has been filed; Xorail has successfully completed a remediation plan concerning the TMDS issues. With regard to the wireless crossing issue, as of September 8, 2017, DTC alleged that total damages were $37 million through July 31, 2017 and were continuing to accumulate. The majority of the damages stems from a delay in approval of the wireless crossing system by the Federal Railway Administration ("FRA") and the Public Utility Commission ("PUC"), resulting in the use of flaggers at all of the crossings pending approval of the wireless crossing system and certification of the crossings. DTC has alleged that the delay is due to Xorail's failure to achieve constant warning times for the crossings in accordance with the approval requirements imposed by the FRA and PUC. Xorail has denied DTC's assertions, stating that its system satisfied the contractual requirements. Xorail has worked with DTC to modify its system and implement the FRA's and PUC's previously undefined approval requirements; the FRA and PUC have both approved modified wireless crossing system, and as of August 2018, DTC completed the process of certifying the crossings and eliminated the use of flaggers. DTC has not updated its claim notices or alleged damages against Xorail, nor have they filed any formal claim against Xorail. On September 21, 2018, DTC filed a complaint against RTD in Colorado state court for breach of contract related to non-payments and the costs for the flaggers, asserting a change-in-law arising from the FRA/PUC’s new certification requirements. DTC's claim against RTD proceeded to trial on September 21, 2020. On February 10, 2023, the court issued a decision in favor of RTD, denying DTC's damages claim. DTC has filed a Notice of Appeal.</w:t>
      </w:r>
    </w:p>
    <w:p>
      <w:pPr>
        <w:spacing w:after="0" w:line="82" w:lineRule="exact"/>
        <w:rPr>
          <w:sz w:val="20"/>
          <w:szCs w:val="20"/>
          <w:color w:val="auto"/>
        </w:rPr>
      </w:pPr>
    </w:p>
    <w:p>
      <w:pPr>
        <w:ind w:right="240" w:firstLine="464"/>
        <w:spacing w:after="0" w:line="270" w:lineRule="auto"/>
        <w:rPr>
          <w:sz w:val="20"/>
          <w:szCs w:val="20"/>
          <w:color w:val="auto"/>
        </w:rPr>
      </w:pPr>
      <w:r>
        <w:rPr>
          <w:rFonts w:ascii="Times New Roman" w:cs="Times New Roman" w:eastAsia="Times New Roman" w:hAnsi="Times New Roman"/>
          <w:sz w:val="17"/>
          <w:szCs w:val="17"/>
          <w:color w:val="auto"/>
        </w:rPr>
        <w:t>From time to time the Company is involved in litigation relating to claims arising out of its operations in the ordinary course of business. As of the date hereof, the Company is involved in no litigation that the Company believes will have a material adverse effect on its financial condition, results of operations or liquidity.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SEGMENT INFORMATION</w:t>
      </w:r>
    </w:p>
    <w:p>
      <w:pPr>
        <w:spacing w:after="0" w:line="118" w:lineRule="exact"/>
        <w:rPr>
          <w:sz w:val="20"/>
          <w:szCs w:val="20"/>
          <w:color w:val="auto"/>
        </w:rPr>
      </w:pPr>
    </w:p>
    <w:p>
      <w:pPr>
        <w:ind w:right="20" w:firstLine="464"/>
        <w:spacing w:after="0" w:line="280" w:lineRule="auto"/>
        <w:rPr>
          <w:sz w:val="20"/>
          <w:szCs w:val="20"/>
          <w:color w:val="auto"/>
        </w:rPr>
      </w:pPr>
      <w:r>
        <w:rPr>
          <w:rFonts w:ascii="Times New Roman" w:cs="Times New Roman" w:eastAsia="Times New Roman" w:hAnsi="Times New Roman"/>
          <w:sz w:val="17"/>
          <w:szCs w:val="17"/>
          <w:color w:val="auto"/>
        </w:rPr>
        <w:t>The Company has two reportable segments—the Freight Segment and the Transit Segment. The key factors used to identify these reportable segments are the organization and alignment of the Company’s internal operations, the nature of the products and services and customer type. The Company's business segments are:</w:t>
      </w:r>
    </w:p>
    <w:p>
      <w:pPr>
        <w:spacing w:after="0" w:line="262" w:lineRule="exact"/>
        <w:rPr>
          <w:sz w:val="20"/>
          <w:szCs w:val="20"/>
          <w:color w:val="auto"/>
        </w:rPr>
      </w:pPr>
    </w:p>
    <w:p>
      <w:pPr>
        <w:ind w:firstLine="464"/>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Freight Segment </w:t>
      </w:r>
      <w:r>
        <w:rPr>
          <w:rFonts w:ascii="Times New Roman" w:cs="Times New Roman" w:eastAsia="Times New Roman" w:hAnsi="Times New Roman"/>
          <w:sz w:val="17"/>
          <w:szCs w:val="17"/>
          <w:color w:val="auto"/>
        </w:rPr>
        <w:t>builds, rebuilds, upgrades, and overhauls locomotives, services locomotives and freight cars, and provides a range of component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digital solutions for customers in the freight and transit rail, mining, and marine industries. It also manufactures and services components for new and existing freight cars and locomotives, supplies railway electronics, positive train control equipment, signal design and engineering services, maintenance of way, and provides heat exchange and cooling systems for locomotives and power generation equipment. Customers include large, publicly traded railroads, leasing companies, manufacturers of original equipment such as locomotives and freight cars, and utilities, and also serves companies in the mining, marine, and industrial markets. We refer to sales of both goods, such as spare parts and equipment upgrades, and related services, such as monitoring, maintenance and repairs, as sales in our Services product line.</w:t>
      </w:r>
    </w:p>
    <w:p>
      <w:pPr>
        <w:spacing w:after="0" w:line="70" w:lineRule="exact"/>
        <w:rPr>
          <w:sz w:val="20"/>
          <w:szCs w:val="20"/>
          <w:color w:val="auto"/>
        </w:rPr>
      </w:pPr>
    </w:p>
    <w:p>
      <w:pPr>
        <w:ind w:right="60" w:firstLine="464"/>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Transit Segment </w:t>
      </w:r>
      <w:r>
        <w:rPr>
          <w:rFonts w:ascii="Times New Roman" w:cs="Times New Roman" w:eastAsia="Times New Roman" w:hAnsi="Times New Roman"/>
          <w:sz w:val="17"/>
          <w:szCs w:val="17"/>
          <w:color w:val="auto"/>
        </w:rPr>
        <w:t>primarily manufactures and services components for new and existing passenger transit vehicles, typically regional trains, high speed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trains, subway cars, light-rail vehicles and buses. It also refurbishes subway cars and provides heating, ventilation, and air conditioning equipment and doors for buses and subway cars. Customers include public transit authorities and municipalities, leasing companies and manufacturers of subway cars and buses around the world.</w:t>
      </w:r>
    </w:p>
    <w:p>
      <w:pPr>
        <w:spacing w:after="0" w:line="66" w:lineRule="exact"/>
        <w:rPr>
          <w:sz w:val="20"/>
          <w:szCs w:val="20"/>
          <w:color w:val="auto"/>
        </w:rPr>
      </w:pPr>
    </w:p>
    <w:p>
      <w:pPr>
        <w:ind w:right="260" w:firstLine="464"/>
        <w:spacing w:after="0" w:line="270" w:lineRule="auto"/>
        <w:rPr>
          <w:sz w:val="20"/>
          <w:szCs w:val="20"/>
          <w:color w:val="auto"/>
        </w:rPr>
      </w:pPr>
      <w:r>
        <w:rPr>
          <w:rFonts w:ascii="Times New Roman" w:cs="Times New Roman" w:eastAsia="Times New Roman" w:hAnsi="Times New Roman"/>
          <w:sz w:val="17"/>
          <w:szCs w:val="17"/>
          <w:color w:val="auto"/>
        </w:rPr>
        <w:t>The Company evaluates its business segments’ operating results based on income from operations. Intersegment sales are accounted for at prices that are generally established by reference to similar transactions with unaffiliated customers. Corporate activities include general corporate expenses, elimination of intersegment transactions, interest income and expense, and other unallocated charges.</w:t>
      </w:r>
    </w:p>
    <w:p>
      <w:pPr>
        <w:spacing w:after="0" w:line="62" w:lineRule="exact"/>
        <w:rPr>
          <w:sz w:val="20"/>
          <w:szCs w:val="20"/>
          <w:color w:val="auto"/>
        </w:rPr>
      </w:pPr>
    </w:p>
    <w:p>
      <w:pPr>
        <w:ind w:right="80" w:firstLine="464"/>
        <w:spacing w:after="0" w:line="270" w:lineRule="auto"/>
        <w:rPr>
          <w:sz w:val="20"/>
          <w:szCs w:val="20"/>
          <w:color w:val="auto"/>
        </w:rPr>
      </w:pPr>
      <w:r>
        <w:rPr>
          <w:rFonts w:ascii="Times New Roman" w:cs="Times New Roman" w:eastAsia="Times New Roman" w:hAnsi="Times New Roman"/>
          <w:sz w:val="17"/>
          <w:szCs w:val="17"/>
          <w:color w:val="auto"/>
        </w:rPr>
        <w:t>During the first quarter of 2024, Company management determined that certain parts of the business would be better aligned with management oversight in different product lines. These changes were immaterial to the individual product lines and segments affected, and historical amounts have been reclassified to conform to the current period presentation.</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2" w:name="page23"/>
    <w:bookmarkEnd w:id="22"/>
    <w:p>
      <w:pPr>
        <w:ind w:left="460"/>
        <w:spacing w:after="0"/>
        <w:rPr>
          <w:sz w:val="20"/>
          <w:szCs w:val="20"/>
          <w:color w:val="auto"/>
        </w:rPr>
      </w:pPr>
      <w:r>
        <w:rPr>
          <w:rFonts w:ascii="Times New Roman" w:cs="Times New Roman" w:eastAsia="Times New Roman" w:hAnsi="Times New Roman"/>
          <w:sz w:val="17"/>
          <w:szCs w:val="17"/>
          <w:color w:val="auto"/>
        </w:rPr>
        <w:t>Segment financial information for the three months ended March 31, 2024 is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Freight</w:t>
            </w:r>
          </w:p>
        </w:tc>
        <w:tc>
          <w:tcPr>
            <w:tcW w:w="300" w:type="dxa"/>
            <w:vAlign w:val="bottom"/>
          </w:tcPr>
          <w:p>
            <w:pPr>
              <w:spacing w:after="0"/>
              <w:rPr>
                <w:sz w:val="15"/>
                <w:szCs w:val="15"/>
                <w:color w:val="auto"/>
              </w:rPr>
            </w:pPr>
          </w:p>
        </w:tc>
        <w:tc>
          <w:tcPr>
            <w:tcW w:w="13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Transit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4"/>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Corporate</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4"/>
          </w:tcPr>
          <w:p>
            <w:pPr>
              <w:jc w:val="center"/>
              <w:ind w:right="320"/>
              <w:spacing w:after="0" w:line="155" w:lineRule="exact"/>
              <w:rPr>
                <w:sz w:val="20"/>
                <w:szCs w:val="20"/>
                <w:color w:val="auto"/>
              </w:rPr>
            </w:pPr>
            <w:r>
              <w:rPr>
                <w:rFonts w:ascii="Times New Roman" w:cs="Times New Roman" w:eastAsia="Times New Roman" w:hAnsi="Times New Roman"/>
                <w:sz w:val="15"/>
                <w:szCs w:val="15"/>
                <w:b w:val="1"/>
                <w:bCs w:val="1"/>
                <w:color w:val="auto"/>
              </w:rPr>
              <w:t>Activities and</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80" w:type="dxa"/>
            <w:vAlign w:val="bottom"/>
            <w:vMerge w:val="restart"/>
          </w:tcPr>
          <w:p>
            <w:pPr>
              <w:ind w:left="1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55"/>
        </w:trPr>
        <w:tc>
          <w:tcPr>
            <w:tcW w:w="48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Pr>
          <w:p>
            <w:pPr>
              <w:spacing w:after="0"/>
              <w:rPr>
                <w:sz w:val="13"/>
                <w:szCs w:val="13"/>
                <w:color w:val="auto"/>
              </w:rPr>
            </w:pPr>
          </w:p>
        </w:tc>
        <w:tc>
          <w:tcPr>
            <w:tcW w:w="134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5"/>
                <w:szCs w:val="15"/>
                <w:b w:val="1"/>
                <w:bCs w:val="1"/>
                <w:color w:val="auto"/>
              </w:rPr>
              <w:t>Segment</w:t>
            </w:r>
          </w:p>
        </w:tc>
        <w:tc>
          <w:tcPr>
            <w:tcW w:w="300" w:type="dxa"/>
            <w:vAlign w:val="bottom"/>
          </w:tcPr>
          <w:p>
            <w:pPr>
              <w:spacing w:after="0"/>
              <w:rPr>
                <w:sz w:val="13"/>
                <w:szCs w:val="13"/>
                <w:color w:val="auto"/>
              </w:rPr>
            </w:pPr>
          </w:p>
        </w:tc>
        <w:tc>
          <w:tcPr>
            <w:tcW w:w="132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5"/>
                <w:szCs w:val="15"/>
                <w:b w:val="1"/>
                <w:bCs w:val="1"/>
                <w:color w:val="auto"/>
              </w:rPr>
              <w:t>Segment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4"/>
          </w:tcPr>
          <w:p>
            <w:pPr>
              <w:jc w:val="center"/>
              <w:ind w:right="320"/>
              <w:spacing w:after="0" w:line="135" w:lineRule="exact"/>
              <w:rPr>
                <w:sz w:val="20"/>
                <w:szCs w:val="20"/>
                <w:color w:val="auto"/>
              </w:rPr>
            </w:pPr>
            <w:r>
              <w:rPr>
                <w:rFonts w:ascii="Times New Roman" w:cs="Times New Roman" w:eastAsia="Times New Roman" w:hAnsi="Times New Roman"/>
                <w:sz w:val="15"/>
                <w:szCs w:val="15"/>
                <w:b w:val="1"/>
                <w:bCs w:val="1"/>
                <w:color w:val="auto"/>
              </w:rPr>
              <w:t>Elimination</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to external customers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w:t>
            </w:r>
          </w:p>
        </w:tc>
        <w:tc>
          <w:tcPr>
            <w:tcW w:w="10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2,497</w:t>
            </w:r>
          </w:p>
        </w:tc>
        <w:tc>
          <w:tcPr>
            <w:tcW w:w="0" w:type="dxa"/>
            <w:vAlign w:val="bottom"/>
          </w:tcPr>
          <w:p>
            <w:pPr>
              <w:spacing w:after="0"/>
              <w:rPr>
                <w:sz w:val="1"/>
                <w:szCs w:val="1"/>
                <w:color w:val="auto"/>
              </w:rPr>
            </w:pPr>
          </w:p>
        </w:tc>
      </w:tr>
      <w:tr>
        <w:trPr>
          <w:trHeight w:val="219"/>
        </w:trPr>
        <w:tc>
          <w:tcPr>
            <w:tcW w:w="48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Intersegment sales/(elimination)</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7"/>
                <w:szCs w:val="17"/>
                <w:color w:val="auto"/>
                <w:w w:val="98"/>
              </w:rPr>
              <w:t>(24)</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8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 sales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3"/>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w w:val="98"/>
              </w:rPr>
              <w:t>(24)</w:t>
            </w: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gridSpan w:val="2"/>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2,497</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840" w:type="dxa"/>
            <w:vAlign w:val="bottom"/>
            <w:gridSpan w:val="3"/>
            <w:vMerge w:val="continue"/>
          </w:tcPr>
          <w:p>
            <w:pPr>
              <w:spacing w:after="0"/>
              <w:rPr>
                <w:sz w:val="16"/>
                <w:szCs w:val="16"/>
                <w:color w:val="auto"/>
              </w:rPr>
            </w:pPr>
          </w:p>
        </w:tc>
        <w:tc>
          <w:tcPr>
            <w:tcW w:w="280" w:type="dxa"/>
            <w:vAlign w:val="bottom"/>
          </w:tcPr>
          <w:p>
            <w:pPr>
              <w:jc w:val="right"/>
              <w:ind w:right="9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368</w:t>
            </w:r>
          </w:p>
        </w:tc>
        <w:tc>
          <w:tcPr>
            <w:tcW w:w="100" w:type="dxa"/>
            <w:vAlign w:val="bottom"/>
          </w:tcPr>
          <w:p>
            <w:pPr>
              <w:spacing w:after="0"/>
              <w:rPr>
                <w:sz w:val="16"/>
                <w:szCs w:val="16"/>
                <w:color w:val="auto"/>
              </w:rPr>
            </w:pPr>
          </w:p>
        </w:tc>
        <w:tc>
          <w:tcPr>
            <w:tcW w:w="300" w:type="dxa"/>
            <w:vAlign w:val="bottom"/>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74</w:t>
            </w:r>
          </w:p>
        </w:tc>
        <w:tc>
          <w:tcPr>
            <w:tcW w:w="100" w:type="dxa"/>
            <w:vAlign w:val="bottom"/>
          </w:tcPr>
          <w:p>
            <w:pPr>
              <w:spacing w:after="0"/>
              <w:rPr>
                <w:sz w:val="16"/>
                <w:szCs w:val="16"/>
                <w:color w:val="auto"/>
              </w:rPr>
            </w:pPr>
          </w:p>
        </w:tc>
        <w:tc>
          <w:tcPr>
            <w:tcW w:w="220" w:type="dxa"/>
            <w:vAlign w:val="bottom"/>
            <w:gridSpan w:val="3"/>
          </w:tcPr>
          <w:p>
            <w:pPr>
              <w:jc w:val="right"/>
              <w:ind w:right="3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ind w:left="1000"/>
              <w:spacing w:after="0" w:line="191" w:lineRule="exact"/>
              <w:rPr>
                <w:sz w:val="20"/>
                <w:szCs w:val="20"/>
                <w:color w:val="auto"/>
              </w:rPr>
            </w:pPr>
            <w:r>
              <w:rPr>
                <w:rFonts w:ascii="Times New Roman" w:cs="Times New Roman" w:eastAsia="Times New Roman" w:hAnsi="Times New Roman"/>
                <w:sz w:val="17"/>
                <w:szCs w:val="17"/>
                <w:color w:val="auto"/>
                <w:w w:val="98"/>
              </w:rPr>
              <w:t>(30)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gridSpan w:val="2"/>
          </w:tcPr>
          <w:p>
            <w:pPr>
              <w:jc w:val="right"/>
              <w:ind w:right="25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412</w:t>
            </w:r>
          </w:p>
        </w:tc>
        <w:tc>
          <w:tcPr>
            <w:tcW w:w="0" w:type="dxa"/>
            <w:vAlign w:val="bottom"/>
          </w:tcPr>
          <w:p>
            <w:pPr>
              <w:spacing w:after="0"/>
              <w:rPr>
                <w:sz w:val="1"/>
                <w:szCs w:val="1"/>
                <w:color w:val="auto"/>
              </w:rPr>
            </w:pPr>
          </w:p>
        </w:tc>
      </w:tr>
      <w:tr>
        <w:trPr>
          <w:trHeight w:val="219"/>
        </w:trPr>
        <w:tc>
          <w:tcPr>
            <w:tcW w:w="4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and other, net</w:t>
            </w: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w w:val="98"/>
              </w:rPr>
              <w:t>(49)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368</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7"/>
                <w:szCs w:val="17"/>
                <w:color w:val="auto"/>
                <w:w w:val="98"/>
              </w:rPr>
              <w:t>(79)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bottom w:val="single" w:sz="8" w:color="auto"/>
            </w:tcBorders>
            <w:gridSpan w:val="2"/>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0" w:type="dxa"/>
            <w:vAlign w:val="bottom"/>
          </w:tcPr>
          <w:p>
            <w:pPr>
              <w:spacing w:after="0"/>
              <w:rPr>
                <w:sz w:val="24"/>
                <w:szCs w:val="24"/>
                <w:color w:val="auto"/>
              </w:rPr>
            </w:pPr>
          </w:p>
        </w:tc>
        <w:tc>
          <w:tcPr>
            <w:tcW w:w="6740" w:type="dxa"/>
            <w:vAlign w:val="bottom"/>
            <w:gridSpan w:val="6"/>
          </w:tcPr>
          <w:p>
            <w:pPr>
              <w:ind w:left="440"/>
              <w:spacing w:after="0"/>
              <w:rPr>
                <w:sz w:val="20"/>
                <w:szCs w:val="20"/>
                <w:color w:val="auto"/>
              </w:rPr>
            </w:pPr>
            <w:r>
              <w:rPr>
                <w:rFonts w:ascii="Times New Roman" w:cs="Times New Roman" w:eastAsia="Times New Roman" w:hAnsi="Times New Roman"/>
                <w:sz w:val="17"/>
                <w:szCs w:val="17"/>
                <w:color w:val="auto"/>
              </w:rPr>
              <w:t>Segment financial information for the three months ended March 31, 2023 is as follows:</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Freight</w:t>
            </w:r>
          </w:p>
        </w:tc>
        <w:tc>
          <w:tcPr>
            <w:tcW w:w="300" w:type="dxa"/>
            <w:vAlign w:val="bottom"/>
          </w:tcPr>
          <w:p>
            <w:pPr>
              <w:spacing w:after="0"/>
              <w:rPr>
                <w:sz w:val="24"/>
                <w:szCs w:val="24"/>
                <w:color w:val="auto"/>
              </w:rPr>
            </w:pPr>
          </w:p>
        </w:tc>
        <w:tc>
          <w:tcPr>
            <w:tcW w:w="13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Transit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4"/>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Corporate</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4"/>
          </w:tcPr>
          <w:p>
            <w:pPr>
              <w:jc w:val="center"/>
              <w:ind w:right="320"/>
              <w:spacing w:after="0" w:line="155" w:lineRule="exact"/>
              <w:rPr>
                <w:sz w:val="20"/>
                <w:szCs w:val="20"/>
                <w:color w:val="auto"/>
              </w:rPr>
            </w:pPr>
            <w:r>
              <w:rPr>
                <w:rFonts w:ascii="Times New Roman" w:cs="Times New Roman" w:eastAsia="Times New Roman" w:hAnsi="Times New Roman"/>
                <w:sz w:val="15"/>
                <w:szCs w:val="15"/>
                <w:b w:val="1"/>
                <w:bCs w:val="1"/>
                <w:color w:val="auto"/>
              </w:rPr>
              <w:t>Activities and</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80" w:type="dxa"/>
            <w:vAlign w:val="bottom"/>
            <w:vMerge w:val="restart"/>
          </w:tcPr>
          <w:p>
            <w:pPr>
              <w:ind w:left="1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55"/>
        </w:trPr>
        <w:tc>
          <w:tcPr>
            <w:tcW w:w="48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Pr>
          <w:p>
            <w:pPr>
              <w:spacing w:after="0"/>
              <w:rPr>
                <w:sz w:val="13"/>
                <w:szCs w:val="13"/>
                <w:color w:val="auto"/>
              </w:rPr>
            </w:pPr>
          </w:p>
        </w:tc>
        <w:tc>
          <w:tcPr>
            <w:tcW w:w="134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5"/>
                <w:szCs w:val="15"/>
                <w:b w:val="1"/>
                <w:bCs w:val="1"/>
                <w:color w:val="auto"/>
              </w:rPr>
              <w:t>Segment</w:t>
            </w:r>
          </w:p>
        </w:tc>
        <w:tc>
          <w:tcPr>
            <w:tcW w:w="300" w:type="dxa"/>
            <w:vAlign w:val="bottom"/>
          </w:tcPr>
          <w:p>
            <w:pPr>
              <w:spacing w:after="0"/>
              <w:rPr>
                <w:sz w:val="13"/>
                <w:szCs w:val="13"/>
                <w:color w:val="auto"/>
              </w:rPr>
            </w:pPr>
          </w:p>
        </w:tc>
        <w:tc>
          <w:tcPr>
            <w:tcW w:w="132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5"/>
                <w:szCs w:val="15"/>
                <w:b w:val="1"/>
                <w:bCs w:val="1"/>
                <w:color w:val="auto"/>
              </w:rPr>
              <w:t>Segment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4"/>
          </w:tcPr>
          <w:p>
            <w:pPr>
              <w:jc w:val="center"/>
              <w:ind w:right="320"/>
              <w:spacing w:after="0" w:line="135" w:lineRule="exact"/>
              <w:rPr>
                <w:sz w:val="20"/>
                <w:szCs w:val="20"/>
                <w:color w:val="auto"/>
              </w:rPr>
            </w:pPr>
            <w:r>
              <w:rPr>
                <w:rFonts w:ascii="Times New Roman" w:cs="Times New Roman" w:eastAsia="Times New Roman" w:hAnsi="Times New Roman"/>
                <w:sz w:val="15"/>
                <w:szCs w:val="15"/>
                <w:b w:val="1"/>
                <w:bCs w:val="1"/>
                <w:color w:val="auto"/>
              </w:rPr>
              <w:t>Elimination</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to external customers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w:t>
            </w:r>
          </w:p>
        </w:tc>
        <w:tc>
          <w:tcPr>
            <w:tcW w:w="10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2,194</w:t>
            </w:r>
          </w:p>
        </w:tc>
        <w:tc>
          <w:tcPr>
            <w:tcW w:w="0" w:type="dxa"/>
            <w:vAlign w:val="bottom"/>
          </w:tcPr>
          <w:p>
            <w:pPr>
              <w:spacing w:after="0"/>
              <w:rPr>
                <w:sz w:val="1"/>
                <w:szCs w:val="1"/>
                <w:color w:val="auto"/>
              </w:rPr>
            </w:pPr>
          </w:p>
        </w:tc>
      </w:tr>
      <w:tr>
        <w:trPr>
          <w:trHeight w:val="219"/>
        </w:trPr>
        <w:tc>
          <w:tcPr>
            <w:tcW w:w="48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Intersegment sales/(elimination)</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7"/>
                <w:szCs w:val="17"/>
                <w:color w:val="auto"/>
                <w:w w:val="98"/>
              </w:rPr>
              <w:t>(25)</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8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 sales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3"/>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w w:val="98"/>
              </w:rPr>
              <w:t>(25)</w:t>
            </w: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gridSpan w:val="2"/>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2,194</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840" w:type="dxa"/>
            <w:vAlign w:val="bottom"/>
            <w:gridSpan w:val="3"/>
            <w:vMerge w:val="continue"/>
          </w:tcPr>
          <w:p>
            <w:pPr>
              <w:spacing w:after="0"/>
              <w:rPr>
                <w:sz w:val="16"/>
                <w:szCs w:val="16"/>
                <w:color w:val="auto"/>
              </w:rPr>
            </w:pPr>
          </w:p>
        </w:tc>
        <w:tc>
          <w:tcPr>
            <w:tcW w:w="280" w:type="dxa"/>
            <w:vAlign w:val="bottom"/>
          </w:tcPr>
          <w:p>
            <w:pPr>
              <w:jc w:val="right"/>
              <w:ind w:right="9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226</w:t>
            </w:r>
          </w:p>
        </w:tc>
        <w:tc>
          <w:tcPr>
            <w:tcW w:w="100" w:type="dxa"/>
            <w:vAlign w:val="bottom"/>
          </w:tcPr>
          <w:p>
            <w:pPr>
              <w:spacing w:after="0"/>
              <w:rPr>
                <w:sz w:val="16"/>
                <w:szCs w:val="16"/>
                <w:color w:val="auto"/>
              </w:rPr>
            </w:pPr>
          </w:p>
        </w:tc>
        <w:tc>
          <w:tcPr>
            <w:tcW w:w="300" w:type="dxa"/>
            <w:vAlign w:val="bottom"/>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70</w:t>
            </w:r>
          </w:p>
        </w:tc>
        <w:tc>
          <w:tcPr>
            <w:tcW w:w="100" w:type="dxa"/>
            <w:vAlign w:val="bottom"/>
          </w:tcPr>
          <w:p>
            <w:pPr>
              <w:spacing w:after="0"/>
              <w:rPr>
                <w:sz w:val="16"/>
                <w:szCs w:val="16"/>
                <w:color w:val="auto"/>
              </w:rPr>
            </w:pPr>
          </w:p>
        </w:tc>
        <w:tc>
          <w:tcPr>
            <w:tcW w:w="220" w:type="dxa"/>
            <w:vAlign w:val="bottom"/>
            <w:gridSpan w:val="3"/>
          </w:tcPr>
          <w:p>
            <w:pPr>
              <w:jc w:val="right"/>
              <w:ind w:right="3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ind w:left="1000"/>
              <w:spacing w:after="0" w:line="191" w:lineRule="exact"/>
              <w:rPr>
                <w:sz w:val="20"/>
                <w:szCs w:val="20"/>
                <w:color w:val="auto"/>
              </w:rPr>
            </w:pPr>
            <w:r>
              <w:rPr>
                <w:rFonts w:ascii="Times New Roman" w:cs="Times New Roman" w:eastAsia="Times New Roman" w:hAnsi="Times New Roman"/>
                <w:sz w:val="17"/>
                <w:szCs w:val="17"/>
                <w:color w:val="auto"/>
                <w:w w:val="98"/>
              </w:rPr>
              <w:t>(20)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gridSpan w:val="2"/>
          </w:tcPr>
          <w:p>
            <w:pPr>
              <w:jc w:val="right"/>
              <w:ind w:right="25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276</w:t>
            </w:r>
          </w:p>
        </w:tc>
        <w:tc>
          <w:tcPr>
            <w:tcW w:w="0" w:type="dxa"/>
            <w:vAlign w:val="bottom"/>
          </w:tcPr>
          <w:p>
            <w:pPr>
              <w:spacing w:after="0"/>
              <w:rPr>
                <w:sz w:val="1"/>
                <w:szCs w:val="1"/>
                <w:color w:val="auto"/>
              </w:rPr>
            </w:pPr>
          </w:p>
        </w:tc>
      </w:tr>
      <w:tr>
        <w:trPr>
          <w:trHeight w:val="219"/>
        </w:trPr>
        <w:tc>
          <w:tcPr>
            <w:tcW w:w="4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and other, net</w:t>
            </w: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w w:val="98"/>
              </w:rPr>
              <w:t>(43)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7"/>
                <w:szCs w:val="17"/>
                <w:color w:val="auto"/>
                <w:w w:val="98"/>
              </w:rPr>
              <w:t>(63)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bottom w:val="single" w:sz="8" w:color="auto"/>
            </w:tcBorders>
            <w:gridSpan w:val="2"/>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7"/>
                <w:szCs w:val="17"/>
                <w:color w:val="auto"/>
              </w:rPr>
              <w:t>Sales to external customers by product line are as follows:</w:t>
            </w: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20" w:type="dxa"/>
            <w:vAlign w:val="bottom"/>
          </w:tcPr>
          <w:p>
            <w:pPr>
              <w:spacing w:after="0"/>
              <w:rPr>
                <w:sz w:val="24"/>
                <w:szCs w:val="24"/>
                <w:color w:val="auto"/>
              </w:rPr>
            </w:pPr>
          </w:p>
        </w:tc>
        <w:tc>
          <w:tcPr>
            <w:tcW w:w="48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40" w:type="dxa"/>
            <w:vAlign w:val="bottom"/>
            <w:gridSpan w:val="7"/>
          </w:tcPr>
          <w:p>
            <w:pPr>
              <w:jc w:val="center"/>
              <w:ind w:right="115"/>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6"/>
          </w:tcPr>
          <w:p>
            <w:pPr>
              <w:jc w:val="center"/>
              <w:ind w:left="817"/>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8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5"/>
                <w:szCs w:val="15"/>
                <w:b w:val="1"/>
                <w:bCs w:val="1"/>
                <w:color w:val="auto"/>
              </w:rPr>
              <w:t>2024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ind w:left="160"/>
              <w:spacing w:after="0" w:line="135" w:lineRule="exact"/>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Freight Segment:</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Services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3"/>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829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Equipment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526</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Components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293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Digital Intelligence</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176</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Total Freight Segment</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1,824</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Transit Segment:</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Original Equipment Manufacturer</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310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48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7"/>
                <w:szCs w:val="17"/>
                <w:color w:val="auto"/>
              </w:rPr>
              <w:t>Aftermarket</w:t>
            </w:r>
          </w:p>
        </w:tc>
        <w:tc>
          <w:tcPr>
            <w:tcW w:w="2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7"/>
                <w:szCs w:val="17"/>
                <w:color w:val="auto"/>
              </w:rPr>
              <w:t>363</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8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Transit Segment</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673</w:t>
            </w: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16. OTHER (EXPENSE) INCOME, NET</w:t>
            </w: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484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482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The components of Other (expense) income, net are as follows:</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40" w:type="dxa"/>
            <w:vAlign w:val="bottom"/>
            <w:gridSpan w:val="7"/>
          </w:tcPr>
          <w:p>
            <w:pPr>
              <w:jc w:val="center"/>
              <w:ind w:right="95"/>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6"/>
          </w:tcPr>
          <w:p>
            <w:pPr>
              <w:jc w:val="center"/>
              <w:ind w:left="817"/>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8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ind w:left="420"/>
              <w:spacing w:after="0" w:line="135" w:lineRule="exact"/>
              <w:rPr>
                <w:sz w:val="20"/>
                <w:szCs w:val="20"/>
                <w:color w:val="auto"/>
              </w:rPr>
            </w:pPr>
            <w:r>
              <w:rPr>
                <w:rFonts w:ascii="Times New Roman" w:cs="Times New Roman" w:eastAsia="Times New Roman" w:hAnsi="Times New Roman"/>
                <w:sz w:val="15"/>
                <w:szCs w:val="15"/>
                <w:b w:val="1"/>
                <w:bCs w:val="1"/>
                <w:color w:val="auto"/>
              </w:rPr>
              <w:t>2024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ind w:left="160"/>
              <w:spacing w:after="0" w:line="135" w:lineRule="exact"/>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(loss) gain</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9"/>
        </w:trPr>
        <w:tc>
          <w:tcPr>
            <w:tcW w:w="4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Equity income</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9"/>
        </w:trPr>
        <w:tc>
          <w:tcPr>
            <w:tcW w:w="4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return on pension assets/amortization</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9"/>
        </w:trPr>
        <w:tc>
          <w:tcPr>
            <w:tcW w:w="48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Other miscellaneous (expense) income, net</w:t>
            </w:r>
          </w:p>
        </w:tc>
        <w:tc>
          <w:tcPr>
            <w:tcW w:w="2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8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 Other (expense) income, net</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gridSpan w:val="2"/>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color w:val="auto"/>
        </w:rPr>
        <w:t>17. RESTRUCTURING</w:t>
      </w:r>
    </w:p>
    <w:p>
      <w:pPr>
        <w:spacing w:after="0" w:line="105" w:lineRule="exact"/>
        <w:rPr>
          <w:sz w:val="20"/>
          <w:szCs w:val="20"/>
          <w:color w:val="auto"/>
        </w:rPr>
      </w:pPr>
    </w:p>
    <w:p>
      <w:pPr>
        <w:ind w:right="80" w:firstLine="464"/>
        <w:spacing w:after="0" w:line="245" w:lineRule="auto"/>
        <w:rPr>
          <w:sz w:val="20"/>
          <w:szCs w:val="20"/>
          <w:color w:val="auto"/>
        </w:rPr>
      </w:pPr>
      <w:r>
        <w:rPr>
          <w:rFonts w:ascii="Times New Roman" w:cs="Times New Roman" w:eastAsia="Times New Roman" w:hAnsi="Times New Roman"/>
          <w:sz w:val="17"/>
          <w:szCs w:val="17"/>
          <w:color w:val="auto"/>
        </w:rPr>
        <w:t>During the first quarter of 2022, Wabtec announced a three-year strategic initiative (“Integration 2.0”) to review and consolidate our operating footprint, reduce headcount, streamline the end-to-end manufacturing process, restructure the North America distribution channels, expand operations in low-cost countries, and simplify the business through systems enablement. Through this initiative, Management will also evaluate additional capital investments to further simplify and streamline the business. The Company anticipates that it will incur one-time restructuring charges related to Integration 2.0 of approximately $135 million to $165 million.</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 summary of restructuring charges related to the Integration 2.0 initiative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80" w:type="dxa"/>
            <w:vAlign w:val="bottom"/>
            <w:gridSpan w:val="3"/>
          </w:tcPr>
          <w:p>
            <w:pPr>
              <w:jc w:val="center"/>
              <w:ind w:left="796"/>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360" w:type="dxa"/>
            <w:vAlign w:val="bottom"/>
          </w:tcPr>
          <w:p>
            <w:pPr>
              <w:spacing w:after="0"/>
              <w:rPr>
                <w:sz w:val="15"/>
                <w:szCs w:val="15"/>
                <w:color w:val="auto"/>
              </w:rPr>
            </w:pPr>
          </w:p>
        </w:tc>
      </w:tr>
      <w:tr>
        <w:trPr>
          <w:trHeight w:val="205"/>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3"/>
          </w:tcPr>
          <w:p>
            <w:pPr>
              <w:jc w:val="center"/>
              <w:ind w:left="796"/>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360" w:type="dxa"/>
            <w:vAlign w:val="bottom"/>
            <w:tcBorders>
              <w:bottom w:val="single" w:sz="8" w:color="auto"/>
            </w:tcBorders>
          </w:tcPr>
          <w:p>
            <w:pPr>
              <w:spacing w:after="0"/>
              <w:rPr>
                <w:sz w:val="17"/>
                <w:szCs w:val="17"/>
                <w:color w:val="auto"/>
              </w:rPr>
            </w:pPr>
          </w:p>
        </w:tc>
      </w:tr>
      <w:tr>
        <w:trPr>
          <w:trHeight w:val="149"/>
        </w:trPr>
        <w:tc>
          <w:tcPr>
            <w:tcW w:w="69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80" w:type="dxa"/>
            <w:vAlign w:val="bottom"/>
          </w:tcPr>
          <w:p>
            <w:pPr>
              <w:spacing w:after="0"/>
              <w:rPr>
                <w:sz w:val="12"/>
                <w:szCs w:val="12"/>
                <w:color w:val="auto"/>
              </w:rPr>
            </w:pPr>
          </w:p>
        </w:tc>
        <w:tc>
          <w:tcPr>
            <w:tcW w:w="1540" w:type="dxa"/>
            <w:vAlign w:val="bottom"/>
          </w:tcPr>
          <w:p>
            <w:pPr>
              <w:jc w:val="right"/>
              <w:ind w:right="776"/>
              <w:spacing w:after="0" w:line="135" w:lineRule="exact"/>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60" w:type="dxa"/>
            <w:vAlign w:val="bottom"/>
          </w:tcPr>
          <w:p>
            <w:pPr>
              <w:jc w:val="right"/>
              <w:ind w:right="855"/>
              <w:spacing w:after="0" w:line="135" w:lineRule="exact"/>
              <w:rPr>
                <w:sz w:val="20"/>
                <w:szCs w:val="20"/>
                <w:color w:val="auto"/>
              </w:rPr>
            </w:pPr>
            <w:r>
              <w:rPr>
                <w:rFonts w:ascii="Times New Roman" w:cs="Times New Roman" w:eastAsia="Times New Roman" w:hAnsi="Times New Roman"/>
                <w:sz w:val="15"/>
                <w:szCs w:val="15"/>
                <w:b w:val="1"/>
                <w:bCs w:val="1"/>
                <w:color w:val="auto"/>
              </w:rPr>
              <w:t>2023</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9"/>
        </w:trPr>
        <w:tc>
          <w:tcPr>
            <w:tcW w:w="6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Freight Segment:</w:t>
            </w:r>
          </w:p>
        </w:tc>
        <w:tc>
          <w:tcPr>
            <w:tcW w:w="4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69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Cost of goods sold</w:t>
            </w: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860" w:type="dxa"/>
            <w:vAlign w:val="bottom"/>
          </w:tcPr>
          <w:p>
            <w:pPr>
              <w:jc w:val="center"/>
              <w:ind w:right="63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9"/>
        </w:trPr>
        <w:tc>
          <w:tcPr>
            <w:tcW w:w="20" w:type="dxa"/>
            <w:vAlign w:val="bottom"/>
            <w:shd w:val="clear" w:color="auto" w:fill="CCEEFF"/>
          </w:tcPr>
          <w:p>
            <w:pPr>
              <w:spacing w:after="0"/>
              <w:rPr>
                <w:sz w:val="19"/>
                <w:szCs w:val="19"/>
                <w:color w:val="auto"/>
              </w:rPr>
            </w:pPr>
          </w:p>
        </w:tc>
        <w:tc>
          <w:tcPr>
            <w:tcW w:w="6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4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2"/>
        </w:trPr>
        <w:tc>
          <w:tcPr>
            <w:tcW w:w="20" w:type="dxa"/>
            <w:vAlign w:val="bottom"/>
          </w:tcPr>
          <w:p>
            <w:pPr>
              <w:spacing w:after="0"/>
              <w:rPr>
                <w:sz w:val="18"/>
                <w:szCs w:val="18"/>
                <w:color w:val="auto"/>
              </w:rPr>
            </w:pPr>
          </w:p>
        </w:tc>
        <w:tc>
          <w:tcPr>
            <w:tcW w:w="69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Total Freight Segment</w:t>
            </w:r>
          </w:p>
        </w:tc>
        <w:tc>
          <w:tcPr>
            <w:tcW w:w="480" w:type="dxa"/>
            <w:vAlign w:val="bottom"/>
            <w:tcBorders>
              <w:top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8"/>
                <w:szCs w:val="18"/>
                <w:color w:val="auto"/>
              </w:rPr>
            </w:pPr>
          </w:p>
        </w:tc>
        <w:tc>
          <w:tcPr>
            <w:tcW w:w="860" w:type="dxa"/>
            <w:vAlign w:val="bottom"/>
            <w:tcBorders>
              <w:top w:val="single" w:sz="8" w:color="auto"/>
            </w:tcBorders>
          </w:tcPr>
          <w:p>
            <w:pPr>
              <w:jc w:val="center"/>
              <w:ind w:right="63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103"/>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2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r>
      <w:tr>
        <w:trPr>
          <w:trHeight w:val="219"/>
        </w:trPr>
        <w:tc>
          <w:tcPr>
            <w:tcW w:w="69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Transit Segment:</w:t>
            </w: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6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Cost of goods sold</w:t>
            </w: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63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9"/>
        </w:trPr>
        <w:tc>
          <w:tcPr>
            <w:tcW w:w="20" w:type="dxa"/>
            <w:vAlign w:val="bottom"/>
          </w:tcPr>
          <w:p>
            <w:pPr>
              <w:spacing w:after="0"/>
              <w:rPr>
                <w:sz w:val="19"/>
                <w:szCs w:val="19"/>
                <w:color w:val="auto"/>
              </w:rPr>
            </w:pPr>
          </w:p>
        </w:tc>
        <w:tc>
          <w:tcPr>
            <w:tcW w:w="69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9"/>
        </w:trPr>
        <w:tc>
          <w:tcPr>
            <w:tcW w:w="20" w:type="dxa"/>
            <w:vAlign w:val="bottom"/>
            <w:shd w:val="clear" w:color="auto" w:fill="CCEEFF"/>
          </w:tcPr>
          <w:p>
            <w:pPr>
              <w:spacing w:after="0"/>
              <w:rPr>
                <w:sz w:val="19"/>
                <w:szCs w:val="19"/>
                <w:color w:val="auto"/>
              </w:rPr>
            </w:pPr>
          </w:p>
        </w:tc>
        <w:tc>
          <w:tcPr>
            <w:tcW w:w="6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Amortization expense</w:t>
            </w: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2"/>
        </w:trPr>
        <w:tc>
          <w:tcPr>
            <w:tcW w:w="20" w:type="dxa"/>
            <w:vAlign w:val="bottom"/>
            <w:tcBorders>
              <w:bottom w:val="single" w:sz="8" w:color="CCEEFF"/>
            </w:tcBorders>
          </w:tcPr>
          <w:p>
            <w:pPr>
              <w:spacing w:after="0"/>
              <w:rPr>
                <w:sz w:val="18"/>
                <w:szCs w:val="18"/>
                <w:color w:val="auto"/>
              </w:rPr>
            </w:pPr>
          </w:p>
        </w:tc>
        <w:tc>
          <w:tcPr>
            <w:tcW w:w="69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Total Transit Segment</w:t>
            </w:r>
          </w:p>
        </w:tc>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center"/>
              <w:ind w:right="63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37"/>
        </w:trPr>
        <w:tc>
          <w:tcPr>
            <w:tcW w:w="69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Integration 2.0 restructuring charges</w:t>
            </w: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center"/>
              <w:ind w:right="63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6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right="40" w:firstLine="464"/>
        <w:spacing w:after="0" w:line="254" w:lineRule="auto"/>
        <w:rPr>
          <w:sz w:val="20"/>
          <w:szCs w:val="20"/>
          <w:color w:val="auto"/>
        </w:rPr>
      </w:pPr>
      <w:r>
        <w:rPr>
          <w:rFonts w:ascii="Times New Roman" w:cs="Times New Roman" w:eastAsia="Times New Roman" w:hAnsi="Times New Roman"/>
          <w:sz w:val="17"/>
          <w:szCs w:val="17"/>
          <w:color w:val="auto"/>
        </w:rPr>
        <w:t>Total one-time restructuring charges related to Integration 2.0 to date are approximately $126 million, which includes amounts recorded beginning in the fourth quarter 2021, and are primarily for employee-related costs and asset write downs associated with site consolidations in Europe. Cash payments made during the three months ended March 31, 2024 were approximately $22 million. Cash payments made during the three months ended March 31, 2023 were not material.</w:t>
      </w:r>
    </w:p>
    <w:p>
      <w:pPr>
        <w:spacing w:after="0" w:line="63" w:lineRule="exact"/>
        <w:rPr>
          <w:sz w:val="20"/>
          <w:szCs w:val="20"/>
          <w:color w:val="auto"/>
        </w:rPr>
      </w:pPr>
    </w:p>
    <w:p>
      <w:pPr>
        <w:ind w:right="160" w:firstLine="464"/>
        <w:spacing w:after="0" w:line="245" w:lineRule="auto"/>
        <w:rPr>
          <w:sz w:val="20"/>
          <w:szCs w:val="20"/>
          <w:color w:val="auto"/>
        </w:rPr>
      </w:pPr>
      <w:r>
        <w:rPr>
          <w:rFonts w:ascii="Times New Roman" w:cs="Times New Roman" w:eastAsia="Times New Roman" w:hAnsi="Times New Roman"/>
          <w:sz w:val="17"/>
          <w:szCs w:val="17"/>
          <w:color w:val="auto"/>
        </w:rPr>
        <w:t>In addition to Integration 2.0, Wabtec is focused on exiting various low margin product offerings through Portfolio Optimization to improve profitability while reducing manufacturing complexity. Wabtec expects to incur approximately $85 million in net exit charges related to Portfolio Optimization, which will be predominately non-cash asset write downs. Wabtec recorded charges of approximately $3 million during the three months ended March 31, 2024 for asset write downs related to Portfolio Optimization. No charges related to Portfolio Optimization were recorded during the three months ended March 31, 2023. Total one-time restructuring charges related to Portfolio Optimization to date are approximately $31 million.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24" w:name="page25"/>
    <w:bookmarkEnd w:id="24"/>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2.</w:t>
        <w:tab/>
        <w:t>MANAGEMENT’S DISCUSSION AND ANALYSIS OF FINANCIAL CONDITION AND RESULTS OF OPERATIONS</w:t>
      </w:r>
    </w:p>
    <w:p>
      <w:pPr>
        <w:spacing w:after="0" w:line="118" w:lineRule="exact"/>
        <w:rPr>
          <w:sz w:val="20"/>
          <w:szCs w:val="20"/>
          <w:color w:val="auto"/>
        </w:rPr>
      </w:pPr>
    </w:p>
    <w:p>
      <w:pPr>
        <w:ind w:right="80" w:firstLine="464"/>
        <w:spacing w:after="0" w:line="281" w:lineRule="auto"/>
        <w:rPr>
          <w:sz w:val="20"/>
          <w:szCs w:val="20"/>
          <w:color w:val="auto"/>
        </w:rPr>
      </w:pPr>
      <w:r>
        <w:rPr>
          <w:rFonts w:ascii="Times New Roman" w:cs="Times New Roman" w:eastAsia="Times New Roman" w:hAnsi="Times New Roman"/>
          <w:sz w:val="15"/>
          <w:szCs w:val="15"/>
          <w:i w:val="1"/>
          <w:iCs w:val="1"/>
          <w:color w:val="auto"/>
        </w:rPr>
        <w:t>The following discussion should be read in conjunction with the information in the unaudited condensed consolidated financial statements and notes thereto included herein and Westinghouse Air Brake Technologies Corporation’s Financial Statements and Management’s Discussion and Analysis of Financial Condition and Results of Operations included in its Annual Report on Form 10-K for the year ended December 31, 2023, filed with the Securities and Exchange Commission on February 14, 2024.</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8" w:lineRule="exact"/>
        <w:rPr>
          <w:sz w:val="20"/>
          <w:szCs w:val="20"/>
          <w:color w:val="auto"/>
        </w:rPr>
      </w:pPr>
    </w:p>
    <w:p>
      <w:pPr>
        <w:ind w:right="60" w:firstLine="464"/>
        <w:spacing w:after="0" w:line="260" w:lineRule="auto"/>
        <w:rPr>
          <w:sz w:val="20"/>
          <w:szCs w:val="20"/>
          <w:color w:val="auto"/>
        </w:rPr>
      </w:pPr>
      <w:r>
        <w:rPr>
          <w:rFonts w:ascii="Times New Roman" w:cs="Times New Roman" w:eastAsia="Times New Roman" w:hAnsi="Times New Roman"/>
          <w:sz w:val="17"/>
          <w:szCs w:val="17"/>
          <w:color w:val="auto"/>
        </w:rPr>
        <w:t>Wabtec is a global provider of value-added, technology-based locomotives, equipment, systems, and services for the freight rail and passenger transit industries, as well as the mining, marine and industrial markets. Our highly engineered products, which are intended to enhance safety, improve productivity and reduce maintenance costs for customers, can be found on most locomotives, freight cars, passenger transit cars and buses around the world. Our core products and services are essential in the safe and efficient operation of freight rail and passenger transit vehicles. Wabtec is a global company with operations in over 50 countries and our products can be found in more than 100 countries throughout the world. In the first three months of 2024, approximately 50% of the Company’s Net sales came from customers outside the United States.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Business Update</w:t>
      </w:r>
    </w:p>
    <w:p>
      <w:pPr>
        <w:spacing w:after="0" w:line="118" w:lineRule="exact"/>
        <w:rPr>
          <w:sz w:val="20"/>
          <w:szCs w:val="20"/>
          <w:color w:val="auto"/>
        </w:rPr>
      </w:pPr>
    </w:p>
    <w:p>
      <w:pPr>
        <w:ind w:right="240" w:firstLine="464"/>
        <w:spacing w:after="0" w:line="264" w:lineRule="auto"/>
        <w:rPr>
          <w:sz w:val="20"/>
          <w:szCs w:val="20"/>
          <w:color w:val="auto"/>
        </w:rPr>
      </w:pPr>
      <w:r>
        <w:rPr>
          <w:rFonts w:ascii="Times New Roman" w:cs="Times New Roman" w:eastAsia="Times New Roman" w:hAnsi="Times New Roman"/>
          <w:sz w:val="17"/>
          <w:szCs w:val="17"/>
          <w:color w:val="auto"/>
        </w:rPr>
        <w:t>During the first three months of 2024, Wabtec continued to execute on our value creation framework by signing a long term parts agreement with a customer in Asia, securing a multi-year order for new locomotives in Africa and launching the next generation of railcar movers with its Shuttlewagon Commander NXT. Additionally, as a result of Wabtec's strong revenue and profitability growth over the past few years, S&amp;P Global Ratings upgraded Wabtec's credit rating from BBB- to BBB and has maintained the Stable outlook. Moody's also updated Wabtec's outlook to positive from stable.</w:t>
      </w:r>
    </w:p>
    <w:p>
      <w:pPr>
        <w:spacing w:after="0" w:line="68" w:lineRule="exact"/>
        <w:rPr>
          <w:sz w:val="20"/>
          <w:szCs w:val="20"/>
          <w:color w:val="auto"/>
        </w:rPr>
      </w:pPr>
    </w:p>
    <w:p>
      <w:pPr>
        <w:ind w:firstLine="464"/>
        <w:spacing w:after="0" w:line="257" w:lineRule="auto"/>
        <w:rPr>
          <w:sz w:val="20"/>
          <w:szCs w:val="20"/>
          <w:color w:val="auto"/>
        </w:rPr>
      </w:pPr>
      <w:r>
        <w:rPr>
          <w:rFonts w:ascii="Times New Roman" w:cs="Times New Roman" w:eastAsia="Times New Roman" w:hAnsi="Times New Roman"/>
          <w:sz w:val="17"/>
          <w:szCs w:val="17"/>
          <w:color w:val="auto"/>
        </w:rPr>
        <w:t>During the first quarter of 2022, Wabtec announced Integration 2.0, a three-year strategic initiative to target incremental run rate synergies estimated to be between $75 million and $90 million in 2025. The scope of the review includes consolidating our operating footprint, reducing headcount, streamlining the end-to-end manufacturing process, restructuring the North America distribution channels, expanding operations in low-cost countries and simplifying the business through systems enablement, including the source-to-pay process. Management will also consider additional capital investments to further simplify and streamline the business. The Company anticipates that it will incur one-time restructuring charges of approximately $135 million to $165 million related to this initiative, of which approximately $126 million has been incurred through March 31, 2024. Total estimated initiative charges could change based on the specific programs approved or changes to the scope of the review. During the three months ended March 31, 2024 and 2023, the Company incurred one-time restructuring charges for programs included in the initiative of approximately $8 million and $9 million, respectively, primarily for employee-related costs and asset write downs associated with site consolidations in Europe. Programs approved to date are expected to result in approximately 15 facility closures and impact approximately 1,100 employees.</w:t>
      </w:r>
    </w:p>
    <w:p>
      <w:pPr>
        <w:spacing w:after="0" w:line="282" w:lineRule="exact"/>
        <w:rPr>
          <w:sz w:val="20"/>
          <w:szCs w:val="20"/>
          <w:color w:val="auto"/>
        </w:rPr>
      </w:pPr>
    </w:p>
    <w:p>
      <w:pPr>
        <w:ind w:right="140" w:firstLine="464"/>
        <w:spacing w:after="0" w:line="261" w:lineRule="auto"/>
        <w:rPr>
          <w:sz w:val="20"/>
          <w:szCs w:val="20"/>
          <w:color w:val="auto"/>
        </w:rPr>
      </w:pPr>
      <w:r>
        <w:rPr>
          <w:rFonts w:ascii="Times New Roman" w:cs="Times New Roman" w:eastAsia="Times New Roman" w:hAnsi="Times New Roman"/>
          <w:sz w:val="17"/>
          <w:szCs w:val="17"/>
          <w:color w:val="auto"/>
        </w:rPr>
        <w:t>In addition to Integration 2.0, Wabtec is focused on exiting various low margin product offerings through Portfolio Optimization to improve profitability while reducing manufacturing complexity. Wabtec expects to incur approximately $85 million in net exit charges related to Portfolio Optimization, which will be predominately non-cash asset write downs. Wabtec recorded charges of approximately $3 million during the three months ended March 31, 2024 for asset write downs related to Portfolio Optimization. No charges related to Portfolio Optimization were recorded during the three months ended March 31, 2023. Total one-time restructuring charges related to Portfolio Optimization to date are approximately $31 million.</w:t>
      </w:r>
    </w:p>
    <w:p>
      <w:pPr>
        <w:spacing w:after="0" w:line="72" w:lineRule="exact"/>
        <w:rPr>
          <w:sz w:val="20"/>
          <w:szCs w:val="20"/>
          <w:color w:val="auto"/>
        </w:rPr>
      </w:pPr>
    </w:p>
    <w:p>
      <w:pPr>
        <w:ind w:right="100" w:firstLine="464"/>
        <w:spacing w:after="0" w:line="260" w:lineRule="auto"/>
        <w:rPr>
          <w:sz w:val="20"/>
          <w:szCs w:val="20"/>
          <w:color w:val="auto"/>
        </w:rPr>
      </w:pPr>
      <w:r>
        <w:rPr>
          <w:rFonts w:ascii="Times New Roman" w:cs="Times New Roman" w:eastAsia="Times New Roman" w:hAnsi="Times New Roman"/>
          <w:sz w:val="17"/>
          <w:szCs w:val="17"/>
          <w:color w:val="auto"/>
        </w:rPr>
        <w:t>Future macroeconomic volatility, supply chain disruptions and labor availability could cause component and raw material shortages resulting in an adverse effect on the timing of the Company’s revenue and cash flows. Additionally, broad-based inflation, metals, energy and other commodity costs, transportation and logistics costs, labor costs, and foreign currency exchange rate fluctuations all continue to impact our results. The Company utilizes various mitigating actions intended to lessen the impact of macroeconomic volatility. These actions include implementing price escalations and surcharges, driving operational efficiencies through various cost mitigation efforts and discretionary spend management, strategically sourcing materials, reviewing and modifying distribution logistics, and accelerating integration synergies through Integration 2.0.</w:t>
      </w:r>
    </w:p>
    <w:p>
      <w:pPr>
        <w:spacing w:after="0" w:line="70" w:lineRule="exact"/>
        <w:rPr>
          <w:sz w:val="20"/>
          <w:szCs w:val="20"/>
          <w:color w:val="auto"/>
        </w:rPr>
      </w:pPr>
    </w:p>
    <w:p>
      <w:pPr>
        <w:ind w:right="60" w:firstLine="464"/>
        <w:spacing w:after="0" w:line="270" w:lineRule="auto"/>
        <w:rPr>
          <w:sz w:val="20"/>
          <w:szCs w:val="20"/>
          <w:color w:val="auto"/>
        </w:rPr>
      </w:pPr>
      <w:r>
        <w:rPr>
          <w:rFonts w:ascii="Times New Roman" w:cs="Times New Roman" w:eastAsia="Times New Roman" w:hAnsi="Times New Roman"/>
          <w:sz w:val="17"/>
          <w:szCs w:val="17"/>
          <w:color w:val="auto"/>
        </w:rPr>
        <w:t>During the first quarter of 2024, Company management determined that certain parts of the business would be better aligned with management oversight in different product lines. These changes were immaterial to the individual product lines and segments affected, and historical amounts have been reclassified to conform to the current period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93"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Results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FIRST QUARTER 2024 COMPARED TO FIRST QUARTER 2023</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shows our Condensed Consolidated Statements of Operations for the periods indicated.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80" w:type="dxa"/>
            <w:vAlign w:val="bottom"/>
            <w:gridSpan w:val="4"/>
          </w:tcPr>
          <w:p>
            <w:pPr>
              <w:jc w:val="right"/>
              <w:ind w:right="775"/>
              <w:spacing w:after="0"/>
              <w:rPr>
                <w:sz w:val="20"/>
                <w:szCs w:val="20"/>
                <w:color w:val="auto"/>
              </w:rPr>
            </w:pPr>
            <w:r>
              <w:rPr>
                <w:rFonts w:ascii="Times New Roman" w:cs="Times New Roman" w:eastAsia="Times New Roman" w:hAnsi="Times New Roman"/>
                <w:sz w:val="15"/>
                <w:szCs w:val="15"/>
                <w:b w:val="1"/>
                <w:bCs w:val="1"/>
                <w:color w:val="auto"/>
              </w:rPr>
              <w:t>Three Months Ended</w:t>
            </w:r>
          </w:p>
        </w:tc>
      </w:tr>
      <w:tr>
        <w:trPr>
          <w:trHeight w:val="205"/>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5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74"/>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060" w:type="dxa"/>
            <w:vAlign w:val="bottom"/>
            <w:tcBorders>
              <w:bottom w:val="single" w:sz="8" w:color="auto"/>
            </w:tcBorders>
          </w:tcPr>
          <w:p>
            <w:pPr>
              <w:spacing w:after="0"/>
              <w:rPr>
                <w:sz w:val="17"/>
                <w:szCs w:val="17"/>
                <w:color w:val="auto"/>
              </w:rPr>
            </w:pPr>
          </w:p>
        </w:tc>
      </w:tr>
      <w:tr>
        <w:trPr>
          <w:trHeight w:val="14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360" w:type="dxa"/>
            <w:vAlign w:val="bottom"/>
          </w:tcPr>
          <w:p>
            <w:pPr>
              <w:spacing w:after="0"/>
              <w:rPr>
                <w:sz w:val="12"/>
                <w:szCs w:val="12"/>
                <w:color w:val="auto"/>
              </w:rPr>
            </w:pPr>
          </w:p>
        </w:tc>
        <w:tc>
          <w:tcPr>
            <w:tcW w:w="1160" w:type="dxa"/>
            <w:vAlign w:val="bottom"/>
          </w:tcPr>
          <w:p>
            <w:pPr>
              <w:jc w:val="right"/>
              <w:ind w:right="536"/>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jc w:val="right"/>
              <w:ind w:right="535"/>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75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8"/>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Sales of goods</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2,007</w:t>
            </w:r>
          </w:p>
        </w:tc>
        <w:tc>
          <w:tcPr>
            <w:tcW w:w="100" w:type="dxa"/>
            <w:vAlign w:val="bottom"/>
          </w:tcPr>
          <w:p>
            <w:pPr>
              <w:spacing w:after="0"/>
              <w:rPr>
                <w:sz w:val="19"/>
                <w:szCs w:val="19"/>
                <w:color w:val="auto"/>
              </w:rPr>
            </w:pPr>
          </w:p>
        </w:tc>
        <w:tc>
          <w:tcPr>
            <w:tcW w:w="46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1,684</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Sales of services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w:t>
            </w:r>
          </w:p>
        </w:tc>
      </w:tr>
      <w:tr>
        <w:trPr>
          <w:trHeight w:val="212"/>
        </w:trPr>
        <w:tc>
          <w:tcPr>
            <w:tcW w:w="20" w:type="dxa"/>
            <w:vAlign w:val="bottom"/>
          </w:tcPr>
          <w:p>
            <w:pPr>
              <w:spacing w:after="0"/>
              <w:rPr>
                <w:sz w:val="18"/>
                <w:szCs w:val="18"/>
                <w:color w:val="auto"/>
              </w:rPr>
            </w:pPr>
          </w:p>
        </w:tc>
        <w:tc>
          <w:tcPr>
            <w:tcW w:w="80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Total net sales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2,194</w:t>
            </w: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Cost of goods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(1,257)</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Cost of services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w:t>
            </w:r>
          </w:p>
        </w:tc>
      </w:tr>
      <w:tr>
        <w:trPr>
          <w:trHeight w:val="212"/>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Total cost of sales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(1,529)</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Gross profit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w:t>
            </w: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Engineering expenses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Amortization expense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212"/>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(389)</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from operations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w:t>
            </w: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Other income and expenses: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Interest expense,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19"/>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Other (expense) income, net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w:t>
            </w:r>
          </w:p>
        </w:tc>
      </w:tr>
      <w:tr>
        <w:trPr>
          <w:trHeight w:val="219"/>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Income tax expense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r>
      <w:tr>
        <w:trPr>
          <w:trHeight w:val="219"/>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Less: Net income attributable to noncontrolling interest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0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 attributable to Wabtec shareholders</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7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00" w:firstLine="464"/>
        <w:spacing w:after="0" w:line="272" w:lineRule="auto"/>
        <w:rPr>
          <w:sz w:val="20"/>
          <w:szCs w:val="20"/>
          <w:color w:val="auto"/>
        </w:rPr>
      </w:pPr>
      <w:r>
        <w:rPr>
          <w:rFonts w:ascii="Times New Roman" w:cs="Times New Roman" w:eastAsia="Times New Roman" w:hAnsi="Times New Roman"/>
          <w:sz w:val="17"/>
          <w:szCs w:val="17"/>
          <w:color w:val="auto"/>
        </w:rPr>
        <w:t>The following table shows the major components of the change in Net sales in the three months ended March 31, 2024 from the three months ended March 31, 2023:</w:t>
      </w:r>
    </w:p>
    <w:tbl>
      <w:tblPr>
        <w:tblLayout w:type="fixed"/>
        <w:tblInd w:w="0" w:type="dxa"/>
        <w:tblCellMar>
          <w:top w:w="0" w:type="dxa"/>
          <w:left w:w="0" w:type="dxa"/>
          <w:bottom w:w="0" w:type="dxa"/>
          <w:right w:w="0" w:type="dxa"/>
        </w:tblCellMar>
      </w:tblPr>
      <w:tr>
        <w:trPr>
          <w:trHeight w:val="153"/>
        </w:trPr>
        <w:tc>
          <w:tcPr>
            <w:tcW w:w="646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13"/>
                <w:szCs w:val="13"/>
                <w:color w:val="auto"/>
              </w:rPr>
            </w:pPr>
          </w:p>
        </w:tc>
        <w:tc>
          <w:tcPr>
            <w:tcW w:w="1420" w:type="dxa"/>
            <w:vAlign w:val="bottom"/>
            <w:gridSpan w:val="2"/>
          </w:tcPr>
          <w:p>
            <w:pPr>
              <w:ind w:left="80"/>
              <w:spacing w:after="0" w:line="153" w:lineRule="exact"/>
              <w:rPr>
                <w:sz w:val="20"/>
                <w:szCs w:val="20"/>
                <w:color w:val="auto"/>
              </w:rPr>
            </w:pPr>
            <w:r>
              <w:rPr>
                <w:rFonts w:ascii="Times New Roman" w:cs="Times New Roman" w:eastAsia="Times New Roman" w:hAnsi="Times New Roman"/>
                <w:sz w:val="14"/>
                <w:szCs w:val="14"/>
                <w:b w:val="1"/>
                <w:bCs w:val="1"/>
                <w:color w:val="auto"/>
              </w:rPr>
              <w:t>Freight Segment</w:t>
            </w:r>
          </w:p>
        </w:tc>
        <w:tc>
          <w:tcPr>
            <w:tcW w:w="200" w:type="dxa"/>
            <w:vAlign w:val="bottom"/>
          </w:tcPr>
          <w:p>
            <w:pPr>
              <w:spacing w:after="0"/>
              <w:rPr>
                <w:sz w:val="13"/>
                <w:szCs w:val="13"/>
                <w:color w:val="auto"/>
              </w:rPr>
            </w:pPr>
          </w:p>
        </w:tc>
        <w:tc>
          <w:tcPr>
            <w:tcW w:w="1440" w:type="dxa"/>
            <w:vAlign w:val="bottom"/>
            <w:gridSpan w:val="2"/>
          </w:tcPr>
          <w:p>
            <w:pPr>
              <w:ind w:left="80"/>
              <w:spacing w:after="0" w:line="153" w:lineRule="exact"/>
              <w:rPr>
                <w:sz w:val="20"/>
                <w:szCs w:val="20"/>
                <w:color w:val="auto"/>
              </w:rPr>
            </w:pPr>
            <w:r>
              <w:rPr>
                <w:rFonts w:ascii="Times New Roman" w:cs="Times New Roman" w:eastAsia="Times New Roman" w:hAnsi="Times New Roman"/>
                <w:sz w:val="14"/>
                <w:szCs w:val="14"/>
                <w:b w:val="1"/>
                <w:bCs w:val="1"/>
                <w:color w:val="auto"/>
              </w:rPr>
              <w:t>Transit Segment</w:t>
            </w:r>
          </w:p>
        </w:tc>
        <w:tc>
          <w:tcPr>
            <w:tcW w:w="360" w:type="dxa"/>
            <w:vAlign w:val="bottom"/>
          </w:tcPr>
          <w:p>
            <w:pPr>
              <w:spacing w:after="0"/>
              <w:rPr>
                <w:sz w:val="13"/>
                <w:szCs w:val="13"/>
                <w:color w:val="auto"/>
              </w:rPr>
            </w:pPr>
          </w:p>
        </w:tc>
        <w:tc>
          <w:tcPr>
            <w:tcW w:w="1160" w:type="dxa"/>
            <w:vAlign w:val="bottom"/>
          </w:tcPr>
          <w:p>
            <w:pPr>
              <w:jc w:val="right"/>
              <w:ind w:right="537"/>
              <w:spacing w:after="0" w:line="153"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2"/>
        </w:trPr>
        <w:tc>
          <w:tcPr>
            <w:tcW w:w="6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First Quarter 2023 Net sales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2,194</w:t>
            </w:r>
          </w:p>
        </w:tc>
      </w:tr>
      <w:tr>
        <w:trPr>
          <w:trHeight w:val="219"/>
        </w:trPr>
        <w:tc>
          <w:tcPr>
            <w:tcW w:w="20" w:type="dxa"/>
            <w:vAlign w:val="bottom"/>
          </w:tcPr>
          <w:p>
            <w:pPr>
              <w:spacing w:after="0"/>
              <w:rPr>
                <w:sz w:val="19"/>
                <w:szCs w:val="19"/>
                <w:color w:val="auto"/>
              </w:rPr>
            </w:pPr>
          </w:p>
        </w:tc>
        <w:tc>
          <w:tcPr>
            <w:tcW w:w="64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Acquisitions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19"/>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Foreign Exchange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9"/>
        </w:trPr>
        <w:tc>
          <w:tcPr>
            <w:tcW w:w="20" w:type="dxa"/>
            <w:vAlign w:val="bottom"/>
            <w:tcBorders>
              <w:bottom w:val="single" w:sz="8" w:color="CCEEFF"/>
            </w:tcBorders>
          </w:tcPr>
          <w:p>
            <w:pPr>
              <w:spacing w:after="0"/>
              <w:rPr>
                <w:sz w:val="19"/>
                <w:szCs w:val="19"/>
                <w:color w:val="auto"/>
              </w:rPr>
            </w:pPr>
          </w:p>
        </w:tc>
        <w:tc>
          <w:tcPr>
            <w:tcW w:w="64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7"/>
                <w:szCs w:val="17"/>
                <w:color w:val="auto"/>
              </w:rPr>
              <w:t>Organic</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w:t>
            </w:r>
          </w:p>
        </w:tc>
      </w:tr>
      <w:tr>
        <w:trPr>
          <w:trHeight w:val="237"/>
        </w:trPr>
        <w:tc>
          <w:tcPr>
            <w:tcW w:w="64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First Quarter 2024 Net sales</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118" w:lineRule="exact"/>
        <w:rPr>
          <w:sz w:val="20"/>
          <w:szCs w:val="20"/>
          <w:color w:val="auto"/>
        </w:rPr>
      </w:pPr>
    </w:p>
    <w:p>
      <w:pPr>
        <w:ind w:firstLine="464"/>
        <w:spacing w:after="0" w:line="260" w:lineRule="auto"/>
        <w:rPr>
          <w:sz w:val="20"/>
          <w:szCs w:val="20"/>
          <w:color w:val="auto"/>
        </w:rPr>
      </w:pPr>
      <w:r>
        <w:rPr>
          <w:rFonts w:ascii="Times New Roman" w:cs="Times New Roman" w:eastAsia="Times New Roman" w:hAnsi="Times New Roman"/>
          <w:sz w:val="17"/>
          <w:szCs w:val="17"/>
          <w:color w:val="auto"/>
        </w:rPr>
        <w:t>Net sales for the three months ended March 31, 2024 increased by $303 million, or 13.8%, to $2.50 billion compared to the same period in 2023. Organic sales increased $262 million which was attributable to both Freight and Transit Segments. Freight Equipment sales increased from higher North American and international locomotive sales and increased mining sales. Freight Services sales increased from higher deliveries of locomotive modernizations and overhauls and higher parts sales. Transit sales increased from higher demand for Aftermarket and Original Equipment products driven by increased infrastructure investment. Sales from acquisitions contributed $36 million in the Freight Segment and favorable changes in foreign exchange rates increased sales by $5 million, primarily in the Transit Segment.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 of sales</w:t>
      </w:r>
    </w:p>
    <w:p>
      <w:pPr>
        <w:spacing w:after="0" w:line="20" w:lineRule="exact"/>
        <w:rPr>
          <w:sz w:val="20"/>
          <w:szCs w:val="20"/>
          <w:color w:val="auto"/>
        </w:rPr>
      </w:pPr>
    </w:p>
    <w:p>
      <w:pPr>
        <w:ind w:right="120" w:firstLine="464"/>
        <w:spacing w:after="0"/>
        <w:rPr>
          <w:sz w:val="20"/>
          <w:szCs w:val="20"/>
          <w:color w:val="auto"/>
        </w:rPr>
      </w:pPr>
      <w:r>
        <w:rPr>
          <w:rFonts w:ascii="Times New Roman" w:cs="Times New Roman" w:eastAsia="Times New Roman" w:hAnsi="Times New Roman"/>
          <w:sz w:val="17"/>
          <w:szCs w:val="17"/>
          <w:color w:val="auto"/>
        </w:rPr>
        <w:t>Cost of sales for the three months ended March 31, 2024 increased by $153 million, or 10.0%, to $1.68 billion compared to the same period in 2023. The increase is primarily due to the increase in net sales. Cost of sales as a percentage of net sales was 67.3% and 69.7% for the three months ended March 31, 2024 and 2023, respectively. The improvement in gross margin is attributable to improved pricing, favorable mix between Freight and Transit segments, and slightly favorable input costs. Costs of sales for the three months ended March 31, 2024 and 2023 included $6 million and $4 million, respectively, of restructuring costs, primarily for headcount actions and footprint rationalization related to Integration 2.0 in both years and Portfolio Optimization in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7" w:lineRule="exact"/>
        <w:rPr>
          <w:sz w:val="20"/>
          <w:szCs w:val="20"/>
          <w:color w:val="auto"/>
        </w:rPr>
      </w:pPr>
    </w:p>
    <w:p>
      <w:pPr>
        <w:ind w:right="20" w:firstLine="464"/>
        <w:spacing w:after="0" w:line="239" w:lineRule="auto"/>
        <w:rPr>
          <w:sz w:val="20"/>
          <w:szCs w:val="20"/>
          <w:color w:val="auto"/>
        </w:rPr>
      </w:pPr>
      <w:r>
        <w:rPr>
          <w:rFonts w:ascii="Times New Roman" w:cs="Times New Roman" w:eastAsia="Times New Roman" w:hAnsi="Times New Roman"/>
          <w:sz w:val="17"/>
          <w:szCs w:val="17"/>
          <w:color w:val="auto"/>
        </w:rPr>
        <w:t>Total operating expenses increased $14 million, or 3.6%, for the three months ended March 31, 2024 compared to the same period in 2023, primarily due to the increase in net sales. Operating expenses as a percentage of sales was 16.2% and 17.7% for the three months ended March 31, 2024 and 2023, respectively. Selling, general and administrative expenses ("SG&amp;A") increased $18 million for the three months ended March 31, 2024 compared to the same period in 2023. The increase is primarily from costs incurred to support the higher sales volume and higher employee compensation and benefit costs, partially offset by the impacts of Integration 2.0. Restructuring costs included in SG&amp;A were $4 million and $5 million for the three months ended March 31, 2024 and 2023, respectively, primarily for headcount actions and footprint rationalization programs related to Integration 2.0.</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expense, net</w:t>
      </w:r>
    </w:p>
    <w:p>
      <w:pPr>
        <w:spacing w:after="0" w:line="118" w:lineRule="exact"/>
        <w:rPr>
          <w:sz w:val="20"/>
          <w:szCs w:val="20"/>
          <w:color w:val="auto"/>
        </w:rPr>
      </w:pPr>
    </w:p>
    <w:p>
      <w:pPr>
        <w:ind w:right="20" w:firstLine="464"/>
        <w:spacing w:after="0" w:line="287" w:lineRule="auto"/>
        <w:rPr>
          <w:sz w:val="20"/>
          <w:szCs w:val="20"/>
          <w:color w:val="auto"/>
        </w:rPr>
      </w:pPr>
      <w:r>
        <w:rPr>
          <w:rFonts w:ascii="Times New Roman" w:cs="Times New Roman" w:eastAsia="Times New Roman" w:hAnsi="Times New Roman"/>
          <w:sz w:val="17"/>
          <w:szCs w:val="17"/>
          <w:color w:val="auto"/>
        </w:rPr>
        <w:t>Interest expense, net, decreased $1 million to $47 million for the three months ended March 31, 2024 compared to the same period in 2023 primarily due to lower average overall debt balances in the current period, partially offset by higher effective interest rates.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(expense) income, net</w:t>
      </w:r>
    </w:p>
    <w:p>
      <w:pPr>
        <w:spacing w:after="0" w:line="118" w:lineRule="exact"/>
        <w:rPr>
          <w:sz w:val="20"/>
          <w:szCs w:val="20"/>
          <w:color w:val="auto"/>
        </w:rPr>
      </w:pPr>
    </w:p>
    <w:p>
      <w:pPr>
        <w:ind w:right="560" w:firstLine="464"/>
        <w:spacing w:after="0" w:line="287" w:lineRule="auto"/>
        <w:rPr>
          <w:sz w:val="20"/>
          <w:szCs w:val="20"/>
          <w:color w:val="auto"/>
        </w:rPr>
      </w:pPr>
      <w:r>
        <w:rPr>
          <w:rFonts w:ascii="Times New Roman" w:cs="Times New Roman" w:eastAsia="Times New Roman" w:hAnsi="Times New Roman"/>
          <w:sz w:val="17"/>
          <w:szCs w:val="17"/>
          <w:color w:val="auto"/>
        </w:rPr>
        <w:t>Other (expense) income, net, decreased $7 million to $(2) million for the three months ended March 31, 2024 compared to the same period in 2023, primarily due to unfavorable foreign exchange rates.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118" w:lineRule="exact"/>
        <w:rPr>
          <w:sz w:val="20"/>
          <w:szCs w:val="20"/>
          <w:color w:val="auto"/>
        </w:rPr>
      </w:pPr>
    </w:p>
    <w:p>
      <w:pPr>
        <w:ind w:right="220" w:firstLine="464"/>
        <w:spacing w:after="0" w:line="287" w:lineRule="auto"/>
        <w:rPr>
          <w:sz w:val="20"/>
          <w:szCs w:val="20"/>
          <w:color w:val="auto"/>
        </w:rPr>
      </w:pPr>
      <w:r>
        <w:rPr>
          <w:rFonts w:ascii="Times New Roman" w:cs="Times New Roman" w:eastAsia="Times New Roman" w:hAnsi="Times New Roman"/>
          <w:sz w:val="17"/>
          <w:szCs w:val="17"/>
          <w:color w:val="auto"/>
        </w:rPr>
        <w:t>The effective income tax rate was 23.6% and 25.5% for the three months ended March 31, 2024 and 2023, respectively. The year over year decrease was primarily driven by higher discrete equity compensation tax deductions for the three months ended March 31, 2024.</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944"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color w:val="auto"/>
        </w:rPr>
        <w:t>Freight Segment</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shows our Condensed Consolidated Statements of Operations for our Freight Segment for the periods indicated:</w:t>
      </w:r>
    </w:p>
    <w:p>
      <w:pPr>
        <w:spacing w:after="0" w:line="50"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spacing w:after="0" w:line="2"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5"/>
          <w:szCs w:val="15"/>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4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75"/>
              <w:spacing w:after="0" w:line="154" w:lineRule="exact"/>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615"/>
              <w:spacing w:after="0" w:line="154" w:lineRule="exact"/>
              <w:rPr>
                <w:sz w:val="20"/>
                <w:szCs w:val="20"/>
                <w:color w:val="auto"/>
              </w:rPr>
            </w:pPr>
            <w:r>
              <w:rPr>
                <w:rFonts w:ascii="Times New Roman" w:cs="Times New Roman" w:eastAsia="Times New Roman" w:hAnsi="Times New Roman"/>
                <w:sz w:val="15"/>
                <w:szCs w:val="15"/>
                <w:b w:val="1"/>
                <w:bCs w:val="1"/>
                <w:color w:val="auto"/>
              </w:rPr>
              <w:t>2023</w:t>
            </w:r>
          </w:p>
        </w:tc>
        <w:tc>
          <w:tcPr>
            <w:tcW w:w="34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2"/>
          </w:tcPr>
          <w:p>
            <w:pPr>
              <w:jc w:val="right"/>
              <w:ind w:right="834"/>
              <w:spacing w:after="0" w:line="154" w:lineRule="exact"/>
              <w:rPr>
                <w:sz w:val="20"/>
                <w:szCs w:val="20"/>
                <w:color w:val="auto"/>
              </w:rPr>
            </w:pPr>
            <w:r>
              <w:rPr>
                <w:rFonts w:ascii="Times New Roman" w:cs="Times New Roman" w:eastAsia="Times New Roman" w:hAnsi="Times New Roman"/>
                <w:sz w:val="15"/>
                <w:szCs w:val="15"/>
                <w:b w:val="1"/>
                <w:bCs w:val="1"/>
                <w:color w:val="auto"/>
              </w:rPr>
              <w:t>Change</w:t>
            </w:r>
          </w:p>
        </w:tc>
        <w:tc>
          <w:tcPr>
            <w:tcW w:w="1280" w:type="dxa"/>
            <w:vAlign w:val="bottom"/>
            <w:tcBorders>
              <w:top w:val="single" w:sz="8" w:color="auto"/>
            </w:tcBorders>
          </w:tcPr>
          <w:p>
            <w:pPr>
              <w:jc w:val="right"/>
              <w:ind w:right="375"/>
              <w:spacing w:after="0" w:line="154" w:lineRule="exact"/>
              <w:rPr>
                <w:sz w:val="20"/>
                <w:szCs w:val="20"/>
                <w:color w:val="auto"/>
              </w:rPr>
            </w:pPr>
            <w:r>
              <w:rPr>
                <w:rFonts w:ascii="Times New Roman" w:cs="Times New Roman" w:eastAsia="Times New Roman" w:hAnsi="Times New Roman"/>
                <w:sz w:val="15"/>
                <w:szCs w:val="15"/>
                <w:b w:val="1"/>
                <w:bCs w:val="1"/>
                <w:color w:val="auto"/>
              </w:rPr>
              <w:t>% Change</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Sales of goods</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1,337</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1,050</w:t>
            </w:r>
          </w:p>
        </w:tc>
        <w:tc>
          <w:tcPr>
            <w:tcW w:w="3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287</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27.3 %</w:t>
            </w:r>
          </w:p>
        </w:tc>
      </w:tr>
      <w:tr>
        <w:trPr>
          <w:trHeight w:val="219"/>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Sales of services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487</w:t>
            </w: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506</w:t>
            </w:r>
          </w:p>
        </w:tc>
        <w:tc>
          <w:tcPr>
            <w:tcW w:w="3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(19)</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12"/>
        </w:trPr>
        <w:tc>
          <w:tcPr>
            <w:tcW w:w="20" w:type="dxa"/>
            <w:vAlign w:val="bottom"/>
          </w:tcPr>
          <w:p>
            <w:pPr>
              <w:spacing w:after="0"/>
              <w:rPr>
                <w:sz w:val="18"/>
                <w:szCs w:val="18"/>
                <w:color w:val="auto"/>
              </w:rPr>
            </w:pPr>
          </w:p>
        </w:tc>
        <w:tc>
          <w:tcPr>
            <w:tcW w:w="46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Total net sales</w:t>
            </w:r>
          </w:p>
        </w:tc>
        <w:tc>
          <w:tcPr>
            <w:tcW w:w="380" w:type="dxa"/>
            <w:vAlign w:val="bottom"/>
          </w:tcPr>
          <w:p>
            <w:pPr>
              <w:spacing w:after="0"/>
              <w:rPr>
                <w:sz w:val="18"/>
                <w:szCs w:val="18"/>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1,824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1,556</w:t>
            </w:r>
          </w:p>
        </w:tc>
        <w:tc>
          <w:tcPr>
            <w:tcW w:w="340" w:type="dxa"/>
            <w:vAlign w:val="bottom"/>
          </w:tcPr>
          <w:p>
            <w:pPr>
              <w:spacing w:after="0"/>
              <w:rPr>
                <w:sz w:val="18"/>
                <w:szCs w:val="18"/>
                <w:color w:val="auto"/>
              </w:rPr>
            </w:pPr>
          </w:p>
        </w:tc>
        <w:tc>
          <w:tcPr>
            <w:tcW w:w="1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268</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17.2 %</w:t>
            </w:r>
          </w:p>
        </w:tc>
      </w:tr>
      <w:tr>
        <w:trPr>
          <w:trHeight w:val="21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Cost of goods</w:t>
            </w:r>
          </w:p>
        </w:tc>
        <w:tc>
          <w:tcPr>
            <w:tcW w:w="380" w:type="dxa"/>
            <w:vAlign w:val="bottom"/>
          </w:tcPr>
          <w:p>
            <w:pPr>
              <w:spacing w:after="0"/>
              <w:rPr>
                <w:sz w:val="19"/>
                <w:szCs w:val="19"/>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(930)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(809)</w:t>
            </w:r>
          </w:p>
        </w:tc>
        <w:tc>
          <w:tcPr>
            <w:tcW w:w="340" w:type="dxa"/>
            <w:vAlign w:val="bottom"/>
          </w:tcPr>
          <w:p>
            <w:pPr>
              <w:spacing w:after="0"/>
              <w:rPr>
                <w:sz w:val="19"/>
                <w:szCs w:val="19"/>
                <w:color w:val="auto"/>
              </w:rPr>
            </w:pPr>
          </w:p>
        </w:tc>
        <w:tc>
          <w:tcPr>
            <w:tcW w:w="1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121</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15.0 %</w:t>
            </w:r>
          </w:p>
        </w:tc>
      </w:tr>
      <w:tr>
        <w:trPr>
          <w:trHeight w:val="219"/>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Cost of services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(269)</w:t>
            </w: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(269)</w:t>
            </w:r>
          </w:p>
        </w:tc>
        <w:tc>
          <w:tcPr>
            <w:tcW w:w="3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2"/>
        </w:trPr>
        <w:tc>
          <w:tcPr>
            <w:tcW w:w="20" w:type="dxa"/>
            <w:vAlign w:val="bottom"/>
            <w:tcBorders>
              <w:bottom w:val="single" w:sz="8" w:color="CCEEFF"/>
            </w:tcBorders>
          </w:tcPr>
          <w:p>
            <w:pPr>
              <w:spacing w:after="0"/>
              <w:rPr>
                <w:sz w:val="18"/>
                <w:szCs w:val="18"/>
                <w:color w:val="auto"/>
              </w:rPr>
            </w:pPr>
          </w:p>
        </w:tc>
        <w:tc>
          <w:tcPr>
            <w:tcW w:w="462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Total cost of sales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(1,199)</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(1,078)</w:t>
            </w: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121</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11.2 %</w:t>
            </w:r>
          </w:p>
        </w:tc>
      </w:tr>
      <w:tr>
        <w:trPr>
          <w:trHeight w:val="212"/>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Cost of Sales (% of net sales)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65.7 %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69.3 %</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i w:val="1"/>
                <w:iCs w:val="1"/>
                <w:color w:val="auto"/>
              </w:rPr>
              <w:t>(3.6)</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1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625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478</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147</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30.8 %</w:t>
            </w: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1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(257)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(252)</w:t>
            </w:r>
          </w:p>
        </w:tc>
        <w:tc>
          <w:tcPr>
            <w:tcW w:w="3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5</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2.0 %</w:t>
            </w:r>
          </w:p>
        </w:tc>
      </w:tr>
      <w:tr>
        <w:trPr>
          <w:trHeight w:val="83"/>
        </w:trPr>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80" w:type="dxa"/>
            <w:vAlign w:val="bottom"/>
          </w:tcPr>
          <w:p>
            <w:pPr>
              <w:spacing w:after="0"/>
              <w:rPr>
                <w:sz w:val="7"/>
                <w:szCs w:val="7"/>
                <w:color w:val="auto"/>
              </w:rPr>
            </w:pPr>
          </w:p>
        </w:tc>
      </w:tr>
      <w:tr>
        <w:trPr>
          <w:trHeight w:val="244"/>
        </w:trPr>
        <w:tc>
          <w:tcPr>
            <w:tcW w:w="46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368</w:t>
            </w:r>
          </w:p>
        </w:tc>
        <w:tc>
          <w:tcPr>
            <w:tcW w:w="1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226</w:t>
            </w:r>
          </w:p>
        </w:tc>
        <w:tc>
          <w:tcPr>
            <w:tcW w:w="3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142</w:t>
            </w:r>
          </w:p>
        </w:tc>
        <w:tc>
          <w:tcPr>
            <w:tcW w:w="2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464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7"/>
                <w:szCs w:val="17"/>
                <w:color w:val="auto"/>
              </w:rPr>
              <w:t>Income from operations (% of net sales)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20.2 %</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14.5 %</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15"/>
              <w:spacing w:after="0" w:line="191" w:lineRule="exact"/>
              <w:rPr>
                <w:sz w:val="20"/>
                <w:szCs w:val="20"/>
                <w:color w:val="auto"/>
              </w:rPr>
            </w:pPr>
            <w:r>
              <w:rPr>
                <w:rFonts w:ascii="Times New Roman" w:cs="Times New Roman" w:eastAsia="Times New Roman" w:hAnsi="Times New Roman"/>
                <w:sz w:val="17"/>
                <w:szCs w:val="17"/>
                <w:color w:val="auto"/>
              </w:rPr>
              <w:t>5.7</w:t>
            </w: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3460" w:type="dxa"/>
            <w:vAlign w:val="bottom"/>
            <w:tcBorders>
              <w:bottom w:val="single" w:sz="8" w:color="auto"/>
            </w:tcBorders>
            <w:gridSpan w:val="5"/>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r>
      <w:tr>
        <w:trPr>
          <w:trHeight w:val="375"/>
        </w:trPr>
        <w:tc>
          <w:tcPr>
            <w:tcW w:w="20" w:type="dxa"/>
            <w:vAlign w:val="bottom"/>
          </w:tcPr>
          <w:p>
            <w:pPr>
              <w:spacing w:after="0"/>
              <w:rPr>
                <w:sz w:val="24"/>
                <w:szCs w:val="24"/>
                <w:color w:val="auto"/>
              </w:rPr>
            </w:pPr>
          </w:p>
        </w:tc>
        <w:tc>
          <w:tcPr>
            <w:tcW w:w="11220" w:type="dxa"/>
            <w:vAlign w:val="bottom"/>
            <w:gridSpan w:val="11"/>
          </w:tcPr>
          <w:p>
            <w:pPr>
              <w:jc w:val="right"/>
              <w:ind w:right="275"/>
              <w:spacing w:after="0"/>
              <w:rPr>
                <w:sz w:val="20"/>
                <w:szCs w:val="20"/>
                <w:color w:val="auto"/>
              </w:rPr>
            </w:pPr>
            <w:r>
              <w:rPr>
                <w:rFonts w:ascii="Times New Roman" w:cs="Times New Roman" w:eastAsia="Times New Roman" w:hAnsi="Times New Roman"/>
                <w:sz w:val="17"/>
                <w:szCs w:val="17"/>
                <w:color w:val="auto"/>
              </w:rPr>
              <w:t>The following table shows the major components of the change in Net sales for the Freight Segment in the first quarter of 2024 from the first quarter of</w:t>
            </w:r>
          </w:p>
        </w:tc>
      </w:tr>
      <w:tr>
        <w:trPr>
          <w:trHeight w:val="223"/>
        </w:trPr>
        <w:tc>
          <w:tcPr>
            <w:tcW w:w="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2023:</w:t>
            </w:r>
          </w:p>
        </w:tc>
        <w:tc>
          <w:tcPr>
            <w:tcW w:w="4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167"/>
        </w:trPr>
        <w:tc>
          <w:tcPr>
            <w:tcW w:w="4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First Quarter 2023 Net sales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1,556</w:t>
            </w:r>
          </w:p>
        </w:tc>
      </w:tr>
      <w:tr>
        <w:trPr>
          <w:trHeight w:val="219"/>
        </w:trPr>
        <w:tc>
          <w:tcPr>
            <w:tcW w:w="20" w:type="dxa"/>
            <w:vAlign w:val="bottom"/>
          </w:tcPr>
          <w:p>
            <w:pPr>
              <w:spacing w:after="0"/>
              <w:rPr>
                <w:sz w:val="19"/>
                <w:szCs w:val="19"/>
                <w:color w:val="auto"/>
              </w:rPr>
            </w:pPr>
          </w:p>
        </w:tc>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Acquisitions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19"/>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Foreign Exchange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9"/>
        </w:trPr>
        <w:tc>
          <w:tcPr>
            <w:tcW w:w="20" w:type="dxa"/>
            <w:vAlign w:val="bottom"/>
          </w:tcPr>
          <w:p>
            <w:pPr>
              <w:spacing w:after="0"/>
              <w:rPr>
                <w:sz w:val="19"/>
                <w:szCs w:val="19"/>
                <w:color w:val="auto"/>
              </w:rPr>
            </w:pPr>
          </w:p>
        </w:tc>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Organic changes in Net sales by Product Line:</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Equipment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219"/>
        </w:trPr>
        <w:tc>
          <w:tcPr>
            <w:tcW w:w="20" w:type="dxa"/>
            <w:vAlign w:val="bottom"/>
          </w:tcPr>
          <w:p>
            <w:pPr>
              <w:spacing w:after="0"/>
              <w:rPr>
                <w:sz w:val="19"/>
                <w:szCs w:val="19"/>
                <w:color w:val="auto"/>
              </w:rPr>
            </w:pP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Services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219"/>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Components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9"/>
        </w:trPr>
        <w:tc>
          <w:tcPr>
            <w:tcW w:w="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Digital Intelligence</w:t>
            </w:r>
          </w:p>
        </w:tc>
        <w:tc>
          <w:tcPr>
            <w:tcW w:w="3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37"/>
        </w:trPr>
        <w:tc>
          <w:tcPr>
            <w:tcW w:w="46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First Quarter 2024 Net sales</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Freight Segment organic sales increased by $231 million driven primarily by:</w:t>
      </w:r>
    </w:p>
    <w:p>
      <w:pPr>
        <w:spacing w:after="0" w:line="49" w:lineRule="exact"/>
        <w:rPr>
          <w:sz w:val="20"/>
          <w:szCs w:val="20"/>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Equipment sales from higher North America and international locomotive sales and increased mining sales, and</w:t>
      </w:r>
    </w:p>
    <w:p>
      <w:pPr>
        <w:spacing w:after="0" w:line="4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Services sales from higher deliveries of locomotive modernizations and overhauls and higher parts sales</w:t>
      </w:r>
    </w:p>
    <w:p>
      <w:pPr>
        <w:spacing w:after="0" w:line="37" w:lineRule="exact"/>
        <w:rPr>
          <w:sz w:val="20"/>
          <w:szCs w:val="20"/>
          <w:color w:val="auto"/>
        </w:rPr>
      </w:pPr>
    </w:p>
    <w:p>
      <w:pPr>
        <w:ind w:right="1660"/>
        <w:spacing w:after="0" w:line="379" w:lineRule="auto"/>
        <w:rPr>
          <w:sz w:val="20"/>
          <w:szCs w:val="20"/>
          <w:color w:val="auto"/>
        </w:rPr>
      </w:pPr>
      <w:r>
        <w:rPr>
          <w:rFonts w:ascii="Times New Roman" w:cs="Times New Roman" w:eastAsia="Times New Roman" w:hAnsi="Times New Roman"/>
          <w:sz w:val="17"/>
          <w:szCs w:val="17"/>
          <w:color w:val="auto"/>
        </w:rPr>
        <w:t xml:space="preserve">Additionally, Freight Segment sales also benefited from our recently completed strategic acquisition of L&amp;M Radiator, Inc. by $36 million. </w:t>
      </w:r>
      <w:r>
        <w:rPr>
          <w:rFonts w:ascii="Times New Roman" w:cs="Times New Roman" w:eastAsia="Times New Roman" w:hAnsi="Times New Roman"/>
          <w:sz w:val="17"/>
          <w:szCs w:val="17"/>
          <w:b w:val="1"/>
          <w:bCs w:val="1"/>
          <w:color w:val="auto"/>
        </w:rPr>
        <w:t>Cost of sales</w:t>
      </w:r>
    </w:p>
    <w:p>
      <w:pPr>
        <w:spacing w:after="0" w:line="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Freight Segment Cost of sales increased $121 million from higher sales volume and Cost of sales as a percentage of Net sales decreased 3.6 percentage points. The improvement in gross margin is attributable to improved pricing, favorable mix within the Freight Segment product lines, and slightly favorable input costs. Cost of sales for the three months ended March 31, 2024 and 2023 included $3 million and $1 million, respectively, of restructuring costs, primarily related to Integration 2.0 in both years and Portfolio Optimization in 2024.</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11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Freight Segment operating expenses increased by $5 million primarily driven by higher SG&amp;A expenses resulting from higher costs to support increased sales volume, higher employee compensation and benefit costs and incremental expense from acquisitions.</w:t>
      </w:r>
    </w:p>
    <w:p>
      <w:pPr>
        <w:spacing w:after="0" w:line="200" w:lineRule="exact"/>
        <w:rPr>
          <w:sz w:val="20"/>
          <w:szCs w:val="20"/>
          <w:color w:val="auto"/>
        </w:rPr>
      </w:pPr>
    </w:p>
    <w:p>
      <w:pPr>
        <w:spacing w:after="0" w:line="31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00"/>
          </w:cols>
          <w:pgMar w:left="320" w:top="983" w:right="6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color w:val="auto"/>
        </w:rPr>
        <w:t>Transit Segment</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shows our Condensed Consolidated Statements of Operations for our Transit Segment for the periods indicated:</w:t>
      </w:r>
    </w:p>
    <w:p>
      <w:pPr>
        <w:spacing w:after="0" w:line="50"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spacing w:after="0" w:line="2"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5"/>
          <w:szCs w:val="15"/>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6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555"/>
              <w:spacing w:after="0" w:line="154" w:lineRule="exact"/>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75"/>
              <w:spacing w:after="0" w:line="154" w:lineRule="exact"/>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2"/>
          </w:tcPr>
          <w:p>
            <w:pPr>
              <w:jc w:val="right"/>
              <w:ind w:right="834"/>
              <w:spacing w:after="0" w:line="154" w:lineRule="exact"/>
              <w:rPr>
                <w:sz w:val="20"/>
                <w:szCs w:val="20"/>
                <w:color w:val="auto"/>
              </w:rPr>
            </w:pPr>
            <w:r>
              <w:rPr>
                <w:rFonts w:ascii="Times New Roman" w:cs="Times New Roman" w:eastAsia="Times New Roman" w:hAnsi="Times New Roman"/>
                <w:sz w:val="15"/>
                <w:szCs w:val="15"/>
                <w:b w:val="1"/>
                <w:bCs w:val="1"/>
                <w:color w:val="auto"/>
              </w:rPr>
              <w:t>Change</w:t>
            </w:r>
          </w:p>
        </w:tc>
        <w:tc>
          <w:tcPr>
            <w:tcW w:w="1280" w:type="dxa"/>
            <w:vAlign w:val="bottom"/>
            <w:tcBorders>
              <w:top w:val="single" w:sz="8" w:color="auto"/>
            </w:tcBorders>
          </w:tcPr>
          <w:p>
            <w:pPr>
              <w:jc w:val="right"/>
              <w:ind w:right="375"/>
              <w:spacing w:after="0" w:line="154" w:lineRule="exact"/>
              <w:rPr>
                <w:sz w:val="20"/>
                <w:szCs w:val="20"/>
                <w:color w:val="auto"/>
              </w:rPr>
            </w:pPr>
            <w:r>
              <w:rPr>
                <w:rFonts w:ascii="Times New Roman" w:cs="Times New Roman" w:eastAsia="Times New Roman" w:hAnsi="Times New Roman"/>
                <w:sz w:val="15"/>
                <w:szCs w:val="15"/>
                <w:b w:val="1"/>
                <w:bCs w:val="1"/>
                <w:color w:val="auto"/>
              </w:rPr>
              <w:t>% Change</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2"/>
        </w:trPr>
        <w:tc>
          <w:tcPr>
            <w:tcW w:w="4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673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638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35</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5.5 %</w:t>
            </w:r>
          </w:p>
        </w:tc>
      </w:tr>
      <w:tr>
        <w:trPr>
          <w:trHeight w:val="219"/>
        </w:trPr>
        <w:tc>
          <w:tcPr>
            <w:tcW w:w="46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(483)</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(451)</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32</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7.1 %</w:t>
            </w:r>
          </w:p>
        </w:tc>
      </w:tr>
      <w:tr>
        <w:trPr>
          <w:trHeight w:val="212"/>
        </w:trPr>
        <w:tc>
          <w:tcPr>
            <w:tcW w:w="4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Cost of sales (% of net sales)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i w:val="1"/>
                <w:iCs w:val="1"/>
                <w:color w:val="auto"/>
              </w:rPr>
              <w:t>1.2</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19"/>
        </w:trPr>
        <w:tc>
          <w:tcPr>
            <w:tcW w:w="4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187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3</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1.6 %</w:t>
            </w: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19"/>
        </w:trPr>
        <w:tc>
          <w:tcPr>
            <w:tcW w:w="4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(116)</w:t>
            </w: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(117)</w:t>
            </w: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r>
      <w:tr>
        <w:trPr>
          <w:trHeight w:val="83"/>
        </w:trPr>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80" w:type="dxa"/>
            <w:vAlign w:val="bottom"/>
          </w:tcPr>
          <w:p>
            <w:pPr>
              <w:spacing w:after="0"/>
              <w:rPr>
                <w:sz w:val="7"/>
                <w:szCs w:val="7"/>
                <w:color w:val="auto"/>
              </w:rPr>
            </w:pPr>
          </w:p>
        </w:tc>
      </w:tr>
      <w:tr>
        <w:trPr>
          <w:trHeight w:val="244"/>
        </w:trPr>
        <w:tc>
          <w:tcPr>
            <w:tcW w:w="46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70</w:t>
            </w:r>
          </w:p>
        </w:tc>
        <w:tc>
          <w:tcPr>
            <w:tcW w:w="8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4</w:t>
            </w:r>
          </w:p>
        </w:tc>
        <w:tc>
          <w:tcPr>
            <w:tcW w:w="2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466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7"/>
                <w:szCs w:val="17"/>
                <w:color w:val="auto"/>
              </w:rPr>
              <w:t>Income from operations (% of net sales)</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11.0 %</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11.0 %</w:t>
            </w: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ind w:right="354"/>
              <w:spacing w:after="0" w:line="191" w:lineRule="exact"/>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720" w:type="dxa"/>
            <w:vAlign w:val="bottom"/>
            <w:tcBorders>
              <w:bottom w:val="single" w:sz="8" w:color="auto"/>
            </w:tcBorders>
            <w:gridSpan w:val="3"/>
          </w:tcPr>
          <w:p>
            <w:pPr>
              <w:spacing w:after="0" w:line="20" w:lineRule="exact"/>
              <w:rPr>
                <w:sz w:val="1"/>
                <w:szCs w:val="1"/>
                <w:color w:val="auto"/>
              </w:rPr>
            </w:pPr>
          </w:p>
        </w:tc>
        <w:tc>
          <w:tcPr>
            <w:tcW w:w="1740" w:type="dxa"/>
            <w:vAlign w:val="bottom"/>
            <w:tcBorders>
              <w:bottom w:val="single" w:sz="8" w:color="auto"/>
            </w:tcBorders>
            <w:gridSpan w:val="3"/>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r>
      <w:tr>
        <w:trPr>
          <w:trHeight w:val="375"/>
        </w:trPr>
        <w:tc>
          <w:tcPr>
            <w:tcW w:w="20" w:type="dxa"/>
            <w:vAlign w:val="bottom"/>
          </w:tcPr>
          <w:p>
            <w:pPr>
              <w:spacing w:after="0"/>
              <w:rPr>
                <w:sz w:val="24"/>
                <w:szCs w:val="24"/>
                <w:color w:val="auto"/>
              </w:rPr>
            </w:pPr>
          </w:p>
        </w:tc>
        <w:tc>
          <w:tcPr>
            <w:tcW w:w="11220" w:type="dxa"/>
            <w:vAlign w:val="bottom"/>
            <w:gridSpan w:val="12"/>
          </w:tcPr>
          <w:p>
            <w:pPr>
              <w:jc w:val="right"/>
              <w:ind w:right="295"/>
              <w:spacing w:after="0"/>
              <w:rPr>
                <w:sz w:val="20"/>
                <w:szCs w:val="20"/>
                <w:color w:val="auto"/>
              </w:rPr>
            </w:pPr>
            <w:r>
              <w:rPr>
                <w:rFonts w:ascii="Times New Roman" w:cs="Times New Roman" w:eastAsia="Times New Roman" w:hAnsi="Times New Roman"/>
                <w:sz w:val="17"/>
                <w:szCs w:val="17"/>
                <w:color w:val="auto"/>
              </w:rPr>
              <w:t>The following table shows the major components of the change in Net sales for the Transit Segment in the first quarter of 2024 from the first quarter of</w:t>
            </w:r>
          </w:p>
        </w:tc>
      </w:tr>
      <w:tr>
        <w:trPr>
          <w:trHeight w:val="223"/>
        </w:trPr>
        <w:tc>
          <w:tcPr>
            <w:tcW w:w="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2023:</w:t>
            </w:r>
          </w:p>
        </w:tc>
        <w:tc>
          <w:tcPr>
            <w:tcW w:w="4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167"/>
        </w:trPr>
        <w:tc>
          <w:tcPr>
            <w:tcW w:w="46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9"/>
        </w:trPr>
        <w:tc>
          <w:tcPr>
            <w:tcW w:w="4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First Quarter 2023 Net sales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w:t>
            </w:r>
          </w:p>
        </w:tc>
      </w:tr>
      <w:tr>
        <w:trPr>
          <w:trHeight w:val="219"/>
        </w:trPr>
        <w:tc>
          <w:tcPr>
            <w:tcW w:w="20" w:type="dxa"/>
            <w:vAlign w:val="bottom"/>
          </w:tcPr>
          <w:p>
            <w:pPr>
              <w:spacing w:after="0"/>
              <w:rPr>
                <w:sz w:val="19"/>
                <w:szCs w:val="19"/>
                <w:color w:val="auto"/>
              </w:rPr>
            </w:pPr>
          </w:p>
        </w:tc>
        <w:tc>
          <w:tcPr>
            <w:tcW w:w="4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Foreign Exchange</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19"/>
        </w:trPr>
        <w:tc>
          <w:tcPr>
            <w:tcW w:w="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Organic changes in Net sales by Product Line: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6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Aftermarket</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19"/>
        </w:trPr>
        <w:tc>
          <w:tcPr>
            <w:tcW w:w="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Original Equipment Manufacturing</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2"/>
        </w:trPr>
        <w:tc>
          <w:tcPr>
            <w:tcW w:w="4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First Quarter 2024 Net sales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673</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169" w:lineRule="exact"/>
        <w:rPr>
          <w:sz w:val="20"/>
          <w:szCs w:val="20"/>
          <w:color w:val="auto"/>
        </w:rPr>
      </w:pPr>
    </w:p>
    <w:p>
      <w:pPr>
        <w:jc w:val="both"/>
        <w:ind w:right="640"/>
        <w:spacing w:after="0" w:line="270" w:lineRule="auto"/>
        <w:rPr>
          <w:sz w:val="20"/>
          <w:szCs w:val="20"/>
          <w:color w:val="auto"/>
        </w:rPr>
      </w:pPr>
      <w:r>
        <w:rPr>
          <w:rFonts w:ascii="Times New Roman" w:cs="Times New Roman" w:eastAsia="Times New Roman" w:hAnsi="Times New Roman"/>
          <w:sz w:val="17"/>
          <w:szCs w:val="17"/>
          <w:color w:val="auto"/>
        </w:rPr>
        <w:t>Transit Segment organic sales increased by $31 million driven by strong Aftermarket and Original Equipment Manufacturing sales primarily as a result of increased demand for products and services, increased infrastructure investment, and the easing of supply chain disruptions. Favorable changes in foreign exchange rates also increased sales by $4 million.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 of sales</w:t>
      </w:r>
    </w:p>
    <w:p>
      <w:pPr>
        <w:spacing w:after="0" w:line="118"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7"/>
          <w:szCs w:val="17"/>
          <w:color w:val="auto"/>
        </w:rPr>
        <w:t>Transit Segment Cost of sales increased by $32 million primarily from higher sales volume, and Costs of sales as a percentage of sales increased by 1.2 percentage points. The decrease in gross margin is primarily attributable to higher input costs and unfavorable mix within the Transit Segment, partially offset by benefits from structured cost actions taken through Integration 2.0 and prior years' restructuring and integration projects. Transit Cost of sales for the three months ended March 31, 2024 and 2023 includes $3 million of restructuring costs, primarily for footprint rationalization and headcount actions in Europe related to Integration 2.0.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11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Transit Segment operating expenses decreased by $1 million as compared to the prior year. Higher SG&amp;A expenses to support higher sales volume and higher employee compensation and benefit costs were more than offset by benefits from structured cost actions taken through Integration 2.0 and prior years' restructuring and integration projects. Transit Operating expenses for the three months ended March 31, 2024 and 2023 includes $4 million of restructuring costs, primarily for footprint rationalization and headcount actions in Europe related to Integration 2.0.</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18" w:lineRule="exact"/>
        <w:rPr>
          <w:sz w:val="20"/>
          <w:szCs w:val="20"/>
          <w:color w:val="auto"/>
        </w:rPr>
      </w:pPr>
    </w:p>
    <w:p>
      <w:pPr>
        <w:ind w:right="200" w:firstLine="464"/>
        <w:spacing w:after="0" w:line="264" w:lineRule="auto"/>
        <w:rPr>
          <w:sz w:val="20"/>
          <w:szCs w:val="20"/>
          <w:color w:val="auto"/>
        </w:rPr>
      </w:pPr>
      <w:r>
        <w:rPr>
          <w:rFonts w:ascii="Times New Roman" w:cs="Times New Roman" w:eastAsia="Times New Roman" w:hAnsi="Times New Roman"/>
          <w:sz w:val="17"/>
          <w:szCs w:val="17"/>
          <w:color w:val="auto"/>
        </w:rPr>
        <w:t>Liquidity is provided by operating cash flows and borrowings under the Company’s Senior Notes, the 2022 Credit Agreement and the 2024 Credit Agreement, each with a consortium of commercial banks. Additionally, the Company utilizes the revolving receivables program and supply chain financing program described below, as well as other short-term financing agreements with certain banks, for added flexibility as part of our liquidity management strategy. The following is a summary of selected cash flow information and other relevant data:</w:t>
      </w: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80" w:type="dxa"/>
            <w:vAlign w:val="bottom"/>
            <w:gridSpan w:val="4"/>
          </w:tcPr>
          <w:p>
            <w:pPr>
              <w:jc w:val="right"/>
              <w:ind w:right="776"/>
              <w:spacing w:after="0" w:line="162" w:lineRule="exact"/>
              <w:rPr>
                <w:sz w:val="20"/>
                <w:szCs w:val="20"/>
                <w:color w:val="auto"/>
              </w:rPr>
            </w:pPr>
            <w:r>
              <w:rPr>
                <w:rFonts w:ascii="Times New Roman" w:cs="Times New Roman" w:eastAsia="Times New Roman" w:hAnsi="Times New Roman"/>
                <w:sz w:val="15"/>
                <w:szCs w:val="15"/>
                <w:b w:val="1"/>
                <w:bCs w:val="1"/>
                <w:color w:val="auto"/>
              </w:rPr>
              <w:t>Three Months Ended</w:t>
            </w:r>
          </w:p>
        </w:tc>
      </w:tr>
      <w:tr>
        <w:trPr>
          <w:trHeight w:val="205"/>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080" w:type="dxa"/>
            <w:vAlign w:val="bottom"/>
            <w:tcBorders>
              <w:bottom w:val="single" w:sz="8" w:color="auto"/>
            </w:tcBorders>
          </w:tcPr>
          <w:p>
            <w:pPr>
              <w:spacing w:after="0"/>
              <w:rPr>
                <w:sz w:val="17"/>
                <w:szCs w:val="17"/>
                <w:color w:val="auto"/>
              </w:rPr>
            </w:pPr>
          </w:p>
        </w:tc>
      </w:tr>
      <w:tr>
        <w:trPr>
          <w:trHeight w:val="149"/>
        </w:trPr>
        <w:tc>
          <w:tcPr>
            <w:tcW w:w="81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2"/>
                <w:szCs w:val="12"/>
                <w:color w:val="auto"/>
              </w:rPr>
            </w:pPr>
          </w:p>
        </w:tc>
        <w:tc>
          <w:tcPr>
            <w:tcW w:w="1160" w:type="dxa"/>
            <w:vAlign w:val="bottom"/>
          </w:tcPr>
          <w:p>
            <w:pPr>
              <w:jc w:val="right"/>
              <w:ind w:right="518"/>
              <w:spacing w:after="0" w:line="135" w:lineRule="exact"/>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jc w:val="right"/>
              <w:ind w:right="516"/>
              <w:spacing w:after="0" w:line="135" w:lineRule="exact"/>
              <w:rPr>
                <w:sz w:val="20"/>
                <w:szCs w:val="20"/>
                <w:color w:val="auto"/>
              </w:rPr>
            </w:pPr>
            <w:r>
              <w:rPr>
                <w:rFonts w:ascii="Times New Roman" w:cs="Times New Roman" w:eastAsia="Times New Roman" w:hAnsi="Times New Roman"/>
                <w:sz w:val="15"/>
                <w:szCs w:val="15"/>
                <w:b w:val="1"/>
                <w:bCs w:val="1"/>
                <w:color w:val="auto"/>
              </w:rPr>
              <w:t>2023</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provided by (used for):</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Operating activities</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10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Investing activities</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23"/>
        </w:trPr>
        <w:tc>
          <w:tcPr>
            <w:tcW w:w="20" w:type="dxa"/>
            <w:vAlign w:val="bottom"/>
          </w:tcPr>
          <w:p>
            <w:pPr>
              <w:spacing w:after="0"/>
              <w:rPr>
                <w:sz w:val="19"/>
                <w:szCs w:val="19"/>
                <w:color w:val="auto"/>
              </w:rPr>
            </w:pPr>
          </w:p>
        </w:tc>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Financing activities</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10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r>
    </w:tbl>
    <w:p>
      <w:pPr>
        <w:spacing w:after="0" w:line="219" w:lineRule="exact"/>
        <w:rPr>
          <w:sz w:val="20"/>
          <w:szCs w:val="20"/>
          <w:color w:val="auto"/>
        </w:rPr>
      </w:pPr>
    </w:p>
    <w:p>
      <w:pPr>
        <w:ind w:right="8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Operating activities </w:t>
      </w:r>
      <w:r>
        <w:rPr>
          <w:rFonts w:ascii="Times New Roman" w:cs="Times New Roman" w:eastAsia="Times New Roman" w:hAnsi="Times New Roman"/>
          <w:sz w:val="17"/>
          <w:szCs w:val="17"/>
          <w:color w:val="auto"/>
        </w:rPr>
        <w:t>In the first three months of 2024, cash provided by operating activities was $334 million compared to cash used for operating activities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$(25) million in the first three months of 2023. Significant changes to the sources and (uses) of cash for the three month periods include the following:</w:t>
      </w:r>
    </w:p>
    <w:p>
      <w:pPr>
        <w:spacing w:after="0" w:line="94" w:lineRule="exact"/>
        <w:rPr>
          <w:sz w:val="20"/>
          <w:szCs w:val="20"/>
          <w:color w:val="auto"/>
        </w:rPr>
      </w:pPr>
    </w:p>
    <w:p>
      <w:pPr>
        <w:ind w:left="620" w:hanging="153"/>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$104 million from increased Net Income;</w:t>
      </w:r>
    </w:p>
    <w:p>
      <w:pPr>
        <w:spacing w:after="0" w:line="165" w:lineRule="exact"/>
        <w:rPr>
          <w:rFonts w:ascii="Times New Roman" w:cs="Times New Roman" w:eastAsia="Times New Roman" w:hAnsi="Times New Roman"/>
          <w:sz w:val="17"/>
          <w:szCs w:val="17"/>
          <w:color w:val="auto"/>
        </w:rPr>
      </w:pPr>
    </w:p>
    <w:p>
      <w:pPr>
        <w:ind w:left="320" w:right="440" w:firstLine="147"/>
        <w:spacing w:after="0" w:line="287" w:lineRule="auto"/>
        <w:tabs>
          <w:tab w:leader="none" w:pos="62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$172 million from favorable changes in accounts receivable driven by the timing of collections from customers and a net $65 million increase in the utilization of the Revolving Receivables Program; and,</w:t>
      </w:r>
    </w:p>
    <w:p>
      <w:pPr>
        <w:spacing w:after="0" w:line="99"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$103 million from changes in inventory.</w:t>
      </w:r>
    </w:p>
    <w:p>
      <w:pPr>
        <w:spacing w:after="0" w:line="108" w:lineRule="exact"/>
        <w:rPr>
          <w:sz w:val="20"/>
          <w:szCs w:val="20"/>
          <w:color w:val="auto"/>
        </w:rPr>
      </w:pPr>
    </w:p>
    <w:p>
      <w:pPr>
        <w:ind w:right="80" w:firstLine="464"/>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Investing activities </w:t>
      </w:r>
      <w:r>
        <w:rPr>
          <w:rFonts w:ascii="Times New Roman" w:cs="Times New Roman" w:eastAsia="Times New Roman" w:hAnsi="Times New Roman"/>
          <w:sz w:val="17"/>
          <w:szCs w:val="17"/>
          <w:color w:val="auto"/>
        </w:rPr>
        <w:t>In the first three months of 2024 and 2023, cash used for investing activities was $(19) million and $(32) million, respectively. During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first three months of 2024, Wabtec used $(31) million for additions to property, plant and equipment for investments in our facilities and manufacturing processes and received $12 million of proceeds from disposals of property, plant and equipment. During the first three months of 2023, Wabtec used $(32) million for additions to property, plant, and equipment.</w:t>
      </w:r>
    </w:p>
    <w:p>
      <w:pPr>
        <w:spacing w:after="0" w:line="58" w:lineRule="exact"/>
        <w:rPr>
          <w:sz w:val="20"/>
          <w:szCs w:val="20"/>
          <w:color w:val="auto"/>
        </w:rPr>
      </w:pPr>
    </w:p>
    <w:p>
      <w:pPr>
        <w:ind w:firstLine="464"/>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Financing activities </w:t>
      </w:r>
      <w:r>
        <w:rPr>
          <w:rFonts w:ascii="Times New Roman" w:cs="Times New Roman" w:eastAsia="Times New Roman" w:hAnsi="Times New Roman"/>
          <w:sz w:val="17"/>
          <w:szCs w:val="17"/>
          <w:color w:val="auto"/>
        </w:rPr>
        <w:t>In the first three months of 2024, cash used for financing activities was $(289) million which included $(58) million from net changes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debt, $(175) million in stock repurchases, $(36) million of dividend payments, and $(23) million of payments for income tax withholding on share-based compensation. In the first three months of 2023, cash used for financing activities was $(72) million, which included $154 million from net changes in debt, $(178) million in stock repurchases, $(31) million of dividend payments, and $(14) million of payments for income tax withholding on share-based compensation.</w:t>
      </w:r>
    </w:p>
    <w:p>
      <w:pPr>
        <w:spacing w:after="0" w:line="64" w:lineRule="exact"/>
        <w:rPr>
          <w:sz w:val="20"/>
          <w:szCs w:val="20"/>
          <w:color w:val="auto"/>
        </w:rPr>
      </w:pPr>
    </w:p>
    <w:p>
      <w:pPr>
        <w:ind w:right="160" w:firstLine="464"/>
        <w:spacing w:after="0" w:line="270" w:lineRule="auto"/>
        <w:rPr>
          <w:sz w:val="20"/>
          <w:szCs w:val="20"/>
          <w:color w:val="auto"/>
        </w:rPr>
      </w:pPr>
      <w:r>
        <w:rPr>
          <w:rFonts w:ascii="Times New Roman" w:cs="Times New Roman" w:eastAsia="Times New Roman" w:hAnsi="Times New Roman"/>
          <w:sz w:val="17"/>
          <w:szCs w:val="17"/>
          <w:color w:val="auto"/>
        </w:rPr>
        <w:t>During the first quarter of 2024, the Company entered in the 2024 Credit Agreement for a term loan of $225 million. Also during the first quarter of 2024, the Company issued $500 million of Senior Notes due in 2034. Proceeds from the 2034 Notes, combined with the proceeds from the term loan under the 2024 Credit Agreement and cash on hand, were utilized to redeem the outstanding amount of 2024 Notes.</w:t>
      </w:r>
    </w:p>
    <w:p>
      <w:pPr>
        <w:spacing w:after="0" w:line="62" w:lineRule="exact"/>
        <w:rPr>
          <w:sz w:val="20"/>
          <w:szCs w:val="20"/>
          <w:color w:val="auto"/>
        </w:rPr>
      </w:pPr>
    </w:p>
    <w:p>
      <w:pPr>
        <w:ind w:right="220" w:firstLine="464"/>
        <w:spacing w:after="0" w:line="264" w:lineRule="auto"/>
        <w:rPr>
          <w:sz w:val="20"/>
          <w:szCs w:val="20"/>
          <w:color w:val="auto"/>
        </w:rPr>
      </w:pPr>
      <w:r>
        <w:rPr>
          <w:rFonts w:ascii="Times New Roman" w:cs="Times New Roman" w:eastAsia="Times New Roman" w:hAnsi="Times New Roman"/>
          <w:sz w:val="17"/>
          <w:szCs w:val="17"/>
          <w:color w:val="auto"/>
        </w:rPr>
        <w:t>As of March 31, 2024, the Company held approximately $639 million of cash, cash equivalents and restricted cash, of which approximately $249 million was held within the United States and approximately $390 million was held outside of the United States, primarily in India, Europe, Brazil, and China. While repatriation of some cash held outside the United States may be restricted by local laws, most of the Company’s foreign cash could be repatriated to the United States net of any tax impacts. As of March 31, 2024, approximately $5 million of the Company's $639 million of cash balance was classified as restricted.</w:t>
      </w:r>
    </w:p>
    <w:p>
      <w:pPr>
        <w:spacing w:after="0" w:line="68" w:lineRule="exact"/>
        <w:rPr>
          <w:sz w:val="20"/>
          <w:szCs w:val="20"/>
          <w:color w:val="auto"/>
        </w:rPr>
      </w:pPr>
    </w:p>
    <w:p>
      <w:pPr>
        <w:jc w:val="both"/>
        <w:ind w:right="300" w:firstLine="464"/>
        <w:spacing w:after="0" w:line="270" w:lineRule="auto"/>
        <w:rPr>
          <w:sz w:val="20"/>
          <w:szCs w:val="20"/>
          <w:color w:val="auto"/>
        </w:rPr>
      </w:pPr>
      <w:r>
        <w:rPr>
          <w:rFonts w:ascii="Times New Roman" w:cs="Times New Roman" w:eastAsia="Times New Roman" w:hAnsi="Times New Roman"/>
          <w:sz w:val="17"/>
          <w:szCs w:val="17"/>
          <w:color w:val="auto"/>
        </w:rPr>
        <w:t>We or our affiliates may, from time to time, seek to retire or purchase outstanding debt through negotiated or open-market cash purchases, exchanges, or otherwise, and such transactions, if any, will be upon such terms and at such prices as we may determine, and will depend on prevailing market conditions, our liquidity requirements, contractual restrictions and other factors.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Revolving Receivables Program</w:t>
      </w:r>
    </w:p>
    <w:p>
      <w:pPr>
        <w:spacing w:after="0" w:line="118" w:lineRule="exact"/>
        <w:rPr>
          <w:sz w:val="20"/>
          <w:szCs w:val="20"/>
          <w:color w:val="auto"/>
        </w:rPr>
      </w:pPr>
    </w:p>
    <w:p>
      <w:pPr>
        <w:ind w:right="160" w:firstLine="464"/>
        <w:spacing w:after="0" w:line="264" w:lineRule="auto"/>
        <w:rPr>
          <w:sz w:val="20"/>
          <w:szCs w:val="20"/>
          <w:color w:val="auto"/>
        </w:rPr>
      </w:pPr>
      <w:r>
        <w:rPr>
          <w:rFonts w:ascii="Times New Roman" w:cs="Times New Roman" w:eastAsia="Times New Roman" w:hAnsi="Times New Roman"/>
          <w:sz w:val="17"/>
          <w:szCs w:val="17"/>
          <w:color w:val="auto"/>
        </w:rPr>
        <w:t>The Company utilizes a revolving receivables facility to sell up to $350 million of certain receivables through our bankruptcy-remote subsidiary to a financial institution on a recurring basis in exchange for cash equal to the gross receivables sold. As customers pay their balances, we transfer additional receivables into the program, which could result in our gross receivables sold being higher or lower than customer collections remitted to the financial institution for any applicable periods. Net cash proceeds included in cash from operations from the revolving receivables program were $210 million and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31" w:name="page32"/>
    <w:bookmarkEnd w:id="31"/>
    <w:p>
      <w:pPr>
        <w:ind w:right="340"/>
        <w:spacing w:after="0" w:line="287" w:lineRule="auto"/>
        <w:rPr>
          <w:sz w:val="20"/>
          <w:szCs w:val="20"/>
          <w:color w:val="auto"/>
        </w:rPr>
      </w:pPr>
      <w:r>
        <w:rPr>
          <w:rFonts w:ascii="Times New Roman" w:cs="Times New Roman" w:eastAsia="Times New Roman" w:hAnsi="Times New Roman"/>
          <w:sz w:val="17"/>
          <w:szCs w:val="17"/>
          <w:color w:val="auto"/>
        </w:rPr>
        <w:t>$145 million for the three months ended March 31, 2024 and 2023, respectively. Additional information with respect to the Revolving Receivables Program is included in Note 2 of "Notes to Condensed Consolidated Financial Statements" included in Part I, Item 1 of this report.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Supply Chain Financing Program</w:t>
      </w:r>
    </w:p>
    <w:p>
      <w:pPr>
        <w:spacing w:after="0" w:line="118" w:lineRule="exact"/>
        <w:rPr>
          <w:sz w:val="20"/>
          <w:szCs w:val="20"/>
          <w:color w:val="auto"/>
        </w:rPr>
      </w:pPr>
    </w:p>
    <w:p>
      <w:pPr>
        <w:ind w:right="140" w:firstLine="464"/>
        <w:spacing w:after="0" w:line="260" w:lineRule="auto"/>
        <w:rPr>
          <w:sz w:val="20"/>
          <w:szCs w:val="20"/>
          <w:color w:val="auto"/>
        </w:rPr>
      </w:pPr>
      <w:r>
        <w:rPr>
          <w:rFonts w:ascii="Times New Roman" w:cs="Times New Roman" w:eastAsia="Times New Roman" w:hAnsi="Times New Roman"/>
          <w:sz w:val="17"/>
          <w:szCs w:val="17"/>
          <w:color w:val="auto"/>
        </w:rPr>
        <w:t>The Company has entered into supply chain financing arrangements with third-party financial institutions to provide our vendors with enhanced payment options while providing the Company with added working capital flexibility. The Company does not provide any guarantees under these arrangements, does not have an economic interest in our supplier's voluntary participation, does not receive an economic benefit from the financial institutions, and no assets are pledged under the arrangements. The arrangements do not change the payable terms negotiated by the Company and our vendors and does not result in a change in the classification of amounts due as Accounts payable in the Condensed Consolidated Balance Sheets. Additional information with respect to the Supply Chain Financing Program is included in Note 2 of "Notes to Condensed Consolidated Financial Statements" included in Part I, Item 1 of this report.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Guarantor Summarized Financial Information</w:t>
      </w:r>
    </w:p>
    <w:p>
      <w:pPr>
        <w:spacing w:after="0" w:line="118" w:lineRule="exact"/>
        <w:rPr>
          <w:sz w:val="20"/>
          <w:szCs w:val="20"/>
          <w:color w:val="auto"/>
        </w:rPr>
      </w:pPr>
    </w:p>
    <w:p>
      <w:pPr>
        <w:ind w:right="400" w:firstLine="464"/>
        <w:spacing w:after="0" w:line="261" w:lineRule="auto"/>
        <w:rPr>
          <w:sz w:val="20"/>
          <w:szCs w:val="20"/>
          <w:color w:val="auto"/>
        </w:rPr>
      </w:pPr>
      <w:r>
        <w:rPr>
          <w:rFonts w:ascii="Times New Roman" w:cs="Times New Roman" w:eastAsia="Times New Roman" w:hAnsi="Times New Roman"/>
          <w:sz w:val="17"/>
          <w:szCs w:val="17"/>
          <w:color w:val="auto"/>
        </w:rPr>
        <w:t>The obligations under the US Notes issued by Westinghouse Air Brake Technologies Corporation (the "Parent Company") have been fully and unconditionally guaranteed by certain of the Parent Company's U.S. subsidiaries ("Guarantor Subsidiaries"). Each guarantor is 100% owned by the Parent Company, with the exception of GE Transportation, a Wabtec Company, which has 15,000 shares outstanding of Class A Non-Voting Preferred Stock held by General Electric Company. The Euro Notes are issued by Wabtec Transportation Netherlands B.V. ("Wabtec Netherlands") and are fully and unconditionally guaranteed by the Parent Company.</w:t>
      </w:r>
    </w:p>
    <w:p>
      <w:pPr>
        <w:spacing w:after="0" w:line="72" w:lineRule="exact"/>
        <w:rPr>
          <w:sz w:val="20"/>
          <w:szCs w:val="20"/>
          <w:color w:val="auto"/>
        </w:rPr>
      </w:pPr>
    </w:p>
    <w:p>
      <w:pPr>
        <w:ind w:firstLine="464"/>
        <w:spacing w:after="0" w:line="264" w:lineRule="auto"/>
        <w:rPr>
          <w:sz w:val="20"/>
          <w:szCs w:val="20"/>
          <w:color w:val="auto"/>
        </w:rPr>
      </w:pPr>
      <w:r>
        <w:rPr>
          <w:rFonts w:ascii="Times New Roman" w:cs="Times New Roman" w:eastAsia="Times New Roman" w:hAnsi="Times New Roman"/>
          <w:sz w:val="17"/>
          <w:szCs w:val="17"/>
          <w:color w:val="auto"/>
        </w:rPr>
        <w:t>The following tables present summarized financial information of the Parent Company and the guarantor subsidiaries on a combined basis. The combined summarized financial information eliminates intercompany balances and transactions among the Parent Company and guarantor subsidiaries and equity in earnings and investments in any guarantor subsidiaries or non-guarantor subsidiaries. The summarized financial information is provided in accordance with the reporting requirements of Rule 13-01 under SEC Regulation S-X for the issuer and guarantor subsidiaries.</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Summarized Statement of Income</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62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Unaudited</w:t>
            </w:r>
          </w:p>
        </w:tc>
      </w:tr>
      <w:tr>
        <w:trPr>
          <w:trHeight w:val="193"/>
        </w:trPr>
        <w:tc>
          <w:tcPr>
            <w:tcW w:w="62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Parent Company and Guarantor Subsidiaries</w:t>
            </w:r>
          </w:p>
        </w:tc>
      </w:tr>
      <w:tr>
        <w:trPr>
          <w:trHeight w:val="164"/>
        </w:trPr>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w w:val="94"/>
              </w:rPr>
              <w:t>In millions</w:t>
            </w:r>
          </w:p>
        </w:tc>
        <w:tc>
          <w:tcPr>
            <w:tcW w:w="6880" w:type="dxa"/>
            <w:vAlign w:val="bottom"/>
          </w:tcPr>
          <w:p>
            <w:pPr>
              <w:spacing w:after="0"/>
              <w:rPr>
                <w:sz w:val="14"/>
                <w:szCs w:val="1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Three Months Ended March 31, 2024</w:t>
            </w:r>
          </w:p>
        </w:tc>
      </w:tr>
      <w:tr>
        <w:trPr>
          <w:trHeight w:val="32"/>
        </w:trPr>
        <w:tc>
          <w:tcPr>
            <w:tcW w:w="6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147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2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jc w:val="right"/>
              <w:ind w:right="1279"/>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w:t>
            </w:r>
          </w:p>
        </w:tc>
      </w:tr>
      <w:tr>
        <w:trPr>
          <w:trHeight w:val="223"/>
        </w:trPr>
        <w:tc>
          <w:tcPr>
            <w:tcW w:w="4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2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20" w:type="dxa"/>
            <w:vAlign w:val="bottom"/>
          </w:tcPr>
          <w:p>
            <w:pPr>
              <w:jc w:val="right"/>
              <w:ind w:right="1279"/>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w:t>
            </w:r>
          </w:p>
        </w:tc>
      </w:tr>
      <w:tr>
        <w:trPr>
          <w:trHeight w:val="219"/>
        </w:trPr>
        <w:tc>
          <w:tcPr>
            <w:tcW w:w="4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Wabtec shareholders</w:t>
            </w:r>
          </w:p>
        </w:tc>
        <w:tc>
          <w:tcPr>
            <w:tcW w:w="23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279"/>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r>
      <w:tr>
        <w:trPr>
          <w:trHeight w:val="452"/>
        </w:trPr>
        <w:tc>
          <w:tcPr>
            <w:tcW w:w="20" w:type="dxa"/>
            <w:vAlign w:val="bottom"/>
          </w:tcPr>
          <w:p>
            <w:pPr>
              <w:spacing w:after="0"/>
              <w:rPr>
                <w:sz w:val="24"/>
                <w:szCs w:val="24"/>
                <w:color w:val="auto"/>
              </w:rPr>
            </w:pPr>
          </w:p>
        </w:tc>
        <w:tc>
          <w:tcPr>
            <w:tcW w:w="4400" w:type="dxa"/>
            <w:vAlign w:val="bottom"/>
            <w:gridSpan w:val="2"/>
          </w:tcPr>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Summarized Balance Sheet</w:t>
            </w:r>
          </w:p>
        </w:tc>
        <w:tc>
          <w:tcPr>
            <w:tcW w:w="2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0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78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80" w:type="dxa"/>
            <w:vAlign w:val="bottom"/>
            <w:gridSpan w:val="4"/>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Parent Company and Guarantor Subsidiaries</w:t>
            </w:r>
          </w:p>
        </w:tc>
      </w:tr>
      <w:tr>
        <w:trPr>
          <w:trHeight w:val="164"/>
        </w:trPr>
        <w:tc>
          <w:tcPr>
            <w:tcW w:w="4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400" w:type="dxa"/>
            <w:vAlign w:val="bottom"/>
          </w:tcPr>
          <w:p>
            <w:pPr>
              <w:spacing w:after="0"/>
              <w:rPr>
                <w:sz w:val="14"/>
                <w:szCs w:val="14"/>
                <w:color w:val="auto"/>
              </w:rPr>
            </w:pPr>
          </w:p>
        </w:tc>
        <w:tc>
          <w:tcPr>
            <w:tcW w:w="178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2"/>
        </w:trPr>
        <w:tc>
          <w:tcPr>
            <w:tcW w:w="4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3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1,513</w:t>
            </w:r>
          </w:p>
        </w:tc>
      </w:tr>
      <w:tr>
        <w:trPr>
          <w:trHeight w:val="219"/>
        </w:trPr>
        <w:tc>
          <w:tcPr>
            <w:tcW w:w="4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Noncurrent assets</w:t>
            </w:r>
          </w:p>
        </w:tc>
        <w:tc>
          <w:tcPr>
            <w:tcW w:w="2740" w:type="dxa"/>
            <w:vAlign w:val="bottom"/>
            <w:gridSpan w:val="2"/>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2,176</w:t>
            </w:r>
          </w:p>
        </w:tc>
        <w:tc>
          <w:tcPr>
            <w:tcW w:w="8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2,196</w:t>
            </w:r>
          </w:p>
        </w:tc>
      </w:tr>
      <w:tr>
        <w:trPr>
          <w:trHeight w:val="219"/>
        </w:trPr>
        <w:tc>
          <w:tcPr>
            <w:tcW w:w="4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740" w:type="dxa"/>
            <w:vAlign w:val="bottom"/>
            <w:gridSpan w:val="2"/>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2,443</w:t>
            </w:r>
          </w:p>
        </w:tc>
      </w:tr>
      <w:tr>
        <w:trPr>
          <w:trHeight w:val="219"/>
        </w:trPr>
        <w:tc>
          <w:tcPr>
            <w:tcW w:w="4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2740" w:type="dxa"/>
            <w:vAlign w:val="bottom"/>
            <w:gridSpan w:val="2"/>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3,459</w:t>
            </w:r>
          </w:p>
        </w:tc>
        <w:tc>
          <w:tcPr>
            <w:tcW w:w="8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2,739</w:t>
            </w:r>
          </w:p>
        </w:tc>
      </w:tr>
      <w:tr>
        <w:trPr>
          <w:trHeight w:val="219"/>
        </w:trPr>
        <w:tc>
          <w:tcPr>
            <w:tcW w:w="4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740" w:type="dxa"/>
            <w:vAlign w:val="bottom"/>
            <w:gridSpan w:val="2"/>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w:t>
            </w:r>
          </w:p>
        </w:tc>
      </w:tr>
      <w:tr>
        <w:trPr>
          <w:trHeight w:val="851"/>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380" w:type="dxa"/>
            <w:vAlign w:val="bottom"/>
          </w:tcPr>
          <w:p>
            <w:pPr>
              <w:jc w:val="right"/>
              <w:ind w:right="1014"/>
              <w:spacing w:after="0"/>
              <w:rPr>
                <w:sz w:val="20"/>
                <w:szCs w:val="20"/>
                <w:color w:val="auto"/>
              </w:rPr>
            </w:pPr>
            <w:r>
              <w:rPr>
                <w:rFonts w:ascii="Times New Roman" w:cs="Times New Roman" w:eastAsia="Times New Roman" w:hAnsi="Times New Roman"/>
                <w:sz w:val="17"/>
                <w:szCs w:val="17"/>
                <w:color w:val="auto"/>
              </w:rPr>
              <w:t>32</w:t>
            </w:r>
          </w:p>
        </w:tc>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780" w:type="dxa"/>
            <w:vAlign w:val="bottom"/>
            <w:tcBorders>
              <w:bottom w:val="single" w:sz="8" w:color="9A9A9A"/>
            </w:tcBorders>
          </w:tcPr>
          <w:p>
            <w:pPr>
              <w:spacing w:after="0"/>
              <w:rPr>
                <w:sz w:val="9"/>
                <w:szCs w:val="9"/>
                <w:color w:val="auto"/>
              </w:rPr>
            </w:pPr>
          </w:p>
        </w:tc>
        <w:tc>
          <w:tcPr>
            <w:tcW w:w="23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32" w:name="page33"/>
    <w:bookmarkEnd w:id="32"/>
    <w:p>
      <w:pPr>
        <w:ind w:left="460"/>
        <w:spacing w:after="0"/>
        <w:rPr>
          <w:sz w:val="20"/>
          <w:szCs w:val="20"/>
          <w:color w:val="auto"/>
        </w:rPr>
      </w:pPr>
      <w:r>
        <w:rPr>
          <w:rFonts w:ascii="Times New Roman" w:cs="Times New Roman" w:eastAsia="Times New Roman" w:hAnsi="Times New Roman"/>
          <w:sz w:val="17"/>
          <w:szCs w:val="17"/>
          <w:color w:val="auto"/>
        </w:rPr>
        <w:t>The following is a description of the transactions between the combined Parent Company and guarantor subsidiaries with non-guarantor subsidiaries.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62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Unaudited</w:t>
            </w:r>
          </w:p>
        </w:tc>
      </w:tr>
      <w:tr>
        <w:trPr>
          <w:trHeight w:val="193"/>
        </w:trPr>
        <w:tc>
          <w:tcPr>
            <w:tcW w:w="62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Parent Company and Guarantor Subsidiaries</w:t>
            </w:r>
          </w:p>
        </w:tc>
      </w:tr>
      <w:tr>
        <w:trPr>
          <w:trHeight w:val="164"/>
        </w:trPr>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w w:val="94"/>
              </w:rPr>
              <w:t>In millions</w:t>
            </w:r>
          </w:p>
        </w:tc>
        <w:tc>
          <w:tcPr>
            <w:tcW w:w="6880" w:type="dxa"/>
            <w:vAlign w:val="bottom"/>
          </w:tcPr>
          <w:p>
            <w:pPr>
              <w:spacing w:after="0"/>
              <w:rPr>
                <w:sz w:val="14"/>
                <w:szCs w:val="1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Three Months Ended March 31, 2024</w:t>
            </w:r>
          </w:p>
        </w:tc>
      </w:tr>
      <w:tr>
        <w:trPr>
          <w:trHeight w:val="32"/>
        </w:trPr>
        <w:tc>
          <w:tcPr>
            <w:tcW w:w="6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147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sales to non-guarantor subsidiaries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3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w:t>
            </w:r>
          </w:p>
        </w:tc>
      </w:tr>
      <w:tr>
        <w:trPr>
          <w:trHeight w:val="223"/>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Purchases from non-guarantor subsidiaries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3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w:t>
            </w:r>
          </w:p>
        </w:tc>
      </w:tr>
      <w:tr>
        <w:trPr>
          <w:trHeight w:val="428"/>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0" w:type="dxa"/>
            <w:vAlign w:val="bottom"/>
          </w:tcPr>
          <w:p>
            <w:pPr>
              <w:jc w:val="center"/>
              <w:ind w:right="223"/>
              <w:spacing w:after="0"/>
              <w:rPr>
                <w:sz w:val="20"/>
                <w:szCs w:val="20"/>
                <w:color w:val="auto"/>
              </w:rPr>
            </w:pPr>
            <w:r>
              <w:rPr>
                <w:rFonts w:ascii="Times New Roman" w:cs="Times New Roman" w:eastAsia="Times New Roman" w:hAnsi="Times New Roman"/>
                <w:sz w:val="14"/>
                <w:szCs w:val="14"/>
                <w:b w:val="1"/>
                <w:bCs w:val="1"/>
                <w:color w:val="auto"/>
                <w:w w:val="98"/>
              </w:rPr>
              <w:t>Unaudited</w:t>
            </w:r>
          </w:p>
        </w:tc>
      </w:tr>
      <w:tr>
        <w:trPr>
          <w:trHeight w:val="193"/>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0" w:type="dxa"/>
            <w:vAlign w:val="bottom"/>
          </w:tcPr>
          <w:p>
            <w:pPr>
              <w:jc w:val="center"/>
              <w:ind w:right="243"/>
              <w:spacing w:after="0"/>
              <w:rPr>
                <w:sz w:val="20"/>
                <w:szCs w:val="20"/>
                <w:color w:val="auto"/>
              </w:rPr>
            </w:pPr>
            <w:r>
              <w:rPr>
                <w:rFonts w:ascii="Times New Roman" w:cs="Times New Roman" w:eastAsia="Times New Roman" w:hAnsi="Times New Roman"/>
                <w:sz w:val="14"/>
                <w:szCs w:val="14"/>
                <w:b w:val="1"/>
                <w:bCs w:val="1"/>
                <w:color w:val="auto"/>
                <w:w w:val="98"/>
              </w:rPr>
              <w:t>Parent Company and Guarantor Subsidiaries</w:t>
            </w:r>
          </w:p>
        </w:tc>
      </w:tr>
      <w:tr>
        <w:trPr>
          <w:trHeight w:val="164"/>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Pr>
          <w:p>
            <w:pPr>
              <w:spacing w:after="0"/>
              <w:rPr>
                <w:sz w:val="14"/>
                <w:szCs w:val="14"/>
                <w:color w:val="auto"/>
              </w:rPr>
            </w:pPr>
          </w:p>
        </w:tc>
        <w:tc>
          <w:tcPr>
            <w:tcW w:w="3400" w:type="dxa"/>
            <w:vAlign w:val="bottom"/>
          </w:tcPr>
          <w:p>
            <w:pPr>
              <w:jc w:val="center"/>
              <w:ind w:right="243"/>
              <w:spacing w:after="0"/>
              <w:rPr>
                <w:sz w:val="20"/>
                <w:szCs w:val="20"/>
                <w:color w:val="auto"/>
              </w:rPr>
            </w:pPr>
            <w:r>
              <w:rPr>
                <w:rFonts w:ascii="Times New Roman" w:cs="Times New Roman" w:eastAsia="Times New Roman" w:hAnsi="Times New Roman"/>
                <w:sz w:val="14"/>
                <w:szCs w:val="14"/>
                <w:b w:val="1"/>
                <w:bCs w:val="1"/>
                <w:color w:val="auto"/>
                <w:w w:val="98"/>
              </w:rPr>
              <w:t>March 31, 2024</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r>
      <w:tr>
        <w:trPr>
          <w:trHeight w:val="212"/>
        </w:trPr>
        <w:tc>
          <w:tcPr>
            <w:tcW w:w="7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 due to non-guarantor subsidiaries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3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10,153</w:t>
            </w: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Summarized Financial Information—Euro Notes</w:t>
      </w:r>
    </w:p>
    <w:p>
      <w:pPr>
        <w:spacing w:after="0" w:line="105" w:lineRule="exact"/>
        <w:rPr>
          <w:sz w:val="20"/>
          <w:szCs w:val="20"/>
          <w:color w:val="auto"/>
        </w:rPr>
      </w:pPr>
    </w:p>
    <w:p>
      <w:pPr>
        <w:jc w:val="both"/>
        <w:ind w:right="160" w:firstLine="464"/>
        <w:spacing w:after="0" w:line="234" w:lineRule="auto"/>
        <w:rPr>
          <w:sz w:val="20"/>
          <w:szCs w:val="20"/>
          <w:color w:val="auto"/>
        </w:rPr>
      </w:pPr>
      <w:r>
        <w:rPr>
          <w:rFonts w:ascii="Times New Roman" w:cs="Times New Roman" w:eastAsia="Times New Roman" w:hAnsi="Times New Roman"/>
          <w:sz w:val="17"/>
          <w:szCs w:val="17"/>
          <w:color w:val="auto"/>
        </w:rPr>
        <w:t>The obligations under Wabtec Netherlands’ Euro Notes are fully and unconditionally guaranteed by the Parent Company. Wabtec Netherlands is a wholly-owned, indirect subsidiary of the Parent Company. Wabtec Netherlands is a holding company and does not have any independent operations. Its assets consist of its investments in subsidiaries, which are separate and distinct legal entities that are not guarantors of the Euro Notes and have no obligations to pay amounts due under Wabtec Netherlands’ obligations.</w:t>
      </w:r>
    </w:p>
    <w:p>
      <w:pPr>
        <w:spacing w:after="0" w:line="76" w:lineRule="exact"/>
        <w:rPr>
          <w:sz w:val="20"/>
          <w:szCs w:val="20"/>
          <w:color w:val="auto"/>
        </w:rPr>
      </w:pPr>
    </w:p>
    <w:p>
      <w:pPr>
        <w:ind w:right="340" w:firstLine="464"/>
        <w:spacing w:after="0" w:line="235" w:lineRule="auto"/>
        <w:rPr>
          <w:sz w:val="20"/>
          <w:szCs w:val="20"/>
          <w:color w:val="auto"/>
        </w:rPr>
      </w:pPr>
      <w:r>
        <w:rPr>
          <w:rFonts w:ascii="Times New Roman" w:cs="Times New Roman" w:eastAsia="Times New Roman" w:hAnsi="Times New Roman"/>
          <w:sz w:val="17"/>
          <w:szCs w:val="17"/>
          <w:color w:val="auto"/>
        </w:rPr>
        <w:t>The following tables present summarized financial information of Wabtec Netherlands, as the Issuer of the Euro Notes, and the Parent Company, as the parent Guarantor, on a combined basis. The combined summarized financial information eliminates all intercompany balances and transactions among Wabtec Netherlands and the Parent Company as well as all equity in earnings from and investments in any subsidiary of the Parent Company, other than Wabtec Netherlands, which we refer to below as the Non-Guarantor Subsidiaries. The summarized financial information is provided in accordance with the reporting requirements of Rule 13-01 under SEC Regulation S-X for the issuer and Parent Company guarantor.</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Summarized Statement of Income</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62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Unaudited</w:t>
            </w:r>
          </w:p>
        </w:tc>
      </w:tr>
      <w:tr>
        <w:trPr>
          <w:trHeight w:val="193"/>
        </w:trPr>
        <w:tc>
          <w:tcPr>
            <w:tcW w:w="62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Issuer and Guarantor</w:t>
            </w:r>
          </w:p>
        </w:tc>
      </w:tr>
      <w:tr>
        <w:trPr>
          <w:trHeight w:val="164"/>
        </w:trPr>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w w:val="94"/>
              </w:rPr>
              <w:t>In millions</w:t>
            </w:r>
          </w:p>
        </w:tc>
        <w:tc>
          <w:tcPr>
            <w:tcW w:w="6880" w:type="dxa"/>
            <w:vAlign w:val="bottom"/>
          </w:tcPr>
          <w:p>
            <w:pPr>
              <w:spacing w:after="0"/>
              <w:rPr>
                <w:sz w:val="14"/>
                <w:szCs w:val="1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Three Months Ended March 31, 2024</w:t>
            </w:r>
          </w:p>
        </w:tc>
      </w:tr>
      <w:tr>
        <w:trPr>
          <w:trHeight w:val="32"/>
        </w:trPr>
        <w:tc>
          <w:tcPr>
            <w:tcW w:w="6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147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940" w:type="dxa"/>
            <w:vAlign w:val="bottom"/>
          </w:tcPr>
          <w:p>
            <w:pPr>
              <w:jc w:val="right"/>
              <w:ind w:right="1534"/>
              <w:spacing w:after="0"/>
              <w:rPr>
                <w:sz w:val="20"/>
                <w:szCs w:val="20"/>
                <w:color w:val="auto"/>
              </w:rPr>
            </w:pPr>
            <w:r>
              <w:rPr>
                <w:rFonts w:ascii="Times New Roman" w:cs="Times New Roman" w:eastAsia="Times New Roman" w:hAnsi="Times New Roman"/>
                <w:sz w:val="17"/>
                <w:szCs w:val="17"/>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940" w:type="dxa"/>
            <w:vAlign w:val="bottom"/>
          </w:tcPr>
          <w:p>
            <w:pPr>
              <w:jc w:val="right"/>
              <w:ind w:right="1534"/>
              <w:spacing w:after="0"/>
              <w:rPr>
                <w:sz w:val="20"/>
                <w:szCs w:val="20"/>
                <w:color w:val="auto"/>
              </w:rPr>
            </w:pPr>
            <w:r>
              <w:rPr>
                <w:rFonts w:ascii="Times New Roman" w:cs="Times New Roman" w:eastAsia="Times New Roman" w:hAnsi="Times New Roman"/>
                <w:sz w:val="17"/>
                <w:szCs w:val="17"/>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1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attributable to Wabtec shareholders</w:t>
            </w:r>
          </w:p>
        </w:tc>
        <w:tc>
          <w:tcPr>
            <w:tcW w:w="3940" w:type="dxa"/>
            <w:vAlign w:val="bottom"/>
            <w:shd w:val="clear" w:color="auto" w:fill="CCEEFF"/>
          </w:tcPr>
          <w:p>
            <w:pPr>
              <w:jc w:val="right"/>
              <w:ind w:right="1534"/>
              <w:spacing w:after="0"/>
              <w:rPr>
                <w:sz w:val="20"/>
                <w:szCs w:val="20"/>
                <w:color w:val="auto"/>
              </w:rPr>
            </w:pPr>
            <w:r>
              <w:rPr>
                <w:rFonts w:ascii="Times New Roman" w:cs="Times New Roman" w:eastAsia="Times New Roman" w:hAnsi="Times New Roman"/>
                <w:sz w:val="17"/>
                <w:szCs w:val="17"/>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r>
    </w:tbl>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Summarized Balance Sheet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0" w:type="dxa"/>
            <w:vAlign w:val="bottom"/>
            <w:gridSpan w:val="3"/>
          </w:tcPr>
          <w:p>
            <w:pPr>
              <w:jc w:val="right"/>
              <w:ind w:right="1337"/>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80" w:type="dxa"/>
            <w:vAlign w:val="bottom"/>
          </w:tcPr>
          <w:p>
            <w:pPr>
              <w:spacing w:after="0"/>
              <w:rPr>
                <w:sz w:val="15"/>
                <w:szCs w:val="15"/>
                <w:color w:val="auto"/>
              </w:rPr>
            </w:pPr>
          </w:p>
        </w:tc>
      </w:tr>
      <w:tr>
        <w:trPr>
          <w:trHeight w:val="193"/>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400" w:type="dxa"/>
            <w:vAlign w:val="bottom"/>
            <w:gridSpan w:val="3"/>
          </w:tcPr>
          <w:p>
            <w:pPr>
              <w:jc w:val="right"/>
              <w:ind w:right="1017"/>
              <w:spacing w:after="0"/>
              <w:rPr>
                <w:sz w:val="20"/>
                <w:szCs w:val="20"/>
                <w:color w:val="auto"/>
              </w:rPr>
            </w:pPr>
            <w:r>
              <w:rPr>
                <w:rFonts w:ascii="Times New Roman" w:cs="Times New Roman" w:eastAsia="Times New Roman" w:hAnsi="Times New Roman"/>
                <w:sz w:val="14"/>
                <w:szCs w:val="14"/>
                <w:b w:val="1"/>
                <w:bCs w:val="1"/>
                <w:color w:val="auto"/>
                <w:w w:val="97"/>
              </w:rPr>
              <w:t>Issuer and Guarantor</w:t>
            </w:r>
          </w:p>
        </w:tc>
        <w:tc>
          <w:tcPr>
            <w:tcW w:w="480" w:type="dxa"/>
            <w:vAlign w:val="bottom"/>
          </w:tcPr>
          <w:p>
            <w:pPr>
              <w:spacing w:after="0"/>
              <w:rPr>
                <w:sz w:val="16"/>
                <w:szCs w:val="16"/>
                <w:color w:val="auto"/>
              </w:rPr>
            </w:pPr>
          </w:p>
        </w:tc>
      </w:tr>
      <w:tr>
        <w:trPr>
          <w:trHeight w:val="164"/>
        </w:trPr>
        <w:tc>
          <w:tcPr>
            <w:tcW w:w="6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80" w:type="dxa"/>
            <w:vAlign w:val="bottom"/>
          </w:tcPr>
          <w:p>
            <w:pPr>
              <w:spacing w:after="0"/>
              <w:rPr>
                <w:sz w:val="14"/>
                <w:szCs w:val="14"/>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12"/>
        </w:trPr>
        <w:tc>
          <w:tcPr>
            <w:tcW w:w="6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560" w:type="dxa"/>
            <w:vAlign w:val="bottom"/>
            <w:shd w:val="clear" w:color="auto" w:fill="CCEEFF"/>
          </w:tcPr>
          <w:p>
            <w:pPr>
              <w:jc w:val="right"/>
              <w:ind w:right="1377"/>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w:t>
            </w: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51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w:t>
            </w:r>
          </w:p>
        </w:tc>
      </w:tr>
      <w:tr>
        <w:trPr>
          <w:trHeight w:val="219"/>
        </w:trPr>
        <w:tc>
          <w:tcPr>
            <w:tcW w:w="68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Noncurrent assets</w:t>
            </w:r>
          </w:p>
        </w:tc>
        <w:tc>
          <w:tcPr>
            <w:tcW w:w="1560" w:type="dxa"/>
            <w:vAlign w:val="bottom"/>
          </w:tcPr>
          <w:p>
            <w:pPr>
              <w:jc w:val="right"/>
              <w:ind w:right="1377"/>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w:t>
            </w:r>
          </w:p>
        </w:tc>
        <w:tc>
          <w:tcPr>
            <w:tcW w:w="80" w:type="dxa"/>
            <w:vAlign w:val="bottom"/>
          </w:tcPr>
          <w:p>
            <w:pPr>
              <w:spacing w:after="0"/>
              <w:rPr>
                <w:sz w:val="19"/>
                <w:szCs w:val="19"/>
                <w:color w:val="auto"/>
              </w:rPr>
            </w:pPr>
          </w:p>
        </w:tc>
        <w:tc>
          <w:tcPr>
            <w:tcW w:w="1700" w:type="dxa"/>
            <w:vAlign w:val="bottom"/>
          </w:tcPr>
          <w:p>
            <w:pPr>
              <w:jc w:val="right"/>
              <w:ind w:right="151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651</w:t>
            </w:r>
          </w:p>
        </w:tc>
      </w:tr>
      <w:tr>
        <w:trPr>
          <w:trHeight w:val="219"/>
        </w:trPr>
        <w:tc>
          <w:tcPr>
            <w:tcW w:w="6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1560" w:type="dxa"/>
            <w:vAlign w:val="bottom"/>
            <w:shd w:val="clear" w:color="auto" w:fill="CCEEFF"/>
          </w:tcPr>
          <w:p>
            <w:pPr>
              <w:jc w:val="right"/>
              <w:ind w:right="1377"/>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51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1,272</w:t>
            </w:r>
          </w:p>
        </w:tc>
      </w:tr>
      <w:tr>
        <w:trPr>
          <w:trHeight w:val="219"/>
        </w:trPr>
        <w:tc>
          <w:tcPr>
            <w:tcW w:w="68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1560" w:type="dxa"/>
            <w:vAlign w:val="bottom"/>
          </w:tcPr>
          <w:p>
            <w:pPr>
              <w:jc w:val="right"/>
              <w:ind w:right="1377"/>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3,995</w:t>
            </w:r>
          </w:p>
        </w:tc>
        <w:tc>
          <w:tcPr>
            <w:tcW w:w="80" w:type="dxa"/>
            <w:vAlign w:val="bottom"/>
          </w:tcPr>
          <w:p>
            <w:pPr>
              <w:spacing w:after="0"/>
              <w:rPr>
                <w:sz w:val="19"/>
                <w:szCs w:val="19"/>
                <w:color w:val="auto"/>
              </w:rPr>
            </w:pPr>
          </w:p>
        </w:tc>
        <w:tc>
          <w:tcPr>
            <w:tcW w:w="1700" w:type="dxa"/>
            <w:vAlign w:val="bottom"/>
          </w:tcPr>
          <w:p>
            <w:pPr>
              <w:jc w:val="right"/>
              <w:ind w:right="151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3,287</w:t>
            </w:r>
          </w:p>
        </w:tc>
      </w:tr>
      <w:tr>
        <w:trPr>
          <w:trHeight w:val="219"/>
        </w:trPr>
        <w:tc>
          <w:tcPr>
            <w:tcW w:w="6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1560" w:type="dxa"/>
            <w:vAlign w:val="bottom"/>
            <w:shd w:val="clear" w:color="auto" w:fill="CCEEFF"/>
          </w:tcPr>
          <w:p>
            <w:pPr>
              <w:jc w:val="right"/>
              <w:ind w:right="1377"/>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51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33" w:name="page34"/>
    <w:bookmarkEnd w:id="33"/>
    <w:p>
      <w:pPr>
        <w:ind w:right="200" w:firstLine="464"/>
        <w:spacing w:after="0" w:line="246" w:lineRule="auto"/>
        <w:rPr>
          <w:sz w:val="20"/>
          <w:szCs w:val="20"/>
          <w:color w:val="auto"/>
        </w:rPr>
      </w:pPr>
      <w:r>
        <w:rPr>
          <w:rFonts w:ascii="Times New Roman" w:cs="Times New Roman" w:eastAsia="Times New Roman" w:hAnsi="Times New Roman"/>
          <w:sz w:val="17"/>
          <w:szCs w:val="17"/>
          <w:color w:val="auto"/>
        </w:rPr>
        <w:t>The following is a description of the transactions between the combined Wabtec Netherlands, as the Issuer of the Euro Notes, and the Parent Company, as the parent Guarantor, with the subsidiaries of Westinghouse Air Brake Technologies Corp., other than Wabtec Netherlands, none of which are guarantors of the Euro Notes.</w:t>
      </w: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6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Unaudited</w:t>
            </w:r>
          </w:p>
        </w:tc>
        <w:tc>
          <w:tcPr>
            <w:tcW w:w="0" w:type="dxa"/>
            <w:vAlign w:val="bottom"/>
          </w:tcPr>
          <w:p>
            <w:pPr>
              <w:spacing w:after="0"/>
              <w:rPr>
                <w:sz w:val="1"/>
                <w:szCs w:val="1"/>
                <w:color w:val="auto"/>
              </w:rPr>
            </w:pPr>
          </w:p>
        </w:tc>
      </w:tr>
      <w:tr>
        <w:trPr>
          <w:trHeight w:val="193"/>
        </w:trPr>
        <w:tc>
          <w:tcPr>
            <w:tcW w:w="62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Issuer and Guarantor</w:t>
            </w:r>
          </w:p>
        </w:tc>
        <w:tc>
          <w:tcPr>
            <w:tcW w:w="0" w:type="dxa"/>
            <w:vAlign w:val="bottom"/>
          </w:tcPr>
          <w:p>
            <w:pPr>
              <w:spacing w:after="0"/>
              <w:rPr>
                <w:sz w:val="1"/>
                <w:szCs w:val="1"/>
                <w:color w:val="auto"/>
              </w:rPr>
            </w:pPr>
          </w:p>
        </w:tc>
      </w:tr>
      <w:tr>
        <w:trPr>
          <w:trHeight w:val="151"/>
        </w:trPr>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w w:val="94"/>
              </w:rPr>
              <w:t>In millions</w:t>
            </w:r>
          </w:p>
        </w:tc>
        <w:tc>
          <w:tcPr>
            <w:tcW w:w="8420" w:type="dxa"/>
            <w:vAlign w:val="bottom"/>
          </w:tcPr>
          <w:p>
            <w:pPr>
              <w:spacing w:after="0"/>
              <w:rPr>
                <w:sz w:val="13"/>
                <w:szCs w:val="13"/>
                <w:color w:val="auto"/>
              </w:rPr>
            </w:pPr>
          </w:p>
        </w:tc>
        <w:tc>
          <w:tcPr>
            <w:tcW w:w="218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7"/>
              </w:rPr>
              <w:t>Three Months Ended March 31,</w:t>
            </w:r>
          </w:p>
        </w:tc>
        <w:tc>
          <w:tcPr>
            <w:tcW w:w="0" w:type="dxa"/>
            <w:vAlign w:val="bottom"/>
          </w:tcPr>
          <w:p>
            <w:pPr>
              <w:spacing w:after="0"/>
              <w:rPr>
                <w:sz w:val="1"/>
                <w:szCs w:val="1"/>
                <w:color w:val="auto"/>
              </w:rPr>
            </w:pPr>
          </w:p>
        </w:tc>
      </w:tr>
      <w:tr>
        <w:trPr>
          <w:trHeight w:val="147"/>
        </w:trPr>
        <w:tc>
          <w:tcPr>
            <w:tcW w:w="620" w:type="dxa"/>
            <w:vAlign w:val="bottom"/>
            <w:tcBorders>
              <w:bottom w:val="single" w:sz="8" w:color="auto"/>
            </w:tcBorders>
            <w:vMerge w:val="continue"/>
          </w:tcPr>
          <w:p>
            <w:pPr>
              <w:spacing w:after="0"/>
              <w:rPr>
                <w:sz w:val="12"/>
                <w:szCs w:val="12"/>
                <w:color w:val="auto"/>
              </w:rPr>
            </w:pPr>
          </w:p>
        </w:tc>
        <w:tc>
          <w:tcPr>
            <w:tcW w:w="10600" w:type="dxa"/>
            <w:vAlign w:val="bottom"/>
            <w:gridSpan w:val="2"/>
          </w:tcPr>
          <w:p>
            <w:pPr>
              <w:jc w:val="center"/>
              <w:ind w:left="837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32"/>
        </w:trPr>
        <w:tc>
          <w:tcPr>
            <w:tcW w:w="6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147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0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sales to non-guarantor subsidiaries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23"/>
        </w:trPr>
        <w:tc>
          <w:tcPr>
            <w:tcW w:w="90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Purchases from non-guarantor subsidiaries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428"/>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w w:val="98"/>
              </w:rPr>
              <w:t>Unaudited</w:t>
            </w:r>
          </w:p>
        </w:tc>
      </w:tr>
      <w:tr>
        <w:trPr>
          <w:trHeight w:val="193"/>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w w:val="97"/>
              </w:rPr>
              <w:t>Issuer and Guarantor</w:t>
            </w:r>
          </w:p>
        </w:tc>
      </w:tr>
      <w:tr>
        <w:trPr>
          <w:trHeight w:val="164"/>
        </w:trPr>
        <w:tc>
          <w:tcPr>
            <w:tcW w:w="9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Pr>
          <w:p>
            <w:pPr>
              <w:spacing w:after="0"/>
              <w:rPr>
                <w:sz w:val="14"/>
                <w:szCs w:val="14"/>
                <w:color w:val="auto"/>
              </w:rPr>
            </w:pPr>
          </w:p>
        </w:tc>
        <w:tc>
          <w:tcPr>
            <w:tcW w:w="1900" w:type="dxa"/>
            <w:vAlign w:val="bottom"/>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w w:val="98"/>
              </w:rPr>
              <w:t>March 31, 2024</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8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12"/>
        </w:trPr>
        <w:tc>
          <w:tcPr>
            <w:tcW w:w="9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 due to non-guarantor subsidiaries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11,153</w:t>
            </w: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Company Stock Repurchase Plan</w:t>
      </w:r>
    </w:p>
    <w:p>
      <w:pPr>
        <w:spacing w:after="0" w:line="118"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On February 9, 2024, the Board of Directors reauthorized its stock repurchase program to refresh the amount available for stock repurchases to $1 billion of the Company’s outstanding shares. This new stock repurchase authorization supersedes the previous authorization of $750 million, of which approximately $333 million remained at the reauthorization date. No time limit was set for the completion of the program which conforms to the requirements under the 2022 Credit Agreement and the 2024 Credit Agreement and the indentures for the Senior Notes currently outstanding. The Company may repurchase shares in the future at any time, depending upon market conditions, our capital needs and other factors. Purchases of shares may be made by open market purchases or privately negotiated purchases and may be made pursuant to Rule 10b5-1 plan or otherwise. As of March 31, 2024, approximately $923 million was remaining under the stock repurchase plan.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 Looking Statements</w:t>
      </w:r>
    </w:p>
    <w:p>
      <w:pPr>
        <w:spacing w:after="0" w:line="118" w:lineRule="exact"/>
        <w:rPr>
          <w:sz w:val="20"/>
          <w:szCs w:val="20"/>
          <w:color w:val="auto"/>
        </w:rPr>
      </w:pPr>
    </w:p>
    <w:p>
      <w:pPr>
        <w:ind w:firstLine="464"/>
        <w:spacing w:after="0" w:line="264" w:lineRule="auto"/>
        <w:rPr>
          <w:sz w:val="20"/>
          <w:szCs w:val="20"/>
          <w:color w:val="auto"/>
        </w:rPr>
      </w:pPr>
      <w:r>
        <w:rPr>
          <w:rFonts w:ascii="Times New Roman" w:cs="Times New Roman" w:eastAsia="Times New Roman" w:hAnsi="Times New Roman"/>
          <w:sz w:val="17"/>
          <w:szCs w:val="17"/>
          <w:color w:val="auto"/>
        </w:rPr>
        <w:t>We believe that all statements other than statements of historical facts included in this report, including certain statements under “Business” and “Management’s Discussion and Analysis of Financial Condition and Results of Operations,” may constitute forward-looking statements. We have based these forward-looking statements on our current expectations and projections about future events. Although we believe that our assumptions made in connection with the forward-looking statements are reasonable, we cannot assure that our assumptions and expectations are correct.</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These forward-looking statements are subject to various risks, uncertainties and assumptions about us, including, among other things: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Economic and industry conditions</w:t>
      </w:r>
    </w:p>
    <w:p>
      <w:pPr>
        <w:spacing w:after="0" w:line="33" w:lineRule="exact"/>
        <w:rPr>
          <w:sz w:val="20"/>
          <w:szCs w:val="20"/>
          <w:color w:val="auto"/>
        </w:rPr>
      </w:pPr>
    </w:p>
    <w:p>
      <w:pPr>
        <w:ind w:left="580" w:right="400" w:hanging="306"/>
        <w:spacing w:after="0" w:line="242" w:lineRule="auto"/>
        <w:tabs>
          <w:tab w:leader="none" w:pos="575" w:val="left"/>
        </w:tabs>
        <w:numPr>
          <w:ilvl w:val="0"/>
          <w:numId w:val="5"/>
        </w:numPr>
        <w:rPr>
          <w:rFonts w:ascii="Arial" w:cs="Arial" w:eastAsia="Arial" w:hAnsi="Arial"/>
          <w:sz w:val="21"/>
          <w:szCs w:val="21"/>
          <w:color w:val="auto"/>
        </w:rPr>
      </w:pPr>
      <w:r>
        <w:rPr>
          <w:rFonts w:ascii="Times New Roman" w:cs="Times New Roman" w:eastAsia="Times New Roman" w:hAnsi="Times New Roman"/>
          <w:sz w:val="17"/>
          <w:szCs w:val="17"/>
          <w:color w:val="auto"/>
        </w:rPr>
        <w:t>changes in general economic and/or industry specific conditions, including the impacts of tax and tariff programs, inflation, supply chain disruptions, foreign currency exchange, and industry consolidation;</w:t>
      </w:r>
    </w:p>
    <w:p>
      <w:pPr>
        <w:spacing w:after="0" w:line="1" w:lineRule="exact"/>
        <w:rPr>
          <w:rFonts w:ascii="Arial" w:cs="Arial" w:eastAsia="Arial" w:hAnsi="Arial"/>
          <w:sz w:val="21"/>
          <w:szCs w:val="21"/>
          <w:color w:val="auto"/>
        </w:rPr>
      </w:pPr>
    </w:p>
    <w:p>
      <w:pPr>
        <w:ind w:left="580" w:right="180" w:hanging="306"/>
        <w:spacing w:after="0" w:line="253" w:lineRule="auto"/>
        <w:tabs>
          <w:tab w:leader="none" w:pos="57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prolonged unfavorable economic and industry conditions in the markets served by us, including North America, South America, Europe, Australia, Asia and Africa;</w:t>
      </w:r>
    </w:p>
    <w:p>
      <w:pPr>
        <w:ind w:left="580" w:hanging="306"/>
        <w:spacing w:after="0"/>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decline in demand for freight cars, locomotives, passenger transit cars, buses and related products and services;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reliance on major original equipment manufacturer customers;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original equipment manufacturers’ program delays;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demand for services in the freight and passenger rail industry;</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demand for our products and services;</w:t>
      </w:r>
    </w:p>
    <w:p>
      <w:pPr>
        <w:spacing w:after="0" w:line="10" w:lineRule="exact"/>
        <w:rPr>
          <w:rFonts w:ascii="Times New Roman" w:cs="Times New Roman" w:eastAsia="Times New Roman" w:hAnsi="Times New Roman"/>
          <w:sz w:val="17"/>
          <w:szCs w:val="17"/>
          <w:color w:val="auto"/>
        </w:rPr>
      </w:pPr>
    </w:p>
    <w:p>
      <w:pPr>
        <w:ind w:left="580" w:right="60" w:hanging="306"/>
        <w:spacing w:after="0" w:line="253" w:lineRule="auto"/>
        <w:tabs>
          <w:tab w:leader="none" w:pos="57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orders either being delayed, canceled, not returning to historical levels or being reduced, and/or economic conditions affecting the ability of our customers to pay timely for goods and services delivered;</w:t>
      </w:r>
    </w:p>
    <w:p>
      <w:pPr>
        <w:ind w:left="580" w:hanging="306"/>
        <w:spacing w:after="0"/>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consolidations in the rail industry;</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continued outsourcing by our customers;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industry demand for faster and more efficient braking equipment;</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interest rates and foreign currency exchange rates;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availability of credit or difficulty in obtaining debt or equity financing;</w:t>
      </w:r>
    </w:p>
    <w:p>
      <w:pPr>
        <w:spacing w:after="0" w:line="10" w:lineRule="exact"/>
        <w:rPr>
          <w:rFonts w:ascii="Times New Roman" w:cs="Times New Roman" w:eastAsia="Times New Roman" w:hAnsi="Times New Roman"/>
          <w:sz w:val="17"/>
          <w:szCs w:val="17"/>
          <w:color w:val="auto"/>
        </w:rPr>
      </w:pPr>
    </w:p>
    <w:p>
      <w:pPr>
        <w:ind w:left="580" w:right="340" w:hanging="306"/>
        <w:spacing w:after="0" w:line="253" w:lineRule="auto"/>
        <w:tabs>
          <w:tab w:leader="none" w:pos="57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market consensus as to what attributes are required for projects to be considered "green" or "sustainable" or negative perceptions regarding determinations in such regard with respect to our Green Finance Framework or ESG strategy; or</w:t>
      </w:r>
    </w:p>
    <w:p>
      <w:pPr>
        <w:ind w:left="580" w:hanging="306"/>
        <w:spacing w:after="0"/>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ESG topics that have the highest relative priority for Wabtec's external stakeholders;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color w:val="auto"/>
        </w:rPr>
        <w:t>Operating factors</w:t>
      </w:r>
    </w:p>
    <w:p>
      <w:pPr>
        <w:spacing w:after="0" w:line="32" w:lineRule="exact"/>
        <w:rPr>
          <w:sz w:val="20"/>
          <w:szCs w:val="20"/>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disruptions;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technical difficulties;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operating conditions and costs;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raw material costs;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 introduction of new products;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under material long-term contracts;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labor availability and relations;</w:t>
      </w:r>
    </w:p>
    <w:p>
      <w:pPr>
        <w:spacing w:after="0" w:line="10" w:lineRule="exact"/>
        <w:rPr>
          <w:rFonts w:ascii="Times New Roman" w:cs="Times New Roman" w:eastAsia="Times New Roman" w:hAnsi="Times New Roman"/>
          <w:sz w:val="17"/>
          <w:szCs w:val="17"/>
          <w:color w:val="auto"/>
        </w:rPr>
      </w:pPr>
    </w:p>
    <w:p>
      <w:pPr>
        <w:jc w:val="both"/>
        <w:ind w:left="580" w:right="520" w:hanging="306"/>
        <w:spacing w:after="0" w:line="253" w:lineRule="auto"/>
        <w:tabs>
          <w:tab w:leader="none" w:pos="57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our existing or any future legal proceedings, including litigation involving our principal customers and any litigation with respect to environmental matters, asbestos-related matters, pension liabilities, warranties, product liabilities, competition and anti-trust matters or intellectual property claims;</w:t>
      </w: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completion and integration of acquisitions;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and use of new technology; or</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and data protection risks;</w:t>
      </w:r>
    </w:p>
    <w:p>
      <w:pPr>
        <w:spacing w:after="0" w:line="200" w:lineRule="exact"/>
        <w:rPr>
          <w:sz w:val="20"/>
          <w:szCs w:val="20"/>
          <w:color w:val="auto"/>
        </w:rPr>
      </w:pP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actions of competitors; or</w:t>
      </w:r>
    </w:p>
    <w:p>
      <w:pPr>
        <w:spacing w:after="0" w:line="27"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negotiations with partners, suppliers, customers or others;</w:t>
      </w:r>
    </w:p>
    <w:p>
      <w:pPr>
        <w:spacing w:after="0" w:line="1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Political/governmental factors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stability in relevant areas of the world, including the impacts of war, conflicts, global military action, and acts of terrorism;</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regulation/deregulation of our customers and/or the rail industry;</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levels of governmental funding on transit projects, including for some of our customers;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developments and laws and regulations, including those related to Positive Train Control;</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and state income tax legislation;</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sanctions imposed on countries and persons; or</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negotiations with governments;</w:t>
      </w:r>
    </w:p>
    <w:p>
      <w:pPr>
        <w:spacing w:after="0" w:line="200" w:lineRule="exact"/>
        <w:rPr>
          <w:sz w:val="20"/>
          <w:szCs w:val="20"/>
          <w:color w:val="auto"/>
        </w:rPr>
      </w:pPr>
    </w:p>
    <w:p>
      <w:pPr>
        <w:ind w:left="580" w:hanging="306"/>
        <w:spacing w:after="0"/>
        <w:tabs>
          <w:tab w:leader="none" w:pos="5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impacts of climate change, including evolving climate change policy;</w:t>
      </w:r>
    </w:p>
    <w:p>
      <w:pPr>
        <w:spacing w:after="0" w:line="27"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disruptive natural hazards, including earthquakes, fires, floods, tornadoes, hurricanes or other weather conditions;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epidemics, pandemics, or similar public health crises;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deterioration of general economic conditions as a result of natural hazards or health crises;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shutdown of one or more of our operating facilities as a result of natural hazards and health crises; or</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chain and sourcing disruptions as a result of natural hazards, health crises or other external factors;</w:t>
      </w:r>
    </w:p>
    <w:p>
      <w:pPr>
        <w:spacing w:after="0" w:line="97" w:lineRule="exact"/>
        <w:rPr>
          <w:sz w:val="20"/>
          <w:szCs w:val="20"/>
          <w:color w:val="auto"/>
        </w:rPr>
      </w:pPr>
    </w:p>
    <w:p>
      <w:pPr>
        <w:ind w:right="240" w:firstLine="464"/>
        <w:spacing w:after="0" w:line="270" w:lineRule="auto"/>
        <w:rPr>
          <w:sz w:val="20"/>
          <w:szCs w:val="20"/>
          <w:color w:val="auto"/>
        </w:rPr>
      </w:pPr>
      <w:r>
        <w:rPr>
          <w:rFonts w:ascii="Times New Roman" w:cs="Times New Roman" w:eastAsia="Times New Roman" w:hAnsi="Times New Roman"/>
          <w:sz w:val="17"/>
          <w:szCs w:val="17"/>
          <w:color w:val="auto"/>
        </w:rPr>
        <w:t>Statements in this Quarterly Report on Form 10-Q apply only as of the date on which such statements are made, and except as required by law, we undertake no obligation to update any statement to reflect events or circumstances after the date on which the statement is made or to reflect the occurrence of unanticipated events. Reference is also made to the risk factors set forth in the Company’s Annual Report on Form 10-K for the year ended December 31, 2023.</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18" w:lineRule="exact"/>
        <w:rPr>
          <w:sz w:val="20"/>
          <w:szCs w:val="20"/>
          <w:color w:val="auto"/>
        </w:rPr>
      </w:pPr>
    </w:p>
    <w:p>
      <w:pPr>
        <w:ind w:firstLine="464"/>
        <w:spacing w:after="0" w:line="264" w:lineRule="auto"/>
        <w:rPr>
          <w:sz w:val="20"/>
          <w:szCs w:val="20"/>
          <w:color w:val="auto"/>
        </w:rPr>
      </w:pPr>
      <w:r>
        <w:rPr>
          <w:rFonts w:ascii="Times New Roman" w:cs="Times New Roman" w:eastAsia="Times New Roman" w:hAnsi="Times New Roman"/>
          <w:sz w:val="17"/>
          <w:szCs w:val="17"/>
          <w:color w:val="auto"/>
        </w:rPr>
        <w:t>A summary of critical accounting estimates is included in the Company’s Annual Report on Form 10-K for the year ended December 31, 2023. In particular, judgment is used in areas such as accounts receivable and the allowance for doubtful accounts, inventories, business combinations, goodwill and indefinite-lived intangible assets, warranty reserves, income taxes, and revenue recognition. There have been no significant changes in the related accounting policies since December 31,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w:t>
      </w:r>
    </w:p>
    <w:p>
      <w:pPr>
        <w:spacing w:after="0" w:line="118" w:lineRule="exact"/>
        <w:rPr>
          <w:sz w:val="20"/>
          <w:szCs w:val="20"/>
          <w:color w:val="auto"/>
        </w:rPr>
      </w:pPr>
    </w:p>
    <w:p>
      <w:pPr>
        <w:ind w:right="260" w:firstLine="464"/>
        <w:spacing w:after="0" w:line="264" w:lineRule="auto"/>
        <w:rPr>
          <w:sz w:val="20"/>
          <w:szCs w:val="20"/>
          <w:color w:val="auto"/>
        </w:rPr>
      </w:pPr>
      <w:r>
        <w:rPr>
          <w:rFonts w:ascii="Times New Roman" w:cs="Times New Roman" w:eastAsia="Times New Roman" w:hAnsi="Times New Roman"/>
          <w:sz w:val="17"/>
          <w:szCs w:val="17"/>
          <w:color w:val="auto"/>
        </w:rPr>
        <w:t>During the first quarter of 2024, the Company entered into the 2024 Credit Agreement for a term loan of $225 million which is scheduled to mature on March 14, 2029. Also during the first quarter of 2024, the Company issued $500 million of Senior Notes due in 2034. Proceeds from the 2034 Notes, combined with the proceeds from the term loan under the 2024 Credit Agreement and cash on hand, were utilized to redeem the outstanding amount of 2024 Notes. As a result of these transactions, contractual obligations related the repayment of Long-term debt for 2029 and beyond has increased to $725 million.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35" w:name="page36"/>
    <w:bookmarkEnd w:id="35"/>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3.</w:t>
        <w:tab/>
        <w:t>QUANTITATIVE AND QUALITATIVE DISCLOSURES ABOUT MARKET RISK</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See "Quantitative and Qualitative Disclosures About Market Risk" in Item 7A of Part II of our Annual Report on Form 10-K for the year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2023. Our exposure to market risk has not changed materially since December 31, 2023. Refer to Note 13 - Fair Value Measurement and Derivative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Instruments of "Notes to Condensed Consolidated Financial Statements" included in Part I, Item 1 of this report for additional information regarding interest rate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foreign currency exchange risk.</w:t>
      </w:r>
    </w:p>
    <w:p>
      <w:pPr>
        <w:spacing w:after="0" w:line="22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4.</w:t>
        <w:tab/>
        <w:t>CONTROLS AND PROCEDURES</w:t>
      </w:r>
    </w:p>
    <w:p>
      <w:pPr>
        <w:spacing w:after="0" w:line="118" w:lineRule="exact"/>
        <w:rPr>
          <w:sz w:val="20"/>
          <w:szCs w:val="20"/>
          <w:color w:val="auto"/>
        </w:rPr>
      </w:pPr>
    </w:p>
    <w:p>
      <w:pPr>
        <w:ind w:firstLine="464"/>
        <w:spacing w:after="0" w:line="260" w:lineRule="auto"/>
        <w:rPr>
          <w:sz w:val="20"/>
          <w:szCs w:val="20"/>
          <w:color w:val="auto"/>
        </w:rPr>
      </w:pPr>
      <w:r>
        <w:rPr>
          <w:rFonts w:ascii="Times New Roman" w:cs="Times New Roman" w:eastAsia="Times New Roman" w:hAnsi="Times New Roman"/>
          <w:sz w:val="17"/>
          <w:szCs w:val="17"/>
          <w:color w:val="auto"/>
        </w:rPr>
        <w:t>Wabtec’s principal executive officer and its principal financial officer have evaluated the effectiveness of Wabtec’s “disclosure controls and procedures,” (as defined in Exchange Act Rule 13a-15(e)) as of March 31, 2024. Based upon their evaluation, the principal executive officer and principal financial officer concluded that Wabtec’s disclosure controls and procedures are effective to provide reasonable assurance that information required to be disclosed by Wabtec in the reports filed or submitted by it under the Exchange Act is recorded, processed, summarized and reported within the time periods specified in the SEC’s rules and forms, and to provide reasonable assurance that information required to be disclosed by Wabtec in such reports is accumulated and communicated to Wabtec’s Management, including its principal executive officer and principal financial officer, as appropriate to allow timely decisions regarding required disclosure.</w:t>
      </w:r>
    </w:p>
    <w:p>
      <w:pPr>
        <w:spacing w:after="0" w:line="199" w:lineRule="exact"/>
        <w:rPr>
          <w:sz w:val="20"/>
          <w:szCs w:val="20"/>
          <w:color w:val="auto"/>
        </w:rPr>
      </w:pPr>
    </w:p>
    <w:p>
      <w:pPr>
        <w:ind w:right="60" w:firstLine="464"/>
        <w:spacing w:after="0" w:line="287" w:lineRule="auto"/>
        <w:rPr>
          <w:sz w:val="20"/>
          <w:szCs w:val="20"/>
          <w:color w:val="auto"/>
        </w:rPr>
      </w:pPr>
      <w:r>
        <w:rPr>
          <w:rFonts w:ascii="Times New Roman" w:cs="Times New Roman" w:eastAsia="Times New Roman" w:hAnsi="Times New Roman"/>
          <w:sz w:val="17"/>
          <w:szCs w:val="17"/>
          <w:color w:val="auto"/>
        </w:rPr>
        <w:t>There was no change in Wabtec’s “internal control over financial reporting” (as defined in Rule 13a-15(f) under the Exchange Act) that occurred during the quarter ended March 31, 2024, that has materially affected, or is reasonably likely to materially affect, Wabtec’s internal control over financial reporting.</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93" w:right="35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II—OTHER INFORMATION</w:t>
      </w:r>
    </w:p>
    <w:p>
      <w:pPr>
        <w:spacing w:after="0" w:line="21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1.</w:t>
        <w:tab/>
        <w:t>LEGAL PROCEEDINGS</w:t>
      </w:r>
    </w:p>
    <w:p>
      <w:pPr>
        <w:spacing w:after="0" w:line="118" w:lineRule="exact"/>
        <w:rPr>
          <w:sz w:val="20"/>
          <w:szCs w:val="20"/>
          <w:color w:val="auto"/>
        </w:rPr>
      </w:pPr>
    </w:p>
    <w:p>
      <w:pPr>
        <w:ind w:right="300" w:firstLine="464"/>
        <w:spacing w:after="0" w:line="287" w:lineRule="auto"/>
        <w:rPr>
          <w:sz w:val="20"/>
          <w:szCs w:val="20"/>
          <w:color w:val="auto"/>
        </w:rPr>
      </w:pPr>
      <w:r>
        <w:rPr>
          <w:rFonts w:ascii="Times New Roman" w:cs="Times New Roman" w:eastAsia="Times New Roman" w:hAnsi="Times New Roman"/>
          <w:sz w:val="17"/>
          <w:szCs w:val="17"/>
          <w:color w:val="auto"/>
        </w:rPr>
        <w:t>Additional information with respect to legal proceedings is included in Note 14 of “Notes to Condensed Consolidated Financial Statements” included in Part I, Item 1 of this report.</w:t>
      </w:r>
    </w:p>
    <w:p>
      <w:pPr>
        <w:spacing w:after="0" w:line="27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There have been no material changes in our risk factors from those disclosed in our Annual Report on Form 10-K for the year ended December 31, 2023.</w:t>
      </w:r>
    </w:p>
    <w:p>
      <w:pPr>
        <w:spacing w:after="0" w:line="23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2.</w:t>
        <w:tab/>
        <w:t>UNREGISTERED SALES OF EQUITY SECURITIES AND USE OF PROCEEDS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Company's stock repurchase activity for the three months ended March 31, 2024:</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Issuer Purchases of Common Stock</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Borders>
              <w:top w:val="single" w:sz="8" w:color="auto"/>
            </w:tcBorders>
          </w:tcPr>
          <w:p>
            <w:pPr>
              <w:spacing w:after="0"/>
              <w:rPr>
                <w:sz w:val="11"/>
                <w:szCs w:val="11"/>
                <w:color w:val="auto"/>
              </w:rPr>
            </w:pPr>
          </w:p>
        </w:tc>
        <w:tc>
          <w:tcPr>
            <w:tcW w:w="2580" w:type="dxa"/>
            <w:vAlign w:val="bottom"/>
            <w:tcBorders>
              <w:top w:val="single" w:sz="8" w:color="auto"/>
            </w:tcBorders>
          </w:tcPr>
          <w:p>
            <w:pPr>
              <w:spacing w:after="0"/>
              <w:rPr>
                <w:sz w:val="11"/>
                <w:szCs w:val="11"/>
                <w:color w:val="auto"/>
              </w:rPr>
            </w:pPr>
          </w:p>
        </w:tc>
        <w:tc>
          <w:tcPr>
            <w:tcW w:w="2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gridSpan w:val="2"/>
          </w:tcPr>
          <w:p>
            <w:pPr>
              <w:jc w:val="center"/>
              <w:ind w:right="120"/>
              <w:spacing w:after="0" w:line="127" w:lineRule="exact"/>
              <w:rPr>
                <w:sz w:val="20"/>
                <w:szCs w:val="20"/>
                <w:color w:val="auto"/>
              </w:rPr>
            </w:pPr>
            <w:r>
              <w:rPr>
                <w:rFonts w:ascii="Times New Roman" w:cs="Times New Roman" w:eastAsia="Times New Roman" w:hAnsi="Times New Roman"/>
                <w:sz w:val="14"/>
                <w:szCs w:val="14"/>
                <w:color w:val="auto"/>
                <w:w w:val="97"/>
              </w:rPr>
              <w:t>Total Number of Shares</w:t>
            </w:r>
          </w:p>
        </w:tc>
        <w:tc>
          <w:tcPr>
            <w:tcW w:w="10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jc w:val="center"/>
              <w:ind w:right="23"/>
              <w:spacing w:after="0" w:line="127" w:lineRule="exact"/>
              <w:rPr>
                <w:sz w:val="20"/>
                <w:szCs w:val="20"/>
                <w:color w:val="auto"/>
              </w:rPr>
            </w:pPr>
            <w:r>
              <w:rPr>
                <w:rFonts w:ascii="Times New Roman" w:cs="Times New Roman" w:eastAsia="Times New Roman" w:hAnsi="Times New Roman"/>
                <w:sz w:val="14"/>
                <w:szCs w:val="14"/>
                <w:color w:val="auto"/>
                <w:w w:val="97"/>
              </w:rPr>
              <w:t>Maximum Dollar Value of</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7"/>
              </w:rPr>
              <w:t>Total Number of Shares</w:t>
            </w:r>
          </w:p>
        </w:tc>
        <w:tc>
          <w:tcPr>
            <w:tcW w:w="13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8"/>
              </w:rPr>
              <w:t>Average Price Paid</w:t>
            </w:r>
          </w:p>
        </w:tc>
        <w:tc>
          <w:tcPr>
            <w:tcW w:w="168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color w:val="auto"/>
                <w:w w:val="98"/>
              </w:rPr>
              <w:t>Purchased as Part of</w:t>
            </w:r>
          </w:p>
        </w:tc>
        <w:tc>
          <w:tcPr>
            <w:tcW w:w="100" w:type="dxa"/>
            <w:vAlign w:val="bottom"/>
          </w:tcPr>
          <w:p>
            <w:pPr>
              <w:spacing w:after="0"/>
              <w:rPr>
                <w:sz w:val="11"/>
                <w:szCs w:val="11"/>
                <w:color w:val="auto"/>
              </w:rPr>
            </w:pPr>
          </w:p>
        </w:tc>
        <w:tc>
          <w:tcPr>
            <w:tcW w:w="1560" w:type="dxa"/>
            <w:vAlign w:val="bottom"/>
          </w:tcPr>
          <w:p>
            <w:pPr>
              <w:jc w:val="center"/>
              <w:ind w:right="23"/>
              <w:spacing w:after="0" w:line="137" w:lineRule="exact"/>
              <w:rPr>
                <w:sz w:val="20"/>
                <w:szCs w:val="20"/>
                <w:color w:val="auto"/>
              </w:rPr>
            </w:pPr>
            <w:r>
              <w:rPr>
                <w:rFonts w:ascii="Times New Roman" w:cs="Times New Roman" w:eastAsia="Times New Roman" w:hAnsi="Times New Roman"/>
                <w:sz w:val="14"/>
                <w:szCs w:val="14"/>
                <w:color w:val="auto"/>
                <w:w w:val="96"/>
              </w:rPr>
              <w:t>Shares That May Yet Be</w:t>
            </w:r>
          </w:p>
        </w:tc>
        <w:tc>
          <w:tcPr>
            <w:tcW w:w="0" w:type="dxa"/>
            <w:vAlign w:val="bottom"/>
          </w:tcPr>
          <w:p>
            <w:pPr>
              <w:spacing w:after="0"/>
              <w:rPr>
                <w:sz w:val="1"/>
                <w:szCs w:val="1"/>
                <w:color w:val="auto"/>
              </w:rPr>
            </w:pPr>
          </w:p>
        </w:tc>
      </w:tr>
      <w:tr>
        <w:trPr>
          <w:trHeight w:val="142"/>
        </w:trPr>
        <w:tc>
          <w:tcPr>
            <w:tcW w:w="48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shares and price per share</w:t>
            </w:r>
          </w:p>
        </w:tc>
        <w:tc>
          <w:tcPr>
            <w:tcW w:w="1700" w:type="dxa"/>
            <w:vAlign w:val="bottom"/>
            <w:gridSpan w:val="2"/>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68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color w:val="auto"/>
                <w:w w:val="97"/>
              </w:rPr>
              <w:t>Publicly Announced</w:t>
            </w:r>
          </w:p>
        </w:tc>
        <w:tc>
          <w:tcPr>
            <w:tcW w:w="100" w:type="dxa"/>
            <w:vAlign w:val="bottom"/>
          </w:tcPr>
          <w:p>
            <w:pPr>
              <w:spacing w:after="0"/>
              <w:rPr>
                <w:sz w:val="12"/>
                <w:szCs w:val="12"/>
                <w:color w:val="auto"/>
              </w:rPr>
            </w:pPr>
          </w:p>
        </w:tc>
        <w:tc>
          <w:tcPr>
            <w:tcW w:w="1560" w:type="dxa"/>
            <w:vAlign w:val="bottom"/>
          </w:tcPr>
          <w:p>
            <w:pPr>
              <w:jc w:val="center"/>
              <w:ind w:right="23"/>
              <w:spacing w:after="0" w:line="142" w:lineRule="exact"/>
              <w:rPr>
                <w:sz w:val="20"/>
                <w:szCs w:val="20"/>
                <w:color w:val="auto"/>
              </w:rPr>
            </w:pPr>
            <w:r>
              <w:rPr>
                <w:rFonts w:ascii="Times New Roman" w:cs="Times New Roman" w:eastAsia="Times New Roman" w:hAnsi="Times New Roman"/>
                <w:sz w:val="14"/>
                <w:szCs w:val="14"/>
                <w:color w:val="auto"/>
                <w:w w:val="97"/>
              </w:rPr>
              <w:t>Purchased Under the</w:t>
            </w:r>
          </w:p>
        </w:tc>
        <w:tc>
          <w:tcPr>
            <w:tcW w:w="0" w:type="dxa"/>
            <w:vAlign w:val="bottom"/>
          </w:tcPr>
          <w:p>
            <w:pPr>
              <w:spacing w:after="0"/>
              <w:rPr>
                <w:sz w:val="1"/>
                <w:szCs w:val="1"/>
                <w:color w:val="auto"/>
              </w:rPr>
            </w:pPr>
          </w:p>
        </w:tc>
      </w:tr>
      <w:tr>
        <w:trPr>
          <w:trHeight w:val="142"/>
        </w:trPr>
        <w:tc>
          <w:tcPr>
            <w:tcW w:w="4820" w:type="dxa"/>
            <w:vAlign w:val="bottom"/>
            <w:gridSpan w:val="4"/>
            <w:vMerge w:val="continue"/>
          </w:tcPr>
          <w:p>
            <w:pPr>
              <w:spacing w:after="0"/>
              <w:rPr>
                <w:sz w:val="12"/>
                <w:szCs w:val="12"/>
                <w:color w:val="auto"/>
              </w:rPr>
            </w:pPr>
          </w:p>
        </w:tc>
        <w:tc>
          <w:tcPr>
            <w:tcW w:w="17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4"/>
                <w:szCs w:val="14"/>
                <w:color w:val="auto"/>
                <w:w w:val="97"/>
              </w:rPr>
              <w:t>Purchased</w:t>
            </w:r>
          </w:p>
        </w:tc>
        <w:tc>
          <w:tcPr>
            <w:tcW w:w="240" w:type="dxa"/>
            <w:vAlign w:val="bottom"/>
          </w:tcPr>
          <w:p>
            <w:pPr>
              <w:spacing w:after="0"/>
              <w:rPr>
                <w:sz w:val="12"/>
                <w:szCs w:val="12"/>
                <w:color w:val="auto"/>
              </w:rPr>
            </w:pPr>
          </w:p>
        </w:tc>
        <w:tc>
          <w:tcPr>
            <w:tcW w:w="112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4"/>
                <w:szCs w:val="14"/>
                <w:color w:val="auto"/>
                <w:w w:val="97"/>
              </w:rPr>
              <w:t>per Share</w:t>
            </w:r>
          </w:p>
        </w:tc>
        <w:tc>
          <w:tcPr>
            <w:tcW w:w="16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4"/>
                <w:szCs w:val="14"/>
                <w:color w:val="auto"/>
                <w:w w:val="97"/>
              </w:rPr>
              <w:t>Programs (1)</w:t>
            </w:r>
          </w:p>
        </w:tc>
        <w:tc>
          <w:tcPr>
            <w:tcW w:w="100" w:type="dxa"/>
            <w:vAlign w:val="bottom"/>
          </w:tcPr>
          <w:p>
            <w:pPr>
              <w:spacing w:after="0"/>
              <w:rPr>
                <w:sz w:val="12"/>
                <w:szCs w:val="12"/>
                <w:color w:val="auto"/>
              </w:rPr>
            </w:pPr>
          </w:p>
        </w:tc>
        <w:tc>
          <w:tcPr>
            <w:tcW w:w="1560" w:type="dxa"/>
            <w:vAlign w:val="bottom"/>
          </w:tcPr>
          <w:p>
            <w:pPr>
              <w:jc w:val="center"/>
              <w:ind w:right="43"/>
              <w:spacing w:after="0" w:line="122" w:lineRule="exact"/>
              <w:rPr>
                <w:sz w:val="20"/>
                <w:szCs w:val="20"/>
                <w:color w:val="auto"/>
              </w:rPr>
            </w:pPr>
            <w:r>
              <w:rPr>
                <w:rFonts w:ascii="Times New Roman" w:cs="Times New Roman" w:eastAsia="Times New Roman" w:hAnsi="Times New Roman"/>
                <w:sz w:val="14"/>
                <w:szCs w:val="14"/>
                <w:color w:val="auto"/>
                <w:w w:val="97"/>
              </w:rPr>
              <w:t>Programs (1)</w:t>
            </w:r>
          </w:p>
        </w:tc>
        <w:tc>
          <w:tcPr>
            <w:tcW w:w="0" w:type="dxa"/>
            <w:vAlign w:val="bottom"/>
          </w:tcPr>
          <w:p>
            <w:pPr>
              <w:spacing w:after="0"/>
              <w:rPr>
                <w:sz w:val="1"/>
                <w:szCs w:val="1"/>
                <w:color w:val="auto"/>
              </w:rPr>
            </w:pPr>
          </w:p>
        </w:tc>
      </w:tr>
      <w:tr>
        <w:trPr>
          <w:trHeight w:val="32"/>
        </w:trPr>
        <w:tc>
          <w:tcPr>
            <w:tcW w:w="20" w:type="dxa"/>
            <w:vAlign w:val="bottom"/>
            <w:tcBorders>
              <w:bottom w:val="single" w:sz="8" w:color="auto"/>
            </w:tcBorders>
          </w:tcPr>
          <w:p>
            <w:pPr>
              <w:spacing w:after="0"/>
              <w:rPr>
                <w:sz w:val="2"/>
                <w:szCs w:val="2"/>
                <w:color w:val="auto"/>
              </w:rPr>
            </w:pPr>
          </w:p>
        </w:tc>
        <w:tc>
          <w:tcPr>
            <w:tcW w:w="2580" w:type="dxa"/>
            <w:vAlign w:val="bottom"/>
            <w:tcBorders>
              <w:top w:val="single" w:sz="8" w:color="auto"/>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January 2024</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774,197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126.01</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774,197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0" w:type="dxa"/>
            <w:vAlign w:val="bottom"/>
          </w:tcPr>
          <w:p>
            <w:pPr>
              <w:spacing w:after="0"/>
              <w:rPr>
                <w:sz w:val="1"/>
                <w:szCs w:val="1"/>
                <w:color w:val="auto"/>
              </w:rPr>
            </w:pPr>
          </w:p>
        </w:tc>
      </w:tr>
      <w:tr>
        <w:trPr>
          <w:trHeight w:val="219"/>
        </w:trPr>
        <w:tc>
          <w:tcPr>
            <w:tcW w:w="48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February 2024</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221,241</w:t>
            </w:r>
          </w:p>
        </w:tc>
        <w:tc>
          <w:tcPr>
            <w:tcW w:w="100" w:type="dxa"/>
            <w:vAlign w:val="bottom"/>
          </w:tcPr>
          <w:p>
            <w:pPr>
              <w:spacing w:after="0"/>
              <w:rPr>
                <w:sz w:val="19"/>
                <w:szCs w:val="19"/>
                <w:color w:val="auto"/>
              </w:rPr>
            </w:pPr>
          </w:p>
        </w:tc>
        <w:tc>
          <w:tcPr>
            <w:tcW w:w="240" w:type="dxa"/>
            <w:vAlign w:val="bottom"/>
          </w:tcPr>
          <w:p>
            <w:pPr>
              <w:jc w:val="right"/>
              <w:ind w:right="58"/>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134.88</w:t>
            </w:r>
          </w:p>
        </w:tc>
        <w:tc>
          <w:tcPr>
            <w:tcW w:w="100" w:type="dxa"/>
            <w:vAlign w:val="bottom"/>
          </w:tcPr>
          <w:p>
            <w:pPr>
              <w:spacing w:after="0"/>
              <w:rPr>
                <w:sz w:val="19"/>
                <w:szCs w:val="19"/>
                <w:color w:val="auto"/>
              </w:rPr>
            </w:pPr>
          </w:p>
        </w:tc>
        <w:tc>
          <w:tcPr>
            <w:tcW w:w="158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221,241</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970</w:t>
            </w:r>
          </w:p>
        </w:tc>
        <w:tc>
          <w:tcPr>
            <w:tcW w:w="0" w:type="dxa"/>
            <w:vAlign w:val="bottom"/>
          </w:tcPr>
          <w:p>
            <w:pPr>
              <w:spacing w:after="0"/>
              <w:rPr>
                <w:sz w:val="1"/>
                <w:szCs w:val="1"/>
                <w:color w:val="auto"/>
              </w:rPr>
            </w:pPr>
          </w:p>
        </w:tc>
      </w:tr>
      <w:tr>
        <w:trPr>
          <w:trHeight w:val="219"/>
        </w:trPr>
        <w:tc>
          <w:tcPr>
            <w:tcW w:w="4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2024</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342,968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138.94</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342,968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w:t>
            </w:r>
          </w:p>
        </w:tc>
        <w:tc>
          <w:tcPr>
            <w:tcW w:w="0" w:type="dxa"/>
            <w:vAlign w:val="bottom"/>
          </w:tcPr>
          <w:p>
            <w:pPr>
              <w:spacing w:after="0"/>
              <w:rPr>
                <w:sz w:val="1"/>
                <w:szCs w:val="1"/>
                <w:color w:val="auto"/>
              </w:rPr>
            </w:pPr>
          </w:p>
        </w:tc>
      </w:tr>
      <w:tr>
        <w:trPr>
          <w:trHeight w:val="212"/>
        </w:trPr>
        <w:tc>
          <w:tcPr>
            <w:tcW w:w="48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Total quarter ended March 31, 2024</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1,338,406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130.79</w:t>
            </w:r>
          </w:p>
        </w:tc>
        <w:tc>
          <w:tcPr>
            <w:tcW w:w="100" w:type="dxa"/>
            <w:vAlign w:val="bottom"/>
          </w:tcPr>
          <w:p>
            <w:pPr>
              <w:spacing w:after="0"/>
              <w:rPr>
                <w:sz w:val="18"/>
                <w:szCs w:val="18"/>
                <w:color w:val="auto"/>
              </w:rPr>
            </w:pPr>
          </w:p>
        </w:tc>
        <w:tc>
          <w:tcPr>
            <w:tcW w:w="15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7"/>
                <w:szCs w:val="17"/>
                <w:color w:val="auto"/>
              </w:rPr>
              <w:t>1,338,406</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467"/>
        <w:spacing w:after="0" w:line="258" w:lineRule="auto"/>
        <w:tabs>
          <w:tab w:leader="none" w:pos="879"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February 9, 2024, the Board of Directors reauthorized its stock repurchase program to refresh the amount available for stock repurchases to $1 billion of the Company’s outstanding shares. This new stock repurchase authorization supersedes the previous authorization of $750 million, of which approximately $333 million remained at the reauthorization date. No time limit was set for the completion of the program which conforms to the requirements under the 2022 Credit Agreement, the 2024 Credit Agreement and the indentures for the Senior Notes currently outstanding. The Company may repurchase shares in the future at any time, depending upon market conditions, our capital needs and other factors. Purchases of shares may be made by open market purchases or privately negotiated purchases and may be made pursuant to Rule 10b5-1 plan or otherwise. As of March 31, 2024, approximately $923 million was remaining under the stock repurchase plan.</w:t>
      </w:r>
    </w:p>
    <w:p>
      <w:pPr>
        <w:spacing w:after="0" w:line="35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4.</w:t>
        <w:tab/>
        <w:t>MINE SAFETY DISCLOSURES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Not Applicable</w:t>
      </w:r>
    </w:p>
    <w:p>
      <w:pPr>
        <w:spacing w:after="0" w:line="23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69" w:lineRule="exact"/>
        <w:rPr>
          <w:sz w:val="20"/>
          <w:szCs w:val="20"/>
          <w:color w:val="auto"/>
        </w:rPr>
      </w:pPr>
    </w:p>
    <w:p>
      <w:pPr>
        <w:ind w:right="100" w:firstLine="464"/>
        <w:spacing w:after="0" w:line="287" w:lineRule="auto"/>
        <w:rPr>
          <w:sz w:val="20"/>
          <w:szCs w:val="20"/>
          <w:color w:val="auto"/>
        </w:rPr>
      </w:pPr>
      <w:r>
        <w:rPr>
          <w:rFonts w:ascii="Times New Roman" w:cs="Times New Roman" w:eastAsia="Times New Roman" w:hAnsi="Times New Roman"/>
          <w:sz w:val="17"/>
          <w:szCs w:val="17"/>
          <w:color w:val="auto"/>
        </w:rPr>
        <w:t>None of Wabtec's Directors or Officers have adopted, terminated, or materially modified any trading plans, whether or not the plan was intended to qualify for the affirmative defense under Rule 10b5-1, during the first quarter ended March 31, 2024.</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93" w:right="35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27"/>
        </w:trPr>
        <w:tc>
          <w:tcPr>
            <w:tcW w:w="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6.</w:t>
            </w:r>
          </w:p>
        </w:tc>
        <w:tc>
          <w:tcPr>
            <w:tcW w:w="10480" w:type="dxa"/>
            <w:vAlign w:val="bottom"/>
            <w:gridSpan w:val="12"/>
          </w:tcPr>
          <w:p>
            <w:pPr>
              <w:ind w:left="20"/>
              <w:spacing w:after="0"/>
              <w:rPr>
                <w:sz w:val="20"/>
                <w:szCs w:val="20"/>
                <w:color w:val="auto"/>
              </w:rPr>
            </w:pPr>
            <w:r>
              <w:rPr>
                <w:rFonts w:ascii="Times New Roman" w:cs="Times New Roman" w:eastAsia="Times New Roman" w:hAnsi="Times New Roman"/>
                <w:sz w:val="17"/>
                <w:szCs w:val="17"/>
                <w:b w:val="1"/>
                <w:bCs w:val="1"/>
                <w:color w:val="auto"/>
              </w:rPr>
              <w:t>EXHIBITS</w:t>
            </w:r>
          </w:p>
        </w:tc>
      </w:tr>
      <w:tr>
        <w:trPr>
          <w:trHeight w:val="309"/>
        </w:trPr>
        <w:tc>
          <w:tcPr>
            <w:tcW w:w="11160" w:type="dxa"/>
            <w:vAlign w:val="bottom"/>
            <w:gridSpan w:val="13"/>
          </w:tcPr>
          <w:p>
            <w:pPr>
              <w:ind w:left="460"/>
              <w:spacing w:after="0"/>
              <w:rPr>
                <w:sz w:val="20"/>
                <w:szCs w:val="20"/>
                <w:color w:val="auto"/>
              </w:rPr>
            </w:pPr>
            <w:r>
              <w:rPr>
                <w:rFonts w:ascii="Times New Roman" w:cs="Times New Roman" w:eastAsia="Times New Roman" w:hAnsi="Times New Roman"/>
                <w:sz w:val="17"/>
                <w:szCs w:val="17"/>
                <w:color w:val="auto"/>
              </w:rPr>
              <w:t>The following exhibits are being filed with this report:</w:t>
            </w:r>
          </w:p>
        </w:tc>
      </w:tr>
      <w:tr>
        <w:trPr>
          <w:trHeight w:val="309"/>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4.1</w:t>
            </w:r>
          </w:p>
        </w:tc>
        <w:tc>
          <w:tcPr>
            <w:tcW w:w="780" w:type="dxa"/>
            <w:vAlign w:val="bottom"/>
          </w:tcPr>
          <w:p>
            <w:pPr>
              <w:spacing w:after="0"/>
              <w:rPr>
                <w:sz w:val="24"/>
                <w:szCs w:val="24"/>
                <w:color w:val="auto"/>
              </w:rPr>
            </w:pPr>
          </w:p>
        </w:tc>
        <w:tc>
          <w:tcPr>
            <w:tcW w:w="9700" w:type="dxa"/>
            <w:vAlign w:val="bottom"/>
            <w:gridSpan w:val="11"/>
          </w:tcPr>
          <w:p>
            <w:pPr>
              <w:spacing w:after="0"/>
              <w:rPr>
                <w:rFonts w:ascii="Times New Roman" w:cs="Times New Roman" w:eastAsia="Times New Roman" w:hAnsi="Times New Roman"/>
                <w:sz w:val="17"/>
                <w:szCs w:val="17"/>
                <w:color w:val="0000FF"/>
              </w:rPr>
            </w:pPr>
            <w:hyperlink r:id="rId55">
              <w:r>
                <w:rPr>
                  <w:rFonts w:ascii="Times New Roman" w:cs="Times New Roman" w:eastAsia="Times New Roman" w:hAnsi="Times New Roman"/>
                  <w:sz w:val="17"/>
                  <w:szCs w:val="17"/>
                  <w:color w:val="0000FF"/>
                </w:rPr>
                <w:t>Twelfth Supplemental Indenture, dated March 11, 2024, by and among the Company, the subsidiary guarantors party thereto, Computershare</w:t>
              </w:r>
            </w:hyperlink>
          </w:p>
        </w:tc>
      </w:tr>
      <w:tr>
        <w:trPr>
          <w:trHeight w:val="148"/>
        </w:trPr>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80" w:type="dxa"/>
            <w:vAlign w:val="bottom"/>
            <w:tcBorders>
              <w:top w:val="single" w:sz="8" w:color="0000FF"/>
            </w:tcBorders>
            <w:gridSpan w:val="10"/>
          </w:tcPr>
          <w:p>
            <w:pPr>
              <w:spacing w:after="0" w:line="148" w:lineRule="exact"/>
              <w:rPr>
                <w:rFonts w:ascii="Times New Roman" w:cs="Times New Roman" w:eastAsia="Times New Roman" w:hAnsi="Times New Roman"/>
                <w:sz w:val="17"/>
                <w:szCs w:val="17"/>
                <w:color w:val="0000FF"/>
              </w:rPr>
            </w:pPr>
            <w:hyperlink r:id="rId55">
              <w:r>
                <w:rPr>
                  <w:rFonts w:ascii="Times New Roman" w:cs="Times New Roman" w:eastAsia="Times New Roman" w:hAnsi="Times New Roman"/>
                  <w:sz w:val="17"/>
                  <w:szCs w:val="17"/>
                  <w:color w:val="0000FF"/>
                </w:rPr>
                <w:t>Trust Company, National Association (as successor to Wells Fargo Bank, National Association) and U.S. Bank Trust Company, National</w:t>
              </w:r>
            </w:hyperlink>
          </w:p>
        </w:tc>
        <w:tc>
          <w:tcPr>
            <w:tcW w:w="20" w:type="dxa"/>
            <w:vAlign w:val="bottom"/>
          </w:tcPr>
          <w:p>
            <w:pPr>
              <w:spacing w:after="0"/>
              <w:rPr>
                <w:sz w:val="12"/>
                <w:szCs w:val="12"/>
                <w:color w:val="auto"/>
              </w:rPr>
            </w:pPr>
          </w:p>
        </w:tc>
      </w:tr>
      <w:tr>
        <w:trPr>
          <w:trHeight w:val="160"/>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520" w:type="dxa"/>
            <w:vAlign w:val="bottom"/>
            <w:tcBorders>
              <w:top w:val="single" w:sz="8" w:color="0000FF"/>
              <w:bottom w:val="single" w:sz="8" w:color="0000FF"/>
            </w:tcBorders>
            <w:gridSpan w:val="2"/>
          </w:tcPr>
          <w:p>
            <w:pPr>
              <w:spacing w:after="0" w:line="161" w:lineRule="exact"/>
              <w:rPr>
                <w:rFonts w:ascii="Times New Roman" w:cs="Times New Roman" w:eastAsia="Times New Roman" w:hAnsi="Times New Roman"/>
                <w:sz w:val="17"/>
                <w:szCs w:val="17"/>
                <w:color w:val="0000FF"/>
              </w:rPr>
            </w:pPr>
            <w:hyperlink r:id="rId55">
              <w:r>
                <w:rPr>
                  <w:rFonts w:ascii="Times New Roman" w:cs="Times New Roman" w:eastAsia="Times New Roman" w:hAnsi="Times New Roman"/>
                  <w:sz w:val="17"/>
                  <w:szCs w:val="17"/>
                  <w:color w:val="0000FF"/>
                </w:rPr>
                <w:t>Association, as trustee for the Notes.</w:t>
              </w:r>
            </w:hyperlink>
          </w:p>
        </w:tc>
        <w:tc>
          <w:tcPr>
            <w:tcW w:w="6860" w:type="dxa"/>
            <w:vAlign w:val="bottom"/>
            <w:tcBorders>
              <w:top w:val="single" w:sz="8" w:color="0000FF"/>
            </w:tcBorders>
            <w:gridSpan w:val="6"/>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r>
      <w:tr>
        <w:trPr>
          <w:trHeight w:val="25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4.2</w:t>
            </w:r>
          </w:p>
        </w:tc>
        <w:tc>
          <w:tcPr>
            <w:tcW w:w="780" w:type="dxa"/>
            <w:vAlign w:val="bottom"/>
          </w:tcPr>
          <w:p>
            <w:pPr>
              <w:spacing w:after="0"/>
              <w:rPr>
                <w:sz w:val="21"/>
                <w:szCs w:val="21"/>
                <w:color w:val="auto"/>
              </w:rPr>
            </w:pPr>
          </w:p>
        </w:tc>
        <w:tc>
          <w:tcPr>
            <w:tcW w:w="4440" w:type="dxa"/>
            <w:vAlign w:val="bottom"/>
            <w:tcBorders>
              <w:bottom w:val="single" w:sz="8" w:color="0000FF"/>
            </w:tcBorders>
            <w:gridSpan w:val="6"/>
          </w:tcPr>
          <w:p>
            <w:pPr>
              <w:spacing w:after="0"/>
              <w:rPr>
                <w:rFonts w:ascii="Times New Roman" w:cs="Times New Roman" w:eastAsia="Times New Roman" w:hAnsi="Times New Roman"/>
                <w:sz w:val="17"/>
                <w:szCs w:val="17"/>
                <w:color w:val="0000FF"/>
              </w:rPr>
            </w:pPr>
            <w:hyperlink r:id="rId55">
              <w:r>
                <w:rPr>
                  <w:rFonts w:ascii="Times New Roman" w:cs="Times New Roman" w:eastAsia="Times New Roman" w:hAnsi="Times New Roman"/>
                  <w:sz w:val="17"/>
                  <w:szCs w:val="17"/>
                  <w:color w:val="0000FF"/>
                </w:rPr>
                <w:t xml:space="preserve">Form of 5.611% Senior Note due 2034 (included in Exhibit </w:t>
              </w:r>
            </w:hyperlink>
            <w:r>
              <w:rPr>
                <w:rFonts w:ascii="Times New Roman" w:cs="Times New Roman" w:eastAsia="Times New Roman" w:hAnsi="Times New Roman"/>
                <w:sz w:val="17"/>
                <w:szCs w:val="17"/>
                <w:color w:val="0000FF"/>
              </w:rPr>
              <w:t>4.1)</w:t>
            </w:r>
            <w:hyperlink r:id="rId55">
              <w:r>
                <w:rPr>
                  <w:rFonts w:ascii="Times New Roman" w:cs="Times New Roman" w:eastAsia="Times New Roman" w:hAnsi="Times New Roman"/>
                  <w:sz w:val="17"/>
                  <w:szCs w:val="17"/>
                  <w:color w:val="0000FF"/>
                </w:rPr>
                <w:t>.</w:t>
              </w:r>
            </w:hyperlink>
          </w:p>
        </w:tc>
        <w:tc>
          <w:tcPr>
            <w:tcW w:w="5260" w:type="dxa"/>
            <w:vAlign w:val="bottom"/>
            <w:gridSpan w:val="5"/>
          </w:tcPr>
          <w:p>
            <w:pPr>
              <w:spacing w:after="0"/>
              <w:rPr>
                <w:sz w:val="21"/>
                <w:szCs w:val="21"/>
                <w:color w:val="auto"/>
              </w:rPr>
            </w:pPr>
          </w:p>
        </w:tc>
      </w:tr>
      <w:tr>
        <w:trPr>
          <w:trHeight w:val="25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780" w:type="dxa"/>
            <w:vAlign w:val="bottom"/>
          </w:tcPr>
          <w:p>
            <w:pPr>
              <w:spacing w:after="0"/>
              <w:rPr>
                <w:sz w:val="21"/>
                <w:szCs w:val="21"/>
                <w:color w:val="auto"/>
              </w:rPr>
            </w:pPr>
          </w:p>
        </w:tc>
        <w:tc>
          <w:tcPr>
            <w:tcW w:w="9700" w:type="dxa"/>
            <w:vAlign w:val="bottom"/>
            <w:gridSpan w:val="11"/>
          </w:tcPr>
          <w:p>
            <w:pPr>
              <w:spacing w:after="0"/>
              <w:rPr>
                <w:rFonts w:ascii="Times New Roman" w:cs="Times New Roman" w:eastAsia="Times New Roman" w:hAnsi="Times New Roman"/>
                <w:sz w:val="17"/>
                <w:szCs w:val="17"/>
                <w:color w:val="0000FF"/>
              </w:rPr>
            </w:pPr>
            <w:hyperlink r:id="rId56">
              <w:r>
                <w:rPr>
                  <w:rFonts w:ascii="Times New Roman" w:cs="Times New Roman" w:eastAsia="Times New Roman" w:hAnsi="Times New Roman"/>
                  <w:sz w:val="17"/>
                  <w:szCs w:val="17"/>
                  <w:color w:val="0000FF"/>
                </w:rPr>
                <w:t>Term Credit Agreement, dated as of March 14, 2024, among Westinghouse Air Brake Technologies Corporation, lenders party thereto and</w:t>
              </w:r>
            </w:hyperlink>
          </w:p>
        </w:tc>
      </w:tr>
      <w:tr>
        <w:trPr>
          <w:trHeight w:val="148"/>
        </w:trPr>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940" w:type="dxa"/>
            <w:vAlign w:val="bottom"/>
            <w:tcBorders>
              <w:top w:val="single" w:sz="8" w:color="0000FF"/>
              <w:bottom w:val="single" w:sz="8" w:color="0000FF"/>
            </w:tcBorders>
            <w:gridSpan w:val="5"/>
          </w:tcPr>
          <w:p>
            <w:pPr>
              <w:spacing w:after="0" w:line="148" w:lineRule="exact"/>
              <w:rPr>
                <w:rFonts w:ascii="Times New Roman" w:cs="Times New Roman" w:eastAsia="Times New Roman" w:hAnsi="Times New Roman"/>
                <w:sz w:val="17"/>
                <w:szCs w:val="17"/>
                <w:color w:val="0000FF"/>
              </w:rPr>
            </w:pPr>
            <w:hyperlink r:id="rId56">
              <w:r>
                <w:rPr>
                  <w:rFonts w:ascii="Times New Roman" w:cs="Times New Roman" w:eastAsia="Times New Roman" w:hAnsi="Times New Roman"/>
                  <w:sz w:val="17"/>
                  <w:szCs w:val="17"/>
                  <w:color w:val="0000FF"/>
                </w:rPr>
                <w:t>PNC Bank, National Association as administrative agent.</w:t>
              </w:r>
            </w:hyperlink>
          </w:p>
        </w:tc>
        <w:tc>
          <w:tcPr>
            <w:tcW w:w="5560" w:type="dxa"/>
            <w:vAlign w:val="bottom"/>
            <w:tcBorders>
              <w:top w:val="single" w:sz="8" w:color="0000FF"/>
            </w:tcBorders>
            <w:gridSpan w:val="4"/>
          </w:tcPr>
          <w:p>
            <w:pPr>
              <w:spacing w:after="0"/>
              <w:rPr>
                <w:sz w:val="12"/>
                <w:szCs w:val="12"/>
                <w:color w:val="auto"/>
              </w:rPr>
            </w:pPr>
          </w:p>
        </w:tc>
        <w:tc>
          <w:tcPr>
            <w:tcW w:w="200" w:type="dxa"/>
            <w:vAlign w:val="bottom"/>
            <w:gridSpan w:val="2"/>
          </w:tcPr>
          <w:p>
            <w:pPr>
              <w:spacing w:after="0"/>
              <w:rPr>
                <w:sz w:val="12"/>
                <w:szCs w:val="12"/>
                <w:color w:val="auto"/>
              </w:rPr>
            </w:pPr>
          </w:p>
        </w:tc>
      </w:tr>
      <w:tr>
        <w:trPr>
          <w:trHeight w:val="264"/>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22.1</w:t>
            </w:r>
          </w:p>
        </w:tc>
        <w:tc>
          <w:tcPr>
            <w:tcW w:w="780" w:type="dxa"/>
            <w:vAlign w:val="bottom"/>
          </w:tcPr>
          <w:p>
            <w:pPr>
              <w:spacing w:after="0"/>
              <w:rPr>
                <w:sz w:val="22"/>
                <w:szCs w:val="22"/>
                <w:color w:val="auto"/>
              </w:rPr>
            </w:pPr>
          </w:p>
        </w:tc>
        <w:tc>
          <w:tcPr>
            <w:tcW w:w="970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List of Subsidiary Guarantors</w:t>
            </w:r>
          </w:p>
        </w:tc>
      </w:tr>
      <w:tr>
        <w:trPr>
          <w:trHeight w:val="20"/>
        </w:trPr>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r>
      <w:tr>
        <w:trPr>
          <w:trHeight w:val="25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31.1</w:t>
            </w:r>
          </w:p>
        </w:tc>
        <w:tc>
          <w:tcPr>
            <w:tcW w:w="780" w:type="dxa"/>
            <w:vAlign w:val="bottom"/>
          </w:tcPr>
          <w:p>
            <w:pPr>
              <w:spacing w:after="0"/>
              <w:rPr>
                <w:sz w:val="21"/>
                <w:szCs w:val="21"/>
                <w:color w:val="auto"/>
              </w:rPr>
            </w:pPr>
          </w:p>
        </w:tc>
        <w:tc>
          <w:tcPr>
            <w:tcW w:w="970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Rule 13a-14(a) Certification of Chief Executive Officer.</w:t>
            </w:r>
          </w:p>
        </w:tc>
      </w:tr>
      <w:tr>
        <w:trPr>
          <w:trHeight w:val="25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31.2</w:t>
            </w:r>
          </w:p>
        </w:tc>
        <w:tc>
          <w:tcPr>
            <w:tcW w:w="780" w:type="dxa"/>
            <w:vAlign w:val="bottom"/>
          </w:tcPr>
          <w:p>
            <w:pPr>
              <w:spacing w:after="0"/>
              <w:rPr>
                <w:sz w:val="21"/>
                <w:szCs w:val="21"/>
                <w:color w:val="auto"/>
              </w:rPr>
            </w:pPr>
          </w:p>
        </w:tc>
        <w:tc>
          <w:tcPr>
            <w:tcW w:w="38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Rule 13a-14(a) Certification of Chief Financial Officer.</w:t>
            </w:r>
          </w:p>
        </w:tc>
        <w:tc>
          <w:tcPr>
            <w:tcW w:w="5860" w:type="dxa"/>
            <w:vAlign w:val="bottom"/>
            <w:gridSpan w:val="7"/>
          </w:tcPr>
          <w:p>
            <w:pPr>
              <w:spacing w:after="0"/>
              <w:rPr>
                <w:sz w:val="21"/>
                <w:szCs w:val="21"/>
                <w:color w:val="auto"/>
              </w:rPr>
            </w:pPr>
          </w:p>
        </w:tc>
      </w:tr>
      <w:tr>
        <w:trPr>
          <w:trHeight w:val="20"/>
        </w:trPr>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0" w:type="dxa"/>
            <w:vAlign w:val="bottom"/>
            <w:gridSpan w:val="3"/>
            <w:shd w:val="clear" w:color="auto" w:fill="0000FF"/>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r>
      <w:tr>
        <w:trPr>
          <w:trHeight w:val="25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32.1</w:t>
            </w:r>
          </w:p>
        </w:tc>
        <w:tc>
          <w:tcPr>
            <w:tcW w:w="780" w:type="dxa"/>
            <w:vAlign w:val="bottom"/>
          </w:tcPr>
          <w:p>
            <w:pPr>
              <w:spacing w:after="0"/>
              <w:rPr>
                <w:sz w:val="21"/>
                <w:szCs w:val="21"/>
                <w:color w:val="auto"/>
              </w:rPr>
            </w:pPr>
          </w:p>
        </w:tc>
        <w:tc>
          <w:tcPr>
            <w:tcW w:w="970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Section 1350 Certification of Chief Executive Officer and Chief Financial Officer.</w:t>
            </w:r>
          </w:p>
        </w:tc>
      </w:tr>
      <w:tr>
        <w:trPr>
          <w:trHeight w:val="290"/>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101.INS</w:t>
            </w:r>
          </w:p>
        </w:tc>
        <w:tc>
          <w:tcPr>
            <w:tcW w:w="780" w:type="dxa"/>
            <w:vAlign w:val="bottom"/>
          </w:tcPr>
          <w:p>
            <w:pPr>
              <w:spacing w:after="0"/>
              <w:rPr>
                <w:sz w:val="24"/>
                <w:szCs w:val="24"/>
                <w:color w:val="auto"/>
              </w:rPr>
            </w:pPr>
          </w:p>
        </w:tc>
        <w:tc>
          <w:tcPr>
            <w:tcW w:w="56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auto"/>
              </w:rPr>
              <w:t>XBRL Instance Document.</w:t>
            </w:r>
          </w:p>
        </w:tc>
        <w:tc>
          <w:tcPr>
            <w:tcW w:w="4060" w:type="dxa"/>
            <w:vAlign w:val="bottom"/>
            <w:gridSpan w:val="4"/>
          </w:tcPr>
          <w:p>
            <w:pPr>
              <w:spacing w:after="0"/>
              <w:rPr>
                <w:sz w:val="24"/>
                <w:szCs w:val="24"/>
                <w:color w:val="auto"/>
              </w:rPr>
            </w:pPr>
          </w:p>
        </w:tc>
      </w:tr>
      <w:tr>
        <w:trPr>
          <w:trHeight w:val="27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780" w:type="dxa"/>
            <w:vAlign w:val="bottom"/>
          </w:tcPr>
          <w:p>
            <w:pPr>
              <w:spacing w:after="0"/>
              <w:rPr>
                <w:sz w:val="23"/>
                <w:szCs w:val="23"/>
                <w:color w:val="auto"/>
              </w:rPr>
            </w:pPr>
          </w:p>
        </w:tc>
        <w:tc>
          <w:tcPr>
            <w:tcW w:w="970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27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780" w:type="dxa"/>
            <w:vAlign w:val="bottom"/>
          </w:tcPr>
          <w:p>
            <w:pPr>
              <w:spacing w:after="0"/>
              <w:rPr>
                <w:sz w:val="23"/>
                <w:szCs w:val="23"/>
                <w:color w:val="auto"/>
              </w:rPr>
            </w:pPr>
          </w:p>
        </w:tc>
        <w:tc>
          <w:tcPr>
            <w:tcW w:w="970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27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780" w:type="dxa"/>
            <w:vAlign w:val="bottom"/>
          </w:tcPr>
          <w:p>
            <w:pPr>
              <w:spacing w:after="0"/>
              <w:rPr>
                <w:sz w:val="23"/>
                <w:szCs w:val="23"/>
                <w:color w:val="auto"/>
              </w:rPr>
            </w:pPr>
          </w:p>
        </w:tc>
        <w:tc>
          <w:tcPr>
            <w:tcW w:w="970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r>
      <w:tr>
        <w:trPr>
          <w:trHeight w:val="27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780" w:type="dxa"/>
            <w:vAlign w:val="bottom"/>
          </w:tcPr>
          <w:p>
            <w:pPr>
              <w:spacing w:after="0"/>
              <w:rPr>
                <w:sz w:val="23"/>
                <w:szCs w:val="23"/>
                <w:color w:val="auto"/>
              </w:rPr>
            </w:pPr>
          </w:p>
        </w:tc>
        <w:tc>
          <w:tcPr>
            <w:tcW w:w="970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r>
      <w:tr>
        <w:trPr>
          <w:trHeight w:val="27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780" w:type="dxa"/>
            <w:vAlign w:val="bottom"/>
          </w:tcPr>
          <w:p>
            <w:pPr>
              <w:spacing w:after="0"/>
              <w:rPr>
                <w:sz w:val="23"/>
                <w:szCs w:val="23"/>
                <w:color w:val="auto"/>
              </w:rPr>
            </w:pPr>
          </w:p>
        </w:tc>
        <w:tc>
          <w:tcPr>
            <w:tcW w:w="970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bl>
    <w:p>
      <w:pPr>
        <w:spacing w:after="0" w:line="48" w:lineRule="exact"/>
        <w:rPr>
          <w:sz w:val="20"/>
          <w:szCs w:val="20"/>
          <w:color w:val="auto"/>
        </w:rPr>
      </w:pPr>
    </w:p>
    <w:p>
      <w:pPr>
        <w:ind w:left="1460" w:hanging="1440"/>
        <w:spacing w:after="0"/>
        <w:tabs>
          <w:tab w:leader="none" w:pos="14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Inline XBRL document)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32"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893" w:right="439" w:bottom="1440" w:gutter="0" w:footer="0" w:header="0"/>
        </w:sectPr>
      </w:pPr>
    </w:p>
    <w:bookmarkStart w:id="38" w:name="page39"/>
    <w:bookmarkEnd w:id="38"/>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1" w:lineRule="exact"/>
        <w:rPr>
          <w:sz w:val="20"/>
          <w:szCs w:val="20"/>
          <w:color w:val="auto"/>
        </w:rPr>
      </w:pPr>
    </w:p>
    <w:p>
      <w:pPr>
        <w:ind w:firstLine="464"/>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Company has duly caused this report to be signed on its behalf by the undersigned thereunto duly authorized.</w:t>
      </w:r>
    </w:p>
    <w:p>
      <w:pPr>
        <w:spacing w:after="0" w:line="19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WESTINGHOUSE AIR BRAKE TECHNOLOGIES CORPORATION</w:t>
      </w:r>
    </w:p>
    <w:p>
      <w:pPr>
        <w:spacing w:after="0" w:line="75" w:lineRule="exact"/>
        <w:rPr>
          <w:sz w:val="20"/>
          <w:szCs w:val="20"/>
          <w:color w:val="auto"/>
        </w:rPr>
      </w:pPr>
    </w:p>
    <w:p>
      <w:pPr>
        <w:ind w:left="5980"/>
        <w:spacing w:after="0"/>
        <w:tabs>
          <w:tab w:leader="none" w:pos="82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JOHN A. OLIN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17145</wp:posOffset>
            </wp:positionV>
            <wp:extent cx="28651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2865120" cy="8255"/>
                    </a:xfrm>
                    <a:prstGeom prst="rect">
                      <a:avLst/>
                    </a:prstGeom>
                    <a:noFill/>
                  </pic:spPr>
                </pic:pic>
              </a:graphicData>
            </a:graphic>
          </wp:anchor>
        </w:drawing>
      </w:r>
    </w:p>
    <w:p>
      <w:pPr>
        <w:spacing w:after="0" w:line="9"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4"/>
          <w:szCs w:val="14"/>
          <w:b w:val="1"/>
          <w:bCs w:val="1"/>
          <w:color w:val="auto"/>
        </w:rPr>
        <w:t>John A. Olin</w:t>
      </w:r>
    </w:p>
    <w:p>
      <w:pPr>
        <w:spacing w:after="0" w:line="31"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4"/>
          <w:szCs w:val="14"/>
          <w:b w:val="1"/>
          <w:bCs w:val="1"/>
          <w:color w:val="auto"/>
        </w:rPr>
        <w:t>Executive Vice President and</w:t>
      </w:r>
    </w:p>
    <w:p>
      <w:pPr>
        <w:ind w:left="830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25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(Duly Authorized Officer and Principal Financial Officer)</w:t>
      </w:r>
    </w:p>
    <w:p>
      <w:pPr>
        <w:spacing w:after="0" w:line="269" w:lineRule="exact"/>
        <w:rPr>
          <w:sz w:val="20"/>
          <w:szCs w:val="20"/>
          <w:color w:val="auto"/>
        </w:rPr>
      </w:pPr>
    </w:p>
    <w:p>
      <w:pPr>
        <w:ind w:left="5980"/>
        <w:spacing w:after="0"/>
        <w:tabs>
          <w:tab w:leader="none" w:pos="67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April 24,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39</w:t>
      </w:r>
    </w:p>
    <w:p>
      <w:pPr>
        <w:sectPr>
          <w:pgSz w:w="11900" w:h="16838" w:orient="portrait"/>
          <w:cols w:equalWidth="0" w:num="1">
            <w:col w:w="11180"/>
          </w:cols>
          <w:pgMar w:left="320" w:top="893" w:right="39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9"/>
          <w:szCs w:val="19"/>
          <w:b w:val="1"/>
          <w:bCs w:val="1"/>
          <w:color w:val="auto"/>
        </w:rPr>
        <w:t>Exhibit 22.1</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Guarantor Subsidiaries of Westinghouse Air Brake Technologies</w:t>
      </w:r>
    </w:p>
    <w:p>
      <w:pPr>
        <w:spacing w:after="0" w:line="138"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7"/>
          <w:szCs w:val="17"/>
          <w:color w:val="auto"/>
        </w:rPr>
        <w:t>The obligations under the Company's US Notes, the 2022 Credit Agreement and the 2024 Credit Agreement have been fully and unconditionally guaranteed by certain of the Company's U.S. subsidiaries. Each guarantor is 100% owned by the parent company, with the exception of GE Transportation, a Wabtec Company, which has 15,000 shares outstanding of Class A Non-Voting Preferred Stock held by General Electric Company. The Euro Notes are issued by Wabtec Netherlands and are fully and unconditionally guaranteed by the Company.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March 31, 2024: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The US Notes, 2022 Credit Agreement and 2024 Credit Agreement</w:t>
      </w:r>
    </w:p>
    <w:p>
      <w:pPr>
        <w:spacing w:after="0" w:line="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i w:val="1"/>
          <w:iCs w:val="1"/>
          <w:u w:val="single" w:color="auto"/>
          <w:color w:val="auto"/>
        </w:rPr>
        <w:t>Issuer</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Westinghouse Air Brake Technologies Corporation</w:t>
      </w:r>
    </w:p>
    <w:p>
      <w:pPr>
        <w:spacing w:after="0" w:line="1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i w:val="1"/>
          <w:iCs w:val="1"/>
          <w:u w:val="single" w:color="auto"/>
          <w:color w:val="auto"/>
        </w:rPr>
        <w:t>Guarantors</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GE Transportation, a Wabtec Company</w:t>
      </w:r>
    </w:p>
    <w:p>
      <w:pPr>
        <w:spacing w:after="0" w:line="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RFPC Holding Corp.</w:t>
      </w:r>
    </w:p>
    <w:p>
      <w:pPr>
        <w:ind w:left="1240"/>
        <w:spacing w:after="0" w:line="237" w:lineRule="auto"/>
        <w:rPr>
          <w:sz w:val="20"/>
          <w:szCs w:val="20"/>
          <w:color w:val="auto"/>
        </w:rPr>
      </w:pPr>
      <w:r>
        <w:rPr>
          <w:rFonts w:ascii="Times New Roman" w:cs="Times New Roman" w:eastAsia="Times New Roman" w:hAnsi="Times New Roman"/>
          <w:sz w:val="17"/>
          <w:szCs w:val="17"/>
          <w:color w:val="auto"/>
        </w:rPr>
        <w:t>Transportation IP Holdings, LLC</w:t>
      </w:r>
    </w:p>
    <w:p>
      <w:pPr>
        <w:ind w:left="1240"/>
        <w:spacing w:after="0" w:line="237" w:lineRule="auto"/>
        <w:rPr>
          <w:sz w:val="20"/>
          <w:szCs w:val="20"/>
          <w:color w:val="auto"/>
        </w:rPr>
      </w:pPr>
      <w:r>
        <w:rPr>
          <w:rFonts w:ascii="Times New Roman" w:cs="Times New Roman" w:eastAsia="Times New Roman" w:hAnsi="Times New Roman"/>
          <w:sz w:val="17"/>
          <w:szCs w:val="17"/>
          <w:color w:val="auto"/>
        </w:rPr>
        <w:t>Transportation Systems Services Operations Inc.</w:t>
      </w:r>
    </w:p>
    <w:p>
      <w:pPr>
        <w:ind w:left="1240"/>
        <w:spacing w:after="0" w:line="238" w:lineRule="auto"/>
        <w:rPr>
          <w:sz w:val="20"/>
          <w:szCs w:val="20"/>
          <w:color w:val="auto"/>
        </w:rPr>
      </w:pPr>
      <w:r>
        <w:rPr>
          <w:rFonts w:ascii="Times New Roman" w:cs="Times New Roman" w:eastAsia="Times New Roman" w:hAnsi="Times New Roman"/>
          <w:sz w:val="17"/>
          <w:szCs w:val="17"/>
          <w:color w:val="auto"/>
        </w:rPr>
        <w:t>Wabtec Components, LLC</w:t>
      </w:r>
    </w:p>
    <w:p>
      <w:pPr>
        <w:ind w:left="1240"/>
        <w:spacing w:after="0" w:line="221" w:lineRule="auto"/>
        <w:rPr>
          <w:sz w:val="20"/>
          <w:szCs w:val="20"/>
          <w:color w:val="auto"/>
        </w:rPr>
      </w:pPr>
      <w:r>
        <w:rPr>
          <w:rFonts w:ascii="Times New Roman" w:cs="Times New Roman" w:eastAsia="Times New Roman" w:hAnsi="Times New Roman"/>
          <w:sz w:val="17"/>
          <w:szCs w:val="17"/>
          <w:color w:val="auto"/>
        </w:rPr>
        <w:t>Wabtec Holding, LLC</w:t>
      </w:r>
    </w:p>
    <w:p>
      <w:pPr>
        <w:ind w:left="1240"/>
        <w:spacing w:after="0" w:line="238" w:lineRule="auto"/>
        <w:rPr>
          <w:sz w:val="20"/>
          <w:szCs w:val="20"/>
          <w:color w:val="auto"/>
        </w:rPr>
      </w:pPr>
      <w:r>
        <w:rPr>
          <w:rFonts w:ascii="Times New Roman" w:cs="Times New Roman" w:eastAsia="Times New Roman" w:hAnsi="Times New Roman"/>
          <w:sz w:val="17"/>
          <w:szCs w:val="17"/>
          <w:color w:val="auto"/>
        </w:rPr>
        <w:t>Wabtec Railway Electronics Holdings, LLC</w:t>
      </w:r>
    </w:p>
    <w:p>
      <w:pPr>
        <w:ind w:left="1240"/>
        <w:spacing w:after="0"/>
        <w:rPr>
          <w:sz w:val="20"/>
          <w:szCs w:val="20"/>
          <w:color w:val="auto"/>
        </w:rPr>
      </w:pPr>
      <w:r>
        <w:rPr>
          <w:rFonts w:ascii="Times New Roman" w:cs="Times New Roman" w:eastAsia="Times New Roman" w:hAnsi="Times New Roman"/>
          <w:sz w:val="17"/>
          <w:szCs w:val="17"/>
          <w:color w:val="auto"/>
        </w:rPr>
        <w:t>Wabtec Transportation Systems, LLC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The Euro Notes</w:t>
      </w:r>
    </w:p>
    <w:p>
      <w:pPr>
        <w:spacing w:after="0" w:line="3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i w:val="1"/>
          <w:iCs w:val="1"/>
          <w:u w:val="single" w:color="auto"/>
          <w:color w:val="auto"/>
        </w:rPr>
        <w:t>Issuer</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color w:val="auto"/>
        </w:rPr>
        <w:t>Wabtec Transportation Netherlands B.V.</w:t>
      </w:r>
    </w:p>
    <w:p>
      <w:pPr>
        <w:spacing w:after="0" w:line="1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7"/>
          <w:szCs w:val="17"/>
          <w:i w:val="1"/>
          <w:iCs w:val="1"/>
          <w:u w:val="single" w:color="auto"/>
          <w:color w:val="auto"/>
        </w:rPr>
        <w:t>Guarantor</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color w:val="auto"/>
        </w:rPr>
        <w:t>Westinghouse Air Brake Technologies Corporation</w:t>
      </w:r>
    </w:p>
    <w:p>
      <w:pPr>
        <w:sectPr>
          <w:pgSz w:w="11900" w:h="16838" w:orient="portrait"/>
          <w:cols w:equalWidth="0" w:num="1">
            <w:col w:w="11240"/>
          </w:cols>
          <w:pgMar w:left="320" w:top="1365"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Rafael Santana, certify that:</w:t>
      </w:r>
    </w:p>
    <w:p>
      <w:pPr>
        <w:spacing w:after="0" w:line="114" w:lineRule="exact"/>
        <w:rPr>
          <w:sz w:val="20"/>
          <w:szCs w:val="20"/>
          <w:color w:val="auto"/>
        </w:rPr>
      </w:pPr>
    </w:p>
    <w:p>
      <w:pPr>
        <w:ind w:left="640" w:hanging="173"/>
        <w:spacing w:after="0"/>
        <w:tabs>
          <w:tab w:leader="none" w:pos="6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Westinghouse Air Brake Technologies Corporation.</w:t>
      </w:r>
    </w:p>
    <w:p>
      <w:pPr>
        <w:spacing w:after="0" w:line="113" w:lineRule="exact"/>
        <w:rPr>
          <w:rFonts w:ascii="Times New Roman" w:cs="Times New Roman" w:eastAsia="Times New Roman" w:hAnsi="Times New Roman"/>
          <w:sz w:val="17"/>
          <w:szCs w:val="17"/>
          <w:color w:val="auto"/>
        </w:rPr>
      </w:pPr>
    </w:p>
    <w:p>
      <w:pPr>
        <w:ind w:right="200" w:firstLine="467"/>
        <w:spacing w:after="0" w:line="270" w:lineRule="auto"/>
        <w:tabs>
          <w:tab w:leader="none" w:pos="6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2" w:lineRule="exact"/>
        <w:rPr>
          <w:rFonts w:ascii="Times New Roman" w:cs="Times New Roman" w:eastAsia="Times New Roman" w:hAnsi="Times New Roman"/>
          <w:sz w:val="17"/>
          <w:szCs w:val="17"/>
          <w:color w:val="auto"/>
        </w:rPr>
      </w:pPr>
    </w:p>
    <w:p>
      <w:pPr>
        <w:ind w:right="160" w:firstLine="467"/>
        <w:spacing w:after="0" w:line="287" w:lineRule="auto"/>
        <w:tabs>
          <w:tab w:leader="none" w:pos="6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48" w:lineRule="exact"/>
        <w:rPr>
          <w:rFonts w:ascii="Times New Roman" w:cs="Times New Roman" w:eastAsia="Times New Roman" w:hAnsi="Times New Roman"/>
          <w:sz w:val="17"/>
          <w:szCs w:val="17"/>
          <w:color w:val="auto"/>
        </w:rPr>
      </w:pPr>
    </w:p>
    <w:p>
      <w:pPr>
        <w:jc w:val="both"/>
        <w:ind w:right="60" w:firstLine="467"/>
        <w:spacing w:after="0" w:line="270" w:lineRule="auto"/>
        <w:tabs>
          <w:tab w:leader="none" w:pos="6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2" w:lineRule="exact"/>
        <w:rPr>
          <w:rFonts w:ascii="Times New Roman" w:cs="Times New Roman" w:eastAsia="Times New Roman" w:hAnsi="Times New Roman"/>
          <w:sz w:val="17"/>
          <w:szCs w:val="17"/>
          <w:color w:val="auto"/>
        </w:rPr>
      </w:pPr>
    </w:p>
    <w:p>
      <w:pPr>
        <w:ind w:right="160" w:firstLine="970"/>
        <w:spacing w:after="0" w:line="270" w:lineRule="auto"/>
        <w:tabs>
          <w:tab w:leader="none" w:pos="120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2" w:lineRule="exact"/>
        <w:rPr>
          <w:rFonts w:ascii="Times New Roman" w:cs="Times New Roman" w:eastAsia="Times New Roman" w:hAnsi="Times New Roman"/>
          <w:sz w:val="17"/>
          <w:szCs w:val="17"/>
          <w:color w:val="auto"/>
        </w:rPr>
      </w:pPr>
    </w:p>
    <w:p>
      <w:pPr>
        <w:ind w:right="360" w:firstLine="970"/>
        <w:spacing w:after="0" w:line="270" w:lineRule="auto"/>
        <w:tabs>
          <w:tab w:leader="none" w:pos="121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7"/>
          <w:szCs w:val="17"/>
          <w:color w:val="auto"/>
        </w:rPr>
      </w:pPr>
    </w:p>
    <w:p>
      <w:pPr>
        <w:ind w:right="120" w:firstLine="970"/>
        <w:spacing w:after="0" w:line="287" w:lineRule="auto"/>
        <w:tabs>
          <w:tab w:leader="none" w:pos="120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48" w:lineRule="exact"/>
        <w:rPr>
          <w:rFonts w:ascii="Times New Roman" w:cs="Times New Roman" w:eastAsia="Times New Roman" w:hAnsi="Times New Roman"/>
          <w:sz w:val="17"/>
          <w:szCs w:val="17"/>
          <w:color w:val="auto"/>
        </w:rPr>
      </w:pPr>
    </w:p>
    <w:p>
      <w:pPr>
        <w:ind w:right="80" w:firstLine="970"/>
        <w:spacing w:after="0" w:line="287" w:lineRule="auto"/>
        <w:tabs>
          <w:tab w:leader="none" w:pos="121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8" w:lineRule="exact"/>
        <w:rPr>
          <w:rFonts w:ascii="Times New Roman" w:cs="Times New Roman" w:eastAsia="Times New Roman" w:hAnsi="Times New Roman"/>
          <w:sz w:val="17"/>
          <w:szCs w:val="17"/>
          <w:color w:val="auto"/>
        </w:rPr>
      </w:pPr>
    </w:p>
    <w:p>
      <w:pPr>
        <w:ind w:right="440" w:firstLine="467"/>
        <w:spacing w:after="0" w:line="287" w:lineRule="auto"/>
        <w:tabs>
          <w:tab w:leader="none" w:pos="6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8" w:lineRule="exact"/>
        <w:rPr>
          <w:rFonts w:ascii="Times New Roman" w:cs="Times New Roman" w:eastAsia="Times New Roman" w:hAnsi="Times New Roman"/>
          <w:sz w:val="17"/>
          <w:szCs w:val="17"/>
          <w:color w:val="auto"/>
        </w:rPr>
      </w:pPr>
    </w:p>
    <w:p>
      <w:pPr>
        <w:ind w:right="200" w:firstLine="970"/>
        <w:spacing w:after="0" w:line="287" w:lineRule="auto"/>
        <w:tabs>
          <w:tab w:leader="none" w:pos="120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right="140" w:firstLine="970"/>
        <w:spacing w:after="0" w:line="287" w:lineRule="auto"/>
        <w:tabs>
          <w:tab w:leader="none" w:pos="121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Date: </w:t>
      </w:r>
      <w:r>
        <w:rPr>
          <w:rFonts w:ascii="Times New Roman" w:cs="Times New Roman" w:eastAsia="Times New Roman" w:hAnsi="Times New Roman"/>
          <w:sz w:val="17"/>
          <w:szCs w:val="17"/>
          <w:color w:val="auto"/>
        </w:rPr>
        <w:t>April 24, 2024</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102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7"/>
                <w:szCs w:val="17"/>
                <w:color w:val="auto"/>
              </w:rPr>
              <w:t>/s/  RAFAEL SANTANA</w:t>
            </w:r>
          </w:p>
        </w:tc>
      </w:tr>
      <w:tr>
        <w:trPr>
          <w:trHeight w:val="211"/>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02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Rafael Santana</w:t>
            </w:r>
          </w:p>
        </w:tc>
      </w:tr>
      <w:tr>
        <w:trPr>
          <w:trHeight w:val="227"/>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Title:</w:t>
            </w:r>
          </w:p>
        </w:tc>
        <w:tc>
          <w:tcPr>
            <w:tcW w:w="102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tc>
      </w:tr>
    </w:tbl>
    <w:p>
      <w:pPr>
        <w:sectPr>
          <w:pgSz w:w="11900" w:h="16838" w:orient="portrait"/>
          <w:cols w:equalWidth="0" w:num="1">
            <w:col w:w="11240"/>
          </w:cols>
          <w:pgMar w:left="320" w:top="854"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John A. Olin, certify that:</w:t>
      </w:r>
    </w:p>
    <w:p>
      <w:pPr>
        <w:spacing w:after="0" w:line="114" w:lineRule="exact"/>
        <w:rPr>
          <w:sz w:val="20"/>
          <w:szCs w:val="20"/>
          <w:color w:val="auto"/>
        </w:rPr>
      </w:pPr>
    </w:p>
    <w:p>
      <w:pPr>
        <w:ind w:left="640" w:hanging="173"/>
        <w:spacing w:after="0"/>
        <w:tabs>
          <w:tab w:leader="none" w:pos="6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Westinghouse Air Brake Technologies Corporation.</w:t>
      </w:r>
    </w:p>
    <w:p>
      <w:pPr>
        <w:spacing w:after="0" w:line="113" w:lineRule="exact"/>
        <w:rPr>
          <w:rFonts w:ascii="Times New Roman" w:cs="Times New Roman" w:eastAsia="Times New Roman" w:hAnsi="Times New Roman"/>
          <w:sz w:val="17"/>
          <w:szCs w:val="17"/>
          <w:color w:val="auto"/>
        </w:rPr>
      </w:pPr>
    </w:p>
    <w:p>
      <w:pPr>
        <w:ind w:right="200" w:firstLine="467"/>
        <w:spacing w:after="0" w:line="270" w:lineRule="auto"/>
        <w:tabs>
          <w:tab w:leader="none" w:pos="6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2" w:lineRule="exact"/>
        <w:rPr>
          <w:rFonts w:ascii="Times New Roman" w:cs="Times New Roman" w:eastAsia="Times New Roman" w:hAnsi="Times New Roman"/>
          <w:sz w:val="17"/>
          <w:szCs w:val="17"/>
          <w:color w:val="auto"/>
        </w:rPr>
      </w:pPr>
    </w:p>
    <w:p>
      <w:pPr>
        <w:ind w:right="160" w:firstLine="467"/>
        <w:spacing w:after="0" w:line="287" w:lineRule="auto"/>
        <w:tabs>
          <w:tab w:leader="none" w:pos="6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48" w:lineRule="exact"/>
        <w:rPr>
          <w:rFonts w:ascii="Times New Roman" w:cs="Times New Roman" w:eastAsia="Times New Roman" w:hAnsi="Times New Roman"/>
          <w:sz w:val="17"/>
          <w:szCs w:val="17"/>
          <w:color w:val="auto"/>
        </w:rPr>
      </w:pPr>
    </w:p>
    <w:p>
      <w:pPr>
        <w:jc w:val="both"/>
        <w:ind w:right="60" w:firstLine="467"/>
        <w:spacing w:after="0" w:line="270" w:lineRule="auto"/>
        <w:tabs>
          <w:tab w:leader="none" w:pos="6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2" w:lineRule="exact"/>
        <w:rPr>
          <w:rFonts w:ascii="Times New Roman" w:cs="Times New Roman" w:eastAsia="Times New Roman" w:hAnsi="Times New Roman"/>
          <w:sz w:val="17"/>
          <w:szCs w:val="17"/>
          <w:color w:val="auto"/>
        </w:rPr>
      </w:pPr>
    </w:p>
    <w:p>
      <w:pPr>
        <w:ind w:right="160" w:firstLine="970"/>
        <w:spacing w:after="0" w:line="270" w:lineRule="auto"/>
        <w:tabs>
          <w:tab w:leader="none" w:pos="120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2" w:lineRule="exact"/>
        <w:rPr>
          <w:rFonts w:ascii="Times New Roman" w:cs="Times New Roman" w:eastAsia="Times New Roman" w:hAnsi="Times New Roman"/>
          <w:sz w:val="17"/>
          <w:szCs w:val="17"/>
          <w:color w:val="auto"/>
        </w:rPr>
      </w:pPr>
    </w:p>
    <w:p>
      <w:pPr>
        <w:ind w:right="360" w:firstLine="970"/>
        <w:spacing w:after="0" w:line="270" w:lineRule="auto"/>
        <w:tabs>
          <w:tab w:leader="none" w:pos="121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7"/>
          <w:szCs w:val="17"/>
          <w:color w:val="auto"/>
        </w:rPr>
      </w:pPr>
    </w:p>
    <w:p>
      <w:pPr>
        <w:ind w:right="120" w:firstLine="970"/>
        <w:spacing w:after="0" w:line="287" w:lineRule="auto"/>
        <w:tabs>
          <w:tab w:leader="none" w:pos="120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48" w:lineRule="exact"/>
        <w:rPr>
          <w:rFonts w:ascii="Times New Roman" w:cs="Times New Roman" w:eastAsia="Times New Roman" w:hAnsi="Times New Roman"/>
          <w:sz w:val="17"/>
          <w:szCs w:val="17"/>
          <w:color w:val="auto"/>
        </w:rPr>
      </w:pPr>
    </w:p>
    <w:p>
      <w:pPr>
        <w:ind w:right="80" w:firstLine="970"/>
        <w:spacing w:after="0" w:line="287" w:lineRule="auto"/>
        <w:tabs>
          <w:tab w:leader="none" w:pos="121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8" w:lineRule="exact"/>
        <w:rPr>
          <w:rFonts w:ascii="Times New Roman" w:cs="Times New Roman" w:eastAsia="Times New Roman" w:hAnsi="Times New Roman"/>
          <w:sz w:val="17"/>
          <w:szCs w:val="17"/>
          <w:color w:val="auto"/>
        </w:rPr>
      </w:pPr>
    </w:p>
    <w:p>
      <w:pPr>
        <w:ind w:right="440" w:firstLine="467"/>
        <w:spacing w:after="0" w:line="287" w:lineRule="auto"/>
        <w:tabs>
          <w:tab w:leader="none" w:pos="6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8" w:lineRule="exact"/>
        <w:rPr>
          <w:rFonts w:ascii="Times New Roman" w:cs="Times New Roman" w:eastAsia="Times New Roman" w:hAnsi="Times New Roman"/>
          <w:sz w:val="17"/>
          <w:szCs w:val="17"/>
          <w:color w:val="auto"/>
        </w:rPr>
      </w:pPr>
    </w:p>
    <w:p>
      <w:pPr>
        <w:ind w:right="200" w:firstLine="970"/>
        <w:spacing w:after="0" w:line="287" w:lineRule="auto"/>
        <w:tabs>
          <w:tab w:leader="none" w:pos="120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right="140" w:firstLine="970"/>
        <w:spacing w:after="0" w:line="287" w:lineRule="auto"/>
        <w:tabs>
          <w:tab w:leader="none" w:pos="121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Date: </w:t>
      </w:r>
      <w:r>
        <w:rPr>
          <w:rFonts w:ascii="Times New Roman" w:cs="Times New Roman" w:eastAsia="Times New Roman" w:hAnsi="Times New Roman"/>
          <w:sz w:val="17"/>
          <w:szCs w:val="17"/>
          <w:color w:val="auto"/>
        </w:rPr>
        <w:t>April 24, 2024</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102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7"/>
                <w:szCs w:val="17"/>
                <w:color w:val="auto"/>
              </w:rPr>
              <w:t>/  JOHN A. OLIN</w:t>
            </w:r>
          </w:p>
        </w:tc>
      </w:tr>
      <w:tr>
        <w:trPr>
          <w:trHeight w:val="211"/>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020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John A. Olin</w:t>
            </w:r>
          </w:p>
        </w:tc>
      </w:tr>
      <w:tr>
        <w:trPr>
          <w:trHeight w:val="227"/>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Title:</w:t>
            </w:r>
          </w:p>
        </w:tc>
        <w:tc>
          <w:tcPr>
            <w:tcW w:w="1020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tc>
      </w:tr>
    </w:tbl>
    <w:p>
      <w:pPr>
        <w:sectPr>
          <w:pgSz w:w="11900" w:h="16838" w:orient="portrait"/>
          <w:cols w:equalWidth="0" w:num="1">
            <w:col w:w="11240"/>
          </w:cols>
          <w:pgMar w:left="320" w:top="854"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17" w:lineRule="exact"/>
        <w:rPr>
          <w:sz w:val="20"/>
          <w:szCs w:val="20"/>
          <w:color w:val="auto"/>
        </w:rPr>
      </w:pPr>
    </w:p>
    <w:p>
      <w:pPr>
        <w:ind w:right="40" w:firstLine="464"/>
        <w:spacing w:after="0" w:line="266" w:lineRule="auto"/>
        <w:rPr>
          <w:sz w:val="20"/>
          <w:szCs w:val="20"/>
          <w:color w:val="auto"/>
        </w:rPr>
      </w:pPr>
      <w:r>
        <w:rPr>
          <w:rFonts w:ascii="Times New Roman" w:cs="Times New Roman" w:eastAsia="Times New Roman" w:hAnsi="Times New Roman"/>
          <w:sz w:val="17"/>
          <w:szCs w:val="17"/>
          <w:color w:val="auto"/>
        </w:rPr>
        <w:t>Pursuant to 18 U.S.C. § 1350, the undersigned officers of Westinghouse Air Brake Technologies Corporation (the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hereby certify, to the best of their knowledge, that the Company’s Quarterly Report on Form 10-Q for the quarter ended March 31, 2024 (the “</w:t>
      </w:r>
      <w:r>
        <w:rPr>
          <w:rFonts w:ascii="Times New Roman" w:cs="Times New Roman" w:eastAsia="Times New Roman" w:hAnsi="Times New Roman"/>
          <w:sz w:val="17"/>
          <w:szCs w:val="17"/>
          <w:i w:val="1"/>
          <w:iCs w:val="1"/>
          <w:color w:val="auto"/>
        </w:rPr>
        <w:t>Report</w:t>
      </w:r>
      <w:r>
        <w:rPr>
          <w:rFonts w:ascii="Times New Roman" w:cs="Times New Roman" w:eastAsia="Times New Roman" w:hAnsi="Times New Roman"/>
          <w:sz w:val="17"/>
          <w:szCs w:val="17"/>
          <w:color w:val="auto"/>
        </w:rPr>
        <w: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w:t>
            </w:r>
          </w:p>
        </w:tc>
        <w:tc>
          <w:tcPr>
            <w:tcW w:w="95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R</w:t>
            </w:r>
            <w:r>
              <w:rPr>
                <w:rFonts w:ascii="Times New Roman" w:cs="Times New Roman" w:eastAsia="Times New Roman" w:hAnsi="Times New Roman"/>
                <w:sz w:val="13"/>
                <w:szCs w:val="13"/>
                <w:color w:val="auto"/>
              </w:rPr>
              <w:t>AFAEL SANTANA</w:t>
            </w:r>
          </w:p>
        </w:tc>
      </w:tr>
      <w:tr>
        <w:trPr>
          <w:trHeight w:val="129"/>
        </w:trPr>
        <w:tc>
          <w:tcPr>
            <w:tcW w:w="1420" w:type="dxa"/>
            <w:vAlign w:val="bottom"/>
          </w:tcPr>
          <w:p>
            <w:pPr>
              <w:spacing w:after="0"/>
              <w:rPr>
                <w:sz w:val="11"/>
                <w:szCs w:val="11"/>
                <w:color w:val="auto"/>
              </w:rPr>
            </w:pPr>
          </w:p>
        </w:tc>
        <w:tc>
          <w:tcPr>
            <w:tcW w:w="978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Rafael Santana</w:t>
            </w:r>
          </w:p>
        </w:tc>
      </w:tr>
      <w:tr>
        <w:trPr>
          <w:trHeight w:val="182"/>
        </w:trPr>
        <w:tc>
          <w:tcPr>
            <w:tcW w:w="1420" w:type="dxa"/>
            <w:vAlign w:val="bottom"/>
          </w:tcPr>
          <w:p>
            <w:pPr>
              <w:spacing w:after="0"/>
              <w:rPr>
                <w:sz w:val="15"/>
                <w:szCs w:val="15"/>
                <w:color w:val="auto"/>
              </w:rPr>
            </w:pPr>
          </w:p>
        </w:tc>
        <w:tc>
          <w:tcPr>
            <w:tcW w:w="9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tc>
      </w:tr>
      <w:tr>
        <w:trPr>
          <w:trHeight w:val="229"/>
        </w:trPr>
        <w:tc>
          <w:tcPr>
            <w:tcW w:w="1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Date:</w:t>
            </w:r>
          </w:p>
        </w:tc>
        <w:tc>
          <w:tcPr>
            <w:tcW w:w="9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April 24, 2024</w:t>
            </w:r>
          </w:p>
        </w:tc>
      </w:tr>
      <w:tr>
        <w:trPr>
          <w:trHeight w:val="470"/>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w:t>
            </w:r>
          </w:p>
        </w:tc>
        <w:tc>
          <w:tcPr>
            <w:tcW w:w="95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JOHN A. OLIN</w:t>
            </w:r>
          </w:p>
        </w:tc>
      </w:tr>
      <w:tr>
        <w:trPr>
          <w:trHeight w:val="129"/>
        </w:trPr>
        <w:tc>
          <w:tcPr>
            <w:tcW w:w="1420" w:type="dxa"/>
            <w:vAlign w:val="bottom"/>
          </w:tcPr>
          <w:p>
            <w:pPr>
              <w:spacing w:after="0"/>
              <w:rPr>
                <w:sz w:val="11"/>
                <w:szCs w:val="11"/>
                <w:color w:val="auto"/>
              </w:rPr>
            </w:pPr>
          </w:p>
        </w:tc>
        <w:tc>
          <w:tcPr>
            <w:tcW w:w="978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John A. Olin</w:t>
            </w:r>
          </w:p>
        </w:tc>
      </w:tr>
      <w:tr>
        <w:trPr>
          <w:trHeight w:val="182"/>
        </w:trPr>
        <w:tc>
          <w:tcPr>
            <w:tcW w:w="1420" w:type="dxa"/>
            <w:vAlign w:val="bottom"/>
          </w:tcPr>
          <w:p>
            <w:pPr>
              <w:spacing w:after="0"/>
              <w:rPr>
                <w:sz w:val="15"/>
                <w:szCs w:val="15"/>
                <w:color w:val="auto"/>
              </w:rPr>
            </w:pPr>
          </w:p>
        </w:tc>
        <w:tc>
          <w:tcPr>
            <w:tcW w:w="9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tc>
      </w:tr>
      <w:tr>
        <w:trPr>
          <w:trHeight w:val="229"/>
        </w:trPr>
        <w:tc>
          <w:tcPr>
            <w:tcW w:w="1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Date:</w:t>
            </w:r>
          </w:p>
        </w:tc>
        <w:tc>
          <w:tcPr>
            <w:tcW w:w="9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April 24, 2024</w:t>
            </w:r>
          </w:p>
        </w:tc>
      </w:tr>
    </w:tbl>
    <w:p>
      <w:pPr>
        <w:spacing w:after="0" w:line="1" w:lineRule="exact"/>
        <w:rPr>
          <w:sz w:val="20"/>
          <w:szCs w:val="20"/>
          <w:color w:val="auto"/>
        </w:rPr>
      </w:pPr>
    </w:p>
    <w:sectPr>
      <w:pgSz w:w="11900" w:h="16838" w:orient="portrait"/>
      <w:cols w:equalWidth="0" w:num="1">
        <w:col w:w="11240"/>
      </w:cols>
      <w:pgMar w:left="320" w:top="8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04"/>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5" Type="http://schemas.openxmlformats.org/officeDocument/2006/relationships/hyperlink" Target="https://www.sec.gov/Archives/edgar/data/943452/000114036124012639/ny20023735x1_ex4-3.htm" TargetMode="External"/><Relationship Id="rId56" Type="http://schemas.openxmlformats.org/officeDocument/2006/relationships/hyperlink" Target="https://www.sec.gov/Archives/edgar/data/943452/000114036124013714/ef20024267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2024-04-24T11:33:53Z</dcterms:created>
  <dcterms:modified xsi:type="dcterms:W3CDTF">2024-04-24T11:33:53Z</dcterms:modified>
</cp:coreProperties>
</file>